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1600" w:firstLineChars="500"/>
        <w:rPr>
          <w:rFonts w:hint="eastAsia" w:ascii="宋体" w:hAnsi="宋体"/>
          <w:sz w:val="32"/>
          <w:szCs w:val="32"/>
        </w:rPr>
      </w:pPr>
      <w:bookmarkStart w:id="1551" w:name="_GoBack"/>
      <w:bookmarkEnd w:id="1551"/>
    </w:p>
    <w:p>
      <w:pPr>
        <w:spacing w:line="540" w:lineRule="exact"/>
        <w:ind w:firstLine="1600" w:firstLineChars="500"/>
        <w:rPr>
          <w:rFonts w:hint="eastAsia" w:ascii="宋体" w:hAnsi="宋体"/>
          <w:sz w:val="32"/>
          <w:szCs w:val="32"/>
        </w:rPr>
      </w:pPr>
    </w:p>
    <w:p>
      <w:pPr>
        <w:spacing w:line="540" w:lineRule="exact"/>
        <w:ind w:firstLine="1600" w:firstLineChars="500"/>
        <w:rPr>
          <w:rFonts w:hint="eastAsia" w:ascii="宋体" w:hAnsi="宋体"/>
          <w:sz w:val="32"/>
          <w:szCs w:val="32"/>
        </w:rPr>
      </w:pPr>
    </w:p>
    <w:p>
      <w:pPr>
        <w:spacing w:line="460" w:lineRule="exact"/>
        <w:ind w:firstLine="437"/>
        <w:jc w:val="center"/>
        <w:rPr>
          <w:rFonts w:hint="eastAsia" w:ascii="宋体" w:hAnsi="宋体"/>
          <w:szCs w:val="21"/>
        </w:rPr>
      </w:pPr>
      <w:r>
        <w:rPr>
          <w:rFonts w:hint="eastAsia" w:ascii="宋体" w:hAnsi="宋体"/>
          <w:sz w:val="32"/>
          <w:szCs w:val="32"/>
        </w:rPr>
        <w:t>营口建发盛海磷化工有限公司精制磷酸及磷酸铁前驱体项目全厂道路、管廊、地管、事故水池、防雷接地施工</w:t>
      </w:r>
    </w:p>
    <w:p>
      <w:pPr>
        <w:spacing w:line="460" w:lineRule="exact"/>
        <w:ind w:firstLine="437"/>
        <w:rPr>
          <w:rFonts w:hint="eastAsia" w:ascii="宋体" w:hAnsi="宋体"/>
          <w:szCs w:val="21"/>
        </w:rPr>
      </w:pPr>
    </w:p>
    <w:p>
      <w:pPr>
        <w:spacing w:line="540" w:lineRule="exact"/>
        <w:rPr>
          <w:rFonts w:hint="eastAsia" w:ascii="宋体" w:hAnsi="宋体"/>
          <w:szCs w:val="21"/>
        </w:rPr>
      </w:pPr>
    </w:p>
    <w:p>
      <w:pPr>
        <w:spacing w:line="540" w:lineRule="exact"/>
        <w:rPr>
          <w:rFonts w:hint="eastAsia" w:ascii="宋体" w:hAnsi="宋体"/>
          <w:szCs w:val="21"/>
        </w:rPr>
      </w:pPr>
    </w:p>
    <w:p>
      <w:pPr>
        <w:jc w:val="center"/>
        <w:rPr>
          <w:rFonts w:hint="eastAsia" w:ascii="黑体" w:hAnsi="宋体" w:eastAsia="黑体"/>
          <w:sz w:val="72"/>
          <w:szCs w:val="72"/>
        </w:rPr>
      </w:pPr>
      <w:r>
        <w:rPr>
          <w:rFonts w:hint="eastAsia" w:ascii="黑体" w:hAnsi="宋体" w:eastAsia="黑体"/>
          <w:sz w:val="72"/>
          <w:szCs w:val="72"/>
        </w:rPr>
        <w:t>招 标 文 件</w:t>
      </w:r>
    </w:p>
    <w:p>
      <w:pPr>
        <w:spacing w:line="540" w:lineRule="exact"/>
        <w:rPr>
          <w:rFonts w:ascii="黑体" w:eastAsia="黑体"/>
          <w:sz w:val="28"/>
          <w:szCs w:val="28"/>
        </w:rPr>
      </w:pPr>
    </w:p>
    <w:p>
      <w:pPr>
        <w:spacing w:line="540" w:lineRule="exact"/>
        <w:jc w:val="center"/>
        <w:rPr>
          <w:rFonts w:hint="eastAsia" w:ascii="宋体" w:hAnsi="宋体"/>
          <w:szCs w:val="21"/>
        </w:rPr>
      </w:pPr>
      <w:r>
        <w:rPr>
          <w:rFonts w:hint="eastAsia" w:ascii="黑体" w:eastAsia="黑体"/>
          <w:sz w:val="28"/>
          <w:szCs w:val="28"/>
        </w:rPr>
        <w:t>（标段唯一标识码：）</w:t>
      </w:r>
    </w:p>
    <w:p>
      <w:pPr>
        <w:spacing w:line="540" w:lineRule="exact"/>
        <w:jc w:val="center"/>
        <w:rPr>
          <w:rFonts w:ascii="黑体" w:eastAsia="黑体"/>
          <w:sz w:val="28"/>
          <w:szCs w:val="28"/>
        </w:rPr>
      </w:pPr>
      <w:r>
        <w:rPr>
          <w:rFonts w:hint="eastAsia" w:ascii="黑体" w:eastAsia="黑体"/>
          <w:sz w:val="28"/>
          <w:szCs w:val="28"/>
        </w:rPr>
        <w:t>（标段编号：）</w:t>
      </w:r>
    </w:p>
    <w:p>
      <w:pPr>
        <w:spacing w:line="540" w:lineRule="exact"/>
        <w:ind w:firstLine="437"/>
        <w:rPr>
          <w:rFonts w:hint="eastAsia" w:ascii="宋体" w:hAnsi="宋体"/>
          <w:szCs w:val="21"/>
        </w:rPr>
      </w:pPr>
    </w:p>
    <w:p>
      <w:pPr>
        <w:spacing w:line="540" w:lineRule="exact"/>
        <w:ind w:firstLine="437"/>
        <w:rPr>
          <w:rFonts w:hint="eastAsia" w:ascii="宋体" w:hAnsi="宋体"/>
          <w:szCs w:val="21"/>
        </w:rPr>
      </w:pPr>
    </w:p>
    <w:p>
      <w:pPr>
        <w:spacing w:line="540" w:lineRule="exact"/>
        <w:ind w:firstLine="437"/>
        <w:rPr>
          <w:rFonts w:hint="eastAsia" w:ascii="宋体" w:hAnsi="宋体"/>
          <w:szCs w:val="21"/>
        </w:rPr>
      </w:pPr>
    </w:p>
    <w:p>
      <w:pPr>
        <w:spacing w:line="540" w:lineRule="exact"/>
        <w:ind w:firstLine="437"/>
        <w:rPr>
          <w:rFonts w:hint="eastAsia" w:ascii="宋体" w:hAnsi="宋体"/>
          <w:szCs w:val="21"/>
        </w:rPr>
      </w:pPr>
    </w:p>
    <w:p>
      <w:pPr>
        <w:spacing w:line="540" w:lineRule="exact"/>
        <w:ind w:firstLine="437"/>
        <w:rPr>
          <w:rFonts w:hint="eastAsia" w:ascii="宋体" w:hAnsi="宋体"/>
          <w:szCs w:val="21"/>
        </w:rPr>
      </w:pPr>
    </w:p>
    <w:p>
      <w:pPr>
        <w:spacing w:line="540" w:lineRule="exact"/>
        <w:ind w:firstLine="437"/>
        <w:rPr>
          <w:rFonts w:hint="eastAsia" w:ascii="宋体" w:hAnsi="宋体"/>
          <w:szCs w:val="21"/>
        </w:rPr>
      </w:pPr>
    </w:p>
    <w:p>
      <w:pPr>
        <w:spacing w:line="540" w:lineRule="exact"/>
        <w:ind w:firstLine="437"/>
        <w:rPr>
          <w:rFonts w:hint="eastAsia" w:ascii="宋体" w:hAnsi="宋体"/>
          <w:szCs w:val="21"/>
        </w:rPr>
      </w:pPr>
    </w:p>
    <w:p>
      <w:pPr>
        <w:spacing w:line="360" w:lineRule="auto"/>
        <w:jc w:val="center"/>
        <w:rPr>
          <w:rFonts w:hint="eastAsia" w:ascii="黑体" w:hAnsi="黑体" w:eastAsia="黑体"/>
          <w:sz w:val="28"/>
          <w:szCs w:val="28"/>
        </w:rPr>
      </w:pPr>
      <w:r>
        <w:rPr>
          <w:rFonts w:hint="eastAsia" w:ascii="黑体" w:hAnsi="黑体" w:eastAsia="黑体"/>
          <w:sz w:val="28"/>
          <w:szCs w:val="28"/>
        </w:rPr>
        <w:t>招标人：营口建发盛海磷化工有限公司（盖章）</w:t>
      </w:r>
    </w:p>
    <w:p>
      <w:pPr>
        <w:spacing w:line="360" w:lineRule="auto"/>
        <w:jc w:val="center"/>
        <w:rPr>
          <w:rFonts w:hint="eastAsia" w:ascii="黑体" w:hAnsi="黑体" w:eastAsia="黑体"/>
          <w:sz w:val="28"/>
          <w:szCs w:val="28"/>
        </w:rPr>
      </w:pPr>
      <w:r>
        <w:rPr>
          <w:rFonts w:hint="eastAsia" w:ascii="黑体" w:hAnsi="黑体" w:eastAsia="黑体"/>
          <w:sz w:val="28"/>
          <w:szCs w:val="28"/>
        </w:rPr>
        <w:t>招标代理机构：营口公物咨询管理有限公司（盖章）</w:t>
      </w:r>
    </w:p>
    <w:p>
      <w:pPr>
        <w:jc w:val="cente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sz w:val="28"/>
          <w:szCs w:val="28"/>
        </w:rPr>
        <w:t>日    期：2025年 月 日</w:t>
      </w:r>
    </w:p>
    <w:p>
      <w:pPr>
        <w:jc w:val="center"/>
        <w:rPr>
          <w:b/>
          <w:sz w:val="44"/>
        </w:rPr>
      </w:pPr>
      <w:bookmarkStart w:id="0" w:name="tableContents"/>
      <w:r>
        <w:rPr>
          <w:b/>
          <w:sz w:val="44"/>
        </w:rPr>
        <w:t>目录</w:t>
      </w:r>
    </w:p>
    <w:p>
      <w:pPr>
        <w:pStyle w:val="18"/>
        <w:tabs>
          <w:tab w:val="right" w:leader="dot" w:pos="8306"/>
        </w:tabs>
      </w:pPr>
      <w:r>
        <w:rPr>
          <w:b/>
          <w:sz w:val="44"/>
        </w:rPr>
        <w:fldChar w:fldCharType="begin"/>
      </w:r>
      <w:r>
        <w:rPr>
          <w:b/>
          <w:sz w:val="44"/>
        </w:rPr>
        <w:instrText xml:space="preserve">TOC \o "1-3" \h \z \u</w:instrText>
      </w:r>
      <w:r>
        <w:rPr>
          <w:b/>
          <w:sz w:val="44"/>
        </w:rPr>
        <w:fldChar w:fldCharType="separate"/>
      </w:r>
      <w:r>
        <w:fldChar w:fldCharType="begin"/>
      </w:r>
      <w:r>
        <w:instrText xml:space="preserve"> HYPERLINK \l _Toc12236 </w:instrText>
      </w:r>
      <w:r>
        <w:fldChar w:fldCharType="separate"/>
      </w:r>
      <w:r>
        <w:rPr>
          <w:rFonts w:hint="eastAsia" w:ascii="黑体" w:hAnsi="黑体" w:eastAsia="黑体"/>
          <w:bCs w:val="0"/>
          <w:szCs w:val="48"/>
        </w:rPr>
        <w:t>第一卷</w:t>
      </w:r>
      <w:r>
        <w:tab/>
      </w:r>
      <w:r>
        <w:fldChar w:fldCharType="begin"/>
      </w:r>
      <w:r>
        <w:instrText xml:space="preserve"> PAGEREF _Toc12236 \h </w:instrText>
      </w:r>
      <w:r>
        <w:fldChar w:fldCharType="separate"/>
      </w:r>
      <w:r>
        <w:t>1</w:t>
      </w:r>
      <w:r>
        <w:fldChar w:fldCharType="end"/>
      </w:r>
      <w:r>
        <w:fldChar w:fldCharType="end"/>
      </w:r>
    </w:p>
    <w:p>
      <w:pPr>
        <w:pStyle w:val="18"/>
        <w:tabs>
          <w:tab w:val="right" w:leader="dot" w:pos="8306"/>
        </w:tabs>
      </w:pPr>
      <w:r>
        <w:fldChar w:fldCharType="begin"/>
      </w:r>
      <w:r>
        <w:instrText xml:space="preserve"> HYPERLINK \l _Toc16717 </w:instrText>
      </w:r>
      <w:r>
        <w:fldChar w:fldCharType="separate"/>
      </w:r>
      <w:r>
        <w:rPr>
          <w:rFonts w:hint="eastAsia" w:ascii="黑体" w:hAnsi="黑体" w:eastAsia="黑体"/>
          <w:bCs w:val="0"/>
        </w:rPr>
        <w:t>第一章  招标公告</w:t>
      </w:r>
      <w:r>
        <w:tab/>
      </w:r>
      <w:r>
        <w:fldChar w:fldCharType="begin"/>
      </w:r>
      <w:r>
        <w:instrText xml:space="preserve"> PAGEREF _Toc16717 \h </w:instrText>
      </w:r>
      <w:r>
        <w:fldChar w:fldCharType="separate"/>
      </w:r>
      <w:r>
        <w:t>2</w:t>
      </w:r>
      <w:r>
        <w:fldChar w:fldCharType="end"/>
      </w:r>
      <w:r>
        <w:fldChar w:fldCharType="end"/>
      </w:r>
    </w:p>
    <w:p>
      <w:pPr>
        <w:pStyle w:val="18"/>
        <w:tabs>
          <w:tab w:val="right" w:leader="dot" w:pos="8306"/>
        </w:tabs>
      </w:pPr>
      <w:r>
        <w:fldChar w:fldCharType="begin"/>
      </w:r>
      <w:r>
        <w:instrText xml:space="preserve"> HYPERLINK \l _Toc9785 </w:instrText>
      </w:r>
      <w:r>
        <w:fldChar w:fldCharType="separate"/>
      </w:r>
      <w:r>
        <w:rPr>
          <w:rFonts w:ascii="黑体" w:hAnsi="黑体" w:eastAsia="黑体"/>
          <w:bCs w:val="0"/>
        </w:rPr>
        <w:t>第</w:t>
      </w:r>
      <w:r>
        <w:rPr>
          <w:rFonts w:hint="eastAsia" w:ascii="黑体" w:hAnsi="黑体" w:eastAsia="黑体"/>
          <w:bCs w:val="0"/>
        </w:rPr>
        <w:t>二</w:t>
      </w:r>
      <w:r>
        <w:rPr>
          <w:rFonts w:ascii="黑体" w:hAnsi="黑体" w:eastAsia="黑体"/>
          <w:bCs w:val="0"/>
        </w:rPr>
        <w:t>章</w:t>
      </w:r>
      <w:r>
        <w:rPr>
          <w:rFonts w:hint="eastAsia" w:ascii="黑体" w:hAnsi="黑体" w:eastAsia="黑体"/>
          <w:bCs w:val="0"/>
        </w:rPr>
        <w:t xml:space="preserve">  投标人须知</w:t>
      </w:r>
      <w:r>
        <w:tab/>
      </w:r>
      <w:r>
        <w:fldChar w:fldCharType="begin"/>
      </w:r>
      <w:r>
        <w:instrText xml:space="preserve"> PAGEREF _Toc9785 \h </w:instrText>
      </w:r>
      <w:r>
        <w:fldChar w:fldCharType="separate"/>
      </w:r>
      <w:r>
        <w:t>8</w:t>
      </w:r>
      <w:r>
        <w:fldChar w:fldCharType="end"/>
      </w:r>
      <w:r>
        <w:fldChar w:fldCharType="end"/>
      </w:r>
    </w:p>
    <w:p>
      <w:pPr>
        <w:pStyle w:val="20"/>
        <w:tabs>
          <w:tab w:val="right" w:leader="dot" w:pos="8306"/>
        </w:tabs>
      </w:pPr>
      <w:r>
        <w:fldChar w:fldCharType="begin"/>
      </w:r>
      <w:r>
        <w:instrText xml:space="preserve"> HYPERLINK \l _Toc24730 </w:instrText>
      </w:r>
      <w:r>
        <w:fldChar w:fldCharType="separate"/>
      </w:r>
      <w:r>
        <w:rPr>
          <w:rFonts w:hint="eastAsia"/>
        </w:rPr>
        <w:t>投标人须知前附表</w:t>
      </w:r>
      <w:r>
        <w:tab/>
      </w:r>
      <w:r>
        <w:fldChar w:fldCharType="begin"/>
      </w:r>
      <w:r>
        <w:instrText xml:space="preserve"> PAGEREF _Toc24730 \h </w:instrText>
      </w:r>
      <w:r>
        <w:fldChar w:fldCharType="separate"/>
      </w:r>
      <w:r>
        <w:t>9</w:t>
      </w:r>
      <w:r>
        <w:fldChar w:fldCharType="end"/>
      </w:r>
      <w:r>
        <w:fldChar w:fldCharType="end"/>
      </w:r>
    </w:p>
    <w:p>
      <w:pPr>
        <w:pStyle w:val="20"/>
        <w:tabs>
          <w:tab w:val="right" w:leader="dot" w:pos="8306"/>
        </w:tabs>
      </w:pPr>
      <w:r>
        <w:fldChar w:fldCharType="begin"/>
      </w:r>
      <w:r>
        <w:instrText xml:space="preserve"> HYPERLINK \l _Toc5563 </w:instrText>
      </w:r>
      <w:r>
        <w:fldChar w:fldCharType="separate"/>
      </w:r>
      <w:r>
        <w:rPr>
          <w:rFonts w:hint="eastAsia"/>
        </w:rPr>
        <w:t>投标人须知正文部分</w:t>
      </w:r>
      <w:r>
        <w:tab/>
      </w:r>
      <w:r>
        <w:fldChar w:fldCharType="begin"/>
      </w:r>
      <w:r>
        <w:instrText xml:space="preserve"> PAGEREF _Toc5563 \h </w:instrText>
      </w:r>
      <w:r>
        <w:fldChar w:fldCharType="separate"/>
      </w:r>
      <w:r>
        <w:t>20</w:t>
      </w:r>
      <w:r>
        <w:fldChar w:fldCharType="end"/>
      </w:r>
      <w:r>
        <w:fldChar w:fldCharType="end"/>
      </w:r>
    </w:p>
    <w:p>
      <w:pPr>
        <w:pStyle w:val="20"/>
        <w:tabs>
          <w:tab w:val="right" w:leader="dot" w:pos="8306"/>
        </w:tabs>
      </w:pPr>
      <w:r>
        <w:fldChar w:fldCharType="begin"/>
      </w:r>
      <w:r>
        <w:instrText xml:space="preserve"> HYPERLINK \l _Toc10878 </w:instrText>
      </w:r>
      <w:r>
        <w:fldChar w:fldCharType="separate"/>
      </w:r>
      <w:r>
        <w:rPr>
          <w:rFonts w:hint="eastAsia"/>
        </w:rPr>
        <w:t>1. 总则</w:t>
      </w:r>
      <w:r>
        <w:tab/>
      </w:r>
      <w:r>
        <w:fldChar w:fldCharType="begin"/>
      </w:r>
      <w:r>
        <w:instrText xml:space="preserve"> PAGEREF _Toc10878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_Toc27892 </w:instrText>
      </w:r>
      <w:r>
        <w:fldChar w:fldCharType="separate"/>
      </w:r>
      <w:r>
        <w:rPr>
          <w:rFonts w:hint="eastAsia"/>
        </w:rPr>
        <w:t>1.1 项目概况</w:t>
      </w:r>
      <w:r>
        <w:tab/>
      </w:r>
      <w:r>
        <w:fldChar w:fldCharType="begin"/>
      </w:r>
      <w:r>
        <w:instrText xml:space="preserve"> PAGEREF _Toc27892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_Toc3011 </w:instrText>
      </w:r>
      <w:r>
        <w:fldChar w:fldCharType="separate"/>
      </w:r>
      <w:r>
        <w:rPr>
          <w:rFonts w:hint="eastAsia"/>
        </w:rPr>
        <w:t>1.2 资金来源和落实情况</w:t>
      </w:r>
      <w:r>
        <w:tab/>
      </w:r>
      <w:r>
        <w:fldChar w:fldCharType="begin"/>
      </w:r>
      <w:r>
        <w:instrText xml:space="preserve"> PAGEREF _Toc3011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_Toc879 </w:instrText>
      </w:r>
      <w:r>
        <w:fldChar w:fldCharType="separate"/>
      </w:r>
      <w:r>
        <w:rPr>
          <w:rFonts w:hint="eastAsia"/>
        </w:rPr>
        <w:t>1.3 招标范围、计划工期和质量要求</w:t>
      </w:r>
      <w:r>
        <w:tab/>
      </w:r>
      <w:r>
        <w:fldChar w:fldCharType="begin"/>
      </w:r>
      <w:r>
        <w:instrText xml:space="preserve"> PAGEREF _Toc879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_Toc19469 </w:instrText>
      </w:r>
      <w:r>
        <w:fldChar w:fldCharType="separate"/>
      </w:r>
      <w:r>
        <w:rPr>
          <w:rFonts w:hint="eastAsia"/>
        </w:rPr>
        <w:t>1.4 投标人资格要求</w:t>
      </w:r>
      <w:r>
        <w:tab/>
      </w:r>
      <w:r>
        <w:fldChar w:fldCharType="begin"/>
      </w:r>
      <w:r>
        <w:instrText xml:space="preserve"> PAGEREF _Toc19469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_Toc8065 </w:instrText>
      </w:r>
      <w:r>
        <w:fldChar w:fldCharType="separate"/>
      </w:r>
      <w:r>
        <w:rPr>
          <w:rFonts w:hint="eastAsia"/>
        </w:rPr>
        <w:t>1.5 费用承担</w:t>
      </w:r>
      <w:r>
        <w:tab/>
      </w:r>
      <w:r>
        <w:fldChar w:fldCharType="begin"/>
      </w:r>
      <w:r>
        <w:instrText xml:space="preserve"> PAGEREF _Toc8065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_Toc10416 </w:instrText>
      </w:r>
      <w:r>
        <w:fldChar w:fldCharType="separate"/>
      </w:r>
      <w:r>
        <w:rPr>
          <w:rFonts w:hint="eastAsia"/>
        </w:rPr>
        <w:t>1.6 保密</w:t>
      </w:r>
      <w:r>
        <w:tab/>
      </w:r>
      <w:r>
        <w:fldChar w:fldCharType="begin"/>
      </w:r>
      <w:r>
        <w:instrText xml:space="preserve"> PAGEREF _Toc10416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_Toc8240 </w:instrText>
      </w:r>
      <w:r>
        <w:fldChar w:fldCharType="separate"/>
      </w:r>
      <w:r>
        <w:rPr>
          <w:rFonts w:hint="eastAsia"/>
        </w:rPr>
        <w:t>1.7 语言文字</w:t>
      </w:r>
      <w:r>
        <w:tab/>
      </w:r>
      <w:r>
        <w:fldChar w:fldCharType="begin"/>
      </w:r>
      <w:r>
        <w:instrText xml:space="preserve"> PAGEREF _Toc8240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_Toc26489 </w:instrText>
      </w:r>
      <w:r>
        <w:fldChar w:fldCharType="separate"/>
      </w:r>
      <w:r>
        <w:rPr>
          <w:rFonts w:hint="eastAsia"/>
        </w:rPr>
        <w:t>1.8 计量单位</w:t>
      </w:r>
      <w:r>
        <w:tab/>
      </w:r>
      <w:r>
        <w:fldChar w:fldCharType="begin"/>
      </w:r>
      <w:r>
        <w:instrText xml:space="preserve"> PAGEREF _Toc26489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_Toc4978 </w:instrText>
      </w:r>
      <w:r>
        <w:fldChar w:fldCharType="separate"/>
      </w:r>
      <w:r>
        <w:rPr>
          <w:rFonts w:hint="eastAsia"/>
        </w:rPr>
        <w:t>1.9 踏勘现场</w:t>
      </w:r>
      <w:r>
        <w:tab/>
      </w:r>
      <w:r>
        <w:fldChar w:fldCharType="begin"/>
      </w:r>
      <w:r>
        <w:instrText xml:space="preserve"> PAGEREF _Toc4978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_Toc10361 </w:instrText>
      </w:r>
      <w:r>
        <w:fldChar w:fldCharType="separate"/>
      </w:r>
      <w:r>
        <w:rPr>
          <w:rFonts w:hint="eastAsia"/>
        </w:rPr>
        <w:t>1.10 投标预备会</w:t>
      </w:r>
      <w:r>
        <w:tab/>
      </w:r>
      <w:r>
        <w:fldChar w:fldCharType="begin"/>
      </w:r>
      <w:r>
        <w:instrText xml:space="preserve"> PAGEREF _Toc10361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_Toc832 </w:instrText>
      </w:r>
      <w:r>
        <w:fldChar w:fldCharType="separate"/>
      </w:r>
      <w:r>
        <w:rPr>
          <w:rFonts w:hint="eastAsia"/>
        </w:rPr>
        <w:t>1.11 分包</w:t>
      </w:r>
      <w:r>
        <w:tab/>
      </w:r>
      <w:r>
        <w:fldChar w:fldCharType="begin"/>
      </w:r>
      <w:r>
        <w:instrText xml:space="preserve"> PAGEREF _Toc832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_Toc14152 </w:instrText>
      </w:r>
      <w:r>
        <w:fldChar w:fldCharType="separate"/>
      </w:r>
      <w:r>
        <w:rPr>
          <w:rFonts w:hint="eastAsia"/>
        </w:rPr>
        <w:t>1.12 偏离</w:t>
      </w:r>
      <w:r>
        <w:tab/>
      </w:r>
      <w:r>
        <w:fldChar w:fldCharType="begin"/>
      </w:r>
      <w:r>
        <w:instrText xml:space="preserve"> PAGEREF _Toc14152 \h </w:instrText>
      </w:r>
      <w:r>
        <w:fldChar w:fldCharType="separate"/>
      </w:r>
      <w:r>
        <w:t>22</w:t>
      </w:r>
      <w:r>
        <w:fldChar w:fldCharType="end"/>
      </w:r>
      <w:r>
        <w:fldChar w:fldCharType="end"/>
      </w:r>
    </w:p>
    <w:p>
      <w:pPr>
        <w:pStyle w:val="20"/>
        <w:tabs>
          <w:tab w:val="right" w:leader="dot" w:pos="8306"/>
        </w:tabs>
      </w:pPr>
      <w:r>
        <w:fldChar w:fldCharType="begin"/>
      </w:r>
      <w:r>
        <w:instrText xml:space="preserve"> HYPERLINK \l _Toc22602 </w:instrText>
      </w:r>
      <w:r>
        <w:fldChar w:fldCharType="separate"/>
      </w:r>
      <w:r>
        <w:rPr>
          <w:rFonts w:hint="eastAsia"/>
        </w:rPr>
        <w:t>2. 招标文件</w:t>
      </w:r>
      <w:r>
        <w:tab/>
      </w:r>
      <w:r>
        <w:fldChar w:fldCharType="begin"/>
      </w:r>
      <w:r>
        <w:instrText xml:space="preserve"> PAGEREF _Toc22602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_Toc24423 </w:instrText>
      </w:r>
      <w:r>
        <w:fldChar w:fldCharType="separate"/>
      </w:r>
      <w:r>
        <w:rPr>
          <w:rFonts w:hint="eastAsia"/>
        </w:rPr>
        <w:t>2.1 招标文件的组成</w:t>
      </w:r>
      <w:r>
        <w:tab/>
      </w:r>
      <w:r>
        <w:fldChar w:fldCharType="begin"/>
      </w:r>
      <w:r>
        <w:instrText xml:space="preserve"> PAGEREF _Toc24423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_Toc26454 </w:instrText>
      </w:r>
      <w:r>
        <w:fldChar w:fldCharType="separate"/>
      </w:r>
      <w:r>
        <w:rPr>
          <w:rFonts w:hint="eastAsia"/>
        </w:rPr>
        <w:t>2.2 招标文件的澄清</w:t>
      </w:r>
      <w:r>
        <w:tab/>
      </w:r>
      <w:r>
        <w:fldChar w:fldCharType="begin"/>
      </w:r>
      <w:r>
        <w:instrText xml:space="preserve"> PAGEREF _Toc26454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_Toc9382 </w:instrText>
      </w:r>
      <w:r>
        <w:fldChar w:fldCharType="separate"/>
      </w:r>
      <w:r>
        <w:rPr>
          <w:rFonts w:hint="eastAsia"/>
        </w:rPr>
        <w:t>2.3 招标文件的修改</w:t>
      </w:r>
      <w:r>
        <w:tab/>
      </w:r>
      <w:r>
        <w:fldChar w:fldCharType="begin"/>
      </w:r>
      <w:r>
        <w:instrText xml:space="preserve"> PAGEREF _Toc9382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_Toc9871 </w:instrText>
      </w:r>
      <w:r>
        <w:fldChar w:fldCharType="separate"/>
      </w:r>
      <w:r>
        <w:rPr>
          <w:rFonts w:hint="eastAsia"/>
        </w:rPr>
        <w:t>2.4 招标文件的异议</w:t>
      </w:r>
      <w:r>
        <w:tab/>
      </w:r>
      <w:r>
        <w:fldChar w:fldCharType="begin"/>
      </w:r>
      <w:r>
        <w:instrText xml:space="preserve"> PAGEREF _Toc9871 \h </w:instrText>
      </w:r>
      <w:r>
        <w:fldChar w:fldCharType="separate"/>
      </w:r>
      <w:r>
        <w:t>23</w:t>
      </w:r>
      <w:r>
        <w:fldChar w:fldCharType="end"/>
      </w:r>
      <w:r>
        <w:fldChar w:fldCharType="end"/>
      </w:r>
    </w:p>
    <w:p>
      <w:pPr>
        <w:pStyle w:val="20"/>
        <w:tabs>
          <w:tab w:val="right" w:leader="dot" w:pos="8306"/>
        </w:tabs>
      </w:pPr>
      <w:r>
        <w:fldChar w:fldCharType="begin"/>
      </w:r>
      <w:r>
        <w:instrText xml:space="preserve"> HYPERLINK \l _Toc1974 </w:instrText>
      </w:r>
      <w:r>
        <w:fldChar w:fldCharType="separate"/>
      </w:r>
      <w:r>
        <w:rPr>
          <w:rFonts w:hint="eastAsia"/>
        </w:rPr>
        <w:t>3. 投标文件</w:t>
      </w:r>
      <w:r>
        <w:tab/>
      </w:r>
      <w:r>
        <w:fldChar w:fldCharType="begin"/>
      </w:r>
      <w:r>
        <w:instrText xml:space="preserve"> PAGEREF _Toc1974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_Toc12877 </w:instrText>
      </w:r>
      <w:r>
        <w:fldChar w:fldCharType="separate"/>
      </w:r>
      <w:r>
        <w:rPr>
          <w:rFonts w:hint="eastAsia"/>
        </w:rPr>
        <w:t>3.1 投标文件的组成</w:t>
      </w:r>
      <w:r>
        <w:tab/>
      </w:r>
      <w:r>
        <w:fldChar w:fldCharType="begin"/>
      </w:r>
      <w:r>
        <w:instrText xml:space="preserve"> PAGEREF _Toc12877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_Toc80 </w:instrText>
      </w:r>
      <w:r>
        <w:fldChar w:fldCharType="separate"/>
      </w:r>
      <w:r>
        <w:rPr>
          <w:rFonts w:hint="eastAsia"/>
        </w:rPr>
        <w:t>3.2 投标报价</w:t>
      </w:r>
      <w:r>
        <w:tab/>
      </w:r>
      <w:r>
        <w:fldChar w:fldCharType="begin"/>
      </w:r>
      <w:r>
        <w:instrText xml:space="preserve"> PAGEREF _Toc80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_Toc17696 </w:instrText>
      </w:r>
      <w:r>
        <w:fldChar w:fldCharType="separate"/>
      </w:r>
      <w:r>
        <w:rPr>
          <w:rFonts w:hint="eastAsia"/>
        </w:rPr>
        <w:t>3.3 投标有效期</w:t>
      </w:r>
      <w:r>
        <w:tab/>
      </w:r>
      <w:r>
        <w:fldChar w:fldCharType="begin"/>
      </w:r>
      <w:r>
        <w:instrText xml:space="preserve"> PAGEREF _Toc17696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_Toc24985 </w:instrText>
      </w:r>
      <w:r>
        <w:fldChar w:fldCharType="separate"/>
      </w:r>
      <w:r>
        <w:rPr>
          <w:rFonts w:hint="eastAsia"/>
        </w:rPr>
        <w:t>3.4 投标保证金</w:t>
      </w:r>
      <w:r>
        <w:tab/>
      </w:r>
      <w:r>
        <w:fldChar w:fldCharType="begin"/>
      </w:r>
      <w:r>
        <w:instrText xml:space="preserve"> PAGEREF _Toc24985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_Toc9502 </w:instrText>
      </w:r>
      <w:r>
        <w:fldChar w:fldCharType="separate"/>
      </w:r>
      <w:r>
        <w:rPr>
          <w:rFonts w:cs="Times New Roman"/>
        </w:rPr>
        <w:t>3.5 资格审查资料（适用于已进行资格预审的）</w:t>
      </w:r>
      <w:r>
        <w:tab/>
      </w:r>
      <w:r>
        <w:fldChar w:fldCharType="begin"/>
      </w:r>
      <w:r>
        <w:instrText xml:space="preserve"> PAGEREF _Toc9502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_Toc17072 </w:instrText>
      </w:r>
      <w:r>
        <w:fldChar w:fldCharType="separate"/>
      </w:r>
      <w:r>
        <w:rPr>
          <w:rFonts w:hint="eastAsia"/>
        </w:rPr>
        <w:t>3.5 资格审查资料</w:t>
      </w:r>
      <w:r>
        <w:rPr>
          <w:rFonts w:cs="Times New Roman"/>
        </w:rPr>
        <w:t>（适用于未进行资格预审的）</w:t>
      </w:r>
      <w:r>
        <w:tab/>
      </w:r>
      <w:r>
        <w:fldChar w:fldCharType="begin"/>
      </w:r>
      <w:r>
        <w:instrText xml:space="preserve"> PAGEREF _Toc17072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_Toc22729 </w:instrText>
      </w:r>
      <w:r>
        <w:fldChar w:fldCharType="separate"/>
      </w:r>
      <w:r>
        <w:rPr>
          <w:rFonts w:hint="eastAsia"/>
        </w:rPr>
        <w:t>3.6 备选投标方案</w:t>
      </w:r>
      <w:r>
        <w:tab/>
      </w:r>
      <w:r>
        <w:fldChar w:fldCharType="begin"/>
      </w:r>
      <w:r>
        <w:instrText xml:space="preserve"> PAGEREF _Toc22729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_Toc5247 </w:instrText>
      </w:r>
      <w:r>
        <w:fldChar w:fldCharType="separate"/>
      </w:r>
      <w:r>
        <w:rPr>
          <w:rFonts w:hint="eastAsia"/>
        </w:rPr>
        <w:t>3.7 投标文件的编制</w:t>
      </w:r>
      <w:r>
        <w:tab/>
      </w:r>
      <w:r>
        <w:fldChar w:fldCharType="begin"/>
      </w:r>
      <w:r>
        <w:instrText xml:space="preserve"> PAGEREF _Toc5247 \h </w:instrText>
      </w:r>
      <w:r>
        <w:fldChar w:fldCharType="separate"/>
      </w:r>
      <w:r>
        <w:t>25</w:t>
      </w:r>
      <w:r>
        <w:fldChar w:fldCharType="end"/>
      </w:r>
      <w:r>
        <w:fldChar w:fldCharType="end"/>
      </w:r>
    </w:p>
    <w:p>
      <w:pPr>
        <w:pStyle w:val="20"/>
        <w:tabs>
          <w:tab w:val="right" w:leader="dot" w:pos="8306"/>
        </w:tabs>
      </w:pPr>
      <w:r>
        <w:fldChar w:fldCharType="begin"/>
      </w:r>
      <w:r>
        <w:instrText xml:space="preserve"> HYPERLINK \l _Toc18444 </w:instrText>
      </w:r>
      <w:r>
        <w:fldChar w:fldCharType="separate"/>
      </w:r>
      <w:r>
        <w:rPr>
          <w:rFonts w:hint="eastAsia"/>
        </w:rPr>
        <w:t>4. 投标</w:t>
      </w:r>
      <w:r>
        <w:tab/>
      </w:r>
      <w:r>
        <w:fldChar w:fldCharType="begin"/>
      </w:r>
      <w:r>
        <w:instrText xml:space="preserve"> PAGEREF _Toc18444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_Toc5961 </w:instrText>
      </w:r>
      <w:r>
        <w:fldChar w:fldCharType="separate"/>
      </w:r>
      <w:r>
        <w:rPr>
          <w:rFonts w:hint="eastAsia"/>
        </w:rPr>
        <w:t>4.1 投标文件的加密</w:t>
      </w:r>
      <w:r>
        <w:tab/>
      </w:r>
      <w:r>
        <w:fldChar w:fldCharType="begin"/>
      </w:r>
      <w:r>
        <w:instrText xml:space="preserve"> PAGEREF _Toc5961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_Toc21013 </w:instrText>
      </w:r>
      <w:r>
        <w:fldChar w:fldCharType="separate"/>
      </w:r>
      <w:r>
        <w:rPr>
          <w:rFonts w:hint="eastAsia"/>
        </w:rPr>
        <w:t>4.2 投标文件的递交</w:t>
      </w:r>
      <w:r>
        <w:tab/>
      </w:r>
      <w:r>
        <w:fldChar w:fldCharType="begin"/>
      </w:r>
      <w:r>
        <w:instrText xml:space="preserve"> PAGEREF _Toc21013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_Toc13717 </w:instrText>
      </w:r>
      <w:r>
        <w:fldChar w:fldCharType="separate"/>
      </w:r>
      <w:r>
        <w:rPr>
          <w:rFonts w:hint="eastAsia"/>
        </w:rPr>
        <w:t>4.3 投标文件的修改与撤回</w:t>
      </w:r>
      <w:r>
        <w:tab/>
      </w:r>
      <w:r>
        <w:fldChar w:fldCharType="begin"/>
      </w:r>
      <w:r>
        <w:instrText xml:space="preserve"> PAGEREF _Toc13717 \h </w:instrText>
      </w:r>
      <w:r>
        <w:fldChar w:fldCharType="separate"/>
      </w:r>
      <w:r>
        <w:t>27</w:t>
      </w:r>
      <w:r>
        <w:fldChar w:fldCharType="end"/>
      </w:r>
      <w:r>
        <w:fldChar w:fldCharType="end"/>
      </w:r>
    </w:p>
    <w:p>
      <w:pPr>
        <w:pStyle w:val="20"/>
        <w:tabs>
          <w:tab w:val="right" w:leader="dot" w:pos="8306"/>
        </w:tabs>
      </w:pPr>
      <w:r>
        <w:fldChar w:fldCharType="begin"/>
      </w:r>
      <w:r>
        <w:instrText xml:space="preserve"> HYPERLINK \l _Toc26398 </w:instrText>
      </w:r>
      <w:r>
        <w:fldChar w:fldCharType="separate"/>
      </w:r>
      <w:r>
        <w:rPr>
          <w:rFonts w:hint="eastAsia"/>
        </w:rPr>
        <w:t>5. 开标</w:t>
      </w:r>
      <w:r>
        <w:tab/>
      </w:r>
      <w:r>
        <w:fldChar w:fldCharType="begin"/>
      </w:r>
      <w:r>
        <w:instrText xml:space="preserve"> PAGEREF _Toc26398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_Toc14166 </w:instrText>
      </w:r>
      <w:r>
        <w:fldChar w:fldCharType="separate"/>
      </w:r>
      <w:r>
        <w:rPr>
          <w:rFonts w:hint="eastAsia"/>
        </w:rPr>
        <w:t>5.1 开标时间和地点</w:t>
      </w:r>
      <w:r>
        <w:tab/>
      </w:r>
      <w:r>
        <w:fldChar w:fldCharType="begin"/>
      </w:r>
      <w:r>
        <w:instrText xml:space="preserve"> PAGEREF _Toc14166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_Toc28003 </w:instrText>
      </w:r>
      <w:r>
        <w:fldChar w:fldCharType="separate"/>
      </w:r>
      <w:r>
        <w:rPr>
          <w:rFonts w:hint="eastAsia"/>
        </w:rPr>
        <w:t>5.2 开标程序</w:t>
      </w:r>
      <w:r>
        <w:tab/>
      </w:r>
      <w:r>
        <w:fldChar w:fldCharType="begin"/>
      </w:r>
      <w:r>
        <w:instrText xml:space="preserve"> PAGEREF _Toc28003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_Toc6028 </w:instrText>
      </w:r>
      <w:r>
        <w:fldChar w:fldCharType="separate"/>
      </w:r>
      <w:r>
        <w:rPr>
          <w:rFonts w:hint="eastAsia"/>
        </w:rPr>
        <w:t>5.3 开标异议</w:t>
      </w:r>
      <w:r>
        <w:tab/>
      </w:r>
      <w:r>
        <w:fldChar w:fldCharType="begin"/>
      </w:r>
      <w:r>
        <w:instrText xml:space="preserve"> PAGEREF _Toc6028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_Toc13010 </w:instrText>
      </w:r>
      <w:r>
        <w:fldChar w:fldCharType="separate"/>
      </w:r>
      <w:r>
        <w:t>5.</w:t>
      </w:r>
      <w:r>
        <w:rPr>
          <w:rFonts w:hint="eastAsia"/>
        </w:rPr>
        <w:t xml:space="preserve">4 </w:t>
      </w:r>
      <w:r>
        <w:t>特殊情况的处置</w:t>
      </w:r>
      <w:r>
        <w:tab/>
      </w:r>
      <w:r>
        <w:fldChar w:fldCharType="begin"/>
      </w:r>
      <w:r>
        <w:instrText xml:space="preserve"> PAGEREF _Toc13010 \h </w:instrText>
      </w:r>
      <w:r>
        <w:fldChar w:fldCharType="separate"/>
      </w:r>
      <w:r>
        <w:t>28</w:t>
      </w:r>
      <w:r>
        <w:fldChar w:fldCharType="end"/>
      </w:r>
      <w:r>
        <w:fldChar w:fldCharType="end"/>
      </w:r>
    </w:p>
    <w:p>
      <w:pPr>
        <w:pStyle w:val="20"/>
        <w:tabs>
          <w:tab w:val="right" w:leader="dot" w:pos="8306"/>
        </w:tabs>
      </w:pPr>
      <w:r>
        <w:fldChar w:fldCharType="begin"/>
      </w:r>
      <w:r>
        <w:instrText xml:space="preserve"> HYPERLINK \l _Toc22446 </w:instrText>
      </w:r>
      <w:r>
        <w:fldChar w:fldCharType="separate"/>
      </w:r>
      <w:r>
        <w:rPr>
          <w:rFonts w:hint="eastAsia"/>
        </w:rPr>
        <w:t>6. 评标</w:t>
      </w:r>
      <w:r>
        <w:tab/>
      </w:r>
      <w:r>
        <w:fldChar w:fldCharType="begin"/>
      </w:r>
      <w:r>
        <w:instrText xml:space="preserve"> PAGEREF _Toc22446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_Toc31036 </w:instrText>
      </w:r>
      <w:r>
        <w:fldChar w:fldCharType="separate"/>
      </w:r>
      <w:r>
        <w:rPr>
          <w:rFonts w:hint="eastAsia"/>
        </w:rPr>
        <w:t>6.1 评标委员会</w:t>
      </w:r>
      <w:r>
        <w:tab/>
      </w:r>
      <w:r>
        <w:fldChar w:fldCharType="begin"/>
      </w:r>
      <w:r>
        <w:instrText xml:space="preserve"> PAGEREF _Toc31036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_Toc18332 </w:instrText>
      </w:r>
      <w:r>
        <w:fldChar w:fldCharType="separate"/>
      </w:r>
      <w:r>
        <w:rPr>
          <w:rFonts w:hint="eastAsia"/>
        </w:rPr>
        <w:t>6.2 评标原则</w:t>
      </w:r>
      <w:r>
        <w:tab/>
      </w:r>
      <w:r>
        <w:fldChar w:fldCharType="begin"/>
      </w:r>
      <w:r>
        <w:instrText xml:space="preserve"> PAGEREF _Toc18332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_Toc22800 </w:instrText>
      </w:r>
      <w:r>
        <w:fldChar w:fldCharType="separate"/>
      </w:r>
      <w:r>
        <w:rPr>
          <w:rFonts w:hint="eastAsia"/>
        </w:rPr>
        <w:t>6.3 评标</w:t>
      </w:r>
      <w:r>
        <w:tab/>
      </w:r>
      <w:r>
        <w:fldChar w:fldCharType="begin"/>
      </w:r>
      <w:r>
        <w:instrText xml:space="preserve"> PAGEREF _Toc22800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_Toc11755 </w:instrText>
      </w:r>
      <w:r>
        <w:fldChar w:fldCharType="separate"/>
      </w:r>
      <w:r>
        <w:rPr>
          <w:rFonts w:hint="eastAsia"/>
        </w:rPr>
        <w:t>6.4 评标结果公示</w:t>
      </w:r>
      <w:r>
        <w:tab/>
      </w:r>
      <w:r>
        <w:fldChar w:fldCharType="begin"/>
      </w:r>
      <w:r>
        <w:instrText xml:space="preserve"> PAGEREF _Toc11755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_Toc22244 </w:instrText>
      </w:r>
      <w:r>
        <w:fldChar w:fldCharType="separate"/>
      </w:r>
      <w:r>
        <w:rPr>
          <w:rFonts w:hint="eastAsia"/>
        </w:rPr>
        <w:t>6</w:t>
      </w:r>
      <w:r>
        <w:t>.</w:t>
      </w:r>
      <w:r>
        <w:rPr>
          <w:rFonts w:hint="eastAsia"/>
        </w:rPr>
        <w:t>5</w:t>
      </w:r>
      <w:r>
        <w:t xml:space="preserve"> </w:t>
      </w:r>
      <w:r>
        <w:rPr>
          <w:rFonts w:hint="eastAsia"/>
        </w:rPr>
        <w:t>履约能力的核查（如有）</w:t>
      </w:r>
      <w:r>
        <w:tab/>
      </w:r>
      <w:r>
        <w:fldChar w:fldCharType="begin"/>
      </w:r>
      <w:r>
        <w:instrText xml:space="preserve"> PAGEREF _Toc22244 \h </w:instrText>
      </w:r>
      <w:r>
        <w:fldChar w:fldCharType="separate"/>
      </w:r>
      <w:r>
        <w:t>29</w:t>
      </w:r>
      <w:r>
        <w:fldChar w:fldCharType="end"/>
      </w:r>
      <w:r>
        <w:fldChar w:fldCharType="end"/>
      </w:r>
    </w:p>
    <w:p>
      <w:pPr>
        <w:pStyle w:val="20"/>
        <w:tabs>
          <w:tab w:val="right" w:leader="dot" w:pos="8306"/>
        </w:tabs>
      </w:pPr>
      <w:r>
        <w:fldChar w:fldCharType="begin"/>
      </w:r>
      <w:r>
        <w:instrText xml:space="preserve"> HYPERLINK \l _Toc23497 </w:instrText>
      </w:r>
      <w:r>
        <w:fldChar w:fldCharType="separate"/>
      </w:r>
      <w:r>
        <w:rPr>
          <w:rFonts w:hint="eastAsia"/>
        </w:rPr>
        <w:t>7. 合同授予</w:t>
      </w:r>
      <w:r>
        <w:tab/>
      </w:r>
      <w:r>
        <w:fldChar w:fldCharType="begin"/>
      </w:r>
      <w:r>
        <w:instrText xml:space="preserve"> PAGEREF _Toc23497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_Toc10845 </w:instrText>
      </w:r>
      <w:r>
        <w:fldChar w:fldCharType="separate"/>
      </w:r>
      <w:r>
        <w:rPr>
          <w:rFonts w:hint="eastAsia"/>
        </w:rPr>
        <w:t>7.1 定标方式</w:t>
      </w:r>
      <w:r>
        <w:tab/>
      </w:r>
      <w:r>
        <w:fldChar w:fldCharType="begin"/>
      </w:r>
      <w:r>
        <w:instrText xml:space="preserve"> PAGEREF _Toc10845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_Toc20683 </w:instrText>
      </w:r>
      <w:r>
        <w:fldChar w:fldCharType="separate"/>
      </w:r>
      <w:r>
        <w:rPr>
          <w:rFonts w:hint="eastAsia"/>
        </w:rPr>
        <w:t>7.2 中标通知</w:t>
      </w:r>
      <w:r>
        <w:tab/>
      </w:r>
      <w:r>
        <w:fldChar w:fldCharType="begin"/>
      </w:r>
      <w:r>
        <w:instrText xml:space="preserve"> PAGEREF _Toc20683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_Toc26927 </w:instrText>
      </w:r>
      <w:r>
        <w:fldChar w:fldCharType="separate"/>
      </w:r>
      <w:r>
        <w:rPr>
          <w:rFonts w:hint="eastAsia"/>
        </w:rPr>
        <w:t>7.3 履约保证金</w:t>
      </w:r>
      <w:r>
        <w:tab/>
      </w:r>
      <w:r>
        <w:fldChar w:fldCharType="begin"/>
      </w:r>
      <w:r>
        <w:instrText xml:space="preserve"> PAGEREF _Toc26927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_Toc30309 </w:instrText>
      </w:r>
      <w:r>
        <w:fldChar w:fldCharType="separate"/>
      </w:r>
      <w:r>
        <w:rPr>
          <w:rFonts w:hint="eastAsia"/>
        </w:rPr>
        <w:t>7.4 签订合同</w:t>
      </w:r>
      <w:r>
        <w:tab/>
      </w:r>
      <w:r>
        <w:fldChar w:fldCharType="begin"/>
      </w:r>
      <w:r>
        <w:instrText xml:space="preserve"> PAGEREF _Toc30309 \h </w:instrText>
      </w:r>
      <w:r>
        <w:fldChar w:fldCharType="separate"/>
      </w:r>
      <w:r>
        <w:t>30</w:t>
      </w:r>
      <w:r>
        <w:fldChar w:fldCharType="end"/>
      </w:r>
      <w:r>
        <w:fldChar w:fldCharType="end"/>
      </w:r>
    </w:p>
    <w:p>
      <w:pPr>
        <w:pStyle w:val="20"/>
        <w:tabs>
          <w:tab w:val="right" w:leader="dot" w:pos="8306"/>
        </w:tabs>
      </w:pPr>
      <w:r>
        <w:fldChar w:fldCharType="begin"/>
      </w:r>
      <w:r>
        <w:instrText xml:space="preserve"> HYPERLINK \l _Toc8017 </w:instrText>
      </w:r>
      <w:r>
        <w:fldChar w:fldCharType="separate"/>
      </w:r>
      <w:r>
        <w:rPr>
          <w:rFonts w:hint="eastAsia"/>
        </w:rPr>
        <w:t>8. 重新招标、不再招标和终止招标</w:t>
      </w:r>
      <w:r>
        <w:tab/>
      </w:r>
      <w:r>
        <w:fldChar w:fldCharType="begin"/>
      </w:r>
      <w:r>
        <w:instrText xml:space="preserve"> PAGEREF _Toc8017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_Toc30679 </w:instrText>
      </w:r>
      <w:r>
        <w:fldChar w:fldCharType="separate"/>
      </w:r>
      <w:r>
        <w:rPr>
          <w:rFonts w:hint="eastAsia"/>
        </w:rPr>
        <w:t>8.1 重新招标</w:t>
      </w:r>
      <w:r>
        <w:tab/>
      </w:r>
      <w:r>
        <w:fldChar w:fldCharType="begin"/>
      </w:r>
      <w:r>
        <w:instrText xml:space="preserve"> PAGEREF _Toc30679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_Toc26006 </w:instrText>
      </w:r>
      <w:r>
        <w:fldChar w:fldCharType="separate"/>
      </w:r>
      <w:r>
        <w:rPr>
          <w:rFonts w:hint="eastAsia"/>
        </w:rPr>
        <w:t>8.2 不再招标</w:t>
      </w:r>
      <w:r>
        <w:tab/>
      </w:r>
      <w:r>
        <w:fldChar w:fldCharType="begin"/>
      </w:r>
      <w:r>
        <w:instrText xml:space="preserve"> PAGEREF _Toc26006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_Toc8918 </w:instrText>
      </w:r>
      <w:r>
        <w:fldChar w:fldCharType="separate"/>
      </w:r>
      <w:r>
        <w:rPr>
          <w:rFonts w:hint="eastAsia"/>
        </w:rPr>
        <w:t>8.3 终止招标</w:t>
      </w:r>
      <w:r>
        <w:tab/>
      </w:r>
      <w:r>
        <w:fldChar w:fldCharType="begin"/>
      </w:r>
      <w:r>
        <w:instrText xml:space="preserve"> PAGEREF _Toc8918 \h </w:instrText>
      </w:r>
      <w:r>
        <w:fldChar w:fldCharType="separate"/>
      </w:r>
      <w:r>
        <w:t>31</w:t>
      </w:r>
      <w:r>
        <w:fldChar w:fldCharType="end"/>
      </w:r>
      <w:r>
        <w:fldChar w:fldCharType="end"/>
      </w:r>
    </w:p>
    <w:p>
      <w:pPr>
        <w:pStyle w:val="20"/>
        <w:tabs>
          <w:tab w:val="right" w:leader="dot" w:pos="8306"/>
        </w:tabs>
      </w:pPr>
      <w:r>
        <w:fldChar w:fldCharType="begin"/>
      </w:r>
      <w:r>
        <w:instrText xml:space="preserve"> HYPERLINK \l _Toc21067 </w:instrText>
      </w:r>
      <w:r>
        <w:fldChar w:fldCharType="separate"/>
      </w:r>
      <w:r>
        <w:rPr>
          <w:rFonts w:hint="eastAsia"/>
        </w:rPr>
        <w:t>9. 纪律和监督</w:t>
      </w:r>
      <w:r>
        <w:tab/>
      </w:r>
      <w:r>
        <w:fldChar w:fldCharType="begin"/>
      </w:r>
      <w:r>
        <w:instrText xml:space="preserve"> PAGEREF _Toc21067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_Toc24130 </w:instrText>
      </w:r>
      <w:r>
        <w:fldChar w:fldCharType="separate"/>
      </w:r>
      <w:r>
        <w:rPr>
          <w:rFonts w:hint="eastAsia"/>
        </w:rPr>
        <w:t>9.1 对招标人的纪律要求</w:t>
      </w:r>
      <w:r>
        <w:tab/>
      </w:r>
      <w:r>
        <w:fldChar w:fldCharType="begin"/>
      </w:r>
      <w:r>
        <w:instrText xml:space="preserve"> PAGEREF _Toc24130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_Toc15242 </w:instrText>
      </w:r>
      <w:r>
        <w:fldChar w:fldCharType="separate"/>
      </w:r>
      <w:r>
        <w:rPr>
          <w:rFonts w:hint="eastAsia"/>
        </w:rPr>
        <w:t>9.2 对投标人的纪律要求</w:t>
      </w:r>
      <w:r>
        <w:tab/>
      </w:r>
      <w:r>
        <w:fldChar w:fldCharType="begin"/>
      </w:r>
      <w:r>
        <w:instrText xml:space="preserve"> PAGEREF _Toc15242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_Toc28569 </w:instrText>
      </w:r>
      <w:r>
        <w:fldChar w:fldCharType="separate"/>
      </w:r>
      <w:r>
        <w:rPr>
          <w:rFonts w:hint="eastAsia"/>
        </w:rPr>
        <w:t>9.3 对评标委员会成员的纪律要求</w:t>
      </w:r>
      <w:r>
        <w:tab/>
      </w:r>
      <w:r>
        <w:fldChar w:fldCharType="begin"/>
      </w:r>
      <w:r>
        <w:instrText xml:space="preserve"> PAGEREF _Toc28569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_Toc16739 </w:instrText>
      </w:r>
      <w:r>
        <w:fldChar w:fldCharType="separate"/>
      </w:r>
      <w:r>
        <w:rPr>
          <w:rFonts w:hint="eastAsia"/>
        </w:rPr>
        <w:t>9.4 对与评标活动有关的工作人员的纪律要求</w:t>
      </w:r>
      <w:r>
        <w:tab/>
      </w:r>
      <w:r>
        <w:fldChar w:fldCharType="begin"/>
      </w:r>
      <w:r>
        <w:instrText xml:space="preserve"> PAGEREF _Toc16739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_Toc19731 </w:instrText>
      </w:r>
      <w:r>
        <w:fldChar w:fldCharType="separate"/>
      </w:r>
      <w:r>
        <w:rPr>
          <w:rFonts w:hint="eastAsia"/>
        </w:rPr>
        <w:t>9.5 投诉</w:t>
      </w:r>
      <w:r>
        <w:tab/>
      </w:r>
      <w:r>
        <w:fldChar w:fldCharType="begin"/>
      </w:r>
      <w:r>
        <w:instrText xml:space="preserve"> PAGEREF _Toc19731 \h </w:instrText>
      </w:r>
      <w:r>
        <w:fldChar w:fldCharType="separate"/>
      </w:r>
      <w:r>
        <w:t>31</w:t>
      </w:r>
      <w:r>
        <w:fldChar w:fldCharType="end"/>
      </w:r>
      <w:r>
        <w:fldChar w:fldCharType="end"/>
      </w:r>
    </w:p>
    <w:p>
      <w:pPr>
        <w:pStyle w:val="20"/>
        <w:tabs>
          <w:tab w:val="right" w:leader="dot" w:pos="8306"/>
        </w:tabs>
      </w:pPr>
      <w:r>
        <w:fldChar w:fldCharType="begin"/>
      </w:r>
      <w:r>
        <w:instrText xml:space="preserve"> HYPERLINK \l _Toc1545 </w:instrText>
      </w:r>
      <w:r>
        <w:fldChar w:fldCharType="separate"/>
      </w:r>
      <w:r>
        <w:rPr>
          <w:rFonts w:hint="eastAsia"/>
        </w:rPr>
        <w:t>10. 需要补充的其他内容</w:t>
      </w:r>
      <w:r>
        <w:tab/>
      </w:r>
      <w:r>
        <w:fldChar w:fldCharType="begin"/>
      </w:r>
      <w:r>
        <w:instrText xml:space="preserve"> PAGEREF _Toc1545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_Toc27015 </w:instrText>
      </w:r>
      <w:r>
        <w:fldChar w:fldCharType="separate"/>
      </w:r>
      <w:r>
        <w:rPr>
          <w:rFonts w:hint="eastAsia"/>
        </w:rPr>
        <w:t xml:space="preserve">10.1 </w:t>
      </w:r>
      <w:r>
        <w:rPr>
          <w:rFonts w:hint="eastAsia"/>
          <w:szCs w:val="21"/>
        </w:rPr>
        <w:t>词语定义</w:t>
      </w:r>
      <w:r>
        <w:tab/>
      </w:r>
      <w:r>
        <w:fldChar w:fldCharType="begin"/>
      </w:r>
      <w:r>
        <w:instrText xml:space="preserve"> PAGEREF _Toc27015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_Toc27808 </w:instrText>
      </w:r>
      <w:r>
        <w:fldChar w:fldCharType="separate"/>
      </w:r>
      <w:r>
        <w:rPr>
          <w:rFonts w:hint="eastAsia"/>
        </w:rPr>
        <w:t>10.</w:t>
      </w:r>
      <w:r>
        <w:t>2</w:t>
      </w:r>
      <w:r>
        <w:rPr>
          <w:rFonts w:hint="eastAsia"/>
        </w:rPr>
        <w:t xml:space="preserve"> 中标人的投标文件</w:t>
      </w:r>
      <w:r>
        <w:tab/>
      </w:r>
      <w:r>
        <w:fldChar w:fldCharType="begin"/>
      </w:r>
      <w:r>
        <w:instrText xml:space="preserve"> PAGEREF _Toc27808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_Toc4231 </w:instrText>
      </w:r>
      <w:r>
        <w:fldChar w:fldCharType="separate"/>
      </w:r>
      <w:r>
        <w:rPr>
          <w:rFonts w:hint="eastAsia"/>
        </w:rPr>
        <w:t>10.</w:t>
      </w:r>
      <w:r>
        <w:t xml:space="preserve">3 </w:t>
      </w:r>
      <w:r>
        <w:rPr>
          <w:rFonts w:hint="eastAsia"/>
        </w:rPr>
        <w:t>知识产权</w:t>
      </w:r>
      <w:r>
        <w:tab/>
      </w:r>
      <w:r>
        <w:fldChar w:fldCharType="begin"/>
      </w:r>
      <w:r>
        <w:instrText xml:space="preserve"> PAGEREF _Toc4231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_Toc15214 </w:instrText>
      </w:r>
      <w:r>
        <w:fldChar w:fldCharType="separate"/>
      </w:r>
      <w:r>
        <w:rPr>
          <w:rFonts w:hint="eastAsia"/>
        </w:rPr>
        <w:t>10.</w:t>
      </w:r>
      <w:r>
        <w:t xml:space="preserve">4 </w:t>
      </w:r>
      <w:r>
        <w:rPr>
          <w:rFonts w:hint="eastAsia"/>
        </w:rPr>
        <w:t>同义词语</w:t>
      </w:r>
      <w:r>
        <w:tab/>
      </w:r>
      <w:r>
        <w:fldChar w:fldCharType="begin"/>
      </w:r>
      <w:r>
        <w:instrText xml:space="preserve"> PAGEREF _Toc15214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_Toc23639 </w:instrText>
      </w:r>
      <w:r>
        <w:fldChar w:fldCharType="separate"/>
      </w:r>
      <w:r>
        <w:rPr>
          <w:rFonts w:hint="eastAsia"/>
        </w:rPr>
        <w:t>10.</w:t>
      </w:r>
      <w:r>
        <w:t>5</w:t>
      </w:r>
      <w:r>
        <w:rPr>
          <w:rFonts w:hint="eastAsia"/>
        </w:rPr>
        <w:t xml:space="preserve"> 解释权</w:t>
      </w:r>
      <w:r>
        <w:tab/>
      </w:r>
      <w:r>
        <w:fldChar w:fldCharType="begin"/>
      </w:r>
      <w:r>
        <w:instrText xml:space="preserve"> PAGEREF _Toc23639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_Toc9324 </w:instrText>
      </w:r>
      <w:r>
        <w:fldChar w:fldCharType="separate"/>
      </w:r>
      <w:r>
        <w:rPr>
          <w:rFonts w:hint="eastAsia"/>
        </w:rPr>
        <w:t>10.6 招标人补充的其他内容</w:t>
      </w:r>
      <w:r>
        <w:tab/>
      </w:r>
      <w:r>
        <w:fldChar w:fldCharType="begin"/>
      </w:r>
      <w:r>
        <w:instrText xml:space="preserve"> PAGEREF _Toc9324 \h </w:instrText>
      </w:r>
      <w:r>
        <w:fldChar w:fldCharType="separate"/>
      </w:r>
      <w:r>
        <w:t>32</w:t>
      </w:r>
      <w:r>
        <w:fldChar w:fldCharType="end"/>
      </w:r>
      <w:r>
        <w:fldChar w:fldCharType="end"/>
      </w:r>
    </w:p>
    <w:p>
      <w:pPr>
        <w:pStyle w:val="20"/>
        <w:tabs>
          <w:tab w:val="right" w:leader="dot" w:pos="8306"/>
        </w:tabs>
      </w:pPr>
      <w:r>
        <w:fldChar w:fldCharType="begin"/>
      </w:r>
      <w:r>
        <w:instrText xml:space="preserve"> HYPERLINK \l _Toc23728 </w:instrText>
      </w:r>
      <w:r>
        <w:fldChar w:fldCharType="separate"/>
      </w:r>
      <w:r>
        <w:rPr>
          <w:rFonts w:hint="eastAsia"/>
          <w:szCs w:val="24"/>
        </w:rPr>
        <w:t>附表一：招标文件澄清申请函</w:t>
      </w:r>
      <w:r>
        <w:tab/>
      </w:r>
      <w:r>
        <w:fldChar w:fldCharType="begin"/>
      </w:r>
      <w:r>
        <w:instrText xml:space="preserve"> PAGEREF _Toc23728 \h </w:instrText>
      </w:r>
      <w:r>
        <w:fldChar w:fldCharType="separate"/>
      </w:r>
      <w:r>
        <w:t>33</w:t>
      </w:r>
      <w:r>
        <w:fldChar w:fldCharType="end"/>
      </w:r>
      <w:r>
        <w:fldChar w:fldCharType="end"/>
      </w:r>
    </w:p>
    <w:p>
      <w:pPr>
        <w:pStyle w:val="20"/>
        <w:tabs>
          <w:tab w:val="right" w:leader="dot" w:pos="8306"/>
        </w:tabs>
      </w:pPr>
      <w:r>
        <w:fldChar w:fldCharType="begin"/>
      </w:r>
      <w:r>
        <w:instrText xml:space="preserve"> HYPERLINK \l _Toc3981 </w:instrText>
      </w:r>
      <w:r>
        <w:fldChar w:fldCharType="separate"/>
      </w:r>
      <w:r>
        <w:rPr>
          <w:rFonts w:hint="eastAsia"/>
          <w:szCs w:val="24"/>
        </w:rPr>
        <w:t>附表二：招标文件澄清通知</w:t>
      </w:r>
      <w:r>
        <w:tab/>
      </w:r>
      <w:r>
        <w:fldChar w:fldCharType="begin"/>
      </w:r>
      <w:r>
        <w:instrText xml:space="preserve"> PAGEREF _Toc3981 \h </w:instrText>
      </w:r>
      <w:r>
        <w:fldChar w:fldCharType="separate"/>
      </w:r>
      <w:r>
        <w:t>34</w:t>
      </w:r>
      <w:r>
        <w:fldChar w:fldCharType="end"/>
      </w:r>
      <w:r>
        <w:fldChar w:fldCharType="end"/>
      </w:r>
    </w:p>
    <w:p>
      <w:pPr>
        <w:pStyle w:val="20"/>
        <w:tabs>
          <w:tab w:val="right" w:leader="dot" w:pos="8306"/>
        </w:tabs>
      </w:pPr>
      <w:r>
        <w:fldChar w:fldCharType="begin"/>
      </w:r>
      <w:r>
        <w:instrText xml:space="preserve"> HYPERLINK \l _Toc31845 </w:instrText>
      </w:r>
      <w:r>
        <w:fldChar w:fldCharType="separate"/>
      </w:r>
      <w:r>
        <w:rPr>
          <w:rFonts w:hint="eastAsia"/>
          <w:szCs w:val="24"/>
        </w:rPr>
        <w:t>附表三：招标文件修改通知</w:t>
      </w:r>
      <w:r>
        <w:tab/>
      </w:r>
      <w:r>
        <w:fldChar w:fldCharType="begin"/>
      </w:r>
      <w:r>
        <w:instrText xml:space="preserve"> PAGEREF _Toc31845 \h </w:instrText>
      </w:r>
      <w:r>
        <w:fldChar w:fldCharType="separate"/>
      </w:r>
      <w:r>
        <w:t>35</w:t>
      </w:r>
      <w:r>
        <w:fldChar w:fldCharType="end"/>
      </w:r>
      <w:r>
        <w:fldChar w:fldCharType="end"/>
      </w:r>
    </w:p>
    <w:p>
      <w:pPr>
        <w:pStyle w:val="20"/>
        <w:tabs>
          <w:tab w:val="right" w:leader="dot" w:pos="8306"/>
        </w:tabs>
      </w:pPr>
      <w:r>
        <w:fldChar w:fldCharType="begin"/>
      </w:r>
      <w:r>
        <w:instrText xml:space="preserve"> HYPERLINK \l _Toc7236 </w:instrText>
      </w:r>
      <w:r>
        <w:fldChar w:fldCharType="separate"/>
      </w:r>
      <w:r>
        <w:rPr>
          <w:rFonts w:hint="eastAsia"/>
          <w:szCs w:val="24"/>
        </w:rPr>
        <w:t>附表四：投标文件递交电子签收凭证</w:t>
      </w:r>
      <w:r>
        <w:tab/>
      </w:r>
      <w:r>
        <w:fldChar w:fldCharType="begin"/>
      </w:r>
      <w:r>
        <w:instrText xml:space="preserve"> PAGEREF _Toc7236 \h </w:instrText>
      </w:r>
      <w:r>
        <w:fldChar w:fldCharType="separate"/>
      </w:r>
      <w:r>
        <w:t>36</w:t>
      </w:r>
      <w:r>
        <w:fldChar w:fldCharType="end"/>
      </w:r>
      <w:r>
        <w:fldChar w:fldCharType="end"/>
      </w:r>
    </w:p>
    <w:p>
      <w:pPr>
        <w:pStyle w:val="20"/>
        <w:tabs>
          <w:tab w:val="right" w:leader="dot" w:pos="8306"/>
        </w:tabs>
      </w:pPr>
      <w:r>
        <w:fldChar w:fldCharType="begin"/>
      </w:r>
      <w:r>
        <w:instrText xml:space="preserve"> HYPERLINK \l _Toc25955 </w:instrText>
      </w:r>
      <w:r>
        <w:fldChar w:fldCharType="separate"/>
      </w:r>
      <w:r>
        <w:rPr>
          <w:rFonts w:hint="eastAsia"/>
          <w:szCs w:val="24"/>
        </w:rPr>
        <w:t>附表五：开标记录表</w:t>
      </w:r>
      <w:r>
        <w:tab/>
      </w:r>
      <w:r>
        <w:fldChar w:fldCharType="begin"/>
      </w:r>
      <w:r>
        <w:instrText xml:space="preserve"> PAGEREF _Toc25955 \h </w:instrText>
      </w:r>
      <w:r>
        <w:fldChar w:fldCharType="separate"/>
      </w:r>
      <w:r>
        <w:t>37</w:t>
      </w:r>
      <w:r>
        <w:fldChar w:fldCharType="end"/>
      </w:r>
      <w:r>
        <w:fldChar w:fldCharType="end"/>
      </w:r>
    </w:p>
    <w:p>
      <w:pPr>
        <w:pStyle w:val="20"/>
        <w:tabs>
          <w:tab w:val="right" w:leader="dot" w:pos="8306"/>
        </w:tabs>
      </w:pPr>
      <w:r>
        <w:fldChar w:fldCharType="begin"/>
      </w:r>
      <w:r>
        <w:instrText xml:space="preserve"> HYPERLINK \l _Toc15359 </w:instrText>
      </w:r>
      <w:r>
        <w:fldChar w:fldCharType="separate"/>
      </w:r>
      <w:r>
        <w:rPr>
          <w:rFonts w:hint="eastAsia"/>
          <w:szCs w:val="24"/>
        </w:rPr>
        <w:t>附表六：投标文件问题澄清通知</w:t>
      </w:r>
      <w:r>
        <w:tab/>
      </w:r>
      <w:r>
        <w:fldChar w:fldCharType="begin"/>
      </w:r>
      <w:r>
        <w:instrText xml:space="preserve"> PAGEREF _Toc15359 \h </w:instrText>
      </w:r>
      <w:r>
        <w:fldChar w:fldCharType="separate"/>
      </w:r>
      <w:r>
        <w:t>38</w:t>
      </w:r>
      <w:r>
        <w:fldChar w:fldCharType="end"/>
      </w:r>
      <w:r>
        <w:fldChar w:fldCharType="end"/>
      </w:r>
    </w:p>
    <w:p>
      <w:pPr>
        <w:pStyle w:val="20"/>
        <w:tabs>
          <w:tab w:val="right" w:leader="dot" w:pos="8306"/>
        </w:tabs>
      </w:pPr>
      <w:r>
        <w:fldChar w:fldCharType="begin"/>
      </w:r>
      <w:r>
        <w:instrText xml:space="preserve"> HYPERLINK \l _Toc23985 </w:instrText>
      </w:r>
      <w:r>
        <w:fldChar w:fldCharType="separate"/>
      </w:r>
      <w:r>
        <w:rPr>
          <w:rFonts w:hint="eastAsia"/>
          <w:szCs w:val="24"/>
        </w:rPr>
        <w:t>附表七：投标文件问题的澄清</w:t>
      </w:r>
      <w:r>
        <w:tab/>
      </w:r>
      <w:r>
        <w:fldChar w:fldCharType="begin"/>
      </w:r>
      <w:r>
        <w:instrText xml:space="preserve"> PAGEREF _Toc23985 \h </w:instrText>
      </w:r>
      <w:r>
        <w:fldChar w:fldCharType="separate"/>
      </w:r>
      <w:r>
        <w:t>39</w:t>
      </w:r>
      <w:r>
        <w:fldChar w:fldCharType="end"/>
      </w:r>
      <w:r>
        <w:fldChar w:fldCharType="end"/>
      </w:r>
    </w:p>
    <w:p>
      <w:pPr>
        <w:pStyle w:val="20"/>
        <w:tabs>
          <w:tab w:val="right" w:leader="dot" w:pos="8306"/>
        </w:tabs>
      </w:pPr>
      <w:r>
        <w:fldChar w:fldCharType="begin"/>
      </w:r>
      <w:r>
        <w:instrText xml:space="preserve"> HYPERLINK \l _Toc5556 </w:instrText>
      </w:r>
      <w:r>
        <w:fldChar w:fldCharType="separate"/>
      </w:r>
      <w:r>
        <w:rPr>
          <w:rFonts w:hint="eastAsia"/>
          <w:szCs w:val="24"/>
        </w:rPr>
        <w:t>附表八：中标通知书</w:t>
      </w:r>
      <w:r>
        <w:tab/>
      </w:r>
      <w:r>
        <w:fldChar w:fldCharType="begin"/>
      </w:r>
      <w:r>
        <w:instrText xml:space="preserve"> PAGEREF _Toc5556 \h </w:instrText>
      </w:r>
      <w:r>
        <w:fldChar w:fldCharType="separate"/>
      </w:r>
      <w:r>
        <w:t>40</w:t>
      </w:r>
      <w:r>
        <w:fldChar w:fldCharType="end"/>
      </w:r>
      <w:r>
        <w:fldChar w:fldCharType="end"/>
      </w:r>
    </w:p>
    <w:p>
      <w:pPr>
        <w:pStyle w:val="20"/>
        <w:tabs>
          <w:tab w:val="right" w:leader="dot" w:pos="8306"/>
        </w:tabs>
      </w:pPr>
      <w:r>
        <w:fldChar w:fldCharType="begin"/>
      </w:r>
      <w:r>
        <w:instrText xml:space="preserve"> HYPERLINK \l _Toc11601 </w:instrText>
      </w:r>
      <w:r>
        <w:fldChar w:fldCharType="separate"/>
      </w:r>
      <w:r>
        <w:rPr>
          <w:rFonts w:hint="eastAsia"/>
          <w:szCs w:val="24"/>
        </w:rPr>
        <w:t>附表九：中标结果通知书</w:t>
      </w:r>
      <w:r>
        <w:tab/>
      </w:r>
      <w:r>
        <w:fldChar w:fldCharType="begin"/>
      </w:r>
      <w:r>
        <w:instrText xml:space="preserve"> PAGEREF _Toc11601 \h </w:instrText>
      </w:r>
      <w:r>
        <w:fldChar w:fldCharType="separate"/>
      </w:r>
      <w:r>
        <w:t>41</w:t>
      </w:r>
      <w:r>
        <w:fldChar w:fldCharType="end"/>
      </w:r>
      <w:r>
        <w:fldChar w:fldCharType="end"/>
      </w:r>
    </w:p>
    <w:p>
      <w:pPr>
        <w:pStyle w:val="20"/>
        <w:tabs>
          <w:tab w:val="right" w:leader="dot" w:pos="8306"/>
        </w:tabs>
      </w:pPr>
      <w:r>
        <w:fldChar w:fldCharType="begin"/>
      </w:r>
      <w:r>
        <w:instrText xml:space="preserve"> HYPERLINK \l _Toc8891 </w:instrText>
      </w:r>
      <w:r>
        <w:fldChar w:fldCharType="separate"/>
      </w:r>
      <w:r>
        <w:rPr>
          <w:rFonts w:hint="eastAsia"/>
          <w:szCs w:val="24"/>
        </w:rPr>
        <w:t>附表十：异议书</w:t>
      </w:r>
      <w:r>
        <w:tab/>
      </w:r>
      <w:r>
        <w:fldChar w:fldCharType="begin"/>
      </w:r>
      <w:r>
        <w:instrText xml:space="preserve"> PAGEREF _Toc8891 \h </w:instrText>
      </w:r>
      <w:r>
        <w:fldChar w:fldCharType="separate"/>
      </w:r>
      <w:r>
        <w:t>42</w:t>
      </w:r>
      <w:r>
        <w:fldChar w:fldCharType="end"/>
      </w:r>
      <w:r>
        <w:fldChar w:fldCharType="end"/>
      </w:r>
    </w:p>
    <w:p>
      <w:pPr>
        <w:pStyle w:val="20"/>
        <w:tabs>
          <w:tab w:val="right" w:leader="dot" w:pos="8306"/>
        </w:tabs>
      </w:pPr>
      <w:r>
        <w:fldChar w:fldCharType="begin"/>
      </w:r>
      <w:r>
        <w:instrText xml:space="preserve"> HYPERLINK \l _Toc23595 </w:instrText>
      </w:r>
      <w:r>
        <w:fldChar w:fldCharType="separate"/>
      </w:r>
      <w:r>
        <w:rPr>
          <w:rFonts w:hint="eastAsia"/>
          <w:szCs w:val="24"/>
        </w:rPr>
        <w:t>附表十一：异议答复函</w:t>
      </w:r>
      <w:r>
        <w:tab/>
      </w:r>
      <w:r>
        <w:fldChar w:fldCharType="begin"/>
      </w:r>
      <w:r>
        <w:instrText xml:space="preserve"> PAGEREF _Toc23595 \h </w:instrText>
      </w:r>
      <w:r>
        <w:fldChar w:fldCharType="separate"/>
      </w:r>
      <w:r>
        <w:t>43</w:t>
      </w:r>
      <w:r>
        <w:fldChar w:fldCharType="end"/>
      </w:r>
      <w:r>
        <w:fldChar w:fldCharType="end"/>
      </w:r>
    </w:p>
    <w:p>
      <w:pPr>
        <w:pStyle w:val="18"/>
        <w:tabs>
          <w:tab w:val="right" w:leader="dot" w:pos="8306"/>
        </w:tabs>
      </w:pPr>
      <w:r>
        <w:fldChar w:fldCharType="begin"/>
      </w:r>
      <w:r>
        <w:instrText xml:space="preserve"> HYPERLINK \l _Toc14211 </w:instrText>
      </w:r>
      <w:r>
        <w:fldChar w:fldCharType="separate"/>
      </w:r>
      <w:r>
        <w:rPr>
          <w:rFonts w:ascii="黑体" w:hAnsi="黑体" w:eastAsia="黑体"/>
          <w:bCs w:val="0"/>
        </w:rPr>
        <w:t>第三章</w:t>
      </w:r>
      <w:r>
        <w:rPr>
          <w:rFonts w:hint="eastAsia" w:ascii="黑体" w:hAnsi="黑体" w:eastAsia="黑体"/>
          <w:bCs w:val="0"/>
        </w:rPr>
        <w:t xml:space="preserve">  </w:t>
      </w:r>
      <w:r>
        <w:rPr>
          <w:rFonts w:ascii="黑体" w:hAnsi="黑体" w:eastAsia="黑体"/>
          <w:bCs w:val="0"/>
        </w:rPr>
        <w:t>评标办法</w:t>
      </w:r>
      <w:r>
        <w:tab/>
      </w:r>
      <w:r>
        <w:fldChar w:fldCharType="begin"/>
      </w:r>
      <w:r>
        <w:instrText xml:space="preserve"> PAGEREF _Toc14211 \h </w:instrText>
      </w:r>
      <w:r>
        <w:fldChar w:fldCharType="separate"/>
      </w:r>
      <w:r>
        <w:t>44</w:t>
      </w:r>
      <w:r>
        <w:fldChar w:fldCharType="end"/>
      </w:r>
      <w:r>
        <w:fldChar w:fldCharType="end"/>
      </w:r>
    </w:p>
    <w:p>
      <w:pPr>
        <w:pStyle w:val="20"/>
        <w:tabs>
          <w:tab w:val="right" w:leader="dot" w:pos="8306"/>
        </w:tabs>
      </w:pPr>
      <w:r>
        <w:fldChar w:fldCharType="begin"/>
      </w:r>
      <w:r>
        <w:instrText xml:space="preserve"> HYPERLINK \l _Toc20596 </w:instrText>
      </w:r>
      <w:r>
        <w:fldChar w:fldCharType="separate"/>
      </w:r>
      <w:r>
        <w:rPr>
          <w:rFonts w:hint="eastAsia"/>
        </w:rPr>
        <w:t>评标办法前附表（综合评估法）</w:t>
      </w:r>
      <w:r>
        <w:tab/>
      </w:r>
      <w:r>
        <w:fldChar w:fldCharType="begin"/>
      </w:r>
      <w:r>
        <w:instrText xml:space="preserve"> PAGEREF _Toc20596 \h </w:instrText>
      </w:r>
      <w:r>
        <w:fldChar w:fldCharType="separate"/>
      </w:r>
      <w:r>
        <w:t>45</w:t>
      </w:r>
      <w:r>
        <w:fldChar w:fldCharType="end"/>
      </w:r>
      <w:r>
        <w:fldChar w:fldCharType="end"/>
      </w:r>
    </w:p>
    <w:p>
      <w:pPr>
        <w:pStyle w:val="20"/>
        <w:tabs>
          <w:tab w:val="right" w:leader="dot" w:pos="8306"/>
        </w:tabs>
      </w:pPr>
      <w:r>
        <w:fldChar w:fldCharType="begin"/>
      </w:r>
      <w:r>
        <w:instrText xml:space="preserve"> HYPERLINK \l _Toc32486 </w:instrText>
      </w:r>
      <w:r>
        <w:fldChar w:fldCharType="separate"/>
      </w:r>
      <w:r>
        <w:rPr>
          <w:rFonts w:hint="eastAsia"/>
        </w:rPr>
        <w:t>评标办法正文部分</w:t>
      </w:r>
      <w:r>
        <w:tab/>
      </w:r>
      <w:r>
        <w:fldChar w:fldCharType="begin"/>
      </w:r>
      <w:r>
        <w:instrText xml:space="preserve"> PAGEREF _Toc32486 \h </w:instrText>
      </w:r>
      <w:r>
        <w:fldChar w:fldCharType="separate"/>
      </w:r>
      <w:r>
        <w:t>51</w:t>
      </w:r>
      <w:r>
        <w:fldChar w:fldCharType="end"/>
      </w:r>
      <w:r>
        <w:fldChar w:fldCharType="end"/>
      </w:r>
    </w:p>
    <w:p>
      <w:pPr>
        <w:pStyle w:val="20"/>
        <w:tabs>
          <w:tab w:val="right" w:leader="dot" w:pos="8306"/>
        </w:tabs>
      </w:pPr>
      <w:r>
        <w:fldChar w:fldCharType="begin"/>
      </w:r>
      <w:r>
        <w:instrText xml:space="preserve"> HYPERLINK \l _Toc22830 </w:instrText>
      </w:r>
      <w:r>
        <w:fldChar w:fldCharType="separate"/>
      </w:r>
      <w:r>
        <w:rPr>
          <w:rFonts w:hint="eastAsia"/>
        </w:rPr>
        <w:t>1. 评标方法</w:t>
      </w:r>
      <w:r>
        <w:tab/>
      </w:r>
      <w:r>
        <w:fldChar w:fldCharType="begin"/>
      </w:r>
      <w:r>
        <w:instrText xml:space="preserve"> PAGEREF _Toc22830 \h </w:instrText>
      </w:r>
      <w:r>
        <w:fldChar w:fldCharType="separate"/>
      </w:r>
      <w:r>
        <w:t>51</w:t>
      </w:r>
      <w:r>
        <w:fldChar w:fldCharType="end"/>
      </w:r>
      <w:r>
        <w:fldChar w:fldCharType="end"/>
      </w:r>
    </w:p>
    <w:p>
      <w:pPr>
        <w:pStyle w:val="20"/>
        <w:tabs>
          <w:tab w:val="right" w:leader="dot" w:pos="8306"/>
        </w:tabs>
      </w:pPr>
      <w:r>
        <w:fldChar w:fldCharType="begin"/>
      </w:r>
      <w:r>
        <w:instrText xml:space="preserve"> HYPERLINK \l _Toc25899 </w:instrText>
      </w:r>
      <w:r>
        <w:fldChar w:fldCharType="separate"/>
      </w:r>
      <w:r>
        <w:rPr>
          <w:rFonts w:hint="eastAsia"/>
        </w:rPr>
        <w:t>2. 评审标准</w:t>
      </w:r>
      <w:r>
        <w:tab/>
      </w:r>
      <w:r>
        <w:fldChar w:fldCharType="begin"/>
      </w:r>
      <w:r>
        <w:instrText xml:space="preserve"> PAGEREF _Toc25899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_Toc19885 </w:instrText>
      </w:r>
      <w:r>
        <w:fldChar w:fldCharType="separate"/>
      </w:r>
      <w:r>
        <w:rPr>
          <w:rFonts w:hint="eastAsia"/>
        </w:rPr>
        <w:t>2.1 初步评审标准</w:t>
      </w:r>
      <w:r>
        <w:tab/>
      </w:r>
      <w:r>
        <w:fldChar w:fldCharType="begin"/>
      </w:r>
      <w:r>
        <w:instrText xml:space="preserve"> PAGEREF _Toc19885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_Toc6125 </w:instrText>
      </w:r>
      <w:r>
        <w:fldChar w:fldCharType="separate"/>
      </w:r>
      <w:r>
        <w:rPr>
          <w:rFonts w:hint="eastAsia"/>
        </w:rPr>
        <w:t>2.2 分值构成与评分标准</w:t>
      </w:r>
      <w:r>
        <w:tab/>
      </w:r>
      <w:r>
        <w:fldChar w:fldCharType="begin"/>
      </w:r>
      <w:r>
        <w:instrText xml:space="preserve"> PAGEREF _Toc6125 \h </w:instrText>
      </w:r>
      <w:r>
        <w:fldChar w:fldCharType="separate"/>
      </w:r>
      <w:r>
        <w:t>51</w:t>
      </w:r>
      <w:r>
        <w:fldChar w:fldCharType="end"/>
      </w:r>
      <w:r>
        <w:fldChar w:fldCharType="end"/>
      </w:r>
    </w:p>
    <w:p>
      <w:pPr>
        <w:pStyle w:val="20"/>
        <w:tabs>
          <w:tab w:val="right" w:leader="dot" w:pos="8306"/>
        </w:tabs>
      </w:pPr>
      <w:r>
        <w:fldChar w:fldCharType="begin"/>
      </w:r>
      <w:r>
        <w:instrText xml:space="preserve"> HYPERLINK \l _Toc29258 </w:instrText>
      </w:r>
      <w:r>
        <w:fldChar w:fldCharType="separate"/>
      </w:r>
      <w:r>
        <w:rPr>
          <w:rFonts w:hint="eastAsia"/>
        </w:rPr>
        <w:t>3. 评标程序</w:t>
      </w:r>
      <w:r>
        <w:tab/>
      </w:r>
      <w:r>
        <w:fldChar w:fldCharType="begin"/>
      </w:r>
      <w:r>
        <w:instrText xml:space="preserve"> PAGEREF _Toc29258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_Toc10891 </w:instrText>
      </w:r>
      <w:r>
        <w:fldChar w:fldCharType="separate"/>
      </w:r>
      <w:r>
        <w:rPr>
          <w:rFonts w:hint="eastAsia"/>
        </w:rPr>
        <w:t>3.1 初步评审</w:t>
      </w:r>
      <w:r>
        <w:tab/>
      </w:r>
      <w:r>
        <w:fldChar w:fldCharType="begin"/>
      </w:r>
      <w:r>
        <w:instrText xml:space="preserve"> PAGEREF _Toc10891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_Toc5035 </w:instrText>
      </w:r>
      <w:r>
        <w:fldChar w:fldCharType="separate"/>
      </w:r>
      <w:r>
        <w:rPr>
          <w:rFonts w:hint="eastAsia"/>
        </w:rPr>
        <w:t>3.2 详细评审</w:t>
      </w:r>
      <w:r>
        <w:tab/>
      </w:r>
      <w:r>
        <w:fldChar w:fldCharType="begin"/>
      </w:r>
      <w:r>
        <w:instrText xml:space="preserve"> PAGEREF _Toc5035 \h </w:instrText>
      </w:r>
      <w:r>
        <w:fldChar w:fldCharType="separate"/>
      </w:r>
      <w:r>
        <w:t>52</w:t>
      </w:r>
      <w:r>
        <w:fldChar w:fldCharType="end"/>
      </w:r>
      <w:r>
        <w:fldChar w:fldCharType="end"/>
      </w:r>
    </w:p>
    <w:p>
      <w:pPr>
        <w:pStyle w:val="12"/>
        <w:tabs>
          <w:tab w:val="right" w:leader="dot" w:pos="8306"/>
        </w:tabs>
      </w:pPr>
      <w:r>
        <w:fldChar w:fldCharType="begin"/>
      </w:r>
      <w:r>
        <w:instrText xml:space="preserve"> HYPERLINK \l _Toc10960 </w:instrText>
      </w:r>
      <w:r>
        <w:fldChar w:fldCharType="separate"/>
      </w:r>
      <w:r>
        <w:rPr>
          <w:rFonts w:hint="eastAsia"/>
        </w:rPr>
        <w:t>3.3 投标文件的澄清和补正</w:t>
      </w:r>
      <w:r>
        <w:tab/>
      </w:r>
      <w:r>
        <w:fldChar w:fldCharType="begin"/>
      </w:r>
      <w:r>
        <w:instrText xml:space="preserve"> PAGEREF _Toc10960 \h </w:instrText>
      </w:r>
      <w:r>
        <w:fldChar w:fldCharType="separate"/>
      </w:r>
      <w:r>
        <w:t>53</w:t>
      </w:r>
      <w:r>
        <w:fldChar w:fldCharType="end"/>
      </w:r>
      <w:r>
        <w:fldChar w:fldCharType="end"/>
      </w:r>
    </w:p>
    <w:p>
      <w:pPr>
        <w:pStyle w:val="12"/>
        <w:tabs>
          <w:tab w:val="right" w:leader="dot" w:pos="8306"/>
        </w:tabs>
      </w:pPr>
      <w:r>
        <w:fldChar w:fldCharType="begin"/>
      </w:r>
      <w:r>
        <w:instrText xml:space="preserve"> HYPERLINK \l _Toc5446 </w:instrText>
      </w:r>
      <w:r>
        <w:fldChar w:fldCharType="separate"/>
      </w:r>
      <w:r>
        <w:rPr>
          <w:rFonts w:hint="eastAsia"/>
        </w:rPr>
        <w:t>3.4 评标结果</w:t>
      </w:r>
      <w:r>
        <w:tab/>
      </w:r>
      <w:r>
        <w:fldChar w:fldCharType="begin"/>
      </w:r>
      <w:r>
        <w:instrText xml:space="preserve"> PAGEREF _Toc5446 \h </w:instrText>
      </w:r>
      <w:r>
        <w:fldChar w:fldCharType="separate"/>
      </w:r>
      <w:r>
        <w:t>53</w:t>
      </w:r>
      <w:r>
        <w:fldChar w:fldCharType="end"/>
      </w:r>
      <w:r>
        <w:fldChar w:fldCharType="end"/>
      </w:r>
    </w:p>
    <w:p>
      <w:pPr>
        <w:pStyle w:val="20"/>
        <w:tabs>
          <w:tab w:val="right" w:leader="dot" w:pos="8306"/>
        </w:tabs>
      </w:pPr>
      <w:r>
        <w:fldChar w:fldCharType="begin"/>
      </w:r>
      <w:r>
        <w:instrText xml:space="preserve"> HYPERLINK \l _Toc4064 </w:instrText>
      </w:r>
      <w:r>
        <w:fldChar w:fldCharType="separate"/>
      </w:r>
      <w:r>
        <w:rPr>
          <w:rFonts w:hint="eastAsia"/>
          <w:szCs w:val="24"/>
        </w:rPr>
        <w:t>附件A：评标详细程序</w:t>
      </w:r>
      <w:r>
        <w:tab/>
      </w:r>
      <w:r>
        <w:fldChar w:fldCharType="begin"/>
      </w:r>
      <w:r>
        <w:instrText xml:space="preserve"> PAGEREF _Toc4064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_Toc21774 </w:instrText>
      </w:r>
      <w:r>
        <w:fldChar w:fldCharType="separate"/>
      </w:r>
      <w:r>
        <w:rPr>
          <w:rFonts w:hint="eastAsia"/>
        </w:rPr>
        <w:t>A0.总  则</w:t>
      </w:r>
      <w:r>
        <w:tab/>
      </w:r>
      <w:r>
        <w:fldChar w:fldCharType="begin"/>
      </w:r>
      <w:r>
        <w:instrText xml:space="preserve"> PAGEREF _Toc21774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_Toc32193 </w:instrText>
      </w:r>
      <w:r>
        <w:fldChar w:fldCharType="separate"/>
      </w:r>
      <w:r>
        <w:rPr>
          <w:rFonts w:hint="eastAsia"/>
        </w:rPr>
        <w:t>A1.基本程序</w:t>
      </w:r>
      <w:r>
        <w:tab/>
      </w:r>
      <w:r>
        <w:fldChar w:fldCharType="begin"/>
      </w:r>
      <w:r>
        <w:instrText xml:space="preserve"> PAGEREF _Toc32193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_Toc5477 </w:instrText>
      </w:r>
      <w:r>
        <w:fldChar w:fldCharType="separate"/>
      </w:r>
      <w:r>
        <w:rPr>
          <w:rFonts w:hint="eastAsia"/>
        </w:rPr>
        <w:t>A2.评标准备</w:t>
      </w:r>
      <w:r>
        <w:tab/>
      </w:r>
      <w:r>
        <w:fldChar w:fldCharType="begin"/>
      </w:r>
      <w:r>
        <w:instrText xml:space="preserve"> PAGEREF _Toc5477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_Toc27122 </w:instrText>
      </w:r>
      <w:r>
        <w:fldChar w:fldCharType="separate"/>
      </w:r>
      <w:r>
        <w:rPr>
          <w:rFonts w:hint="eastAsia"/>
          <w:bCs/>
          <w:szCs w:val="21"/>
        </w:rPr>
        <w:t>A2.1评标委员会成员签到</w:t>
      </w:r>
      <w:r>
        <w:tab/>
      </w:r>
      <w:r>
        <w:fldChar w:fldCharType="begin"/>
      </w:r>
      <w:r>
        <w:instrText xml:space="preserve"> PAGEREF _Toc27122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_Toc26572 </w:instrText>
      </w:r>
      <w:r>
        <w:fldChar w:fldCharType="separate"/>
      </w:r>
      <w:r>
        <w:rPr>
          <w:rFonts w:hint="eastAsia"/>
          <w:bCs/>
          <w:szCs w:val="21"/>
        </w:rPr>
        <w:t>A2.2评标委员会的分工</w:t>
      </w:r>
      <w:r>
        <w:tab/>
      </w:r>
      <w:r>
        <w:fldChar w:fldCharType="begin"/>
      </w:r>
      <w:r>
        <w:instrText xml:space="preserve"> PAGEREF _Toc26572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_Toc20973 </w:instrText>
      </w:r>
      <w:r>
        <w:fldChar w:fldCharType="separate"/>
      </w:r>
      <w:r>
        <w:rPr>
          <w:rFonts w:hint="eastAsia"/>
          <w:bCs/>
          <w:szCs w:val="21"/>
        </w:rPr>
        <w:t>A2.3熟悉文件资料</w:t>
      </w:r>
      <w:r>
        <w:tab/>
      </w:r>
      <w:r>
        <w:fldChar w:fldCharType="begin"/>
      </w:r>
      <w:r>
        <w:instrText xml:space="preserve"> PAGEREF _Toc20973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_Toc9705 </w:instrText>
      </w:r>
      <w:r>
        <w:fldChar w:fldCharType="separate"/>
      </w:r>
      <w:r>
        <w:rPr>
          <w:rFonts w:hint="eastAsia"/>
          <w:bCs/>
          <w:szCs w:val="21"/>
        </w:rPr>
        <w:t>A2.4暗标编号</w:t>
      </w:r>
      <w:r>
        <w:tab/>
      </w:r>
      <w:r>
        <w:fldChar w:fldCharType="begin"/>
      </w:r>
      <w:r>
        <w:instrText xml:space="preserve"> PAGEREF _Toc9705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_Toc31371 </w:instrText>
      </w:r>
      <w:r>
        <w:fldChar w:fldCharType="separate"/>
      </w:r>
      <w:r>
        <w:rPr>
          <w:rFonts w:hint="eastAsia"/>
          <w:bCs/>
          <w:szCs w:val="21"/>
        </w:rPr>
        <w:t>A2.5对投标文件进行基础性数据分析和整理工作</w:t>
      </w:r>
      <w:r>
        <w:tab/>
      </w:r>
      <w:r>
        <w:fldChar w:fldCharType="begin"/>
      </w:r>
      <w:r>
        <w:instrText xml:space="preserve"> PAGEREF _Toc31371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_Toc13268 </w:instrText>
      </w:r>
      <w:r>
        <w:fldChar w:fldCharType="separate"/>
      </w:r>
      <w:r>
        <w:rPr>
          <w:rFonts w:hint="eastAsia"/>
        </w:rPr>
        <w:t>A3</w:t>
      </w:r>
      <w:r>
        <w:t>.</w:t>
      </w:r>
      <w:r>
        <w:rPr>
          <w:rFonts w:hint="eastAsia"/>
        </w:rPr>
        <w:t>初步评审</w:t>
      </w:r>
      <w:r>
        <w:tab/>
      </w:r>
      <w:r>
        <w:fldChar w:fldCharType="begin"/>
      </w:r>
      <w:r>
        <w:instrText xml:space="preserve"> PAGEREF _Toc13268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_Toc10138 </w:instrText>
      </w:r>
      <w:r>
        <w:fldChar w:fldCharType="separate"/>
      </w:r>
      <w:r>
        <w:rPr>
          <w:rFonts w:hint="eastAsia"/>
          <w:bCs/>
          <w:szCs w:val="21"/>
        </w:rPr>
        <w:t>A3.1形式评审</w:t>
      </w:r>
      <w:r>
        <w:tab/>
      </w:r>
      <w:r>
        <w:fldChar w:fldCharType="begin"/>
      </w:r>
      <w:r>
        <w:instrText xml:space="preserve"> PAGEREF _Toc10138 \h </w:instrText>
      </w:r>
      <w:r>
        <w:fldChar w:fldCharType="separate"/>
      </w:r>
      <w:r>
        <w:t>55</w:t>
      </w:r>
      <w:r>
        <w:fldChar w:fldCharType="end"/>
      </w:r>
      <w:r>
        <w:fldChar w:fldCharType="end"/>
      </w:r>
    </w:p>
    <w:p>
      <w:pPr>
        <w:pStyle w:val="12"/>
        <w:tabs>
          <w:tab w:val="right" w:leader="dot" w:pos="8306"/>
        </w:tabs>
      </w:pPr>
      <w:r>
        <w:fldChar w:fldCharType="begin"/>
      </w:r>
      <w:r>
        <w:instrText xml:space="preserve"> HYPERLINK \l _Toc24022 </w:instrText>
      </w:r>
      <w:r>
        <w:fldChar w:fldCharType="separate"/>
      </w:r>
      <w:r>
        <w:rPr>
          <w:rFonts w:hint="eastAsia"/>
          <w:bCs/>
          <w:szCs w:val="21"/>
        </w:rPr>
        <w:t>A3.2资格评审</w:t>
      </w:r>
      <w:r>
        <w:tab/>
      </w:r>
      <w:r>
        <w:fldChar w:fldCharType="begin"/>
      </w:r>
      <w:r>
        <w:instrText xml:space="preserve"> PAGEREF _Toc24022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_Toc29997 </w:instrText>
      </w:r>
      <w:r>
        <w:fldChar w:fldCharType="separate"/>
      </w:r>
      <w:r>
        <w:rPr>
          <w:rFonts w:hint="eastAsia"/>
          <w:bCs/>
          <w:szCs w:val="21"/>
        </w:rPr>
        <w:t>A3.3响应性评审</w:t>
      </w:r>
      <w:r>
        <w:tab/>
      </w:r>
      <w:r>
        <w:fldChar w:fldCharType="begin"/>
      </w:r>
      <w:r>
        <w:instrText xml:space="preserve"> PAGEREF _Toc29997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_Toc29938 </w:instrText>
      </w:r>
      <w:r>
        <w:fldChar w:fldCharType="separate"/>
      </w:r>
      <w:r>
        <w:rPr>
          <w:rFonts w:hint="eastAsia"/>
          <w:bCs/>
          <w:szCs w:val="21"/>
        </w:rPr>
        <w:t>A3.</w:t>
      </w:r>
      <w:r>
        <w:rPr>
          <w:bCs/>
          <w:szCs w:val="21"/>
        </w:rPr>
        <w:t>4</w:t>
      </w:r>
      <w:r>
        <w:rPr>
          <w:rFonts w:hint="eastAsia"/>
          <w:bCs/>
          <w:szCs w:val="21"/>
        </w:rPr>
        <w:t>算术错误修正</w:t>
      </w:r>
      <w:r>
        <w:tab/>
      </w:r>
      <w:r>
        <w:fldChar w:fldCharType="begin"/>
      </w:r>
      <w:r>
        <w:instrText xml:space="preserve"> PAGEREF _Toc29938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_Toc2162 </w:instrText>
      </w:r>
      <w:r>
        <w:fldChar w:fldCharType="separate"/>
      </w:r>
      <w:r>
        <w:rPr>
          <w:rFonts w:hint="eastAsia"/>
          <w:bCs/>
          <w:szCs w:val="21"/>
        </w:rPr>
        <w:t>A3.</w:t>
      </w:r>
      <w:r>
        <w:rPr>
          <w:bCs/>
          <w:szCs w:val="21"/>
        </w:rPr>
        <w:t>5</w:t>
      </w:r>
      <w:r>
        <w:rPr>
          <w:rFonts w:hint="eastAsia"/>
          <w:bCs/>
          <w:szCs w:val="21"/>
        </w:rPr>
        <w:t>判断投标报价是否低于成本</w:t>
      </w:r>
      <w:r>
        <w:tab/>
      </w:r>
      <w:r>
        <w:fldChar w:fldCharType="begin"/>
      </w:r>
      <w:r>
        <w:instrText xml:space="preserve"> PAGEREF _Toc2162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_Toc10488 </w:instrText>
      </w:r>
      <w:r>
        <w:fldChar w:fldCharType="separate"/>
      </w:r>
      <w:r>
        <w:rPr>
          <w:rFonts w:hint="eastAsia"/>
          <w:bCs/>
          <w:szCs w:val="21"/>
        </w:rPr>
        <w:t>A3.</w:t>
      </w:r>
      <w:r>
        <w:rPr>
          <w:bCs/>
          <w:szCs w:val="21"/>
        </w:rPr>
        <w:t>6</w:t>
      </w:r>
      <w:r>
        <w:rPr>
          <w:rFonts w:hint="eastAsia"/>
          <w:bCs/>
          <w:szCs w:val="21"/>
        </w:rPr>
        <w:t xml:space="preserve"> 判断投标是否为应当被否决</w:t>
      </w:r>
      <w:r>
        <w:tab/>
      </w:r>
      <w:r>
        <w:fldChar w:fldCharType="begin"/>
      </w:r>
      <w:r>
        <w:instrText xml:space="preserve"> PAGEREF _Toc10488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_Toc15364 </w:instrText>
      </w:r>
      <w:r>
        <w:fldChar w:fldCharType="separate"/>
      </w:r>
      <w:r>
        <w:rPr>
          <w:rFonts w:hint="eastAsia"/>
          <w:bCs/>
          <w:szCs w:val="21"/>
        </w:rPr>
        <w:t>A3.</w:t>
      </w:r>
      <w:r>
        <w:rPr>
          <w:bCs/>
          <w:szCs w:val="21"/>
        </w:rPr>
        <w:t>7</w:t>
      </w:r>
      <w:r>
        <w:rPr>
          <w:rFonts w:hint="eastAsia"/>
          <w:bCs/>
          <w:szCs w:val="21"/>
        </w:rPr>
        <w:t xml:space="preserve"> 澄清、说明或补正</w:t>
      </w:r>
      <w:r>
        <w:tab/>
      </w:r>
      <w:r>
        <w:fldChar w:fldCharType="begin"/>
      </w:r>
      <w:r>
        <w:instrText xml:space="preserve"> PAGEREF _Toc15364 \h </w:instrText>
      </w:r>
      <w:r>
        <w:fldChar w:fldCharType="separate"/>
      </w:r>
      <w:r>
        <w:t>56</w:t>
      </w:r>
      <w:r>
        <w:fldChar w:fldCharType="end"/>
      </w:r>
      <w:r>
        <w:fldChar w:fldCharType="end"/>
      </w:r>
    </w:p>
    <w:p>
      <w:pPr>
        <w:pStyle w:val="12"/>
        <w:tabs>
          <w:tab w:val="right" w:leader="dot" w:pos="8306"/>
        </w:tabs>
      </w:pPr>
      <w:r>
        <w:fldChar w:fldCharType="begin"/>
      </w:r>
      <w:r>
        <w:instrText xml:space="preserve"> HYPERLINK \l _Toc21491 </w:instrText>
      </w:r>
      <w:r>
        <w:fldChar w:fldCharType="separate"/>
      </w:r>
      <w:r>
        <w:rPr>
          <w:rFonts w:hint="eastAsia"/>
        </w:rPr>
        <w:t>A4.详细评审</w:t>
      </w:r>
      <w:r>
        <w:tab/>
      </w:r>
      <w:r>
        <w:fldChar w:fldCharType="begin"/>
      </w:r>
      <w:r>
        <w:instrText xml:space="preserve"> PAGEREF _Toc21491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_Toc19486 </w:instrText>
      </w:r>
      <w:r>
        <w:fldChar w:fldCharType="separate"/>
      </w:r>
      <w:r>
        <w:rPr>
          <w:rFonts w:hint="eastAsia"/>
          <w:bCs/>
          <w:szCs w:val="21"/>
        </w:rPr>
        <w:t>A4.1详细评审的程序</w:t>
      </w:r>
      <w:r>
        <w:tab/>
      </w:r>
      <w:r>
        <w:fldChar w:fldCharType="begin"/>
      </w:r>
      <w:r>
        <w:instrText xml:space="preserve"> PAGEREF _Toc19486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_Toc18983 </w:instrText>
      </w:r>
      <w:r>
        <w:fldChar w:fldCharType="separate"/>
      </w:r>
      <w:r>
        <w:rPr>
          <w:rFonts w:hint="eastAsia"/>
          <w:bCs/>
          <w:szCs w:val="21"/>
        </w:rPr>
        <w:t>A4.2经济标评审和评分</w:t>
      </w:r>
      <w:r>
        <w:tab/>
      </w:r>
      <w:r>
        <w:fldChar w:fldCharType="begin"/>
      </w:r>
      <w:r>
        <w:instrText xml:space="preserve"> PAGEREF _Toc18983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_Toc26906 </w:instrText>
      </w:r>
      <w:r>
        <w:fldChar w:fldCharType="separate"/>
      </w:r>
      <w:r>
        <w:rPr>
          <w:rFonts w:hint="eastAsia"/>
          <w:bCs/>
          <w:szCs w:val="21"/>
        </w:rPr>
        <w:t>A4.3 技术标评审和评分</w:t>
      </w:r>
      <w:r>
        <w:tab/>
      </w:r>
      <w:r>
        <w:fldChar w:fldCharType="begin"/>
      </w:r>
      <w:r>
        <w:instrText xml:space="preserve"> PAGEREF _Toc26906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_Toc6921 </w:instrText>
      </w:r>
      <w:r>
        <w:fldChar w:fldCharType="separate"/>
      </w:r>
      <w:r>
        <w:rPr>
          <w:rFonts w:hint="eastAsia"/>
          <w:bCs/>
          <w:szCs w:val="21"/>
        </w:rPr>
        <w:t>A4.4资信标评审和评分</w:t>
      </w:r>
      <w:r>
        <w:tab/>
      </w:r>
      <w:r>
        <w:fldChar w:fldCharType="begin"/>
      </w:r>
      <w:r>
        <w:instrText xml:space="preserve"> PAGEREF _Toc6921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_Toc2839 </w:instrText>
      </w:r>
      <w:r>
        <w:fldChar w:fldCharType="separate"/>
      </w:r>
      <w:r>
        <w:rPr>
          <w:rFonts w:hint="eastAsia"/>
          <w:bCs/>
          <w:szCs w:val="21"/>
        </w:rPr>
        <w:t>A4.5 其他因素的评审和评分</w:t>
      </w:r>
      <w:r>
        <w:tab/>
      </w:r>
      <w:r>
        <w:fldChar w:fldCharType="begin"/>
      </w:r>
      <w:r>
        <w:instrText xml:space="preserve"> PAGEREF _Toc2839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_Toc21194 </w:instrText>
      </w:r>
      <w:r>
        <w:fldChar w:fldCharType="separate"/>
      </w:r>
      <w:r>
        <w:rPr>
          <w:rFonts w:hint="eastAsia"/>
          <w:bCs/>
          <w:szCs w:val="21"/>
        </w:rPr>
        <w:t>A4.6 澄清、说明或补正</w:t>
      </w:r>
      <w:r>
        <w:tab/>
      </w:r>
      <w:r>
        <w:fldChar w:fldCharType="begin"/>
      </w:r>
      <w:r>
        <w:instrText xml:space="preserve"> PAGEREF _Toc21194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_Toc30666 </w:instrText>
      </w:r>
      <w:r>
        <w:fldChar w:fldCharType="separate"/>
      </w:r>
      <w:r>
        <w:rPr>
          <w:rFonts w:hint="eastAsia"/>
          <w:bCs/>
          <w:szCs w:val="21"/>
        </w:rPr>
        <w:t>A4.7汇总评分（评审）结果</w:t>
      </w:r>
      <w:r>
        <w:tab/>
      </w:r>
      <w:r>
        <w:fldChar w:fldCharType="begin"/>
      </w:r>
      <w:r>
        <w:instrText xml:space="preserve"> PAGEREF _Toc30666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_Toc2417 </w:instrText>
      </w:r>
      <w:r>
        <w:fldChar w:fldCharType="separate"/>
      </w:r>
      <w:r>
        <w:rPr>
          <w:rFonts w:hint="eastAsia"/>
        </w:rPr>
        <w:t>A5</w:t>
      </w:r>
      <w:r>
        <w:t>.</w:t>
      </w:r>
      <w:r>
        <w:rPr>
          <w:rFonts w:hint="eastAsia"/>
        </w:rPr>
        <w:t>推荐中标候选人或者直接确定中标人</w:t>
      </w:r>
      <w:r>
        <w:tab/>
      </w:r>
      <w:r>
        <w:fldChar w:fldCharType="begin"/>
      </w:r>
      <w:r>
        <w:instrText xml:space="preserve"> PAGEREF _Toc2417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_Toc13241 </w:instrText>
      </w:r>
      <w:r>
        <w:fldChar w:fldCharType="separate"/>
      </w:r>
      <w:r>
        <w:rPr>
          <w:rFonts w:hint="eastAsia"/>
          <w:bCs/>
          <w:szCs w:val="21"/>
        </w:rPr>
        <w:t>A5.1推荐中标候选人</w:t>
      </w:r>
      <w:r>
        <w:tab/>
      </w:r>
      <w:r>
        <w:fldChar w:fldCharType="begin"/>
      </w:r>
      <w:r>
        <w:instrText xml:space="preserve"> PAGEREF _Toc13241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_Toc13210 </w:instrText>
      </w:r>
      <w:r>
        <w:fldChar w:fldCharType="separate"/>
      </w:r>
      <w:r>
        <w:rPr>
          <w:rFonts w:hint="eastAsia"/>
          <w:bCs/>
          <w:szCs w:val="21"/>
        </w:rPr>
        <w:t>A5.2直接确定中标人</w:t>
      </w:r>
      <w:r>
        <w:tab/>
      </w:r>
      <w:r>
        <w:fldChar w:fldCharType="begin"/>
      </w:r>
      <w:r>
        <w:instrText xml:space="preserve"> PAGEREF _Toc13210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_Toc8823 </w:instrText>
      </w:r>
      <w:r>
        <w:fldChar w:fldCharType="separate"/>
      </w:r>
      <w:r>
        <w:rPr>
          <w:rFonts w:hint="eastAsia"/>
          <w:bCs/>
          <w:szCs w:val="21"/>
        </w:rPr>
        <w:t>A5.3编制评标报告</w:t>
      </w:r>
      <w:r>
        <w:tab/>
      </w:r>
      <w:r>
        <w:fldChar w:fldCharType="begin"/>
      </w:r>
      <w:r>
        <w:instrText xml:space="preserve"> PAGEREF _Toc8823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_Toc2642 </w:instrText>
      </w:r>
      <w:r>
        <w:fldChar w:fldCharType="separate"/>
      </w:r>
      <w:r>
        <w:rPr>
          <w:rFonts w:hint="eastAsia"/>
        </w:rPr>
        <w:t>A6.特殊情况的处置程序</w:t>
      </w:r>
      <w:r>
        <w:tab/>
      </w:r>
      <w:r>
        <w:fldChar w:fldCharType="begin"/>
      </w:r>
      <w:r>
        <w:instrText xml:space="preserve"> PAGEREF _Toc2642 \h </w:instrText>
      </w:r>
      <w:r>
        <w:fldChar w:fldCharType="separate"/>
      </w:r>
      <w:r>
        <w:t>59</w:t>
      </w:r>
      <w:r>
        <w:fldChar w:fldCharType="end"/>
      </w:r>
      <w:r>
        <w:fldChar w:fldCharType="end"/>
      </w:r>
    </w:p>
    <w:p>
      <w:pPr>
        <w:pStyle w:val="12"/>
        <w:tabs>
          <w:tab w:val="right" w:leader="dot" w:pos="8306"/>
        </w:tabs>
      </w:pPr>
      <w:r>
        <w:fldChar w:fldCharType="begin"/>
      </w:r>
      <w:r>
        <w:instrText xml:space="preserve"> HYPERLINK \l _Toc30106 </w:instrText>
      </w:r>
      <w:r>
        <w:fldChar w:fldCharType="separate"/>
      </w:r>
      <w:r>
        <w:rPr>
          <w:rFonts w:hint="eastAsia"/>
          <w:bCs/>
          <w:szCs w:val="21"/>
        </w:rPr>
        <w:t>A6.1暗标评审的评审程序规定（适用于对技术标进行暗标评审的）</w:t>
      </w:r>
      <w:r>
        <w:tab/>
      </w:r>
      <w:r>
        <w:fldChar w:fldCharType="begin"/>
      </w:r>
      <w:r>
        <w:instrText xml:space="preserve"> PAGEREF _Toc30106 \h </w:instrText>
      </w:r>
      <w:r>
        <w:fldChar w:fldCharType="separate"/>
      </w:r>
      <w:r>
        <w:t>59</w:t>
      </w:r>
      <w:r>
        <w:fldChar w:fldCharType="end"/>
      </w:r>
      <w:r>
        <w:fldChar w:fldCharType="end"/>
      </w:r>
    </w:p>
    <w:p>
      <w:pPr>
        <w:pStyle w:val="12"/>
        <w:tabs>
          <w:tab w:val="right" w:leader="dot" w:pos="8306"/>
        </w:tabs>
      </w:pPr>
      <w:r>
        <w:fldChar w:fldCharType="begin"/>
      </w:r>
      <w:r>
        <w:instrText xml:space="preserve"> HYPERLINK \l _Toc19113 </w:instrText>
      </w:r>
      <w:r>
        <w:fldChar w:fldCharType="separate"/>
      </w:r>
      <w:r>
        <w:rPr>
          <w:rFonts w:hint="eastAsia"/>
          <w:bCs/>
          <w:szCs w:val="21"/>
        </w:rPr>
        <w:t>A6.2关于评标活动暂停</w:t>
      </w:r>
      <w:r>
        <w:tab/>
      </w:r>
      <w:r>
        <w:fldChar w:fldCharType="begin"/>
      </w:r>
      <w:r>
        <w:instrText xml:space="preserve"> PAGEREF _Toc19113 \h </w:instrText>
      </w:r>
      <w:r>
        <w:fldChar w:fldCharType="separate"/>
      </w:r>
      <w:r>
        <w:t>59</w:t>
      </w:r>
      <w:r>
        <w:fldChar w:fldCharType="end"/>
      </w:r>
      <w:r>
        <w:fldChar w:fldCharType="end"/>
      </w:r>
    </w:p>
    <w:p>
      <w:pPr>
        <w:pStyle w:val="12"/>
        <w:tabs>
          <w:tab w:val="right" w:leader="dot" w:pos="8306"/>
        </w:tabs>
      </w:pPr>
      <w:r>
        <w:fldChar w:fldCharType="begin"/>
      </w:r>
      <w:r>
        <w:instrText xml:space="preserve"> HYPERLINK \l _Toc18558 </w:instrText>
      </w:r>
      <w:r>
        <w:fldChar w:fldCharType="separate"/>
      </w:r>
      <w:r>
        <w:rPr>
          <w:rFonts w:hint="eastAsia"/>
          <w:bCs/>
          <w:szCs w:val="21"/>
        </w:rPr>
        <w:t>A6.3关于评标中途更换评标委员会成员</w:t>
      </w:r>
      <w:r>
        <w:tab/>
      </w:r>
      <w:r>
        <w:fldChar w:fldCharType="begin"/>
      </w:r>
      <w:r>
        <w:instrText xml:space="preserve"> PAGEREF _Toc18558 \h </w:instrText>
      </w:r>
      <w:r>
        <w:fldChar w:fldCharType="separate"/>
      </w:r>
      <w:r>
        <w:t>59</w:t>
      </w:r>
      <w:r>
        <w:fldChar w:fldCharType="end"/>
      </w:r>
      <w:r>
        <w:fldChar w:fldCharType="end"/>
      </w:r>
    </w:p>
    <w:p>
      <w:pPr>
        <w:pStyle w:val="12"/>
        <w:tabs>
          <w:tab w:val="right" w:leader="dot" w:pos="8306"/>
        </w:tabs>
      </w:pPr>
      <w:r>
        <w:fldChar w:fldCharType="begin"/>
      </w:r>
      <w:r>
        <w:instrText xml:space="preserve"> HYPERLINK \l _Toc21225 </w:instrText>
      </w:r>
      <w:r>
        <w:fldChar w:fldCharType="separate"/>
      </w:r>
      <w:r>
        <w:rPr>
          <w:rFonts w:hint="eastAsia"/>
          <w:bCs/>
          <w:szCs w:val="21"/>
        </w:rPr>
        <w:t>A6.4 评标争议处理</w:t>
      </w:r>
      <w:r>
        <w:tab/>
      </w:r>
      <w:r>
        <w:fldChar w:fldCharType="begin"/>
      </w:r>
      <w:r>
        <w:instrText xml:space="preserve"> PAGEREF _Toc21225 \h </w:instrText>
      </w:r>
      <w:r>
        <w:fldChar w:fldCharType="separate"/>
      </w:r>
      <w:r>
        <w:t>59</w:t>
      </w:r>
      <w:r>
        <w:fldChar w:fldCharType="end"/>
      </w:r>
      <w:r>
        <w:fldChar w:fldCharType="end"/>
      </w:r>
    </w:p>
    <w:p>
      <w:pPr>
        <w:pStyle w:val="12"/>
        <w:tabs>
          <w:tab w:val="right" w:leader="dot" w:pos="8306"/>
        </w:tabs>
      </w:pPr>
      <w:r>
        <w:fldChar w:fldCharType="begin"/>
      </w:r>
      <w:r>
        <w:instrText xml:space="preserve"> HYPERLINK \l _Toc30489 </w:instrText>
      </w:r>
      <w:r>
        <w:fldChar w:fldCharType="separate"/>
      </w:r>
      <w:r>
        <w:rPr>
          <w:rFonts w:hint="eastAsia"/>
        </w:rPr>
        <w:t>A7.补充条款</w:t>
      </w:r>
      <w:r>
        <w:tab/>
      </w:r>
      <w:r>
        <w:fldChar w:fldCharType="begin"/>
      </w:r>
      <w:r>
        <w:instrText xml:space="preserve"> PAGEREF _Toc30489 \h </w:instrText>
      </w:r>
      <w:r>
        <w:fldChar w:fldCharType="separate"/>
      </w:r>
      <w:r>
        <w:t>59</w:t>
      </w:r>
      <w:r>
        <w:fldChar w:fldCharType="end"/>
      </w:r>
      <w:r>
        <w:fldChar w:fldCharType="end"/>
      </w:r>
    </w:p>
    <w:p>
      <w:pPr>
        <w:pStyle w:val="20"/>
        <w:tabs>
          <w:tab w:val="right" w:leader="dot" w:pos="8306"/>
        </w:tabs>
      </w:pPr>
      <w:r>
        <w:fldChar w:fldCharType="begin"/>
      </w:r>
      <w:r>
        <w:instrText xml:space="preserve"> HYPERLINK \l _Toc4770 </w:instrText>
      </w:r>
      <w:r>
        <w:fldChar w:fldCharType="separate"/>
      </w:r>
      <w:r>
        <w:rPr>
          <w:rFonts w:hint="eastAsia"/>
          <w:szCs w:val="24"/>
        </w:rPr>
        <w:t>附件B：否决投标的条件</w:t>
      </w:r>
      <w:r>
        <w:tab/>
      </w:r>
      <w:r>
        <w:fldChar w:fldCharType="begin"/>
      </w:r>
      <w:r>
        <w:instrText xml:space="preserve"> PAGEREF _Toc4770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_Toc28776 </w:instrText>
      </w:r>
      <w:r>
        <w:fldChar w:fldCharType="separate"/>
      </w:r>
      <w:r>
        <w:rPr>
          <w:rFonts w:hint="eastAsia"/>
        </w:rPr>
        <w:t>B0.总  则</w:t>
      </w:r>
      <w:r>
        <w:tab/>
      </w:r>
      <w:r>
        <w:fldChar w:fldCharType="begin"/>
      </w:r>
      <w:r>
        <w:instrText xml:space="preserve"> PAGEREF _Toc28776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_Toc11235 </w:instrText>
      </w:r>
      <w:r>
        <w:fldChar w:fldCharType="separate"/>
      </w:r>
      <w:r>
        <w:rPr>
          <w:rFonts w:hint="eastAsia"/>
        </w:rPr>
        <w:t>B1</w:t>
      </w:r>
      <w:r>
        <w:t>.</w:t>
      </w:r>
      <w:r>
        <w:rPr>
          <w:rFonts w:hint="eastAsia"/>
        </w:rPr>
        <w:t>否决投标的条件</w:t>
      </w:r>
      <w:r>
        <w:tab/>
      </w:r>
      <w:r>
        <w:fldChar w:fldCharType="begin"/>
      </w:r>
      <w:r>
        <w:instrText xml:space="preserve"> PAGEREF _Toc11235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_Toc2362 </w:instrText>
      </w:r>
      <w:r>
        <w:fldChar w:fldCharType="separate"/>
      </w:r>
      <w:r>
        <w:rPr>
          <w:rFonts w:hint="eastAsia"/>
        </w:rPr>
        <w:t>附表A-1：评标委员会签到表</w:t>
      </w:r>
      <w:r>
        <w:tab/>
      </w:r>
      <w:r>
        <w:fldChar w:fldCharType="begin"/>
      </w:r>
      <w:r>
        <w:instrText xml:space="preserve"> PAGEREF _Toc2362 \h </w:instrText>
      </w:r>
      <w:r>
        <w:fldChar w:fldCharType="separate"/>
      </w:r>
      <w:r>
        <w:t>63</w:t>
      </w:r>
      <w:r>
        <w:fldChar w:fldCharType="end"/>
      </w:r>
      <w:r>
        <w:fldChar w:fldCharType="end"/>
      </w:r>
    </w:p>
    <w:p>
      <w:pPr>
        <w:pStyle w:val="12"/>
        <w:tabs>
          <w:tab w:val="right" w:leader="dot" w:pos="8306"/>
        </w:tabs>
      </w:pPr>
      <w:r>
        <w:fldChar w:fldCharType="begin"/>
      </w:r>
      <w:r>
        <w:instrText xml:space="preserve"> HYPERLINK \l _Toc22354 </w:instrText>
      </w:r>
      <w:r>
        <w:fldChar w:fldCharType="separate"/>
      </w:r>
      <w:r>
        <w:t>附表A-2：评标专家</w:t>
      </w:r>
      <w:r>
        <w:rPr>
          <w:rFonts w:hint="eastAsia"/>
        </w:rPr>
        <w:t>告知承诺函</w:t>
      </w:r>
      <w:r>
        <w:tab/>
      </w:r>
      <w:r>
        <w:fldChar w:fldCharType="begin"/>
      </w:r>
      <w:r>
        <w:instrText xml:space="preserve"> PAGEREF _Toc22354 \h </w:instrText>
      </w:r>
      <w:r>
        <w:fldChar w:fldCharType="separate"/>
      </w:r>
      <w:r>
        <w:t>64</w:t>
      </w:r>
      <w:r>
        <w:fldChar w:fldCharType="end"/>
      </w:r>
      <w:r>
        <w:fldChar w:fldCharType="end"/>
      </w:r>
    </w:p>
    <w:p>
      <w:pPr>
        <w:pStyle w:val="12"/>
        <w:tabs>
          <w:tab w:val="right" w:leader="dot" w:pos="8306"/>
        </w:tabs>
      </w:pPr>
      <w:r>
        <w:fldChar w:fldCharType="begin"/>
      </w:r>
      <w:r>
        <w:instrText xml:space="preserve"> HYPERLINK \l _Toc14949 </w:instrText>
      </w:r>
      <w:r>
        <w:fldChar w:fldCharType="separate"/>
      </w:r>
      <w:r>
        <w:t>附表A-3：技术暗标编号确认表</w:t>
      </w:r>
      <w:r>
        <w:tab/>
      </w:r>
      <w:r>
        <w:fldChar w:fldCharType="begin"/>
      </w:r>
      <w:r>
        <w:instrText xml:space="preserve"> PAGEREF _Toc14949 \h </w:instrText>
      </w:r>
      <w:r>
        <w:fldChar w:fldCharType="separate"/>
      </w:r>
      <w:r>
        <w:t>66</w:t>
      </w:r>
      <w:r>
        <w:fldChar w:fldCharType="end"/>
      </w:r>
      <w:r>
        <w:fldChar w:fldCharType="end"/>
      </w:r>
    </w:p>
    <w:p>
      <w:pPr>
        <w:pStyle w:val="12"/>
        <w:tabs>
          <w:tab w:val="right" w:leader="dot" w:pos="8306"/>
        </w:tabs>
      </w:pPr>
      <w:r>
        <w:fldChar w:fldCharType="begin"/>
      </w:r>
      <w:r>
        <w:instrText xml:space="preserve"> HYPERLINK \l _Toc27146 </w:instrText>
      </w:r>
      <w:r>
        <w:fldChar w:fldCharType="separate"/>
      </w:r>
      <w:r>
        <w:rPr>
          <w:rFonts w:hint="eastAsia"/>
        </w:rPr>
        <w:t>附表A-4：形式评审记录表</w:t>
      </w:r>
      <w:r>
        <w:tab/>
      </w:r>
      <w:r>
        <w:fldChar w:fldCharType="begin"/>
      </w:r>
      <w:r>
        <w:instrText xml:space="preserve"> PAGEREF _Toc27146 \h </w:instrText>
      </w:r>
      <w:r>
        <w:fldChar w:fldCharType="separate"/>
      </w:r>
      <w:r>
        <w:t>67</w:t>
      </w:r>
      <w:r>
        <w:fldChar w:fldCharType="end"/>
      </w:r>
      <w:r>
        <w:fldChar w:fldCharType="end"/>
      </w:r>
    </w:p>
    <w:p>
      <w:pPr>
        <w:pStyle w:val="12"/>
        <w:tabs>
          <w:tab w:val="right" w:leader="dot" w:pos="8306"/>
        </w:tabs>
      </w:pPr>
      <w:r>
        <w:fldChar w:fldCharType="begin"/>
      </w:r>
      <w:r>
        <w:instrText xml:space="preserve"> HYPERLINK \l _Toc19889 </w:instrText>
      </w:r>
      <w:r>
        <w:fldChar w:fldCharType="separate"/>
      </w:r>
      <w:r>
        <w:rPr>
          <w:rFonts w:hint="eastAsia"/>
        </w:rPr>
        <w:t>附表A-5：资格评审记录表</w:t>
      </w:r>
      <w:r>
        <w:tab/>
      </w:r>
      <w:r>
        <w:fldChar w:fldCharType="begin"/>
      </w:r>
      <w:r>
        <w:instrText xml:space="preserve"> PAGEREF _Toc19889 \h </w:instrText>
      </w:r>
      <w:r>
        <w:fldChar w:fldCharType="separate"/>
      </w:r>
      <w:r>
        <w:t>68</w:t>
      </w:r>
      <w:r>
        <w:fldChar w:fldCharType="end"/>
      </w:r>
      <w:r>
        <w:fldChar w:fldCharType="end"/>
      </w:r>
    </w:p>
    <w:p>
      <w:pPr>
        <w:pStyle w:val="12"/>
        <w:tabs>
          <w:tab w:val="right" w:leader="dot" w:pos="8306"/>
        </w:tabs>
      </w:pPr>
      <w:r>
        <w:fldChar w:fldCharType="begin"/>
      </w:r>
      <w:r>
        <w:instrText xml:space="preserve"> HYPERLINK \l _Toc4967 </w:instrText>
      </w:r>
      <w:r>
        <w:fldChar w:fldCharType="separate"/>
      </w:r>
      <w:r>
        <w:rPr>
          <w:rFonts w:hint="eastAsia"/>
        </w:rPr>
        <w:t>附表A-6：响应性评审记录表</w:t>
      </w:r>
      <w:r>
        <w:tab/>
      </w:r>
      <w:r>
        <w:fldChar w:fldCharType="begin"/>
      </w:r>
      <w:r>
        <w:instrText xml:space="preserve"> PAGEREF _Toc4967 \h </w:instrText>
      </w:r>
      <w:r>
        <w:fldChar w:fldCharType="separate"/>
      </w:r>
      <w:r>
        <w:t>69</w:t>
      </w:r>
      <w:r>
        <w:fldChar w:fldCharType="end"/>
      </w:r>
      <w:r>
        <w:fldChar w:fldCharType="end"/>
      </w:r>
    </w:p>
    <w:p>
      <w:pPr>
        <w:pStyle w:val="12"/>
        <w:tabs>
          <w:tab w:val="right" w:leader="dot" w:pos="8306"/>
        </w:tabs>
      </w:pPr>
      <w:r>
        <w:fldChar w:fldCharType="begin"/>
      </w:r>
      <w:r>
        <w:instrText xml:space="preserve"> HYPERLINK \l _Toc22262 </w:instrText>
      </w:r>
      <w:r>
        <w:fldChar w:fldCharType="separate"/>
      </w:r>
      <w:r>
        <w:rPr>
          <w:rFonts w:hint="eastAsia"/>
        </w:rPr>
        <w:t>附表A-7：技术标评审记录表（合格性）</w:t>
      </w:r>
      <w:r>
        <w:tab/>
      </w:r>
      <w:r>
        <w:fldChar w:fldCharType="begin"/>
      </w:r>
      <w:r>
        <w:instrText xml:space="preserve"> PAGEREF _Toc22262 \h </w:instrText>
      </w:r>
      <w:r>
        <w:fldChar w:fldCharType="separate"/>
      </w:r>
      <w:r>
        <w:t>70</w:t>
      </w:r>
      <w:r>
        <w:fldChar w:fldCharType="end"/>
      </w:r>
      <w:r>
        <w:fldChar w:fldCharType="end"/>
      </w:r>
    </w:p>
    <w:p>
      <w:pPr>
        <w:pStyle w:val="12"/>
        <w:tabs>
          <w:tab w:val="right" w:leader="dot" w:pos="8306"/>
        </w:tabs>
      </w:pPr>
      <w:r>
        <w:fldChar w:fldCharType="begin"/>
      </w:r>
      <w:r>
        <w:instrText xml:space="preserve"> HYPERLINK \l _Toc23076 </w:instrText>
      </w:r>
      <w:r>
        <w:fldChar w:fldCharType="separate"/>
      </w:r>
      <w:r>
        <w:rPr>
          <w:rFonts w:hint="eastAsia"/>
        </w:rPr>
        <w:t>附表A-</w:t>
      </w:r>
      <w:r>
        <w:t>8</w:t>
      </w:r>
      <w:r>
        <w:rPr>
          <w:rFonts w:hint="eastAsia"/>
        </w:rPr>
        <w:t>：初步评审汇总记录表</w:t>
      </w:r>
      <w:r>
        <w:tab/>
      </w:r>
      <w:r>
        <w:fldChar w:fldCharType="begin"/>
      </w:r>
      <w:r>
        <w:instrText xml:space="preserve"> PAGEREF _Toc23076 \h </w:instrText>
      </w:r>
      <w:r>
        <w:fldChar w:fldCharType="separate"/>
      </w:r>
      <w:r>
        <w:t>71</w:t>
      </w:r>
      <w:r>
        <w:fldChar w:fldCharType="end"/>
      </w:r>
      <w:r>
        <w:fldChar w:fldCharType="end"/>
      </w:r>
    </w:p>
    <w:p>
      <w:pPr>
        <w:pStyle w:val="12"/>
        <w:tabs>
          <w:tab w:val="right" w:leader="dot" w:pos="8306"/>
        </w:tabs>
      </w:pPr>
      <w:r>
        <w:fldChar w:fldCharType="begin"/>
      </w:r>
      <w:r>
        <w:instrText xml:space="preserve"> HYPERLINK \l _Toc828 </w:instrText>
      </w:r>
      <w:r>
        <w:fldChar w:fldCharType="separate"/>
      </w:r>
      <w:r>
        <w:rPr>
          <w:rFonts w:hint="eastAsia"/>
        </w:rPr>
        <w:t>附表A-</w:t>
      </w:r>
      <w:r>
        <w:t>9</w:t>
      </w:r>
      <w:r>
        <w:rPr>
          <w:rFonts w:hint="eastAsia"/>
        </w:rPr>
        <w:t>：否决投标的情况说明</w:t>
      </w:r>
      <w:r>
        <w:tab/>
      </w:r>
      <w:r>
        <w:fldChar w:fldCharType="begin"/>
      </w:r>
      <w:r>
        <w:instrText xml:space="preserve"> PAGEREF _Toc828 \h </w:instrText>
      </w:r>
      <w:r>
        <w:fldChar w:fldCharType="separate"/>
      </w:r>
      <w:r>
        <w:t>72</w:t>
      </w:r>
      <w:r>
        <w:fldChar w:fldCharType="end"/>
      </w:r>
      <w:r>
        <w:fldChar w:fldCharType="end"/>
      </w:r>
    </w:p>
    <w:p>
      <w:pPr>
        <w:pStyle w:val="12"/>
        <w:tabs>
          <w:tab w:val="right" w:leader="dot" w:pos="8306"/>
        </w:tabs>
      </w:pPr>
      <w:r>
        <w:fldChar w:fldCharType="begin"/>
      </w:r>
      <w:r>
        <w:instrText xml:space="preserve"> HYPERLINK \l _Toc23416 </w:instrText>
      </w:r>
      <w:r>
        <w:fldChar w:fldCharType="separate"/>
      </w:r>
      <w:r>
        <w:rPr>
          <w:rFonts w:hint="eastAsia"/>
        </w:rPr>
        <w:t>附表A-</w:t>
      </w:r>
      <w:r>
        <w:t>10</w:t>
      </w:r>
      <w:r>
        <w:rPr>
          <w:rFonts w:hint="eastAsia"/>
        </w:rPr>
        <w:t>：经济标评分记录表</w:t>
      </w:r>
      <w:r>
        <w:tab/>
      </w:r>
      <w:r>
        <w:fldChar w:fldCharType="begin"/>
      </w:r>
      <w:r>
        <w:instrText xml:space="preserve"> PAGEREF _Toc23416 \h </w:instrText>
      </w:r>
      <w:r>
        <w:fldChar w:fldCharType="separate"/>
      </w:r>
      <w:r>
        <w:t>73</w:t>
      </w:r>
      <w:r>
        <w:fldChar w:fldCharType="end"/>
      </w:r>
      <w:r>
        <w:fldChar w:fldCharType="end"/>
      </w:r>
    </w:p>
    <w:p>
      <w:pPr>
        <w:pStyle w:val="12"/>
        <w:tabs>
          <w:tab w:val="right" w:leader="dot" w:pos="8306"/>
        </w:tabs>
      </w:pPr>
      <w:r>
        <w:fldChar w:fldCharType="begin"/>
      </w:r>
      <w:r>
        <w:instrText xml:space="preserve"> HYPERLINK \l _Toc21993 </w:instrText>
      </w:r>
      <w:r>
        <w:fldChar w:fldCharType="separate"/>
      </w:r>
      <w:r>
        <w:rPr>
          <w:rFonts w:hint="eastAsia"/>
        </w:rPr>
        <w:t>附表A-</w:t>
      </w:r>
      <w:r>
        <w:t>11</w:t>
      </w:r>
      <w:r>
        <w:rPr>
          <w:rFonts w:hint="eastAsia"/>
        </w:rPr>
        <w:t>：技术标评审记录表（评分）</w:t>
      </w:r>
      <w:r>
        <w:tab/>
      </w:r>
      <w:r>
        <w:fldChar w:fldCharType="begin"/>
      </w:r>
      <w:r>
        <w:instrText xml:space="preserve"> PAGEREF _Toc21993 \h </w:instrText>
      </w:r>
      <w:r>
        <w:fldChar w:fldCharType="separate"/>
      </w:r>
      <w:r>
        <w:t>74</w:t>
      </w:r>
      <w:r>
        <w:fldChar w:fldCharType="end"/>
      </w:r>
      <w:r>
        <w:fldChar w:fldCharType="end"/>
      </w:r>
    </w:p>
    <w:p>
      <w:pPr>
        <w:pStyle w:val="12"/>
        <w:tabs>
          <w:tab w:val="right" w:leader="dot" w:pos="8306"/>
        </w:tabs>
      </w:pPr>
      <w:r>
        <w:fldChar w:fldCharType="begin"/>
      </w:r>
      <w:r>
        <w:instrText xml:space="preserve"> HYPERLINK \l _Toc9240 </w:instrText>
      </w:r>
      <w:r>
        <w:fldChar w:fldCharType="separate"/>
      </w:r>
      <w:r>
        <w:rPr>
          <w:rFonts w:hint="eastAsia"/>
        </w:rPr>
        <w:t>附表A-</w:t>
      </w:r>
      <w:r>
        <w:t>12</w:t>
      </w:r>
      <w:r>
        <w:rPr>
          <w:rFonts w:hint="eastAsia"/>
        </w:rPr>
        <w:t>：技术标评审记录表（个人）</w:t>
      </w:r>
      <w:r>
        <w:tab/>
      </w:r>
      <w:r>
        <w:fldChar w:fldCharType="begin"/>
      </w:r>
      <w:r>
        <w:instrText xml:space="preserve"> PAGEREF _Toc9240 \h </w:instrText>
      </w:r>
      <w:r>
        <w:fldChar w:fldCharType="separate"/>
      </w:r>
      <w:r>
        <w:t>75</w:t>
      </w:r>
      <w:r>
        <w:fldChar w:fldCharType="end"/>
      </w:r>
      <w:r>
        <w:fldChar w:fldCharType="end"/>
      </w:r>
    </w:p>
    <w:p>
      <w:pPr>
        <w:pStyle w:val="12"/>
        <w:tabs>
          <w:tab w:val="right" w:leader="dot" w:pos="8306"/>
        </w:tabs>
      </w:pPr>
      <w:r>
        <w:fldChar w:fldCharType="begin"/>
      </w:r>
      <w:r>
        <w:instrText xml:space="preserve"> HYPERLINK \l _Toc27702 </w:instrText>
      </w:r>
      <w:r>
        <w:fldChar w:fldCharType="separate"/>
      </w:r>
      <w:r>
        <w:rPr>
          <w:rFonts w:hint="eastAsia"/>
        </w:rPr>
        <w:t>附表A-1</w:t>
      </w:r>
      <w:r>
        <w:t>3</w:t>
      </w:r>
      <w:r>
        <w:rPr>
          <w:rFonts w:hint="eastAsia"/>
        </w:rPr>
        <w:t>：</w:t>
      </w:r>
      <w:r>
        <w:rPr>
          <w:rFonts w:hint="eastAsia" w:ascii="宋体" w:hAnsi="宋体"/>
          <w:szCs w:val="21"/>
        </w:rPr>
        <w:t>资信标</w:t>
      </w:r>
      <w:r>
        <w:rPr>
          <w:rFonts w:hint="eastAsia"/>
        </w:rPr>
        <w:t>评审记录表</w:t>
      </w:r>
      <w:r>
        <w:tab/>
      </w:r>
      <w:r>
        <w:fldChar w:fldCharType="begin"/>
      </w:r>
      <w:r>
        <w:instrText xml:space="preserve"> PAGEREF _Toc27702 \h </w:instrText>
      </w:r>
      <w:r>
        <w:fldChar w:fldCharType="separate"/>
      </w:r>
      <w:r>
        <w:t>76</w:t>
      </w:r>
      <w:r>
        <w:fldChar w:fldCharType="end"/>
      </w:r>
      <w:r>
        <w:fldChar w:fldCharType="end"/>
      </w:r>
    </w:p>
    <w:p>
      <w:pPr>
        <w:pStyle w:val="12"/>
        <w:tabs>
          <w:tab w:val="right" w:leader="dot" w:pos="8306"/>
        </w:tabs>
      </w:pPr>
      <w:r>
        <w:fldChar w:fldCharType="begin"/>
      </w:r>
      <w:r>
        <w:instrText xml:space="preserve"> HYPERLINK \l _Toc31302 </w:instrText>
      </w:r>
      <w:r>
        <w:fldChar w:fldCharType="separate"/>
      </w:r>
      <w:r>
        <w:rPr>
          <w:rFonts w:hint="eastAsia"/>
        </w:rPr>
        <w:t>附表A-1</w:t>
      </w:r>
      <w:r>
        <w:t>4</w:t>
      </w:r>
      <w:r>
        <w:rPr>
          <w:rFonts w:hint="eastAsia"/>
        </w:rPr>
        <w:t>：其他因素评审记录表</w:t>
      </w:r>
      <w:r>
        <w:tab/>
      </w:r>
      <w:r>
        <w:fldChar w:fldCharType="begin"/>
      </w:r>
      <w:r>
        <w:instrText xml:space="preserve"> PAGEREF _Toc31302 \h </w:instrText>
      </w:r>
      <w:r>
        <w:fldChar w:fldCharType="separate"/>
      </w:r>
      <w:r>
        <w:t>77</w:t>
      </w:r>
      <w:r>
        <w:fldChar w:fldCharType="end"/>
      </w:r>
      <w:r>
        <w:fldChar w:fldCharType="end"/>
      </w:r>
    </w:p>
    <w:p>
      <w:pPr>
        <w:pStyle w:val="12"/>
        <w:tabs>
          <w:tab w:val="right" w:leader="dot" w:pos="8306"/>
        </w:tabs>
      </w:pPr>
      <w:r>
        <w:fldChar w:fldCharType="begin"/>
      </w:r>
      <w:r>
        <w:instrText xml:space="preserve"> HYPERLINK \l _Toc24970 </w:instrText>
      </w:r>
      <w:r>
        <w:fldChar w:fldCharType="separate"/>
      </w:r>
      <w:r>
        <w:rPr>
          <w:rFonts w:hint="eastAsia"/>
        </w:rPr>
        <w:t>附表A-1</w:t>
      </w:r>
      <w:r>
        <w:t>5</w:t>
      </w:r>
      <w:r>
        <w:rPr>
          <w:rFonts w:hint="eastAsia"/>
        </w:rPr>
        <w:t>：详细评审评分汇总表</w:t>
      </w:r>
      <w:r>
        <w:tab/>
      </w:r>
      <w:r>
        <w:fldChar w:fldCharType="begin"/>
      </w:r>
      <w:r>
        <w:instrText xml:space="preserve"> PAGEREF _Toc24970 \h </w:instrText>
      </w:r>
      <w:r>
        <w:fldChar w:fldCharType="separate"/>
      </w:r>
      <w:r>
        <w:t>78</w:t>
      </w:r>
      <w:r>
        <w:fldChar w:fldCharType="end"/>
      </w:r>
      <w:r>
        <w:fldChar w:fldCharType="end"/>
      </w:r>
    </w:p>
    <w:p>
      <w:pPr>
        <w:pStyle w:val="12"/>
        <w:tabs>
          <w:tab w:val="right" w:leader="dot" w:pos="8306"/>
        </w:tabs>
      </w:pPr>
      <w:r>
        <w:fldChar w:fldCharType="begin"/>
      </w:r>
      <w:r>
        <w:instrText xml:space="preserve"> HYPERLINK \l _Toc26963 </w:instrText>
      </w:r>
      <w:r>
        <w:fldChar w:fldCharType="separate"/>
      </w:r>
      <w:r>
        <w:rPr>
          <w:rFonts w:hint="eastAsia"/>
        </w:rPr>
        <w:t>附表A-1</w:t>
      </w:r>
      <w:r>
        <w:t>6</w:t>
      </w:r>
      <w:r>
        <w:rPr>
          <w:rFonts w:hint="eastAsia"/>
        </w:rPr>
        <w:t>：评标结果汇总表</w:t>
      </w:r>
      <w:r>
        <w:tab/>
      </w:r>
      <w:r>
        <w:fldChar w:fldCharType="begin"/>
      </w:r>
      <w:r>
        <w:instrText xml:space="preserve"> PAGEREF _Toc26963 \h </w:instrText>
      </w:r>
      <w:r>
        <w:fldChar w:fldCharType="separate"/>
      </w:r>
      <w:r>
        <w:t>79</w:t>
      </w:r>
      <w:r>
        <w:fldChar w:fldCharType="end"/>
      </w:r>
      <w:r>
        <w:fldChar w:fldCharType="end"/>
      </w:r>
    </w:p>
    <w:p>
      <w:pPr>
        <w:pStyle w:val="12"/>
        <w:tabs>
          <w:tab w:val="right" w:leader="dot" w:pos="8306"/>
        </w:tabs>
      </w:pPr>
      <w:r>
        <w:fldChar w:fldCharType="begin"/>
      </w:r>
      <w:r>
        <w:instrText xml:space="preserve"> HYPERLINK \l _Toc874 </w:instrText>
      </w:r>
      <w:r>
        <w:fldChar w:fldCharType="separate"/>
      </w:r>
      <w:r>
        <w:rPr>
          <w:rFonts w:hint="eastAsia"/>
        </w:rPr>
        <w:t>附表A-1</w:t>
      </w:r>
      <w:r>
        <w:t>7</w:t>
      </w:r>
      <w:r>
        <w:rPr>
          <w:rFonts w:hint="eastAsia"/>
        </w:rPr>
        <w:t>：推荐中标候选人一览表</w:t>
      </w:r>
      <w:r>
        <w:tab/>
      </w:r>
      <w:r>
        <w:fldChar w:fldCharType="begin"/>
      </w:r>
      <w:r>
        <w:instrText xml:space="preserve"> PAGEREF _Toc874 \h </w:instrText>
      </w:r>
      <w:r>
        <w:fldChar w:fldCharType="separate"/>
      </w:r>
      <w:r>
        <w:t>80</w:t>
      </w:r>
      <w:r>
        <w:fldChar w:fldCharType="end"/>
      </w:r>
      <w:r>
        <w:fldChar w:fldCharType="end"/>
      </w:r>
    </w:p>
    <w:p>
      <w:pPr>
        <w:pStyle w:val="12"/>
        <w:tabs>
          <w:tab w:val="right" w:leader="dot" w:pos="8306"/>
        </w:tabs>
      </w:pPr>
      <w:r>
        <w:fldChar w:fldCharType="begin"/>
      </w:r>
      <w:r>
        <w:instrText xml:space="preserve"> HYPERLINK \l _Toc8770 </w:instrText>
      </w:r>
      <w:r>
        <w:fldChar w:fldCharType="separate"/>
      </w:r>
      <w:r>
        <w:rPr>
          <w:rFonts w:hint="eastAsia"/>
        </w:rPr>
        <w:t>附表</w:t>
      </w:r>
      <w:r>
        <w:t>C</w:t>
      </w:r>
      <w:r>
        <w:rPr>
          <w:rFonts w:hint="eastAsia"/>
        </w:rPr>
        <w:t>-1：成本评审结论记录表</w:t>
      </w:r>
      <w:r>
        <w:tab/>
      </w:r>
      <w:r>
        <w:fldChar w:fldCharType="begin"/>
      </w:r>
      <w:r>
        <w:instrText xml:space="preserve"> PAGEREF _Toc8770 \h </w:instrText>
      </w:r>
      <w:r>
        <w:fldChar w:fldCharType="separate"/>
      </w:r>
      <w:r>
        <w:t>81</w:t>
      </w:r>
      <w:r>
        <w:fldChar w:fldCharType="end"/>
      </w:r>
      <w:r>
        <w:fldChar w:fldCharType="end"/>
      </w:r>
    </w:p>
    <w:p>
      <w:pPr>
        <w:pStyle w:val="18"/>
        <w:tabs>
          <w:tab w:val="right" w:leader="dot" w:pos="8306"/>
        </w:tabs>
      </w:pPr>
      <w:r>
        <w:fldChar w:fldCharType="begin"/>
      </w:r>
      <w:r>
        <w:instrText xml:space="preserve"> HYPERLINK \l _Toc14872 </w:instrText>
      </w:r>
      <w:r>
        <w:fldChar w:fldCharType="separate"/>
      </w:r>
      <w:r>
        <w:rPr>
          <w:rFonts w:hint="eastAsia" w:ascii="黑体" w:hAnsi="黑体" w:eastAsia="黑体"/>
          <w:bCs w:val="0"/>
        </w:rPr>
        <w:t>第四章  合同条款及格式</w:t>
      </w:r>
      <w:r>
        <w:tab/>
      </w:r>
      <w:r>
        <w:fldChar w:fldCharType="begin"/>
      </w:r>
      <w:r>
        <w:instrText xml:space="preserve"> PAGEREF _Toc14872 \h </w:instrText>
      </w:r>
      <w:r>
        <w:fldChar w:fldCharType="separate"/>
      </w:r>
      <w:r>
        <w:t>0</w:t>
      </w:r>
      <w:r>
        <w:fldChar w:fldCharType="end"/>
      </w:r>
      <w:r>
        <w:fldChar w:fldCharType="end"/>
      </w:r>
    </w:p>
    <w:p>
      <w:pPr>
        <w:pStyle w:val="18"/>
        <w:tabs>
          <w:tab w:val="right" w:leader="dot" w:pos="8306"/>
        </w:tabs>
      </w:pPr>
      <w:r>
        <w:fldChar w:fldCharType="begin"/>
      </w:r>
      <w:r>
        <w:instrText xml:space="preserve"> HYPERLINK \l _Toc8810 </w:instrText>
      </w:r>
      <w:r>
        <w:fldChar w:fldCharType="separate"/>
      </w:r>
      <w:r>
        <w:rPr>
          <w:rFonts w:hint="eastAsia" w:eastAsia="华文中宋"/>
          <w:lang w:val="zh-CN"/>
        </w:rPr>
        <w:t>说  明</w:t>
      </w:r>
      <w:r>
        <w:tab/>
      </w:r>
      <w:r>
        <w:fldChar w:fldCharType="begin"/>
      </w:r>
      <w:r>
        <w:instrText xml:space="preserve"> PAGEREF _Toc8810 \h </w:instrText>
      </w:r>
      <w:r>
        <w:fldChar w:fldCharType="separate"/>
      </w:r>
      <w:r>
        <w:t>2</w:t>
      </w:r>
      <w:r>
        <w:fldChar w:fldCharType="end"/>
      </w:r>
      <w:r>
        <w:fldChar w:fldCharType="end"/>
      </w:r>
    </w:p>
    <w:p>
      <w:pPr>
        <w:pStyle w:val="18"/>
        <w:tabs>
          <w:tab w:val="right" w:leader="dot" w:pos="8306"/>
        </w:tabs>
      </w:pPr>
      <w:r>
        <w:fldChar w:fldCharType="begin"/>
      </w:r>
      <w:r>
        <w:instrText xml:space="preserve"> HYPERLINK \l _Toc29477 </w:instrText>
      </w:r>
      <w:r>
        <w:fldChar w:fldCharType="separate"/>
      </w:r>
      <w:r>
        <w:rPr>
          <w:rFonts w:hint="eastAsia" w:ascii="黑体" w:hAnsi="黑体" w:eastAsia="黑体"/>
          <w:bCs/>
          <w:szCs w:val="30"/>
        </w:rPr>
        <w:t>一、《示范文本》的组成</w:t>
      </w:r>
      <w:r>
        <w:tab/>
      </w:r>
      <w:r>
        <w:fldChar w:fldCharType="begin"/>
      </w:r>
      <w:r>
        <w:instrText xml:space="preserve"> PAGEREF _Toc29477 \h </w:instrText>
      </w:r>
      <w:r>
        <w:fldChar w:fldCharType="separate"/>
      </w:r>
      <w:r>
        <w:t>2</w:t>
      </w:r>
      <w:r>
        <w:fldChar w:fldCharType="end"/>
      </w:r>
      <w:r>
        <w:fldChar w:fldCharType="end"/>
      </w:r>
    </w:p>
    <w:p>
      <w:pPr>
        <w:pStyle w:val="18"/>
        <w:tabs>
          <w:tab w:val="right" w:leader="dot" w:pos="8306"/>
        </w:tabs>
      </w:pPr>
      <w:r>
        <w:fldChar w:fldCharType="begin"/>
      </w:r>
      <w:r>
        <w:instrText xml:space="preserve"> HYPERLINK \l _Toc22607 </w:instrText>
      </w:r>
      <w:r>
        <w:fldChar w:fldCharType="separate"/>
      </w:r>
      <w:r>
        <w:rPr>
          <w:rFonts w:hint="eastAsia" w:ascii="仿宋_GB2312" w:eastAsia="仿宋_GB2312"/>
          <w:szCs w:val="30"/>
        </w:rPr>
        <w:t>（一）合同协议书</w:t>
      </w:r>
      <w:r>
        <w:tab/>
      </w:r>
      <w:r>
        <w:fldChar w:fldCharType="begin"/>
      </w:r>
      <w:r>
        <w:instrText xml:space="preserve"> PAGEREF _Toc22607 \h </w:instrText>
      </w:r>
      <w:r>
        <w:fldChar w:fldCharType="separate"/>
      </w:r>
      <w:r>
        <w:t>2</w:t>
      </w:r>
      <w:r>
        <w:fldChar w:fldCharType="end"/>
      </w:r>
      <w:r>
        <w:fldChar w:fldCharType="end"/>
      </w:r>
    </w:p>
    <w:p>
      <w:pPr>
        <w:pStyle w:val="18"/>
        <w:tabs>
          <w:tab w:val="right" w:leader="dot" w:pos="8306"/>
        </w:tabs>
      </w:pPr>
      <w:r>
        <w:fldChar w:fldCharType="begin"/>
      </w:r>
      <w:r>
        <w:instrText xml:space="preserve"> HYPERLINK \l _Toc1398 </w:instrText>
      </w:r>
      <w:r>
        <w:fldChar w:fldCharType="separate"/>
      </w:r>
      <w:r>
        <w:rPr>
          <w:rFonts w:hint="eastAsia" w:ascii="仿宋_GB2312" w:eastAsia="仿宋_GB2312"/>
          <w:szCs w:val="30"/>
        </w:rPr>
        <w:t>（二）通用合同条款</w:t>
      </w:r>
      <w:r>
        <w:tab/>
      </w:r>
      <w:r>
        <w:fldChar w:fldCharType="begin"/>
      </w:r>
      <w:r>
        <w:instrText xml:space="preserve"> PAGEREF _Toc1398 \h </w:instrText>
      </w:r>
      <w:r>
        <w:fldChar w:fldCharType="separate"/>
      </w:r>
      <w:r>
        <w:t>2</w:t>
      </w:r>
      <w:r>
        <w:fldChar w:fldCharType="end"/>
      </w:r>
      <w:r>
        <w:fldChar w:fldCharType="end"/>
      </w:r>
    </w:p>
    <w:p>
      <w:pPr>
        <w:pStyle w:val="18"/>
        <w:tabs>
          <w:tab w:val="right" w:leader="dot" w:pos="8306"/>
        </w:tabs>
      </w:pPr>
      <w:r>
        <w:fldChar w:fldCharType="begin"/>
      </w:r>
      <w:r>
        <w:instrText xml:space="preserve"> HYPERLINK \l _Toc1 </w:instrText>
      </w:r>
      <w:r>
        <w:fldChar w:fldCharType="separate"/>
      </w:r>
      <w:r>
        <w:rPr>
          <w:rFonts w:hint="eastAsia" w:ascii="仿宋_GB2312" w:eastAsia="仿宋_GB2312"/>
          <w:szCs w:val="30"/>
        </w:rPr>
        <w:t>（三）专用合同条款</w:t>
      </w:r>
      <w:r>
        <w:tab/>
      </w:r>
      <w:r>
        <w:fldChar w:fldCharType="begin"/>
      </w:r>
      <w:r>
        <w:instrText xml:space="preserve"> PAGEREF _Toc1 \h </w:instrText>
      </w:r>
      <w:r>
        <w:fldChar w:fldCharType="separate"/>
      </w:r>
      <w:r>
        <w:t>3</w:t>
      </w:r>
      <w:r>
        <w:fldChar w:fldCharType="end"/>
      </w:r>
      <w:r>
        <w:fldChar w:fldCharType="end"/>
      </w:r>
    </w:p>
    <w:p>
      <w:pPr>
        <w:pStyle w:val="18"/>
        <w:tabs>
          <w:tab w:val="right" w:leader="dot" w:pos="8306"/>
        </w:tabs>
      </w:pPr>
      <w:r>
        <w:fldChar w:fldCharType="begin"/>
      </w:r>
      <w:r>
        <w:instrText xml:space="preserve"> HYPERLINK \l _Toc655 </w:instrText>
      </w:r>
      <w:r>
        <w:fldChar w:fldCharType="separate"/>
      </w:r>
      <w:r>
        <w:rPr>
          <w:rFonts w:hint="eastAsia" w:ascii="黑体" w:hAnsi="黑体" w:eastAsia="黑体"/>
          <w:bCs/>
          <w:szCs w:val="30"/>
        </w:rPr>
        <w:t>二、《示范文本》的性质和适用范围</w:t>
      </w:r>
      <w:r>
        <w:tab/>
      </w:r>
      <w:r>
        <w:fldChar w:fldCharType="begin"/>
      </w:r>
      <w:r>
        <w:instrText xml:space="preserve"> PAGEREF _Toc655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_Toc31688 </w:instrText>
      </w:r>
      <w:r>
        <w:fldChar w:fldCharType="separate"/>
      </w:r>
      <w:r>
        <w:rPr>
          <w:rFonts w:ascii="华文中宋" w:hAnsi="华文中宋" w:eastAsia="华文中宋"/>
          <w:szCs w:val="44"/>
        </w:rPr>
        <w:t>第一部分 合同协议书</w:t>
      </w:r>
      <w:r>
        <w:tab/>
      </w:r>
      <w:r>
        <w:fldChar w:fldCharType="begin"/>
      </w:r>
      <w:r>
        <w:instrText xml:space="preserve"> PAGEREF _Toc31688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_Toc18211 </w:instrText>
      </w:r>
      <w:r>
        <w:fldChar w:fldCharType="separate"/>
      </w:r>
      <w:r>
        <w:rPr>
          <w:rFonts w:ascii="华文中宋" w:hAnsi="华文中宋" w:eastAsia="华文中宋"/>
          <w:szCs w:val="44"/>
        </w:rPr>
        <w:t>第二部分 通用合同条款</w:t>
      </w:r>
      <w:r>
        <w:tab/>
      </w:r>
      <w:r>
        <w:fldChar w:fldCharType="begin"/>
      </w:r>
      <w:r>
        <w:instrText xml:space="preserve"> PAGEREF _Toc18211 \h </w:instrText>
      </w:r>
      <w:r>
        <w:fldChar w:fldCharType="separate"/>
      </w:r>
      <w:r>
        <w:t>11</w:t>
      </w:r>
      <w:r>
        <w:fldChar w:fldCharType="end"/>
      </w:r>
      <w:r>
        <w:fldChar w:fldCharType="end"/>
      </w:r>
    </w:p>
    <w:p>
      <w:pPr>
        <w:pStyle w:val="18"/>
        <w:tabs>
          <w:tab w:val="right" w:leader="dot" w:pos="8306"/>
        </w:tabs>
      </w:pPr>
      <w:r>
        <w:fldChar w:fldCharType="begin"/>
      </w:r>
      <w:r>
        <w:instrText xml:space="preserve"> HYPERLINK \l _Toc21227 </w:instrText>
      </w:r>
      <w:r>
        <w:fldChar w:fldCharType="separate"/>
      </w:r>
      <w:r>
        <w:rPr>
          <w:rFonts w:eastAsia="仿宋_GB2312"/>
          <w:kern w:val="0"/>
          <w:szCs w:val="32"/>
        </w:rPr>
        <w:t>5.2.1 发包人的质量管理</w:t>
      </w:r>
      <w:r>
        <w:tab/>
      </w:r>
      <w:r>
        <w:fldChar w:fldCharType="begin"/>
      </w:r>
      <w:r>
        <w:instrText xml:space="preserve"> PAGEREF _Toc21227 \h </w:instrText>
      </w:r>
      <w:r>
        <w:fldChar w:fldCharType="separate"/>
      </w:r>
      <w:r>
        <w:t>36</w:t>
      </w:r>
      <w:r>
        <w:fldChar w:fldCharType="end"/>
      </w:r>
      <w:r>
        <w:fldChar w:fldCharType="end"/>
      </w:r>
    </w:p>
    <w:p>
      <w:pPr>
        <w:pStyle w:val="18"/>
        <w:tabs>
          <w:tab w:val="right" w:leader="dot" w:pos="8306"/>
        </w:tabs>
      </w:pPr>
      <w:r>
        <w:fldChar w:fldCharType="begin"/>
      </w:r>
      <w:r>
        <w:instrText xml:space="preserve"> HYPERLINK \l _Toc27962 </w:instrText>
      </w:r>
      <w:r>
        <w:fldChar w:fldCharType="separate"/>
      </w:r>
      <w:r>
        <w:rPr>
          <w:rFonts w:eastAsia="仿宋_GB2312"/>
          <w:kern w:val="0"/>
          <w:szCs w:val="32"/>
        </w:rPr>
        <w:t>5.2.3 监理人的质量检查和检验</w:t>
      </w:r>
      <w:r>
        <w:tab/>
      </w:r>
      <w:r>
        <w:fldChar w:fldCharType="begin"/>
      </w:r>
      <w:r>
        <w:instrText xml:space="preserve"> PAGEREF _Toc27962 \h </w:instrText>
      </w:r>
      <w:r>
        <w:fldChar w:fldCharType="separate"/>
      </w:r>
      <w:r>
        <w:t>37</w:t>
      </w:r>
      <w:r>
        <w:fldChar w:fldCharType="end"/>
      </w:r>
      <w:r>
        <w:fldChar w:fldCharType="end"/>
      </w:r>
    </w:p>
    <w:p>
      <w:pPr>
        <w:pStyle w:val="18"/>
        <w:tabs>
          <w:tab w:val="right" w:leader="dot" w:pos="8306"/>
        </w:tabs>
      </w:pPr>
      <w:r>
        <w:fldChar w:fldCharType="begin"/>
      </w:r>
      <w:r>
        <w:instrText xml:space="preserve"> HYPERLINK \l _Toc4037 </w:instrText>
      </w:r>
      <w:r>
        <w:fldChar w:fldCharType="separate"/>
      </w:r>
      <w:r>
        <w:rPr>
          <w:rFonts w:eastAsia="黑体"/>
          <w:bCs/>
          <w:szCs w:val="32"/>
        </w:rPr>
        <w:t>7.8</w:t>
      </w:r>
      <w:r>
        <w:rPr>
          <w:rFonts w:hint="eastAsia" w:eastAsia="黑体"/>
          <w:bCs/>
          <w:szCs w:val="32"/>
        </w:rPr>
        <w:t xml:space="preserve"> </w:t>
      </w:r>
      <w:r>
        <w:rPr>
          <w:rFonts w:eastAsia="黑体"/>
          <w:bCs/>
          <w:szCs w:val="32"/>
        </w:rPr>
        <w:t>暂停施工</w:t>
      </w:r>
      <w:r>
        <w:tab/>
      </w:r>
      <w:r>
        <w:fldChar w:fldCharType="begin"/>
      </w:r>
      <w:r>
        <w:instrText xml:space="preserve"> PAGEREF _Toc4037 \h </w:instrText>
      </w:r>
      <w:r>
        <w:fldChar w:fldCharType="separate"/>
      </w:r>
      <w:r>
        <w:t>50</w:t>
      </w:r>
      <w:r>
        <w:fldChar w:fldCharType="end"/>
      </w:r>
      <w:r>
        <w:fldChar w:fldCharType="end"/>
      </w:r>
    </w:p>
    <w:p>
      <w:pPr>
        <w:pStyle w:val="18"/>
        <w:tabs>
          <w:tab w:val="right" w:leader="dot" w:pos="8306"/>
        </w:tabs>
      </w:pPr>
      <w:r>
        <w:fldChar w:fldCharType="begin"/>
      </w:r>
      <w:r>
        <w:instrText xml:space="preserve"> HYPERLINK \l _Toc5228 </w:instrText>
      </w:r>
      <w:r>
        <w:fldChar w:fldCharType="separate"/>
      </w:r>
      <w:r>
        <w:rPr>
          <w:rFonts w:eastAsia="仿宋_GB2312"/>
          <w:szCs w:val="32"/>
        </w:rPr>
        <w:t>12.4</w:t>
      </w:r>
      <w:r>
        <w:rPr>
          <w:rFonts w:eastAsia="仿宋_GB2312"/>
          <w:kern w:val="0"/>
          <w:szCs w:val="32"/>
        </w:rPr>
        <w:t>.1 付款周期</w:t>
      </w:r>
      <w:r>
        <w:tab/>
      </w:r>
      <w:r>
        <w:fldChar w:fldCharType="begin"/>
      </w:r>
      <w:r>
        <w:instrText xml:space="preserve"> PAGEREF _Toc5228 \h </w:instrText>
      </w:r>
      <w:r>
        <w:fldChar w:fldCharType="separate"/>
      </w:r>
      <w:r>
        <w:t>74</w:t>
      </w:r>
      <w:r>
        <w:fldChar w:fldCharType="end"/>
      </w:r>
      <w:r>
        <w:fldChar w:fldCharType="end"/>
      </w:r>
    </w:p>
    <w:p>
      <w:pPr>
        <w:pStyle w:val="18"/>
        <w:tabs>
          <w:tab w:val="right" w:leader="dot" w:pos="8306"/>
        </w:tabs>
      </w:pPr>
      <w:r>
        <w:fldChar w:fldCharType="begin"/>
      </w:r>
      <w:r>
        <w:instrText xml:space="preserve"> HYPERLINK \l _Toc16275 </w:instrText>
      </w:r>
      <w:r>
        <w:fldChar w:fldCharType="separate"/>
      </w:r>
      <w:r>
        <w:rPr>
          <w:rFonts w:eastAsia="仿宋_GB2312"/>
          <w:kern w:val="0"/>
          <w:szCs w:val="32"/>
        </w:rPr>
        <w:t>12.4.3 进度付款申请单的提交</w:t>
      </w:r>
      <w:r>
        <w:tab/>
      </w:r>
      <w:r>
        <w:fldChar w:fldCharType="begin"/>
      </w:r>
      <w:r>
        <w:instrText xml:space="preserve"> PAGEREF _Toc16275 \h </w:instrText>
      </w:r>
      <w:r>
        <w:fldChar w:fldCharType="separate"/>
      </w:r>
      <w:r>
        <w:t>75</w:t>
      </w:r>
      <w:r>
        <w:fldChar w:fldCharType="end"/>
      </w:r>
      <w:r>
        <w:fldChar w:fldCharType="end"/>
      </w:r>
    </w:p>
    <w:p>
      <w:pPr>
        <w:pStyle w:val="18"/>
        <w:tabs>
          <w:tab w:val="right" w:leader="dot" w:pos="8306"/>
        </w:tabs>
      </w:pPr>
      <w:r>
        <w:fldChar w:fldCharType="begin"/>
      </w:r>
      <w:r>
        <w:instrText xml:space="preserve"> HYPERLINK \l _Toc22780 </w:instrText>
      </w:r>
      <w:r>
        <w:fldChar w:fldCharType="separate"/>
      </w:r>
      <w:r>
        <w:rPr>
          <w:rFonts w:eastAsia="仿宋_GB2312"/>
          <w:kern w:val="0"/>
          <w:szCs w:val="32"/>
        </w:rPr>
        <w:t>13.2.4 拒绝接收全部或部分工程</w:t>
      </w:r>
      <w:r>
        <w:tab/>
      </w:r>
      <w:r>
        <w:fldChar w:fldCharType="begin"/>
      </w:r>
      <w:r>
        <w:instrText xml:space="preserve"> PAGEREF _Toc22780 \h </w:instrText>
      </w:r>
      <w:r>
        <w:fldChar w:fldCharType="separate"/>
      </w:r>
      <w:r>
        <w:t>80</w:t>
      </w:r>
      <w:r>
        <w:fldChar w:fldCharType="end"/>
      </w:r>
      <w:r>
        <w:fldChar w:fldCharType="end"/>
      </w:r>
    </w:p>
    <w:p>
      <w:pPr>
        <w:pStyle w:val="12"/>
        <w:tabs>
          <w:tab w:val="right" w:leader="dot" w:pos="8306"/>
        </w:tabs>
      </w:pPr>
      <w:r>
        <w:fldChar w:fldCharType="begin"/>
      </w:r>
      <w:r>
        <w:instrText xml:space="preserve"> HYPERLINK \l _Toc10650 </w:instrText>
      </w:r>
      <w:r>
        <w:fldChar w:fldCharType="separate"/>
      </w:r>
      <w:r>
        <w:rPr>
          <w:rFonts w:hint="eastAsia" w:ascii="华文中宋" w:hAnsi="华文中宋" w:eastAsia="华文中宋"/>
          <w:szCs w:val="44"/>
        </w:rPr>
        <w:t>第三部分 专用合同条款</w:t>
      </w:r>
      <w:r>
        <w:tab/>
      </w:r>
      <w:r>
        <w:fldChar w:fldCharType="begin"/>
      </w:r>
      <w:r>
        <w:instrText xml:space="preserve"> PAGEREF _Toc10650 \h </w:instrText>
      </w:r>
      <w:r>
        <w:fldChar w:fldCharType="separate"/>
      </w:r>
      <w:r>
        <w:t>106</w:t>
      </w:r>
      <w:r>
        <w:fldChar w:fldCharType="end"/>
      </w:r>
      <w:r>
        <w:fldChar w:fldCharType="end"/>
      </w:r>
    </w:p>
    <w:p>
      <w:pPr>
        <w:pStyle w:val="18"/>
        <w:tabs>
          <w:tab w:val="right" w:leader="dot" w:pos="8306"/>
        </w:tabs>
      </w:pPr>
      <w:r>
        <w:fldChar w:fldCharType="begin"/>
      </w:r>
      <w:r>
        <w:instrText xml:space="preserve"> HYPERLINK \l _Toc22752 </w:instrText>
      </w:r>
      <w:r>
        <w:fldChar w:fldCharType="separate"/>
      </w:r>
      <w:r>
        <w:rPr>
          <w:rFonts w:hint="eastAsia" w:ascii="黑体" w:hAnsi="黑体" w:eastAsia="黑体"/>
          <w:bCs w:val="0"/>
        </w:rPr>
        <w:t>第五章  工程量清单</w:t>
      </w:r>
      <w:r>
        <w:tab/>
      </w:r>
      <w:r>
        <w:fldChar w:fldCharType="begin"/>
      </w:r>
      <w:r>
        <w:instrText xml:space="preserve"> PAGEREF _Toc22752 \h </w:instrText>
      </w:r>
      <w:r>
        <w:fldChar w:fldCharType="separate"/>
      </w:r>
      <w:r>
        <w:t>157</w:t>
      </w:r>
      <w:r>
        <w:fldChar w:fldCharType="end"/>
      </w:r>
      <w:r>
        <w:fldChar w:fldCharType="end"/>
      </w:r>
    </w:p>
    <w:p>
      <w:pPr>
        <w:pStyle w:val="20"/>
        <w:tabs>
          <w:tab w:val="right" w:leader="dot" w:pos="8306"/>
        </w:tabs>
      </w:pPr>
      <w:r>
        <w:fldChar w:fldCharType="begin"/>
      </w:r>
      <w:r>
        <w:instrText xml:space="preserve"> HYPERLINK \l _Toc16538 </w:instrText>
      </w:r>
      <w:r>
        <w:fldChar w:fldCharType="separate"/>
      </w:r>
      <w:r>
        <w:rPr>
          <w:rFonts w:hint="eastAsia"/>
          <w:szCs w:val="24"/>
        </w:rPr>
        <w:t>1、招标工程量清单说明</w:t>
      </w:r>
      <w:r>
        <w:tab/>
      </w:r>
      <w:r>
        <w:fldChar w:fldCharType="begin"/>
      </w:r>
      <w:r>
        <w:instrText xml:space="preserve"> PAGEREF _Toc16538 \h </w:instrText>
      </w:r>
      <w:r>
        <w:fldChar w:fldCharType="separate"/>
      </w:r>
      <w:r>
        <w:t>158</w:t>
      </w:r>
      <w:r>
        <w:fldChar w:fldCharType="end"/>
      </w:r>
      <w:r>
        <w:fldChar w:fldCharType="end"/>
      </w:r>
    </w:p>
    <w:p>
      <w:pPr>
        <w:pStyle w:val="20"/>
        <w:tabs>
          <w:tab w:val="right" w:leader="dot" w:pos="8306"/>
        </w:tabs>
      </w:pPr>
      <w:r>
        <w:fldChar w:fldCharType="begin"/>
      </w:r>
      <w:r>
        <w:instrText xml:space="preserve"> HYPERLINK \l _Toc24058 </w:instrText>
      </w:r>
      <w:r>
        <w:fldChar w:fldCharType="separate"/>
      </w:r>
      <w:r>
        <w:rPr>
          <w:rFonts w:hint="eastAsia"/>
          <w:szCs w:val="24"/>
        </w:rPr>
        <w:t>2、投标报价说明</w:t>
      </w:r>
      <w:r>
        <w:tab/>
      </w:r>
      <w:r>
        <w:fldChar w:fldCharType="begin"/>
      </w:r>
      <w:r>
        <w:instrText xml:space="preserve"> PAGEREF _Toc24058 \h </w:instrText>
      </w:r>
      <w:r>
        <w:fldChar w:fldCharType="separate"/>
      </w:r>
      <w:r>
        <w:t>159</w:t>
      </w:r>
      <w:r>
        <w:fldChar w:fldCharType="end"/>
      </w:r>
      <w:r>
        <w:fldChar w:fldCharType="end"/>
      </w:r>
    </w:p>
    <w:p>
      <w:pPr>
        <w:pStyle w:val="20"/>
        <w:tabs>
          <w:tab w:val="right" w:leader="dot" w:pos="8306"/>
        </w:tabs>
      </w:pPr>
      <w:r>
        <w:fldChar w:fldCharType="begin"/>
      </w:r>
      <w:r>
        <w:instrText xml:space="preserve"> HYPERLINK \l _Toc10401 </w:instrText>
      </w:r>
      <w:r>
        <w:fldChar w:fldCharType="separate"/>
      </w:r>
      <w:r>
        <w:rPr>
          <w:rFonts w:hint="eastAsia"/>
          <w:szCs w:val="24"/>
        </w:rPr>
        <w:t>3、其他说明</w:t>
      </w:r>
      <w:r>
        <w:tab/>
      </w:r>
      <w:r>
        <w:fldChar w:fldCharType="begin"/>
      </w:r>
      <w:r>
        <w:instrText xml:space="preserve"> PAGEREF _Toc10401 \h </w:instrText>
      </w:r>
      <w:r>
        <w:fldChar w:fldCharType="separate"/>
      </w:r>
      <w:r>
        <w:t>161</w:t>
      </w:r>
      <w:r>
        <w:fldChar w:fldCharType="end"/>
      </w:r>
      <w:r>
        <w:fldChar w:fldCharType="end"/>
      </w:r>
    </w:p>
    <w:p>
      <w:pPr>
        <w:pStyle w:val="20"/>
        <w:tabs>
          <w:tab w:val="right" w:leader="dot" w:pos="8306"/>
        </w:tabs>
      </w:pPr>
      <w:r>
        <w:fldChar w:fldCharType="begin"/>
      </w:r>
      <w:r>
        <w:instrText xml:space="preserve"> HYPERLINK \l _Toc16133 </w:instrText>
      </w:r>
      <w:r>
        <w:fldChar w:fldCharType="separate"/>
      </w:r>
      <w:r>
        <w:rPr>
          <w:rFonts w:hint="eastAsia"/>
          <w:szCs w:val="28"/>
        </w:rPr>
        <w:t>4、工程量清单与计价表</w:t>
      </w:r>
      <w:r>
        <w:tab/>
      </w:r>
      <w:r>
        <w:fldChar w:fldCharType="begin"/>
      </w:r>
      <w:r>
        <w:instrText xml:space="preserve"> PAGEREF _Toc16133 \h </w:instrText>
      </w:r>
      <w:r>
        <w:fldChar w:fldCharType="separate"/>
      </w:r>
      <w:r>
        <w:t>163</w:t>
      </w:r>
      <w:r>
        <w:fldChar w:fldCharType="end"/>
      </w:r>
      <w:r>
        <w:fldChar w:fldCharType="end"/>
      </w:r>
    </w:p>
    <w:p>
      <w:pPr>
        <w:pStyle w:val="18"/>
        <w:tabs>
          <w:tab w:val="right" w:leader="dot" w:pos="8306"/>
        </w:tabs>
      </w:pPr>
      <w:r>
        <w:fldChar w:fldCharType="begin"/>
      </w:r>
      <w:r>
        <w:instrText xml:space="preserve"> HYPERLINK \l _Toc15553 </w:instrText>
      </w:r>
      <w:r>
        <w:fldChar w:fldCharType="separate"/>
      </w:r>
      <w:r>
        <w:rPr>
          <w:rFonts w:hint="eastAsia" w:ascii="黑体" w:hAnsi="黑体" w:eastAsia="黑体"/>
          <w:bCs w:val="0"/>
          <w:szCs w:val="48"/>
        </w:rPr>
        <w:t>第二卷</w:t>
      </w:r>
      <w:r>
        <w:tab/>
      </w:r>
      <w:r>
        <w:fldChar w:fldCharType="begin"/>
      </w:r>
      <w:r>
        <w:instrText xml:space="preserve"> PAGEREF _Toc15553 \h </w:instrText>
      </w:r>
      <w:r>
        <w:fldChar w:fldCharType="separate"/>
      </w:r>
      <w:r>
        <w:t>164</w:t>
      </w:r>
      <w:r>
        <w:fldChar w:fldCharType="end"/>
      </w:r>
      <w:r>
        <w:fldChar w:fldCharType="end"/>
      </w:r>
    </w:p>
    <w:p>
      <w:pPr>
        <w:pStyle w:val="18"/>
        <w:tabs>
          <w:tab w:val="right" w:leader="dot" w:pos="8306"/>
        </w:tabs>
      </w:pPr>
      <w:r>
        <w:fldChar w:fldCharType="begin"/>
      </w:r>
      <w:r>
        <w:instrText xml:space="preserve"> HYPERLINK \l _Toc21766 </w:instrText>
      </w:r>
      <w:r>
        <w:fldChar w:fldCharType="separate"/>
      </w:r>
      <w:r>
        <w:rPr>
          <w:rFonts w:ascii="黑体" w:hAnsi="黑体" w:eastAsia="黑体"/>
          <w:bCs w:val="0"/>
        </w:rPr>
        <w:t>第</w:t>
      </w:r>
      <w:r>
        <w:rPr>
          <w:rFonts w:hint="eastAsia" w:ascii="黑体" w:hAnsi="黑体" w:eastAsia="黑体"/>
          <w:bCs w:val="0"/>
        </w:rPr>
        <w:t>六</w:t>
      </w:r>
      <w:r>
        <w:rPr>
          <w:rFonts w:ascii="黑体" w:hAnsi="黑体" w:eastAsia="黑体"/>
          <w:bCs w:val="0"/>
        </w:rPr>
        <w:t>章</w:t>
      </w:r>
      <w:r>
        <w:rPr>
          <w:rFonts w:hint="eastAsia" w:ascii="黑体" w:hAnsi="黑体" w:eastAsia="黑体"/>
          <w:bCs w:val="0"/>
        </w:rPr>
        <w:t xml:space="preserve">  图  纸</w:t>
      </w:r>
      <w:r>
        <w:tab/>
      </w:r>
      <w:r>
        <w:fldChar w:fldCharType="begin"/>
      </w:r>
      <w:r>
        <w:instrText xml:space="preserve"> PAGEREF _Toc21766 \h </w:instrText>
      </w:r>
      <w:r>
        <w:fldChar w:fldCharType="separate"/>
      </w:r>
      <w:r>
        <w:t>165</w:t>
      </w:r>
      <w:r>
        <w:fldChar w:fldCharType="end"/>
      </w:r>
      <w:r>
        <w:fldChar w:fldCharType="end"/>
      </w:r>
    </w:p>
    <w:p>
      <w:pPr>
        <w:pStyle w:val="20"/>
        <w:tabs>
          <w:tab w:val="right" w:leader="dot" w:pos="8306"/>
        </w:tabs>
      </w:pPr>
      <w:r>
        <w:fldChar w:fldCharType="begin"/>
      </w:r>
      <w:r>
        <w:instrText xml:space="preserve"> HYPERLINK \l _Toc6970 </w:instrText>
      </w:r>
      <w:r>
        <w:fldChar w:fldCharType="separate"/>
      </w:r>
      <w:r>
        <w:rPr>
          <w:rFonts w:hint="eastAsia"/>
          <w:szCs w:val="24"/>
        </w:rPr>
        <w:t>1．图纸目录</w:t>
      </w:r>
      <w:r>
        <w:tab/>
      </w:r>
      <w:r>
        <w:fldChar w:fldCharType="begin"/>
      </w:r>
      <w:r>
        <w:instrText xml:space="preserve"> PAGEREF _Toc6970 \h </w:instrText>
      </w:r>
      <w:r>
        <w:fldChar w:fldCharType="separate"/>
      </w:r>
      <w:r>
        <w:t>166</w:t>
      </w:r>
      <w:r>
        <w:fldChar w:fldCharType="end"/>
      </w:r>
      <w:r>
        <w:fldChar w:fldCharType="end"/>
      </w:r>
    </w:p>
    <w:p>
      <w:pPr>
        <w:pStyle w:val="20"/>
        <w:tabs>
          <w:tab w:val="right" w:leader="dot" w:pos="8306"/>
        </w:tabs>
      </w:pPr>
      <w:r>
        <w:fldChar w:fldCharType="begin"/>
      </w:r>
      <w:r>
        <w:instrText xml:space="preserve"> HYPERLINK \l _Toc4425 </w:instrText>
      </w:r>
      <w:r>
        <w:fldChar w:fldCharType="separate"/>
      </w:r>
      <w:r>
        <w:rPr>
          <w:rFonts w:hint="eastAsia"/>
          <w:szCs w:val="24"/>
        </w:rPr>
        <w:t>2．图  纸</w:t>
      </w:r>
      <w:r>
        <w:tab/>
      </w:r>
      <w:r>
        <w:fldChar w:fldCharType="begin"/>
      </w:r>
      <w:r>
        <w:instrText xml:space="preserve"> PAGEREF _Toc4425 \h </w:instrText>
      </w:r>
      <w:r>
        <w:fldChar w:fldCharType="separate"/>
      </w:r>
      <w:r>
        <w:t>167</w:t>
      </w:r>
      <w:r>
        <w:fldChar w:fldCharType="end"/>
      </w:r>
      <w:r>
        <w:fldChar w:fldCharType="end"/>
      </w:r>
    </w:p>
    <w:p>
      <w:pPr>
        <w:pStyle w:val="18"/>
        <w:tabs>
          <w:tab w:val="right" w:leader="dot" w:pos="8306"/>
        </w:tabs>
      </w:pPr>
      <w:r>
        <w:fldChar w:fldCharType="begin"/>
      </w:r>
      <w:r>
        <w:instrText xml:space="preserve"> HYPERLINK \l _Toc13322 </w:instrText>
      </w:r>
      <w:r>
        <w:fldChar w:fldCharType="separate"/>
      </w:r>
      <w:r>
        <w:rPr>
          <w:rFonts w:hint="eastAsia" w:ascii="黑体" w:hAnsi="黑体" w:eastAsia="黑体"/>
          <w:bCs w:val="0"/>
          <w:szCs w:val="48"/>
        </w:rPr>
        <w:t>第三卷</w:t>
      </w:r>
      <w:r>
        <w:tab/>
      </w:r>
      <w:r>
        <w:fldChar w:fldCharType="begin"/>
      </w:r>
      <w:r>
        <w:instrText xml:space="preserve"> PAGEREF _Toc13322 \h </w:instrText>
      </w:r>
      <w:r>
        <w:fldChar w:fldCharType="separate"/>
      </w:r>
      <w:r>
        <w:t>168</w:t>
      </w:r>
      <w:r>
        <w:fldChar w:fldCharType="end"/>
      </w:r>
      <w:r>
        <w:fldChar w:fldCharType="end"/>
      </w:r>
    </w:p>
    <w:p>
      <w:pPr>
        <w:pStyle w:val="18"/>
        <w:tabs>
          <w:tab w:val="right" w:leader="dot" w:pos="8306"/>
        </w:tabs>
      </w:pPr>
      <w:r>
        <w:fldChar w:fldCharType="begin"/>
      </w:r>
      <w:r>
        <w:instrText xml:space="preserve"> HYPERLINK \l _Toc24619 </w:instrText>
      </w:r>
      <w:r>
        <w:fldChar w:fldCharType="separate"/>
      </w:r>
      <w:r>
        <w:rPr>
          <w:rFonts w:hint="eastAsia" w:ascii="黑体" w:hAnsi="黑体" w:eastAsia="黑体"/>
          <w:bCs w:val="0"/>
        </w:rPr>
        <w:t>第七章  技术标准和要求</w:t>
      </w:r>
      <w:r>
        <w:tab/>
      </w:r>
      <w:r>
        <w:fldChar w:fldCharType="begin"/>
      </w:r>
      <w:r>
        <w:instrText xml:space="preserve"> PAGEREF _Toc24619 \h </w:instrText>
      </w:r>
      <w:r>
        <w:fldChar w:fldCharType="separate"/>
      </w:r>
      <w:r>
        <w:t>169</w:t>
      </w:r>
      <w:r>
        <w:fldChar w:fldCharType="end"/>
      </w:r>
      <w:r>
        <w:fldChar w:fldCharType="end"/>
      </w:r>
    </w:p>
    <w:p>
      <w:pPr>
        <w:pStyle w:val="20"/>
        <w:tabs>
          <w:tab w:val="right" w:leader="dot" w:pos="8306"/>
        </w:tabs>
      </w:pPr>
      <w:r>
        <w:fldChar w:fldCharType="begin"/>
      </w:r>
      <w:r>
        <w:instrText xml:space="preserve"> HYPERLINK \l _Toc29967 </w:instrText>
      </w:r>
      <w:r>
        <w:fldChar w:fldCharType="separate"/>
      </w:r>
      <w:r>
        <w:rPr>
          <w:rFonts w:hint="eastAsia"/>
        </w:rPr>
        <w:t>第一节 一般要求</w:t>
      </w:r>
      <w:r>
        <w:tab/>
      </w:r>
      <w:r>
        <w:fldChar w:fldCharType="begin"/>
      </w:r>
      <w:r>
        <w:instrText xml:space="preserve"> PAGEREF _Toc29967 \h </w:instrText>
      </w:r>
      <w:r>
        <w:fldChar w:fldCharType="separate"/>
      </w:r>
      <w:r>
        <w:t>170</w:t>
      </w:r>
      <w:r>
        <w:fldChar w:fldCharType="end"/>
      </w:r>
      <w:r>
        <w:fldChar w:fldCharType="end"/>
      </w:r>
    </w:p>
    <w:p>
      <w:pPr>
        <w:pStyle w:val="12"/>
        <w:tabs>
          <w:tab w:val="right" w:leader="dot" w:pos="8306"/>
        </w:tabs>
      </w:pPr>
      <w:r>
        <w:fldChar w:fldCharType="begin"/>
      </w:r>
      <w:r>
        <w:instrText xml:space="preserve"> HYPERLINK \l _Toc10043 </w:instrText>
      </w:r>
      <w:r>
        <w:fldChar w:fldCharType="separate"/>
      </w:r>
      <w:r>
        <w:rPr>
          <w:rFonts w:hint="eastAsia"/>
          <w:szCs w:val="28"/>
        </w:rPr>
        <w:t>1.工程说明</w:t>
      </w:r>
      <w:r>
        <w:tab/>
      </w:r>
      <w:r>
        <w:fldChar w:fldCharType="begin"/>
      </w:r>
      <w:r>
        <w:instrText xml:space="preserve"> PAGEREF _Toc10043 \h </w:instrText>
      </w:r>
      <w:r>
        <w:fldChar w:fldCharType="separate"/>
      </w:r>
      <w:r>
        <w:t>170</w:t>
      </w:r>
      <w:r>
        <w:fldChar w:fldCharType="end"/>
      </w:r>
      <w:r>
        <w:fldChar w:fldCharType="end"/>
      </w:r>
    </w:p>
    <w:p>
      <w:pPr>
        <w:pStyle w:val="12"/>
        <w:tabs>
          <w:tab w:val="right" w:leader="dot" w:pos="8306"/>
        </w:tabs>
      </w:pPr>
      <w:r>
        <w:fldChar w:fldCharType="begin"/>
      </w:r>
      <w:r>
        <w:instrText xml:space="preserve"> HYPERLINK \l _Toc18458 </w:instrText>
      </w:r>
      <w:r>
        <w:fldChar w:fldCharType="separate"/>
      </w:r>
      <w:r>
        <w:rPr>
          <w:rFonts w:hint="eastAsia"/>
          <w:szCs w:val="28"/>
        </w:rPr>
        <w:t>2.承包范围</w:t>
      </w:r>
      <w:r>
        <w:tab/>
      </w:r>
      <w:r>
        <w:fldChar w:fldCharType="begin"/>
      </w:r>
      <w:r>
        <w:instrText xml:space="preserve"> PAGEREF _Toc18458 \h </w:instrText>
      </w:r>
      <w:r>
        <w:fldChar w:fldCharType="separate"/>
      </w:r>
      <w:r>
        <w:t>171</w:t>
      </w:r>
      <w:r>
        <w:fldChar w:fldCharType="end"/>
      </w:r>
      <w:r>
        <w:fldChar w:fldCharType="end"/>
      </w:r>
    </w:p>
    <w:p>
      <w:pPr>
        <w:pStyle w:val="12"/>
        <w:tabs>
          <w:tab w:val="right" w:leader="dot" w:pos="8306"/>
        </w:tabs>
      </w:pPr>
      <w:r>
        <w:fldChar w:fldCharType="begin"/>
      </w:r>
      <w:r>
        <w:instrText xml:space="preserve"> HYPERLINK \l _Toc24965 </w:instrText>
      </w:r>
      <w:r>
        <w:fldChar w:fldCharType="separate"/>
      </w:r>
      <w:r>
        <w:rPr>
          <w:rFonts w:hint="eastAsia"/>
          <w:szCs w:val="28"/>
        </w:rPr>
        <w:t>3.工期要求</w:t>
      </w:r>
      <w:r>
        <w:tab/>
      </w:r>
      <w:r>
        <w:fldChar w:fldCharType="begin"/>
      </w:r>
      <w:r>
        <w:instrText xml:space="preserve"> PAGEREF _Toc24965 \h </w:instrText>
      </w:r>
      <w:r>
        <w:fldChar w:fldCharType="separate"/>
      </w:r>
      <w:r>
        <w:t>172</w:t>
      </w:r>
      <w:r>
        <w:fldChar w:fldCharType="end"/>
      </w:r>
      <w:r>
        <w:fldChar w:fldCharType="end"/>
      </w:r>
    </w:p>
    <w:p>
      <w:pPr>
        <w:pStyle w:val="12"/>
        <w:tabs>
          <w:tab w:val="right" w:leader="dot" w:pos="8306"/>
        </w:tabs>
      </w:pPr>
      <w:r>
        <w:fldChar w:fldCharType="begin"/>
      </w:r>
      <w:r>
        <w:instrText xml:space="preserve"> HYPERLINK \l _Toc31389 </w:instrText>
      </w:r>
      <w:r>
        <w:fldChar w:fldCharType="separate"/>
      </w:r>
      <w:r>
        <w:rPr>
          <w:rFonts w:hint="eastAsia"/>
          <w:szCs w:val="28"/>
        </w:rPr>
        <w:t>4.质量要求</w:t>
      </w:r>
      <w:r>
        <w:tab/>
      </w:r>
      <w:r>
        <w:fldChar w:fldCharType="begin"/>
      </w:r>
      <w:r>
        <w:instrText xml:space="preserve"> PAGEREF _Toc31389 \h </w:instrText>
      </w:r>
      <w:r>
        <w:fldChar w:fldCharType="separate"/>
      </w:r>
      <w:r>
        <w:t>173</w:t>
      </w:r>
      <w:r>
        <w:fldChar w:fldCharType="end"/>
      </w:r>
      <w:r>
        <w:fldChar w:fldCharType="end"/>
      </w:r>
    </w:p>
    <w:p>
      <w:pPr>
        <w:pStyle w:val="12"/>
        <w:tabs>
          <w:tab w:val="right" w:leader="dot" w:pos="8306"/>
        </w:tabs>
      </w:pPr>
      <w:r>
        <w:fldChar w:fldCharType="begin"/>
      </w:r>
      <w:r>
        <w:instrText xml:space="preserve"> HYPERLINK \l _Toc13051 </w:instrText>
      </w:r>
      <w:r>
        <w:fldChar w:fldCharType="separate"/>
      </w:r>
      <w:r>
        <w:rPr>
          <w:rFonts w:hint="eastAsia"/>
          <w:szCs w:val="28"/>
        </w:rPr>
        <w:t>5.适用规范和标准</w:t>
      </w:r>
      <w:r>
        <w:tab/>
      </w:r>
      <w:r>
        <w:fldChar w:fldCharType="begin"/>
      </w:r>
      <w:r>
        <w:instrText xml:space="preserve"> PAGEREF _Toc13051 \h </w:instrText>
      </w:r>
      <w:r>
        <w:fldChar w:fldCharType="separate"/>
      </w:r>
      <w:r>
        <w:t>173</w:t>
      </w:r>
      <w:r>
        <w:fldChar w:fldCharType="end"/>
      </w:r>
      <w:r>
        <w:fldChar w:fldCharType="end"/>
      </w:r>
    </w:p>
    <w:p>
      <w:pPr>
        <w:pStyle w:val="12"/>
        <w:tabs>
          <w:tab w:val="right" w:leader="dot" w:pos="8306"/>
        </w:tabs>
      </w:pPr>
      <w:r>
        <w:fldChar w:fldCharType="begin"/>
      </w:r>
      <w:r>
        <w:instrText xml:space="preserve"> HYPERLINK \l _Toc9186 </w:instrText>
      </w:r>
      <w:r>
        <w:fldChar w:fldCharType="separate"/>
      </w:r>
      <w:r>
        <w:rPr>
          <w:rFonts w:hint="eastAsia"/>
          <w:szCs w:val="28"/>
        </w:rPr>
        <w:t>6.安全文明施工</w:t>
      </w:r>
      <w:r>
        <w:tab/>
      </w:r>
      <w:r>
        <w:fldChar w:fldCharType="begin"/>
      </w:r>
      <w:r>
        <w:instrText xml:space="preserve"> PAGEREF _Toc9186 \h </w:instrText>
      </w:r>
      <w:r>
        <w:fldChar w:fldCharType="separate"/>
      </w:r>
      <w:r>
        <w:t>173</w:t>
      </w:r>
      <w:r>
        <w:fldChar w:fldCharType="end"/>
      </w:r>
      <w:r>
        <w:fldChar w:fldCharType="end"/>
      </w:r>
    </w:p>
    <w:p>
      <w:pPr>
        <w:pStyle w:val="12"/>
        <w:tabs>
          <w:tab w:val="right" w:leader="dot" w:pos="8306"/>
        </w:tabs>
      </w:pPr>
      <w:r>
        <w:fldChar w:fldCharType="begin"/>
      </w:r>
      <w:r>
        <w:instrText xml:space="preserve"> HYPERLINK \l _Toc21590 </w:instrText>
      </w:r>
      <w:r>
        <w:fldChar w:fldCharType="separate"/>
      </w:r>
      <w:r>
        <w:rPr>
          <w:rFonts w:hint="eastAsia"/>
          <w:szCs w:val="28"/>
        </w:rPr>
        <w:t>7.治安保卫</w:t>
      </w:r>
      <w:r>
        <w:tab/>
      </w:r>
      <w:r>
        <w:fldChar w:fldCharType="begin"/>
      </w:r>
      <w:r>
        <w:instrText xml:space="preserve"> PAGEREF _Toc21590 \h </w:instrText>
      </w:r>
      <w:r>
        <w:fldChar w:fldCharType="separate"/>
      </w:r>
      <w:r>
        <w:t>182</w:t>
      </w:r>
      <w:r>
        <w:fldChar w:fldCharType="end"/>
      </w:r>
      <w:r>
        <w:fldChar w:fldCharType="end"/>
      </w:r>
    </w:p>
    <w:p>
      <w:pPr>
        <w:pStyle w:val="12"/>
        <w:tabs>
          <w:tab w:val="right" w:leader="dot" w:pos="8306"/>
        </w:tabs>
      </w:pPr>
      <w:r>
        <w:fldChar w:fldCharType="begin"/>
      </w:r>
      <w:r>
        <w:instrText xml:space="preserve"> HYPERLINK \l _Toc1520 </w:instrText>
      </w:r>
      <w:r>
        <w:fldChar w:fldCharType="separate"/>
      </w:r>
      <w:r>
        <w:rPr>
          <w:rFonts w:hint="eastAsia"/>
          <w:szCs w:val="28"/>
        </w:rPr>
        <w:t>8.地上、地下设施和周边建筑物的临时保护</w:t>
      </w:r>
      <w:r>
        <w:tab/>
      </w:r>
      <w:r>
        <w:fldChar w:fldCharType="begin"/>
      </w:r>
      <w:r>
        <w:instrText xml:space="preserve"> PAGEREF _Toc1520 \h </w:instrText>
      </w:r>
      <w:r>
        <w:fldChar w:fldCharType="separate"/>
      </w:r>
      <w:r>
        <w:t>183</w:t>
      </w:r>
      <w:r>
        <w:fldChar w:fldCharType="end"/>
      </w:r>
      <w:r>
        <w:fldChar w:fldCharType="end"/>
      </w:r>
    </w:p>
    <w:p>
      <w:pPr>
        <w:pStyle w:val="12"/>
        <w:tabs>
          <w:tab w:val="right" w:leader="dot" w:pos="8306"/>
        </w:tabs>
      </w:pPr>
      <w:r>
        <w:fldChar w:fldCharType="begin"/>
      </w:r>
      <w:r>
        <w:instrText xml:space="preserve"> HYPERLINK \l _Toc751 </w:instrText>
      </w:r>
      <w:r>
        <w:fldChar w:fldCharType="separate"/>
      </w:r>
      <w:r>
        <w:rPr>
          <w:rFonts w:hint="eastAsia"/>
          <w:szCs w:val="28"/>
        </w:rPr>
        <w:t>9.样品和材料代换</w:t>
      </w:r>
      <w:r>
        <w:tab/>
      </w:r>
      <w:r>
        <w:fldChar w:fldCharType="begin"/>
      </w:r>
      <w:r>
        <w:instrText xml:space="preserve"> PAGEREF _Toc751 \h </w:instrText>
      </w:r>
      <w:r>
        <w:fldChar w:fldCharType="separate"/>
      </w:r>
      <w:r>
        <w:t>183</w:t>
      </w:r>
      <w:r>
        <w:fldChar w:fldCharType="end"/>
      </w:r>
      <w:r>
        <w:fldChar w:fldCharType="end"/>
      </w:r>
    </w:p>
    <w:p>
      <w:pPr>
        <w:pStyle w:val="12"/>
        <w:tabs>
          <w:tab w:val="right" w:leader="dot" w:pos="8306"/>
        </w:tabs>
      </w:pPr>
      <w:r>
        <w:fldChar w:fldCharType="begin"/>
      </w:r>
      <w:r>
        <w:instrText xml:space="preserve"> HYPERLINK \l _Toc1662 </w:instrText>
      </w:r>
      <w:r>
        <w:fldChar w:fldCharType="separate"/>
      </w:r>
      <w:r>
        <w:rPr>
          <w:rFonts w:hint="eastAsia"/>
          <w:szCs w:val="28"/>
        </w:rPr>
        <w:t>10.进口材料和工程设备</w:t>
      </w:r>
      <w:r>
        <w:tab/>
      </w:r>
      <w:r>
        <w:fldChar w:fldCharType="begin"/>
      </w:r>
      <w:r>
        <w:instrText xml:space="preserve"> PAGEREF _Toc1662 \h </w:instrText>
      </w:r>
      <w:r>
        <w:fldChar w:fldCharType="separate"/>
      </w:r>
      <w:r>
        <w:t>185</w:t>
      </w:r>
      <w:r>
        <w:fldChar w:fldCharType="end"/>
      </w:r>
      <w:r>
        <w:fldChar w:fldCharType="end"/>
      </w:r>
    </w:p>
    <w:p>
      <w:pPr>
        <w:pStyle w:val="12"/>
        <w:tabs>
          <w:tab w:val="right" w:leader="dot" w:pos="8306"/>
        </w:tabs>
      </w:pPr>
      <w:r>
        <w:fldChar w:fldCharType="begin"/>
      </w:r>
      <w:r>
        <w:instrText xml:space="preserve"> HYPERLINK \l _Toc15447 </w:instrText>
      </w:r>
      <w:r>
        <w:fldChar w:fldCharType="separate"/>
      </w:r>
      <w:r>
        <w:rPr>
          <w:rFonts w:hint="eastAsia"/>
          <w:szCs w:val="28"/>
        </w:rPr>
        <w:t>11.进度报告和进度例会</w:t>
      </w:r>
      <w:r>
        <w:tab/>
      </w:r>
      <w:r>
        <w:fldChar w:fldCharType="begin"/>
      </w:r>
      <w:r>
        <w:instrText xml:space="preserve"> PAGEREF _Toc15447 \h </w:instrText>
      </w:r>
      <w:r>
        <w:fldChar w:fldCharType="separate"/>
      </w:r>
      <w:r>
        <w:t>185</w:t>
      </w:r>
      <w:r>
        <w:fldChar w:fldCharType="end"/>
      </w:r>
      <w:r>
        <w:fldChar w:fldCharType="end"/>
      </w:r>
    </w:p>
    <w:p>
      <w:pPr>
        <w:pStyle w:val="12"/>
        <w:tabs>
          <w:tab w:val="right" w:leader="dot" w:pos="8306"/>
        </w:tabs>
      </w:pPr>
      <w:r>
        <w:fldChar w:fldCharType="begin"/>
      </w:r>
      <w:r>
        <w:instrText xml:space="preserve"> HYPERLINK \l _Toc2221 </w:instrText>
      </w:r>
      <w:r>
        <w:fldChar w:fldCharType="separate"/>
      </w:r>
      <w:r>
        <w:rPr>
          <w:rFonts w:hint="eastAsia"/>
          <w:szCs w:val="28"/>
        </w:rPr>
        <w:t>12.试验和检验</w:t>
      </w:r>
      <w:r>
        <w:tab/>
      </w:r>
      <w:r>
        <w:fldChar w:fldCharType="begin"/>
      </w:r>
      <w:r>
        <w:instrText xml:space="preserve"> PAGEREF _Toc2221 \h </w:instrText>
      </w:r>
      <w:r>
        <w:fldChar w:fldCharType="separate"/>
      </w:r>
      <w:r>
        <w:t>186</w:t>
      </w:r>
      <w:r>
        <w:fldChar w:fldCharType="end"/>
      </w:r>
      <w:r>
        <w:fldChar w:fldCharType="end"/>
      </w:r>
    </w:p>
    <w:p>
      <w:pPr>
        <w:pStyle w:val="12"/>
        <w:tabs>
          <w:tab w:val="right" w:leader="dot" w:pos="8306"/>
        </w:tabs>
      </w:pPr>
      <w:r>
        <w:fldChar w:fldCharType="begin"/>
      </w:r>
      <w:r>
        <w:instrText xml:space="preserve"> HYPERLINK \l _Toc3000 </w:instrText>
      </w:r>
      <w:r>
        <w:fldChar w:fldCharType="separate"/>
      </w:r>
      <w:r>
        <w:rPr>
          <w:rFonts w:hint="eastAsia"/>
          <w:szCs w:val="28"/>
        </w:rPr>
        <w:t>13.计日工</w:t>
      </w:r>
      <w:r>
        <w:tab/>
      </w:r>
      <w:r>
        <w:fldChar w:fldCharType="begin"/>
      </w:r>
      <w:r>
        <w:instrText xml:space="preserve"> PAGEREF _Toc3000 \h </w:instrText>
      </w:r>
      <w:r>
        <w:fldChar w:fldCharType="separate"/>
      </w:r>
      <w:r>
        <w:t>187</w:t>
      </w:r>
      <w:r>
        <w:fldChar w:fldCharType="end"/>
      </w:r>
      <w:r>
        <w:fldChar w:fldCharType="end"/>
      </w:r>
    </w:p>
    <w:p>
      <w:pPr>
        <w:pStyle w:val="12"/>
        <w:tabs>
          <w:tab w:val="right" w:leader="dot" w:pos="8306"/>
        </w:tabs>
      </w:pPr>
      <w:r>
        <w:fldChar w:fldCharType="begin"/>
      </w:r>
      <w:r>
        <w:instrText xml:space="preserve"> HYPERLINK \l _Toc30045 </w:instrText>
      </w:r>
      <w:r>
        <w:fldChar w:fldCharType="separate"/>
      </w:r>
      <w:r>
        <w:rPr>
          <w:rFonts w:hint="eastAsia"/>
          <w:szCs w:val="28"/>
        </w:rPr>
        <w:t>14.计量与支付</w:t>
      </w:r>
      <w:r>
        <w:tab/>
      </w:r>
      <w:r>
        <w:fldChar w:fldCharType="begin"/>
      </w:r>
      <w:r>
        <w:instrText xml:space="preserve"> PAGEREF _Toc30045 \h </w:instrText>
      </w:r>
      <w:r>
        <w:fldChar w:fldCharType="separate"/>
      </w:r>
      <w:r>
        <w:t>187</w:t>
      </w:r>
      <w:r>
        <w:fldChar w:fldCharType="end"/>
      </w:r>
      <w:r>
        <w:fldChar w:fldCharType="end"/>
      </w:r>
    </w:p>
    <w:p>
      <w:pPr>
        <w:pStyle w:val="12"/>
        <w:tabs>
          <w:tab w:val="right" w:leader="dot" w:pos="8306"/>
        </w:tabs>
      </w:pPr>
      <w:r>
        <w:fldChar w:fldCharType="begin"/>
      </w:r>
      <w:r>
        <w:instrText xml:space="preserve"> HYPERLINK \l _Toc8012 </w:instrText>
      </w:r>
      <w:r>
        <w:fldChar w:fldCharType="separate"/>
      </w:r>
      <w:r>
        <w:rPr>
          <w:rFonts w:hint="eastAsia"/>
          <w:szCs w:val="28"/>
        </w:rPr>
        <w:t>15.竣工验收和工程移交</w:t>
      </w:r>
      <w:r>
        <w:tab/>
      </w:r>
      <w:r>
        <w:fldChar w:fldCharType="begin"/>
      </w:r>
      <w:r>
        <w:instrText xml:space="preserve"> PAGEREF _Toc8012 \h </w:instrText>
      </w:r>
      <w:r>
        <w:fldChar w:fldCharType="separate"/>
      </w:r>
      <w:r>
        <w:t>187</w:t>
      </w:r>
      <w:r>
        <w:fldChar w:fldCharType="end"/>
      </w:r>
      <w:r>
        <w:fldChar w:fldCharType="end"/>
      </w:r>
    </w:p>
    <w:p>
      <w:pPr>
        <w:pStyle w:val="12"/>
        <w:tabs>
          <w:tab w:val="right" w:leader="dot" w:pos="8306"/>
        </w:tabs>
      </w:pPr>
      <w:r>
        <w:fldChar w:fldCharType="begin"/>
      </w:r>
      <w:r>
        <w:instrText xml:space="preserve"> HYPERLINK \l _Toc28502 </w:instrText>
      </w:r>
      <w:r>
        <w:fldChar w:fldCharType="separate"/>
      </w:r>
      <w:r>
        <w:rPr>
          <w:rFonts w:hint="eastAsia"/>
          <w:szCs w:val="28"/>
        </w:rPr>
        <w:t>16.其他要求</w:t>
      </w:r>
      <w:r>
        <w:tab/>
      </w:r>
      <w:r>
        <w:fldChar w:fldCharType="begin"/>
      </w:r>
      <w:r>
        <w:instrText xml:space="preserve"> PAGEREF _Toc28502 \h </w:instrText>
      </w:r>
      <w:r>
        <w:fldChar w:fldCharType="separate"/>
      </w:r>
      <w:r>
        <w:t>189</w:t>
      </w:r>
      <w:r>
        <w:fldChar w:fldCharType="end"/>
      </w:r>
      <w:r>
        <w:fldChar w:fldCharType="end"/>
      </w:r>
    </w:p>
    <w:p>
      <w:pPr>
        <w:pStyle w:val="20"/>
        <w:tabs>
          <w:tab w:val="right" w:leader="dot" w:pos="8306"/>
        </w:tabs>
      </w:pPr>
      <w:r>
        <w:fldChar w:fldCharType="begin"/>
      </w:r>
      <w:r>
        <w:instrText xml:space="preserve"> HYPERLINK \l _Toc20069 </w:instrText>
      </w:r>
      <w:r>
        <w:fldChar w:fldCharType="separate"/>
      </w:r>
      <w:r>
        <w:rPr>
          <w:rFonts w:hint="eastAsia"/>
        </w:rPr>
        <w:t>第二节  特殊技术标准和要求</w:t>
      </w:r>
      <w:r>
        <w:tab/>
      </w:r>
      <w:r>
        <w:fldChar w:fldCharType="begin"/>
      </w:r>
      <w:r>
        <w:instrText xml:space="preserve"> PAGEREF _Toc20069 \h </w:instrText>
      </w:r>
      <w:r>
        <w:fldChar w:fldCharType="separate"/>
      </w:r>
      <w:r>
        <w:t>190</w:t>
      </w:r>
      <w:r>
        <w:fldChar w:fldCharType="end"/>
      </w:r>
      <w:r>
        <w:fldChar w:fldCharType="end"/>
      </w:r>
    </w:p>
    <w:p>
      <w:pPr>
        <w:pStyle w:val="12"/>
        <w:tabs>
          <w:tab w:val="right" w:leader="dot" w:pos="8306"/>
        </w:tabs>
      </w:pPr>
      <w:r>
        <w:fldChar w:fldCharType="begin"/>
      </w:r>
      <w:r>
        <w:instrText xml:space="preserve"> HYPERLINK \l _Toc22947 </w:instrText>
      </w:r>
      <w:r>
        <w:fldChar w:fldCharType="separate"/>
      </w:r>
      <w:r>
        <w:rPr>
          <w:rFonts w:hint="eastAsia"/>
          <w:szCs w:val="28"/>
        </w:rPr>
        <w:t>1．材料和工程设备技术要求</w:t>
      </w:r>
      <w:r>
        <w:tab/>
      </w:r>
      <w:r>
        <w:fldChar w:fldCharType="begin"/>
      </w:r>
      <w:r>
        <w:instrText xml:space="preserve"> PAGEREF _Toc22947 \h </w:instrText>
      </w:r>
      <w:r>
        <w:fldChar w:fldCharType="separate"/>
      </w:r>
      <w:r>
        <w:t>190</w:t>
      </w:r>
      <w:r>
        <w:fldChar w:fldCharType="end"/>
      </w:r>
      <w:r>
        <w:fldChar w:fldCharType="end"/>
      </w:r>
    </w:p>
    <w:p>
      <w:pPr>
        <w:pStyle w:val="12"/>
        <w:tabs>
          <w:tab w:val="right" w:leader="dot" w:pos="8306"/>
        </w:tabs>
      </w:pPr>
      <w:r>
        <w:fldChar w:fldCharType="begin"/>
      </w:r>
      <w:r>
        <w:instrText xml:space="preserve"> HYPERLINK \l _Toc15579 </w:instrText>
      </w:r>
      <w:r>
        <w:fldChar w:fldCharType="separate"/>
      </w:r>
      <w:r>
        <w:rPr>
          <w:rFonts w:hint="eastAsia"/>
          <w:szCs w:val="28"/>
        </w:rPr>
        <w:t>2．特殊技术要求</w:t>
      </w:r>
      <w:r>
        <w:tab/>
      </w:r>
      <w:r>
        <w:fldChar w:fldCharType="begin"/>
      </w:r>
      <w:r>
        <w:instrText xml:space="preserve"> PAGEREF _Toc15579 \h </w:instrText>
      </w:r>
      <w:r>
        <w:fldChar w:fldCharType="separate"/>
      </w:r>
      <w:r>
        <w:t>190</w:t>
      </w:r>
      <w:r>
        <w:fldChar w:fldCharType="end"/>
      </w:r>
      <w:r>
        <w:fldChar w:fldCharType="end"/>
      </w:r>
    </w:p>
    <w:p>
      <w:pPr>
        <w:pStyle w:val="12"/>
        <w:tabs>
          <w:tab w:val="right" w:leader="dot" w:pos="8306"/>
        </w:tabs>
      </w:pPr>
      <w:r>
        <w:fldChar w:fldCharType="begin"/>
      </w:r>
      <w:r>
        <w:instrText xml:space="preserve"> HYPERLINK \l _Toc18890 </w:instrText>
      </w:r>
      <w:r>
        <w:fldChar w:fldCharType="separate"/>
      </w:r>
      <w:r>
        <w:rPr>
          <w:rFonts w:hint="eastAsia"/>
          <w:szCs w:val="28"/>
        </w:rPr>
        <w:t>3．新技术、新工艺和新材料</w:t>
      </w:r>
      <w:r>
        <w:tab/>
      </w:r>
      <w:r>
        <w:fldChar w:fldCharType="begin"/>
      </w:r>
      <w:r>
        <w:instrText xml:space="preserve"> PAGEREF _Toc18890 \h </w:instrText>
      </w:r>
      <w:r>
        <w:fldChar w:fldCharType="separate"/>
      </w:r>
      <w:r>
        <w:t>190</w:t>
      </w:r>
      <w:r>
        <w:fldChar w:fldCharType="end"/>
      </w:r>
      <w:r>
        <w:fldChar w:fldCharType="end"/>
      </w:r>
    </w:p>
    <w:p>
      <w:pPr>
        <w:pStyle w:val="12"/>
        <w:tabs>
          <w:tab w:val="right" w:leader="dot" w:pos="8306"/>
        </w:tabs>
      </w:pPr>
      <w:r>
        <w:fldChar w:fldCharType="begin"/>
      </w:r>
      <w:r>
        <w:instrText xml:space="preserve"> HYPERLINK \l _Toc28390 </w:instrText>
      </w:r>
      <w:r>
        <w:fldChar w:fldCharType="separate"/>
      </w:r>
      <w:r>
        <w:rPr>
          <w:rFonts w:hint="eastAsia"/>
          <w:szCs w:val="28"/>
        </w:rPr>
        <w:t>4．其他特殊技术标准和要求</w:t>
      </w:r>
      <w:r>
        <w:tab/>
      </w:r>
      <w:r>
        <w:fldChar w:fldCharType="begin"/>
      </w:r>
      <w:r>
        <w:instrText xml:space="preserve"> PAGEREF _Toc28390 \h </w:instrText>
      </w:r>
      <w:r>
        <w:fldChar w:fldCharType="separate"/>
      </w:r>
      <w:r>
        <w:t>191</w:t>
      </w:r>
      <w:r>
        <w:fldChar w:fldCharType="end"/>
      </w:r>
      <w:r>
        <w:fldChar w:fldCharType="end"/>
      </w:r>
    </w:p>
    <w:p>
      <w:pPr>
        <w:pStyle w:val="20"/>
        <w:tabs>
          <w:tab w:val="right" w:leader="dot" w:pos="8306"/>
        </w:tabs>
      </w:pPr>
      <w:r>
        <w:fldChar w:fldCharType="begin"/>
      </w:r>
      <w:r>
        <w:instrText xml:space="preserve"> HYPERLINK \l _Toc3275 </w:instrText>
      </w:r>
      <w:r>
        <w:fldChar w:fldCharType="separate"/>
      </w:r>
      <w:r>
        <w:rPr>
          <w:rFonts w:hint="eastAsia"/>
        </w:rPr>
        <w:t>第三节  适用的国家、行业以及地方规范、标准和规程</w:t>
      </w:r>
      <w:r>
        <w:tab/>
      </w:r>
      <w:r>
        <w:fldChar w:fldCharType="begin"/>
      </w:r>
      <w:r>
        <w:instrText xml:space="preserve"> PAGEREF _Toc3275 \h </w:instrText>
      </w:r>
      <w:r>
        <w:fldChar w:fldCharType="separate"/>
      </w:r>
      <w:r>
        <w:t>192</w:t>
      </w:r>
      <w:r>
        <w:fldChar w:fldCharType="end"/>
      </w:r>
      <w:r>
        <w:fldChar w:fldCharType="end"/>
      </w:r>
    </w:p>
    <w:p>
      <w:pPr>
        <w:pStyle w:val="18"/>
        <w:tabs>
          <w:tab w:val="right" w:leader="dot" w:pos="8306"/>
        </w:tabs>
      </w:pPr>
      <w:r>
        <w:fldChar w:fldCharType="begin"/>
      </w:r>
      <w:r>
        <w:instrText xml:space="preserve"> HYPERLINK \l _Toc30878 </w:instrText>
      </w:r>
      <w:r>
        <w:fldChar w:fldCharType="separate"/>
      </w:r>
      <w:r>
        <w:rPr>
          <w:rFonts w:hint="eastAsia" w:ascii="黑体" w:hAnsi="黑体" w:eastAsia="黑体"/>
          <w:bCs w:val="0"/>
          <w:szCs w:val="48"/>
        </w:rPr>
        <w:t>第四卷</w:t>
      </w:r>
      <w:r>
        <w:tab/>
      </w:r>
      <w:r>
        <w:fldChar w:fldCharType="begin"/>
      </w:r>
      <w:r>
        <w:instrText xml:space="preserve"> PAGEREF _Toc30878 \h </w:instrText>
      </w:r>
      <w:r>
        <w:fldChar w:fldCharType="separate"/>
      </w:r>
      <w:r>
        <w:t>194</w:t>
      </w:r>
      <w:r>
        <w:fldChar w:fldCharType="end"/>
      </w:r>
      <w:r>
        <w:fldChar w:fldCharType="end"/>
      </w:r>
    </w:p>
    <w:p>
      <w:pPr>
        <w:pStyle w:val="18"/>
        <w:tabs>
          <w:tab w:val="right" w:leader="dot" w:pos="8306"/>
        </w:tabs>
      </w:pPr>
      <w:r>
        <w:fldChar w:fldCharType="begin"/>
      </w:r>
      <w:r>
        <w:instrText xml:space="preserve"> HYPERLINK \l _Toc23819 </w:instrText>
      </w:r>
      <w:r>
        <w:fldChar w:fldCharType="separate"/>
      </w:r>
      <w:r>
        <w:rPr>
          <w:rFonts w:ascii="黑体" w:hAnsi="宋体" w:eastAsia="黑体" w:cs="黑体"/>
          <w:bCs w:val="0"/>
          <w:szCs w:val="32"/>
        </w:rPr>
        <w:t>第八章  投标文件格式</w:t>
      </w:r>
      <w:r>
        <w:tab/>
      </w:r>
      <w:r>
        <w:fldChar w:fldCharType="begin"/>
      </w:r>
      <w:r>
        <w:instrText xml:space="preserve"> PAGEREF _Toc23819 \h </w:instrText>
      </w:r>
      <w:r>
        <w:fldChar w:fldCharType="separate"/>
      </w:r>
      <w:r>
        <w:t>195</w:t>
      </w:r>
      <w:r>
        <w:fldChar w:fldCharType="end"/>
      </w:r>
      <w:r>
        <w:fldChar w:fldCharType="end"/>
      </w:r>
    </w:p>
    <w:p>
      <w:pPr>
        <w:pStyle w:val="20"/>
        <w:tabs>
          <w:tab w:val="right" w:leader="dot" w:pos="8306"/>
        </w:tabs>
      </w:pPr>
      <w:r>
        <w:fldChar w:fldCharType="begin"/>
      </w:r>
      <w:r>
        <w:instrText xml:space="preserve"> HYPERLINK \l _Toc3779 </w:instrText>
      </w:r>
      <w:r>
        <w:fldChar w:fldCharType="separate"/>
      </w:r>
      <w:r>
        <w:rPr>
          <w:rFonts w:hint="eastAsia"/>
        </w:rPr>
        <w:t>目    录</w:t>
      </w:r>
      <w:r>
        <w:tab/>
      </w:r>
      <w:r>
        <w:fldChar w:fldCharType="begin"/>
      </w:r>
      <w:r>
        <w:instrText xml:space="preserve"> PAGEREF _Toc3779 \h </w:instrText>
      </w:r>
      <w:r>
        <w:fldChar w:fldCharType="separate"/>
      </w:r>
      <w:r>
        <w:t>197</w:t>
      </w:r>
      <w:r>
        <w:fldChar w:fldCharType="end"/>
      </w:r>
      <w:r>
        <w:fldChar w:fldCharType="end"/>
      </w:r>
    </w:p>
    <w:p>
      <w:pPr>
        <w:pStyle w:val="20"/>
        <w:tabs>
          <w:tab w:val="right" w:leader="dot" w:pos="8306"/>
        </w:tabs>
      </w:pPr>
      <w:r>
        <w:fldChar w:fldCharType="begin"/>
      </w:r>
      <w:r>
        <w:instrText xml:space="preserve"> HYPERLINK \l _Toc6289 </w:instrText>
      </w:r>
      <w:r>
        <w:fldChar w:fldCharType="separate"/>
      </w:r>
      <w:r>
        <w:rPr>
          <w:rFonts w:ascii="黑体" w:hAnsi="宋体" w:cs="黑体"/>
          <w:szCs w:val="28"/>
        </w:rPr>
        <w:t>一</w:t>
      </w:r>
      <w:r>
        <w:rPr>
          <w:rFonts w:hint="eastAsia" w:ascii="黑体" w:hAnsi="宋体" w:cs="黑体"/>
          <w:szCs w:val="28"/>
        </w:rPr>
        <w:t>、投标函及投标函附录等</w:t>
      </w:r>
      <w:r>
        <w:tab/>
      </w:r>
      <w:r>
        <w:fldChar w:fldCharType="begin"/>
      </w:r>
      <w:r>
        <w:instrText xml:space="preserve"> PAGEREF _Toc6289 \h </w:instrText>
      </w:r>
      <w:r>
        <w:fldChar w:fldCharType="separate"/>
      </w:r>
      <w:r>
        <w:t>198</w:t>
      </w:r>
      <w:r>
        <w:fldChar w:fldCharType="end"/>
      </w:r>
      <w:r>
        <w:fldChar w:fldCharType="end"/>
      </w:r>
    </w:p>
    <w:p>
      <w:pPr>
        <w:pStyle w:val="12"/>
        <w:tabs>
          <w:tab w:val="right" w:leader="dot" w:pos="8306"/>
        </w:tabs>
      </w:pPr>
      <w:r>
        <w:fldChar w:fldCharType="begin"/>
      </w:r>
      <w:r>
        <w:instrText xml:space="preserve"> HYPERLINK \l _Toc10871 </w:instrText>
      </w:r>
      <w:r>
        <w:fldChar w:fldCharType="separate"/>
      </w:r>
      <w:r>
        <w:rPr>
          <w:rFonts w:hint="eastAsia"/>
          <w:szCs w:val="28"/>
        </w:rPr>
        <w:t>（</w:t>
      </w:r>
      <w:r>
        <w:rPr>
          <w:szCs w:val="28"/>
        </w:rPr>
        <w:t>一</w:t>
      </w:r>
      <w:r>
        <w:rPr>
          <w:rFonts w:hint="eastAsia"/>
          <w:szCs w:val="28"/>
        </w:rPr>
        <w:t>）投标函</w:t>
      </w:r>
      <w:r>
        <w:tab/>
      </w:r>
      <w:r>
        <w:fldChar w:fldCharType="begin"/>
      </w:r>
      <w:r>
        <w:instrText xml:space="preserve"> PAGEREF _Toc10871 \h </w:instrText>
      </w:r>
      <w:r>
        <w:fldChar w:fldCharType="separate"/>
      </w:r>
      <w:r>
        <w:t>199</w:t>
      </w:r>
      <w:r>
        <w:fldChar w:fldCharType="end"/>
      </w:r>
      <w:r>
        <w:fldChar w:fldCharType="end"/>
      </w:r>
    </w:p>
    <w:p>
      <w:pPr>
        <w:pStyle w:val="12"/>
        <w:tabs>
          <w:tab w:val="right" w:leader="dot" w:pos="8306"/>
        </w:tabs>
      </w:pPr>
      <w:r>
        <w:fldChar w:fldCharType="begin"/>
      </w:r>
      <w:r>
        <w:instrText xml:space="preserve"> HYPERLINK \l _Toc580 </w:instrText>
      </w:r>
      <w:r>
        <w:fldChar w:fldCharType="separate"/>
      </w:r>
      <w:r>
        <w:rPr>
          <w:rFonts w:hint="eastAsia"/>
          <w:szCs w:val="28"/>
        </w:rPr>
        <w:t>（</w:t>
      </w:r>
      <w:r>
        <w:rPr>
          <w:szCs w:val="28"/>
        </w:rPr>
        <w:t>二</w:t>
      </w:r>
      <w:r>
        <w:rPr>
          <w:rFonts w:hint="eastAsia"/>
          <w:szCs w:val="28"/>
        </w:rPr>
        <w:t>）投标函附录</w:t>
      </w:r>
      <w:r>
        <w:tab/>
      </w:r>
      <w:r>
        <w:fldChar w:fldCharType="begin"/>
      </w:r>
      <w:r>
        <w:instrText xml:space="preserve"> PAGEREF _Toc580 \h </w:instrText>
      </w:r>
      <w:r>
        <w:fldChar w:fldCharType="separate"/>
      </w:r>
      <w:r>
        <w:t>200</w:t>
      </w:r>
      <w:r>
        <w:fldChar w:fldCharType="end"/>
      </w:r>
      <w:r>
        <w:fldChar w:fldCharType="end"/>
      </w:r>
    </w:p>
    <w:p>
      <w:pPr>
        <w:pStyle w:val="12"/>
        <w:tabs>
          <w:tab w:val="right" w:leader="dot" w:pos="8306"/>
        </w:tabs>
      </w:pPr>
      <w:r>
        <w:fldChar w:fldCharType="begin"/>
      </w:r>
      <w:r>
        <w:instrText xml:space="preserve"> HYPERLINK \l _Toc16398 </w:instrText>
      </w:r>
      <w:r>
        <w:fldChar w:fldCharType="separate"/>
      </w:r>
      <w:r>
        <w:rPr>
          <w:rFonts w:hint="eastAsia"/>
          <w:szCs w:val="28"/>
        </w:rPr>
        <w:t>（</w:t>
      </w:r>
      <w:r>
        <w:rPr>
          <w:szCs w:val="28"/>
        </w:rPr>
        <w:t>三</w:t>
      </w:r>
      <w:r>
        <w:rPr>
          <w:rFonts w:hint="eastAsia"/>
          <w:szCs w:val="28"/>
        </w:rPr>
        <w:t>）告知承诺函</w:t>
      </w:r>
      <w:r>
        <w:tab/>
      </w:r>
      <w:r>
        <w:fldChar w:fldCharType="begin"/>
      </w:r>
      <w:r>
        <w:instrText xml:space="preserve"> PAGEREF _Toc16398 \h </w:instrText>
      </w:r>
      <w:r>
        <w:fldChar w:fldCharType="separate"/>
      </w:r>
      <w:r>
        <w:t>201</w:t>
      </w:r>
      <w:r>
        <w:fldChar w:fldCharType="end"/>
      </w:r>
      <w:r>
        <w:fldChar w:fldCharType="end"/>
      </w:r>
    </w:p>
    <w:p>
      <w:pPr>
        <w:pStyle w:val="12"/>
        <w:tabs>
          <w:tab w:val="right" w:leader="dot" w:pos="8306"/>
        </w:tabs>
      </w:pPr>
      <w:r>
        <w:fldChar w:fldCharType="begin"/>
      </w:r>
      <w:r>
        <w:instrText xml:space="preserve"> HYPERLINK \l _Toc11791 </w:instrText>
      </w:r>
      <w:r>
        <w:fldChar w:fldCharType="separate"/>
      </w:r>
      <w:r>
        <w:rPr>
          <w:rFonts w:hint="eastAsia"/>
          <w:szCs w:val="28"/>
        </w:rPr>
        <w:t>（四）声明函</w:t>
      </w:r>
      <w:r>
        <w:tab/>
      </w:r>
      <w:r>
        <w:fldChar w:fldCharType="begin"/>
      </w:r>
      <w:r>
        <w:instrText xml:space="preserve"> PAGEREF _Toc11791 \h </w:instrText>
      </w:r>
      <w:r>
        <w:fldChar w:fldCharType="separate"/>
      </w:r>
      <w:r>
        <w:t>202</w:t>
      </w:r>
      <w:r>
        <w:fldChar w:fldCharType="end"/>
      </w:r>
      <w:r>
        <w:fldChar w:fldCharType="end"/>
      </w:r>
    </w:p>
    <w:p>
      <w:pPr>
        <w:pStyle w:val="12"/>
        <w:tabs>
          <w:tab w:val="right" w:leader="dot" w:pos="8306"/>
        </w:tabs>
      </w:pPr>
      <w:r>
        <w:fldChar w:fldCharType="begin"/>
      </w:r>
      <w:r>
        <w:instrText xml:space="preserve"> HYPERLINK \l _Toc18724 </w:instrText>
      </w:r>
      <w:r>
        <w:fldChar w:fldCharType="separate"/>
      </w:r>
      <w:r>
        <w:rPr>
          <w:rFonts w:hint="eastAsia" w:ascii="宋体" w:hAnsi="宋体" w:eastAsia="宋体" w:cs="Times New Roman"/>
          <w:szCs w:val="28"/>
        </w:rPr>
        <w:t>（五）诚信守法承诺书</w:t>
      </w:r>
      <w:r>
        <w:tab/>
      </w:r>
      <w:r>
        <w:fldChar w:fldCharType="begin"/>
      </w:r>
      <w:r>
        <w:instrText xml:space="preserve"> PAGEREF _Toc18724 \h </w:instrText>
      </w:r>
      <w:r>
        <w:fldChar w:fldCharType="separate"/>
      </w:r>
      <w:r>
        <w:t>203</w:t>
      </w:r>
      <w:r>
        <w:fldChar w:fldCharType="end"/>
      </w:r>
      <w:r>
        <w:fldChar w:fldCharType="end"/>
      </w:r>
    </w:p>
    <w:p>
      <w:pPr>
        <w:pStyle w:val="12"/>
        <w:tabs>
          <w:tab w:val="right" w:leader="dot" w:pos="8306"/>
        </w:tabs>
      </w:pPr>
      <w:r>
        <w:fldChar w:fldCharType="begin"/>
      </w:r>
      <w:r>
        <w:instrText xml:space="preserve"> HYPERLINK \l _Toc30475 </w:instrText>
      </w:r>
      <w:r>
        <w:fldChar w:fldCharType="separate"/>
      </w:r>
      <w:r>
        <w:rPr>
          <w:rFonts w:hint="eastAsia" w:ascii="宋体" w:hAnsi="宋体" w:eastAsia="宋体" w:cs="Times New Roman"/>
          <w:szCs w:val="28"/>
        </w:rPr>
        <w:t>（六）安全生产责任协议书</w:t>
      </w:r>
      <w:r>
        <w:tab/>
      </w:r>
      <w:r>
        <w:fldChar w:fldCharType="begin"/>
      </w:r>
      <w:r>
        <w:instrText xml:space="preserve"> PAGEREF _Toc30475 \h </w:instrText>
      </w:r>
      <w:r>
        <w:fldChar w:fldCharType="separate"/>
      </w:r>
      <w:r>
        <w:t>204</w:t>
      </w:r>
      <w:r>
        <w:fldChar w:fldCharType="end"/>
      </w:r>
      <w:r>
        <w:fldChar w:fldCharType="end"/>
      </w:r>
    </w:p>
    <w:p>
      <w:pPr>
        <w:pStyle w:val="20"/>
        <w:tabs>
          <w:tab w:val="right" w:leader="dot" w:pos="8306"/>
        </w:tabs>
      </w:pPr>
      <w:r>
        <w:fldChar w:fldCharType="begin"/>
      </w:r>
      <w:r>
        <w:instrText xml:space="preserve"> HYPERLINK \l _Toc9366 </w:instrText>
      </w:r>
      <w:r>
        <w:fldChar w:fldCharType="separate"/>
      </w:r>
      <w:r>
        <w:rPr>
          <w:rFonts w:ascii="黑体" w:hAnsi="宋体" w:cs="黑体"/>
          <w:szCs w:val="28"/>
        </w:rPr>
        <w:t>二</w:t>
      </w:r>
      <w:r>
        <w:rPr>
          <w:rFonts w:hint="eastAsia" w:ascii="黑体" w:hAnsi="宋体" w:cs="黑体"/>
          <w:szCs w:val="28"/>
        </w:rPr>
        <w:t>、法定代表人身份证明或授权委托书</w:t>
      </w:r>
      <w:r>
        <w:tab/>
      </w:r>
      <w:r>
        <w:fldChar w:fldCharType="begin"/>
      </w:r>
      <w:r>
        <w:instrText xml:space="preserve"> PAGEREF _Toc9366 \h </w:instrText>
      </w:r>
      <w:r>
        <w:fldChar w:fldCharType="separate"/>
      </w:r>
      <w:r>
        <w:t>208</w:t>
      </w:r>
      <w:r>
        <w:fldChar w:fldCharType="end"/>
      </w:r>
      <w:r>
        <w:fldChar w:fldCharType="end"/>
      </w:r>
    </w:p>
    <w:p>
      <w:pPr>
        <w:pStyle w:val="12"/>
        <w:tabs>
          <w:tab w:val="right" w:leader="dot" w:pos="8306"/>
        </w:tabs>
      </w:pPr>
      <w:r>
        <w:fldChar w:fldCharType="begin"/>
      </w:r>
      <w:r>
        <w:instrText xml:space="preserve"> HYPERLINK \l _Toc6182 </w:instrText>
      </w:r>
      <w:r>
        <w:fldChar w:fldCharType="separate"/>
      </w:r>
      <w:r>
        <w:rPr>
          <w:rFonts w:hint="eastAsia"/>
          <w:szCs w:val="28"/>
        </w:rPr>
        <w:t>（</w:t>
      </w:r>
      <w:r>
        <w:rPr>
          <w:szCs w:val="28"/>
        </w:rPr>
        <w:t>一</w:t>
      </w:r>
      <w:r>
        <w:rPr>
          <w:rFonts w:hint="eastAsia"/>
          <w:szCs w:val="28"/>
        </w:rPr>
        <w:t>）法定代表人身份证明</w:t>
      </w:r>
      <w:r>
        <w:tab/>
      </w:r>
      <w:r>
        <w:fldChar w:fldCharType="begin"/>
      </w:r>
      <w:r>
        <w:instrText xml:space="preserve"> PAGEREF _Toc6182 \h </w:instrText>
      </w:r>
      <w:r>
        <w:fldChar w:fldCharType="separate"/>
      </w:r>
      <w:r>
        <w:t>209</w:t>
      </w:r>
      <w:r>
        <w:fldChar w:fldCharType="end"/>
      </w:r>
      <w:r>
        <w:fldChar w:fldCharType="end"/>
      </w:r>
    </w:p>
    <w:p>
      <w:pPr>
        <w:pStyle w:val="12"/>
        <w:tabs>
          <w:tab w:val="right" w:leader="dot" w:pos="8306"/>
        </w:tabs>
      </w:pPr>
      <w:r>
        <w:fldChar w:fldCharType="begin"/>
      </w:r>
      <w:r>
        <w:instrText xml:space="preserve"> HYPERLINK \l _Toc8979 </w:instrText>
      </w:r>
      <w:r>
        <w:fldChar w:fldCharType="separate"/>
      </w:r>
      <w:r>
        <w:rPr>
          <w:rFonts w:hint="eastAsia"/>
          <w:szCs w:val="28"/>
        </w:rPr>
        <w:t>（</w:t>
      </w:r>
      <w:r>
        <w:rPr>
          <w:szCs w:val="28"/>
        </w:rPr>
        <w:t>二</w:t>
      </w:r>
      <w:r>
        <w:rPr>
          <w:rFonts w:hint="eastAsia"/>
          <w:szCs w:val="28"/>
        </w:rPr>
        <w:t>）授权委托书</w:t>
      </w:r>
      <w:r>
        <w:tab/>
      </w:r>
      <w:r>
        <w:fldChar w:fldCharType="begin"/>
      </w:r>
      <w:r>
        <w:instrText xml:space="preserve"> PAGEREF _Toc8979 \h </w:instrText>
      </w:r>
      <w:r>
        <w:fldChar w:fldCharType="separate"/>
      </w:r>
      <w:r>
        <w:t>210</w:t>
      </w:r>
      <w:r>
        <w:fldChar w:fldCharType="end"/>
      </w:r>
      <w:r>
        <w:fldChar w:fldCharType="end"/>
      </w:r>
    </w:p>
    <w:p>
      <w:pPr>
        <w:pStyle w:val="20"/>
        <w:tabs>
          <w:tab w:val="right" w:leader="dot" w:pos="8306"/>
        </w:tabs>
      </w:pPr>
      <w:r>
        <w:fldChar w:fldCharType="begin"/>
      </w:r>
      <w:r>
        <w:instrText xml:space="preserve"> HYPERLINK \l _Toc739 </w:instrText>
      </w:r>
      <w:r>
        <w:fldChar w:fldCharType="separate"/>
      </w:r>
      <w:r>
        <w:t>三</w:t>
      </w:r>
      <w:r>
        <w:rPr>
          <w:rFonts w:hint="eastAsia"/>
        </w:rPr>
        <w:t>、投标保证金</w:t>
      </w:r>
      <w:r>
        <w:tab/>
      </w:r>
      <w:r>
        <w:fldChar w:fldCharType="begin"/>
      </w:r>
      <w:r>
        <w:instrText xml:space="preserve"> PAGEREF _Toc739 \h </w:instrText>
      </w:r>
      <w:r>
        <w:fldChar w:fldCharType="separate"/>
      </w:r>
      <w:r>
        <w:t>211</w:t>
      </w:r>
      <w:r>
        <w:fldChar w:fldCharType="end"/>
      </w:r>
      <w:r>
        <w:fldChar w:fldCharType="end"/>
      </w:r>
    </w:p>
    <w:p>
      <w:pPr>
        <w:pStyle w:val="20"/>
        <w:tabs>
          <w:tab w:val="right" w:leader="dot" w:pos="8306"/>
        </w:tabs>
      </w:pPr>
      <w:r>
        <w:fldChar w:fldCharType="begin"/>
      </w:r>
      <w:r>
        <w:instrText xml:space="preserve"> HYPERLINK \l _Toc3421 </w:instrText>
      </w:r>
      <w:r>
        <w:fldChar w:fldCharType="separate"/>
      </w:r>
      <w:r>
        <w:t>四</w:t>
      </w:r>
      <w:r>
        <w:rPr>
          <w:rFonts w:hint="eastAsia"/>
        </w:rPr>
        <w:t>、联合体协议书</w:t>
      </w:r>
      <w:r>
        <w:tab/>
      </w:r>
      <w:r>
        <w:fldChar w:fldCharType="begin"/>
      </w:r>
      <w:r>
        <w:instrText xml:space="preserve"> PAGEREF _Toc3421 \h </w:instrText>
      </w:r>
      <w:r>
        <w:fldChar w:fldCharType="separate"/>
      </w:r>
      <w:r>
        <w:t>212</w:t>
      </w:r>
      <w:r>
        <w:fldChar w:fldCharType="end"/>
      </w:r>
      <w:r>
        <w:fldChar w:fldCharType="end"/>
      </w:r>
    </w:p>
    <w:p>
      <w:pPr>
        <w:pStyle w:val="20"/>
        <w:tabs>
          <w:tab w:val="right" w:leader="dot" w:pos="8306"/>
        </w:tabs>
      </w:pPr>
      <w:r>
        <w:fldChar w:fldCharType="begin"/>
      </w:r>
      <w:r>
        <w:instrText xml:space="preserve"> HYPERLINK \l _Toc11551 </w:instrText>
      </w:r>
      <w:r>
        <w:fldChar w:fldCharType="separate"/>
      </w:r>
      <w:r>
        <w:t>五</w:t>
      </w:r>
      <w:r>
        <w:rPr>
          <w:rFonts w:hint="eastAsia"/>
        </w:rPr>
        <w:t>、拟分包计划表</w:t>
      </w:r>
      <w:r>
        <w:tab/>
      </w:r>
      <w:r>
        <w:fldChar w:fldCharType="begin"/>
      </w:r>
      <w:r>
        <w:instrText xml:space="preserve"> PAGEREF _Toc11551 \h </w:instrText>
      </w:r>
      <w:r>
        <w:fldChar w:fldCharType="separate"/>
      </w:r>
      <w:r>
        <w:t>214</w:t>
      </w:r>
      <w:r>
        <w:fldChar w:fldCharType="end"/>
      </w:r>
      <w:r>
        <w:fldChar w:fldCharType="end"/>
      </w:r>
    </w:p>
    <w:p>
      <w:pPr>
        <w:pStyle w:val="20"/>
        <w:tabs>
          <w:tab w:val="right" w:leader="dot" w:pos="8306"/>
        </w:tabs>
      </w:pPr>
      <w:r>
        <w:fldChar w:fldCharType="begin"/>
      </w:r>
      <w:r>
        <w:instrText xml:space="preserve"> HYPERLINK \l _Toc6519 </w:instrText>
      </w:r>
      <w:r>
        <w:fldChar w:fldCharType="separate"/>
      </w:r>
      <w:r>
        <w:t>六</w:t>
      </w:r>
      <w:r>
        <w:rPr>
          <w:rFonts w:hint="eastAsia"/>
        </w:rPr>
        <w:t>、项目管理机构</w:t>
      </w:r>
      <w:r>
        <w:tab/>
      </w:r>
      <w:r>
        <w:fldChar w:fldCharType="begin"/>
      </w:r>
      <w:r>
        <w:instrText xml:space="preserve"> PAGEREF _Toc6519 \h </w:instrText>
      </w:r>
      <w:r>
        <w:fldChar w:fldCharType="separate"/>
      </w:r>
      <w:r>
        <w:t>215</w:t>
      </w:r>
      <w:r>
        <w:fldChar w:fldCharType="end"/>
      </w:r>
      <w:r>
        <w:fldChar w:fldCharType="end"/>
      </w:r>
    </w:p>
    <w:p>
      <w:pPr>
        <w:pStyle w:val="12"/>
        <w:tabs>
          <w:tab w:val="right" w:leader="dot" w:pos="8306"/>
        </w:tabs>
      </w:pPr>
      <w:r>
        <w:fldChar w:fldCharType="begin"/>
      </w:r>
      <w:r>
        <w:instrText xml:space="preserve"> HYPERLINK \l _Toc5637 </w:instrText>
      </w:r>
      <w:r>
        <w:fldChar w:fldCharType="separate"/>
      </w:r>
      <w:r>
        <w:rPr>
          <w:rFonts w:hint="eastAsia"/>
          <w:szCs w:val="28"/>
        </w:rPr>
        <w:t>（</w:t>
      </w:r>
      <w:r>
        <w:rPr>
          <w:szCs w:val="28"/>
        </w:rPr>
        <w:t>一</w:t>
      </w:r>
      <w:r>
        <w:rPr>
          <w:rFonts w:hint="eastAsia"/>
          <w:szCs w:val="28"/>
        </w:rPr>
        <w:t>）项目管理机构主要人员表</w:t>
      </w:r>
      <w:r>
        <w:tab/>
      </w:r>
      <w:r>
        <w:fldChar w:fldCharType="begin"/>
      </w:r>
      <w:r>
        <w:instrText xml:space="preserve"> PAGEREF _Toc5637 \h </w:instrText>
      </w:r>
      <w:r>
        <w:fldChar w:fldCharType="separate"/>
      </w:r>
      <w:r>
        <w:t>216</w:t>
      </w:r>
      <w:r>
        <w:fldChar w:fldCharType="end"/>
      </w:r>
      <w:r>
        <w:fldChar w:fldCharType="end"/>
      </w:r>
    </w:p>
    <w:p>
      <w:pPr>
        <w:pStyle w:val="12"/>
        <w:tabs>
          <w:tab w:val="right" w:leader="dot" w:pos="8306"/>
        </w:tabs>
      </w:pPr>
      <w:r>
        <w:fldChar w:fldCharType="begin"/>
      </w:r>
      <w:r>
        <w:instrText xml:space="preserve"> HYPERLINK \l _Toc11852 </w:instrText>
      </w:r>
      <w:r>
        <w:fldChar w:fldCharType="separate"/>
      </w:r>
      <w:r>
        <w:rPr>
          <w:rFonts w:hint="eastAsia"/>
          <w:szCs w:val="28"/>
        </w:rPr>
        <w:t>（</w:t>
      </w:r>
      <w:r>
        <w:rPr>
          <w:szCs w:val="28"/>
        </w:rPr>
        <w:t>二</w:t>
      </w:r>
      <w:r>
        <w:rPr>
          <w:rFonts w:hint="eastAsia"/>
          <w:szCs w:val="28"/>
        </w:rPr>
        <w:t>）项目经理简历表</w:t>
      </w:r>
      <w:r>
        <w:tab/>
      </w:r>
      <w:r>
        <w:fldChar w:fldCharType="begin"/>
      </w:r>
      <w:r>
        <w:instrText xml:space="preserve"> PAGEREF _Toc11852 \h </w:instrText>
      </w:r>
      <w:r>
        <w:fldChar w:fldCharType="separate"/>
      </w:r>
      <w:r>
        <w:t>217</w:t>
      </w:r>
      <w:r>
        <w:fldChar w:fldCharType="end"/>
      </w:r>
      <w:r>
        <w:fldChar w:fldCharType="end"/>
      </w:r>
    </w:p>
    <w:p>
      <w:pPr>
        <w:pStyle w:val="12"/>
        <w:tabs>
          <w:tab w:val="right" w:leader="dot" w:pos="8306"/>
        </w:tabs>
      </w:pPr>
      <w:r>
        <w:fldChar w:fldCharType="begin"/>
      </w:r>
      <w:r>
        <w:instrText xml:space="preserve"> HYPERLINK \l _Toc914 </w:instrText>
      </w:r>
      <w:r>
        <w:fldChar w:fldCharType="separate"/>
      </w:r>
      <w:r>
        <w:rPr>
          <w:rFonts w:hint="eastAsia"/>
          <w:szCs w:val="28"/>
        </w:rPr>
        <w:t>（</w:t>
      </w:r>
      <w:r>
        <w:rPr>
          <w:szCs w:val="28"/>
        </w:rPr>
        <w:t>三</w:t>
      </w:r>
      <w:r>
        <w:rPr>
          <w:rFonts w:hint="eastAsia"/>
          <w:szCs w:val="28"/>
        </w:rPr>
        <w:t>）承诺书</w:t>
      </w:r>
      <w:r>
        <w:tab/>
      </w:r>
      <w:r>
        <w:fldChar w:fldCharType="begin"/>
      </w:r>
      <w:r>
        <w:instrText xml:space="preserve"> PAGEREF _Toc914 \h </w:instrText>
      </w:r>
      <w:r>
        <w:fldChar w:fldCharType="separate"/>
      </w:r>
      <w:r>
        <w:t>218</w:t>
      </w:r>
      <w:r>
        <w:fldChar w:fldCharType="end"/>
      </w:r>
      <w:r>
        <w:fldChar w:fldCharType="end"/>
      </w:r>
    </w:p>
    <w:p>
      <w:pPr>
        <w:pStyle w:val="12"/>
        <w:tabs>
          <w:tab w:val="right" w:leader="dot" w:pos="8306"/>
        </w:tabs>
      </w:pPr>
      <w:r>
        <w:fldChar w:fldCharType="begin"/>
      </w:r>
      <w:r>
        <w:instrText xml:space="preserve"> HYPERLINK \l _Toc4507 </w:instrText>
      </w:r>
      <w:r>
        <w:fldChar w:fldCharType="separate"/>
      </w:r>
      <w:r>
        <w:rPr>
          <w:rFonts w:hint="eastAsia"/>
          <w:szCs w:val="28"/>
        </w:rPr>
        <w:t>（</w:t>
      </w:r>
      <w:r>
        <w:rPr>
          <w:szCs w:val="28"/>
        </w:rPr>
        <w:t>四</w:t>
      </w:r>
      <w:r>
        <w:rPr>
          <w:rFonts w:hint="eastAsia"/>
          <w:szCs w:val="28"/>
        </w:rPr>
        <w:t>）其他主要项目管理人员简历表</w:t>
      </w:r>
      <w:r>
        <w:tab/>
      </w:r>
      <w:r>
        <w:fldChar w:fldCharType="begin"/>
      </w:r>
      <w:r>
        <w:instrText xml:space="preserve"> PAGEREF _Toc4507 \h </w:instrText>
      </w:r>
      <w:r>
        <w:fldChar w:fldCharType="separate"/>
      </w:r>
      <w:r>
        <w:t>219</w:t>
      </w:r>
      <w:r>
        <w:fldChar w:fldCharType="end"/>
      </w:r>
      <w:r>
        <w:fldChar w:fldCharType="end"/>
      </w:r>
    </w:p>
    <w:p>
      <w:pPr>
        <w:pStyle w:val="20"/>
        <w:tabs>
          <w:tab w:val="right" w:leader="dot" w:pos="8306"/>
        </w:tabs>
      </w:pPr>
      <w:r>
        <w:fldChar w:fldCharType="begin"/>
      </w:r>
      <w:r>
        <w:instrText xml:space="preserve"> HYPERLINK \l _Toc17760 </w:instrText>
      </w:r>
      <w:r>
        <w:fldChar w:fldCharType="separate"/>
      </w:r>
      <w:r>
        <w:t>七</w:t>
      </w:r>
      <w:r>
        <w:rPr>
          <w:rFonts w:hint="eastAsia"/>
        </w:rPr>
        <w:t>、资格审查资料</w:t>
      </w:r>
      <w:r>
        <w:tab/>
      </w:r>
      <w:r>
        <w:fldChar w:fldCharType="begin"/>
      </w:r>
      <w:r>
        <w:instrText xml:space="preserve"> PAGEREF _Toc17760 \h </w:instrText>
      </w:r>
      <w:r>
        <w:fldChar w:fldCharType="separate"/>
      </w:r>
      <w:r>
        <w:t>220</w:t>
      </w:r>
      <w:r>
        <w:fldChar w:fldCharType="end"/>
      </w:r>
      <w:r>
        <w:fldChar w:fldCharType="end"/>
      </w:r>
    </w:p>
    <w:p>
      <w:pPr>
        <w:pStyle w:val="12"/>
        <w:tabs>
          <w:tab w:val="right" w:leader="dot" w:pos="8306"/>
        </w:tabs>
      </w:pPr>
      <w:r>
        <w:fldChar w:fldCharType="begin"/>
      </w:r>
      <w:r>
        <w:instrText xml:space="preserve"> HYPERLINK \l _Toc14886 </w:instrText>
      </w:r>
      <w:r>
        <w:fldChar w:fldCharType="separate"/>
      </w:r>
      <w:r>
        <w:rPr>
          <w:rFonts w:hint="eastAsia"/>
          <w:szCs w:val="24"/>
        </w:rPr>
        <w:t>（</w:t>
      </w:r>
      <w:r>
        <w:rPr>
          <w:szCs w:val="24"/>
        </w:rPr>
        <w:t>一</w:t>
      </w:r>
      <w:r>
        <w:rPr>
          <w:rFonts w:hint="eastAsia"/>
          <w:szCs w:val="24"/>
        </w:rPr>
        <w:t>）投标人基本情况</w:t>
      </w:r>
      <w:r>
        <w:tab/>
      </w:r>
      <w:r>
        <w:fldChar w:fldCharType="begin"/>
      </w:r>
      <w:r>
        <w:instrText xml:space="preserve"> PAGEREF _Toc14886 \h </w:instrText>
      </w:r>
      <w:r>
        <w:fldChar w:fldCharType="separate"/>
      </w:r>
      <w:r>
        <w:t>221</w:t>
      </w:r>
      <w:r>
        <w:fldChar w:fldCharType="end"/>
      </w:r>
      <w:r>
        <w:fldChar w:fldCharType="end"/>
      </w:r>
    </w:p>
    <w:p>
      <w:pPr>
        <w:pStyle w:val="12"/>
        <w:tabs>
          <w:tab w:val="right" w:leader="dot" w:pos="8306"/>
        </w:tabs>
      </w:pPr>
      <w:r>
        <w:fldChar w:fldCharType="begin"/>
      </w:r>
      <w:r>
        <w:instrText xml:space="preserve"> HYPERLINK \l _Toc28295 </w:instrText>
      </w:r>
      <w:r>
        <w:fldChar w:fldCharType="separate"/>
      </w:r>
      <w:r>
        <w:rPr>
          <w:rFonts w:hint="eastAsia"/>
          <w:szCs w:val="24"/>
        </w:rPr>
        <w:t>（</w:t>
      </w:r>
      <w:r>
        <w:rPr>
          <w:szCs w:val="24"/>
        </w:rPr>
        <w:t>二</w:t>
      </w:r>
      <w:r>
        <w:rPr>
          <w:rFonts w:hint="eastAsia"/>
          <w:szCs w:val="24"/>
        </w:rPr>
        <w:t>）近年财务状况表</w:t>
      </w:r>
      <w:r>
        <w:tab/>
      </w:r>
      <w:r>
        <w:fldChar w:fldCharType="begin"/>
      </w:r>
      <w:r>
        <w:instrText xml:space="preserve"> PAGEREF _Toc28295 \h </w:instrText>
      </w:r>
      <w:r>
        <w:fldChar w:fldCharType="separate"/>
      </w:r>
      <w:r>
        <w:t>227</w:t>
      </w:r>
      <w:r>
        <w:fldChar w:fldCharType="end"/>
      </w:r>
      <w:r>
        <w:fldChar w:fldCharType="end"/>
      </w:r>
    </w:p>
    <w:p>
      <w:pPr>
        <w:pStyle w:val="12"/>
        <w:tabs>
          <w:tab w:val="right" w:leader="dot" w:pos="8306"/>
        </w:tabs>
      </w:pPr>
      <w:r>
        <w:fldChar w:fldCharType="begin"/>
      </w:r>
      <w:r>
        <w:instrText xml:space="preserve"> HYPERLINK \l _Toc4214 </w:instrText>
      </w:r>
      <w:r>
        <w:fldChar w:fldCharType="separate"/>
      </w:r>
      <w:r>
        <w:rPr>
          <w:rFonts w:hint="eastAsia"/>
          <w:szCs w:val="24"/>
        </w:rPr>
        <w:t>（</w:t>
      </w:r>
      <w:r>
        <w:rPr>
          <w:szCs w:val="24"/>
        </w:rPr>
        <w:t>三</w:t>
      </w:r>
      <w:r>
        <w:rPr>
          <w:rFonts w:hint="eastAsia"/>
          <w:szCs w:val="24"/>
        </w:rPr>
        <w:t>）近年完成的类似项目情况</w:t>
      </w:r>
      <w:r>
        <w:tab/>
      </w:r>
      <w:r>
        <w:fldChar w:fldCharType="begin"/>
      </w:r>
      <w:r>
        <w:instrText xml:space="preserve"> PAGEREF _Toc4214 \h </w:instrText>
      </w:r>
      <w:r>
        <w:fldChar w:fldCharType="separate"/>
      </w:r>
      <w:r>
        <w:t>228</w:t>
      </w:r>
      <w:r>
        <w:fldChar w:fldCharType="end"/>
      </w:r>
      <w:r>
        <w:fldChar w:fldCharType="end"/>
      </w:r>
    </w:p>
    <w:p>
      <w:pPr>
        <w:pStyle w:val="12"/>
        <w:tabs>
          <w:tab w:val="right" w:leader="dot" w:pos="8306"/>
        </w:tabs>
      </w:pPr>
      <w:r>
        <w:fldChar w:fldCharType="begin"/>
      </w:r>
      <w:r>
        <w:instrText xml:space="preserve"> HYPERLINK \l _Toc18398 </w:instrText>
      </w:r>
      <w:r>
        <w:fldChar w:fldCharType="separate"/>
      </w:r>
      <w:r>
        <w:rPr>
          <w:rFonts w:hint="eastAsia"/>
          <w:szCs w:val="24"/>
        </w:rPr>
        <w:t>（</w:t>
      </w:r>
      <w:r>
        <w:rPr>
          <w:szCs w:val="24"/>
        </w:rPr>
        <w:t>四</w:t>
      </w:r>
      <w:r>
        <w:rPr>
          <w:rFonts w:hint="eastAsia"/>
          <w:szCs w:val="24"/>
        </w:rPr>
        <w:t>）正在施工的和新承接的项目情况</w:t>
      </w:r>
      <w:r>
        <w:tab/>
      </w:r>
      <w:r>
        <w:fldChar w:fldCharType="begin"/>
      </w:r>
      <w:r>
        <w:instrText xml:space="preserve"> PAGEREF _Toc18398 \h </w:instrText>
      </w:r>
      <w:r>
        <w:fldChar w:fldCharType="separate"/>
      </w:r>
      <w:r>
        <w:t>230</w:t>
      </w:r>
      <w:r>
        <w:fldChar w:fldCharType="end"/>
      </w:r>
      <w:r>
        <w:fldChar w:fldCharType="end"/>
      </w:r>
    </w:p>
    <w:p>
      <w:pPr>
        <w:pStyle w:val="12"/>
        <w:tabs>
          <w:tab w:val="right" w:leader="dot" w:pos="8306"/>
        </w:tabs>
      </w:pPr>
      <w:r>
        <w:fldChar w:fldCharType="begin"/>
      </w:r>
      <w:r>
        <w:instrText xml:space="preserve"> HYPERLINK \l _Toc31419 </w:instrText>
      </w:r>
      <w:r>
        <w:fldChar w:fldCharType="separate"/>
      </w:r>
      <w:r>
        <w:rPr>
          <w:rFonts w:hint="eastAsia"/>
          <w:szCs w:val="24"/>
        </w:rPr>
        <w:t>（</w:t>
      </w:r>
      <w:r>
        <w:rPr>
          <w:szCs w:val="24"/>
        </w:rPr>
        <w:t>五</w:t>
      </w:r>
      <w:r>
        <w:rPr>
          <w:rFonts w:hint="eastAsia"/>
          <w:szCs w:val="24"/>
        </w:rPr>
        <w:t>）企业信誉情况</w:t>
      </w:r>
      <w:r>
        <w:tab/>
      </w:r>
      <w:r>
        <w:fldChar w:fldCharType="begin"/>
      </w:r>
      <w:r>
        <w:instrText xml:space="preserve"> PAGEREF _Toc31419 \h </w:instrText>
      </w:r>
      <w:r>
        <w:fldChar w:fldCharType="separate"/>
      </w:r>
      <w:r>
        <w:t>232</w:t>
      </w:r>
      <w:r>
        <w:fldChar w:fldCharType="end"/>
      </w:r>
      <w:r>
        <w:fldChar w:fldCharType="end"/>
      </w:r>
    </w:p>
    <w:p>
      <w:pPr>
        <w:pStyle w:val="20"/>
        <w:tabs>
          <w:tab w:val="right" w:leader="dot" w:pos="8306"/>
        </w:tabs>
      </w:pPr>
      <w:r>
        <w:fldChar w:fldCharType="begin"/>
      </w:r>
      <w:r>
        <w:instrText xml:space="preserve"> HYPERLINK \l _Toc1244 </w:instrText>
      </w:r>
      <w:r>
        <w:fldChar w:fldCharType="separate"/>
      </w:r>
      <w:r>
        <w:t>八</w:t>
      </w:r>
      <w:r>
        <w:rPr>
          <w:rFonts w:hint="eastAsia"/>
        </w:rPr>
        <w:t>、已标价工程量清单</w:t>
      </w:r>
      <w:r>
        <w:tab/>
      </w:r>
      <w:r>
        <w:fldChar w:fldCharType="begin"/>
      </w:r>
      <w:r>
        <w:instrText xml:space="preserve"> PAGEREF _Toc1244 \h </w:instrText>
      </w:r>
      <w:r>
        <w:fldChar w:fldCharType="separate"/>
      </w:r>
      <w:r>
        <w:t>238</w:t>
      </w:r>
      <w:r>
        <w:fldChar w:fldCharType="end"/>
      </w:r>
      <w:r>
        <w:fldChar w:fldCharType="end"/>
      </w:r>
    </w:p>
    <w:p>
      <w:pPr>
        <w:pStyle w:val="12"/>
        <w:tabs>
          <w:tab w:val="right" w:leader="dot" w:pos="8306"/>
        </w:tabs>
      </w:pPr>
      <w:r>
        <w:fldChar w:fldCharType="begin"/>
      </w:r>
      <w:r>
        <w:instrText xml:space="preserve"> HYPERLINK \l _Toc13441 </w:instrText>
      </w:r>
      <w:r>
        <w:fldChar w:fldCharType="separate"/>
      </w:r>
      <w:r>
        <w:rPr>
          <w:rFonts w:hint="eastAsia"/>
        </w:rPr>
        <w:t>已标价工程量清单（投标总价）封面</w:t>
      </w:r>
      <w:r>
        <w:tab/>
      </w:r>
      <w:r>
        <w:fldChar w:fldCharType="begin"/>
      </w:r>
      <w:r>
        <w:instrText xml:space="preserve"> PAGEREF _Toc13441 \h </w:instrText>
      </w:r>
      <w:r>
        <w:fldChar w:fldCharType="separate"/>
      </w:r>
      <w:r>
        <w:t>239</w:t>
      </w:r>
      <w:r>
        <w:fldChar w:fldCharType="end"/>
      </w:r>
      <w:r>
        <w:fldChar w:fldCharType="end"/>
      </w:r>
    </w:p>
    <w:p>
      <w:pPr>
        <w:pStyle w:val="12"/>
        <w:tabs>
          <w:tab w:val="right" w:leader="dot" w:pos="8306"/>
        </w:tabs>
      </w:pPr>
      <w:r>
        <w:fldChar w:fldCharType="begin"/>
      </w:r>
      <w:r>
        <w:instrText xml:space="preserve"> HYPERLINK \l _Toc22761 </w:instrText>
      </w:r>
      <w:r>
        <w:fldChar w:fldCharType="separate"/>
      </w:r>
      <w:r>
        <w:rPr>
          <w:rFonts w:hint="eastAsia"/>
        </w:rPr>
        <w:t>投标总价扉页</w:t>
      </w:r>
      <w:r>
        <w:tab/>
      </w:r>
      <w:r>
        <w:fldChar w:fldCharType="begin"/>
      </w:r>
      <w:r>
        <w:instrText xml:space="preserve"> PAGEREF _Toc22761 \h </w:instrText>
      </w:r>
      <w:r>
        <w:fldChar w:fldCharType="separate"/>
      </w:r>
      <w:r>
        <w:t>240</w:t>
      </w:r>
      <w:r>
        <w:fldChar w:fldCharType="end"/>
      </w:r>
      <w:r>
        <w:fldChar w:fldCharType="end"/>
      </w:r>
    </w:p>
    <w:p>
      <w:pPr>
        <w:pStyle w:val="20"/>
        <w:tabs>
          <w:tab w:val="right" w:leader="dot" w:pos="8306"/>
        </w:tabs>
      </w:pPr>
      <w:r>
        <w:fldChar w:fldCharType="begin"/>
      </w:r>
      <w:r>
        <w:instrText xml:space="preserve"> HYPERLINK \l _Toc14686 </w:instrText>
      </w:r>
      <w:r>
        <w:fldChar w:fldCharType="separate"/>
      </w:r>
      <w:r>
        <w:t>九</w:t>
      </w:r>
      <w:r>
        <w:rPr>
          <w:rFonts w:hint="eastAsia"/>
        </w:rPr>
        <w:t>、施工组织设计</w:t>
      </w:r>
      <w:r>
        <w:tab/>
      </w:r>
      <w:r>
        <w:fldChar w:fldCharType="begin"/>
      </w:r>
      <w:r>
        <w:instrText xml:space="preserve"> PAGEREF _Toc14686 \h </w:instrText>
      </w:r>
      <w:r>
        <w:fldChar w:fldCharType="separate"/>
      </w:r>
      <w:r>
        <w:t>241</w:t>
      </w:r>
      <w:r>
        <w:fldChar w:fldCharType="end"/>
      </w:r>
      <w:r>
        <w:fldChar w:fldCharType="end"/>
      </w:r>
    </w:p>
    <w:p>
      <w:pPr>
        <w:pStyle w:val="12"/>
        <w:tabs>
          <w:tab w:val="right" w:leader="dot" w:pos="8306"/>
        </w:tabs>
      </w:pPr>
      <w:r>
        <w:fldChar w:fldCharType="begin"/>
      </w:r>
      <w:r>
        <w:instrText xml:space="preserve"> HYPERLINK \l _Toc14311 </w:instrText>
      </w:r>
      <w:r>
        <w:fldChar w:fldCharType="separate"/>
      </w:r>
      <w:r>
        <w:rPr>
          <w:rFonts w:hint="eastAsia"/>
          <w:szCs w:val="24"/>
        </w:rPr>
        <w:t>附表一：拟投入本工程的主要施工设备表</w:t>
      </w:r>
      <w:r>
        <w:tab/>
      </w:r>
      <w:r>
        <w:fldChar w:fldCharType="begin"/>
      </w:r>
      <w:r>
        <w:instrText xml:space="preserve"> PAGEREF _Toc14311 \h </w:instrText>
      </w:r>
      <w:r>
        <w:fldChar w:fldCharType="separate"/>
      </w:r>
      <w:r>
        <w:t>243</w:t>
      </w:r>
      <w:r>
        <w:fldChar w:fldCharType="end"/>
      </w:r>
      <w:r>
        <w:fldChar w:fldCharType="end"/>
      </w:r>
    </w:p>
    <w:p>
      <w:pPr>
        <w:pStyle w:val="12"/>
        <w:tabs>
          <w:tab w:val="right" w:leader="dot" w:pos="8306"/>
        </w:tabs>
      </w:pPr>
      <w:r>
        <w:fldChar w:fldCharType="begin"/>
      </w:r>
      <w:r>
        <w:instrText xml:space="preserve"> HYPERLINK \l _Toc453 </w:instrText>
      </w:r>
      <w:r>
        <w:fldChar w:fldCharType="separate"/>
      </w:r>
      <w:r>
        <w:rPr>
          <w:rFonts w:hint="eastAsia"/>
          <w:szCs w:val="24"/>
        </w:rPr>
        <w:t>附表二：拟配备本工程的试验和检测仪器设备表</w:t>
      </w:r>
      <w:r>
        <w:tab/>
      </w:r>
      <w:r>
        <w:fldChar w:fldCharType="begin"/>
      </w:r>
      <w:r>
        <w:instrText xml:space="preserve"> PAGEREF _Toc453 \h </w:instrText>
      </w:r>
      <w:r>
        <w:fldChar w:fldCharType="separate"/>
      </w:r>
      <w:r>
        <w:t>244</w:t>
      </w:r>
      <w:r>
        <w:fldChar w:fldCharType="end"/>
      </w:r>
      <w:r>
        <w:fldChar w:fldCharType="end"/>
      </w:r>
    </w:p>
    <w:p>
      <w:pPr>
        <w:pStyle w:val="12"/>
        <w:tabs>
          <w:tab w:val="right" w:leader="dot" w:pos="8306"/>
        </w:tabs>
      </w:pPr>
      <w:r>
        <w:fldChar w:fldCharType="begin"/>
      </w:r>
      <w:r>
        <w:instrText xml:space="preserve"> HYPERLINK \l _Toc9262 </w:instrText>
      </w:r>
      <w:r>
        <w:fldChar w:fldCharType="separate"/>
      </w:r>
      <w:r>
        <w:rPr>
          <w:rFonts w:hint="eastAsia"/>
          <w:szCs w:val="24"/>
        </w:rPr>
        <w:t>附表三：劳动力计划表</w:t>
      </w:r>
      <w:r>
        <w:tab/>
      </w:r>
      <w:r>
        <w:fldChar w:fldCharType="begin"/>
      </w:r>
      <w:r>
        <w:instrText xml:space="preserve"> PAGEREF _Toc9262 \h </w:instrText>
      </w:r>
      <w:r>
        <w:fldChar w:fldCharType="separate"/>
      </w:r>
      <w:r>
        <w:t>245</w:t>
      </w:r>
      <w:r>
        <w:fldChar w:fldCharType="end"/>
      </w:r>
      <w:r>
        <w:fldChar w:fldCharType="end"/>
      </w:r>
    </w:p>
    <w:p>
      <w:pPr>
        <w:pStyle w:val="12"/>
        <w:tabs>
          <w:tab w:val="right" w:leader="dot" w:pos="8306"/>
        </w:tabs>
      </w:pPr>
      <w:r>
        <w:fldChar w:fldCharType="begin"/>
      </w:r>
      <w:r>
        <w:instrText xml:space="preserve"> HYPERLINK \l _Toc2968 </w:instrText>
      </w:r>
      <w:r>
        <w:fldChar w:fldCharType="separate"/>
      </w:r>
      <w:r>
        <w:rPr>
          <w:rFonts w:hint="eastAsia"/>
          <w:szCs w:val="24"/>
        </w:rPr>
        <w:t>附表四：计划开、竣工日期和施工进度网络图</w:t>
      </w:r>
      <w:r>
        <w:tab/>
      </w:r>
      <w:r>
        <w:fldChar w:fldCharType="begin"/>
      </w:r>
      <w:r>
        <w:instrText xml:space="preserve"> PAGEREF _Toc2968 \h </w:instrText>
      </w:r>
      <w:r>
        <w:fldChar w:fldCharType="separate"/>
      </w:r>
      <w:r>
        <w:t>246</w:t>
      </w:r>
      <w:r>
        <w:fldChar w:fldCharType="end"/>
      </w:r>
      <w:r>
        <w:fldChar w:fldCharType="end"/>
      </w:r>
    </w:p>
    <w:p>
      <w:pPr>
        <w:pStyle w:val="12"/>
        <w:tabs>
          <w:tab w:val="right" w:leader="dot" w:pos="8306"/>
        </w:tabs>
      </w:pPr>
      <w:r>
        <w:fldChar w:fldCharType="begin"/>
      </w:r>
      <w:r>
        <w:instrText xml:space="preserve"> HYPERLINK \l _Toc15707 </w:instrText>
      </w:r>
      <w:r>
        <w:fldChar w:fldCharType="separate"/>
      </w:r>
      <w:r>
        <w:rPr>
          <w:rFonts w:hint="eastAsia"/>
          <w:szCs w:val="24"/>
        </w:rPr>
        <w:t>附表五：施工总平面图</w:t>
      </w:r>
      <w:r>
        <w:tab/>
      </w:r>
      <w:r>
        <w:fldChar w:fldCharType="begin"/>
      </w:r>
      <w:r>
        <w:instrText xml:space="preserve"> PAGEREF _Toc15707 \h </w:instrText>
      </w:r>
      <w:r>
        <w:fldChar w:fldCharType="separate"/>
      </w:r>
      <w:r>
        <w:t>247</w:t>
      </w:r>
      <w:r>
        <w:fldChar w:fldCharType="end"/>
      </w:r>
      <w:r>
        <w:fldChar w:fldCharType="end"/>
      </w:r>
    </w:p>
    <w:p>
      <w:pPr>
        <w:pStyle w:val="12"/>
        <w:tabs>
          <w:tab w:val="right" w:leader="dot" w:pos="8306"/>
        </w:tabs>
      </w:pPr>
      <w:r>
        <w:fldChar w:fldCharType="begin"/>
      </w:r>
      <w:r>
        <w:instrText xml:space="preserve"> HYPERLINK \l _Toc13368 </w:instrText>
      </w:r>
      <w:r>
        <w:fldChar w:fldCharType="separate"/>
      </w:r>
      <w:r>
        <w:rPr>
          <w:rFonts w:hint="eastAsia"/>
          <w:szCs w:val="24"/>
        </w:rPr>
        <w:t>附表六：临时用地表</w:t>
      </w:r>
      <w:r>
        <w:tab/>
      </w:r>
      <w:r>
        <w:fldChar w:fldCharType="begin"/>
      </w:r>
      <w:r>
        <w:instrText xml:space="preserve"> PAGEREF _Toc13368 \h </w:instrText>
      </w:r>
      <w:r>
        <w:fldChar w:fldCharType="separate"/>
      </w:r>
      <w:r>
        <w:t>248</w:t>
      </w:r>
      <w:r>
        <w:fldChar w:fldCharType="end"/>
      </w:r>
      <w:r>
        <w:fldChar w:fldCharType="end"/>
      </w:r>
    </w:p>
    <w:p>
      <w:pPr>
        <w:pStyle w:val="20"/>
        <w:tabs>
          <w:tab w:val="right" w:leader="dot" w:pos="8306"/>
        </w:tabs>
      </w:pPr>
      <w:r>
        <w:fldChar w:fldCharType="begin"/>
      </w:r>
      <w:r>
        <w:instrText xml:space="preserve"> HYPERLINK \l _Toc7840 </w:instrText>
      </w:r>
      <w:r>
        <w:fldChar w:fldCharType="separate"/>
      </w:r>
      <w:r>
        <w:t>十</w:t>
      </w:r>
      <w:r>
        <w:rPr>
          <w:rFonts w:hint="eastAsia"/>
        </w:rPr>
        <w:t>、其他材料</w:t>
      </w:r>
      <w:r>
        <w:tab/>
      </w:r>
      <w:r>
        <w:fldChar w:fldCharType="begin"/>
      </w:r>
      <w:r>
        <w:instrText xml:space="preserve"> PAGEREF _Toc7840 \h </w:instrText>
      </w:r>
      <w:r>
        <w:fldChar w:fldCharType="separate"/>
      </w:r>
      <w:r>
        <w:t>249</w:t>
      </w:r>
      <w:r>
        <w:fldChar w:fldCharType="end"/>
      </w:r>
      <w:r>
        <w:fldChar w:fldCharType="end"/>
      </w:r>
    </w:p>
    <w:p>
      <w:pPr>
        <w:jc w:val="center"/>
        <w:rPr>
          <w:b/>
          <w:sz w:val="44"/>
        </w:rPr>
        <w:sectPr>
          <w:pgSz w:w="11906" w:h="16838"/>
          <w:pgMar w:top="1440" w:right="1800" w:bottom="1440" w:left="1800" w:header="851" w:footer="992" w:gutter="0"/>
          <w:cols w:space="425" w:num="1"/>
          <w:docGrid w:type="lines" w:linePitch="312" w:charSpace="0"/>
        </w:sectPr>
      </w:pPr>
      <w:r>
        <w:rPr>
          <w:b/>
          <w:sz w:val="44"/>
        </w:rPr>
        <w:fldChar w:fldCharType="end"/>
      </w:r>
      <w:bookmarkEnd w:id="0"/>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pStyle w:val="4"/>
        <w:spacing w:before="120" w:after="120" w:line="400" w:lineRule="exact"/>
        <w:jc w:val="center"/>
        <w:rPr>
          <w:rFonts w:hint="eastAsia" w:ascii="黑体" w:hAnsi="黑体" w:eastAsia="黑体"/>
          <w:b w:val="0"/>
          <w:bCs w:val="0"/>
          <w:sz w:val="32"/>
        </w:rPr>
        <w:sectPr>
          <w:footerReference r:id="rId4" w:type="default"/>
          <w:pgSz w:w="11906" w:h="16838"/>
          <w:pgMar w:top="1440" w:right="1800" w:bottom="1440" w:left="1800" w:header="851" w:footer="992" w:gutter="0"/>
          <w:pgNumType w:start="1"/>
          <w:cols w:space="425" w:num="1"/>
          <w:docGrid w:type="lines" w:linePitch="312" w:charSpace="0"/>
        </w:sectPr>
      </w:pPr>
      <w:bookmarkStart w:id="1" w:name="_Toc122602606"/>
      <w:bookmarkStart w:id="2" w:name="_Toc256000000"/>
      <w:bookmarkStart w:id="3" w:name="_Toc12236"/>
      <w:r>
        <w:rPr>
          <w:rFonts w:hint="eastAsia" w:ascii="黑体" w:hAnsi="黑体" w:eastAsia="黑体"/>
          <w:b w:val="0"/>
          <w:bCs w:val="0"/>
          <w:sz w:val="48"/>
          <w:szCs w:val="48"/>
        </w:rPr>
        <w:t>第一卷</w:t>
      </w:r>
      <w:bookmarkEnd w:id="1"/>
      <w:bookmarkEnd w:id="2"/>
      <w:bookmarkEnd w:id="3"/>
    </w:p>
    <w:p/>
    <w:p/>
    <w:p/>
    <w:p/>
    <w:p/>
    <w:p/>
    <w:p/>
    <w:p/>
    <w:p/>
    <w:p/>
    <w:p/>
    <w:p/>
    <w:p/>
    <w:p/>
    <w:p/>
    <w:p>
      <w:pPr>
        <w:pStyle w:val="4"/>
        <w:spacing w:before="120" w:after="120" w:line="400" w:lineRule="exact"/>
        <w:jc w:val="center"/>
        <w:rPr>
          <w:rFonts w:hint="eastAsia" w:ascii="黑体" w:hAnsi="黑体" w:eastAsia="黑体"/>
          <w:b w:val="0"/>
          <w:bCs w:val="0"/>
          <w:sz w:val="32"/>
        </w:rPr>
        <w:sectPr>
          <w:footerReference r:id="rId5" w:type="default"/>
          <w:pgSz w:w="11906" w:h="16838"/>
          <w:pgMar w:top="1440" w:right="1800" w:bottom="1440" w:left="1800" w:header="851" w:footer="992" w:gutter="0"/>
          <w:cols w:space="425" w:num="1"/>
          <w:docGrid w:type="lines" w:linePitch="312" w:charSpace="0"/>
        </w:sectPr>
      </w:pPr>
      <w:bookmarkStart w:id="4" w:name="_Toc152264280"/>
      <w:bookmarkStart w:id="5" w:name="_Toc256000001"/>
      <w:bookmarkStart w:id="6" w:name="_Toc16717"/>
      <w:r>
        <w:rPr>
          <w:rFonts w:hint="eastAsia" w:ascii="黑体" w:hAnsi="黑体" w:eastAsia="黑体"/>
          <w:b w:val="0"/>
          <w:bCs w:val="0"/>
          <w:sz w:val="32"/>
        </w:rPr>
        <w:t xml:space="preserve">第一章  </w:t>
      </w:r>
      <w:bookmarkEnd w:id="4"/>
      <w:r>
        <w:rPr>
          <w:rFonts w:hint="eastAsia" w:ascii="黑体" w:hAnsi="黑体" w:eastAsia="黑体"/>
          <w:b w:val="0"/>
          <w:bCs w:val="0"/>
          <w:sz w:val="32"/>
        </w:rPr>
        <w:t>招标公告</w:t>
      </w:r>
      <w:bookmarkEnd w:id="5"/>
      <w:bookmarkEnd w:id="6"/>
    </w:p>
    <w:p>
      <w:pPr>
        <w:pStyle w:val="10"/>
        <w:spacing w:after="0" w:line="360" w:lineRule="auto"/>
        <w:ind w:firstLine="574" w:firstLineChars="200"/>
        <w:jc w:val="center"/>
        <w:rPr>
          <w:b/>
          <w:bCs/>
          <w:spacing w:val="3"/>
        </w:rPr>
      </w:pPr>
      <w:r>
        <w:rPr>
          <w:rFonts w:hint="eastAsia"/>
          <w:b/>
          <w:bCs/>
          <w:spacing w:val="3"/>
          <w:sz w:val="28"/>
          <w:szCs w:val="28"/>
        </w:rPr>
        <w:t>营口建发盛海磷化工有限公司精制磷酸及磷酸铁前驱体项目全厂道路、管廊、地管、事故水池、防雷接地施工招标公告</w:t>
      </w:r>
    </w:p>
    <w:p>
      <w:pPr>
        <w:spacing w:line="360" w:lineRule="auto"/>
        <w:ind w:firstLine="466" w:firstLineChars="200"/>
        <w:outlineLvl w:val="4"/>
        <w:rPr>
          <w:rFonts w:hint="eastAsia" w:ascii="黑体" w:hAnsi="黑体" w:eastAsia="黑体" w:cs="黑体"/>
          <w:szCs w:val="21"/>
        </w:rPr>
      </w:pPr>
      <w:r>
        <w:rPr>
          <w:rFonts w:ascii="黑体" w:hAnsi="黑体" w:eastAsia="黑体" w:cs="黑体"/>
          <w:b/>
          <w:bCs/>
          <w:spacing w:val="11"/>
          <w:szCs w:val="21"/>
        </w:rPr>
        <w:t>1.招标条件</w:t>
      </w:r>
    </w:p>
    <w:p>
      <w:pPr>
        <w:pStyle w:val="10"/>
        <w:spacing w:after="0" w:line="360" w:lineRule="auto"/>
        <w:ind w:firstLine="432" w:firstLineChars="200"/>
      </w:pPr>
      <w:r>
        <w:rPr>
          <w:spacing w:val="3"/>
        </w:rPr>
        <w:t>本招标项目</w:t>
      </w:r>
      <w:r>
        <w:rPr>
          <w:rFonts w:hint="eastAsia"/>
          <w:spacing w:val="3"/>
          <w:u w:val="single"/>
        </w:rPr>
        <w:t>营口建发盛海磷化工有限公司精制磷酸及磷酸铁前驱体项目</w:t>
      </w:r>
      <w:r>
        <w:rPr>
          <w:spacing w:val="3"/>
        </w:rPr>
        <w:t>已由</w:t>
      </w:r>
      <w:r>
        <w:rPr>
          <w:rFonts w:hint="eastAsia"/>
          <w:spacing w:val="3"/>
          <w:u w:val="single"/>
        </w:rPr>
        <w:t>辽宁（营口）沿海产业基地行政审批局</w:t>
      </w:r>
      <w:r>
        <w:rPr>
          <w:spacing w:val="3"/>
          <w:u w:val="single"/>
        </w:rPr>
        <w:t>以</w:t>
      </w:r>
      <w:r>
        <w:rPr>
          <w:rFonts w:hint="eastAsia"/>
          <w:spacing w:val="3"/>
          <w:u w:val="single"/>
        </w:rPr>
        <w:t>关于</w:t>
      </w:r>
      <w:r>
        <w:rPr>
          <w:rFonts w:hint="eastAsia"/>
          <w:spacing w:val="3"/>
          <w:highlight w:val="yellow"/>
          <w:u w:val="single"/>
        </w:rPr>
        <w:t>《营口建发盛海磷化工有限公司精制磷酸及磷酸铁前驱体项目》</w:t>
      </w:r>
      <w:r>
        <w:rPr>
          <w:rFonts w:hint="eastAsia"/>
          <w:spacing w:val="3"/>
          <w:u w:val="single"/>
        </w:rPr>
        <w:t>项目备案证明</w:t>
      </w:r>
      <w:r>
        <w:rPr>
          <w:spacing w:val="3"/>
          <w:u w:val="single"/>
        </w:rPr>
        <w:t>(</w:t>
      </w:r>
      <w:r>
        <w:rPr>
          <w:rFonts w:hint="eastAsia"/>
          <w:spacing w:val="3"/>
          <w:u w:val="single"/>
        </w:rPr>
        <w:t>营沿审备【2025】34号</w:t>
      </w:r>
      <w:r>
        <w:rPr>
          <w:spacing w:val="2"/>
          <w:u w:val="single"/>
        </w:rPr>
        <w:t>)</w:t>
      </w:r>
      <w:r>
        <w:rPr>
          <w:spacing w:val="2"/>
        </w:rPr>
        <w:t>批准建设，项目业主为</w:t>
      </w:r>
      <w:r>
        <w:rPr>
          <w:rFonts w:hint="eastAsia"/>
          <w:spacing w:val="3"/>
          <w:u w:val="single"/>
        </w:rPr>
        <w:t>营口建发盛海磷化工有限公司</w:t>
      </w:r>
      <w:r>
        <w:rPr>
          <w:spacing w:val="2"/>
          <w:u w:val="single"/>
        </w:rPr>
        <w:t>，</w:t>
      </w:r>
      <w:r>
        <w:rPr>
          <w:spacing w:val="2"/>
        </w:rPr>
        <w:t>建设资金来</w:t>
      </w:r>
      <w:r>
        <w:rPr>
          <w:spacing w:val="-54"/>
        </w:rPr>
        <w:t xml:space="preserve"> </w:t>
      </w:r>
      <w:r>
        <w:rPr>
          <w:spacing w:val="2"/>
        </w:rPr>
        <w:t>自</w:t>
      </w:r>
      <w:r>
        <w:rPr>
          <w:spacing w:val="2"/>
          <w:highlight w:val="yellow"/>
          <w:u w:val="single"/>
        </w:rPr>
        <w:t>自筹资金</w:t>
      </w:r>
      <w:r>
        <w:rPr>
          <w:spacing w:val="2"/>
        </w:rPr>
        <w:t>，项</w:t>
      </w:r>
      <w:r>
        <w:rPr>
          <w:spacing w:val="1"/>
        </w:rPr>
        <w:t>目出资比例为</w:t>
      </w:r>
      <w:r>
        <w:rPr>
          <w:rFonts w:eastAsia="Times New Roman"/>
          <w:spacing w:val="1"/>
          <w:u w:val="single"/>
        </w:rPr>
        <w:t>100%</w:t>
      </w:r>
      <w:r>
        <w:rPr>
          <w:rFonts w:eastAsia="Times New Roman"/>
          <w:spacing w:val="1"/>
        </w:rPr>
        <w:t xml:space="preserve"> </w:t>
      </w:r>
      <w:r>
        <w:rPr>
          <w:spacing w:val="1"/>
        </w:rPr>
        <w:t>,招标人</w:t>
      </w:r>
      <w:r>
        <w:rPr>
          <w:spacing w:val="-2"/>
        </w:rPr>
        <w:t>为</w:t>
      </w:r>
      <w:r>
        <w:rPr>
          <w:rFonts w:hint="eastAsia"/>
          <w:spacing w:val="3"/>
          <w:u w:val="single"/>
        </w:rPr>
        <w:t>营口建发盛海磷化工有限公司</w:t>
      </w:r>
      <w:r>
        <w:rPr>
          <w:spacing w:val="-2"/>
          <w:u w:val="single"/>
        </w:rPr>
        <w:t>，</w:t>
      </w:r>
      <w:r>
        <w:rPr>
          <w:spacing w:val="-2"/>
        </w:rPr>
        <w:t>招标代理机构为</w:t>
      </w:r>
      <w:r>
        <w:rPr>
          <w:rFonts w:hint="eastAsia"/>
          <w:spacing w:val="-2"/>
          <w:u w:val="single"/>
        </w:rPr>
        <w:t>营口公物咨询管理有限公司</w:t>
      </w:r>
      <w:r>
        <w:t>。项目已具备招标条件，现对该项目进</w:t>
      </w:r>
      <w:r>
        <w:rPr>
          <w:spacing w:val="-1"/>
        </w:rPr>
        <w:t>行公开招标。</w:t>
      </w:r>
    </w:p>
    <w:p>
      <w:pPr>
        <w:spacing w:line="360" w:lineRule="auto"/>
        <w:ind w:firstLine="490" w:firstLineChars="200"/>
        <w:outlineLvl w:val="4"/>
        <w:rPr>
          <w:rFonts w:hint="eastAsia" w:ascii="黑体" w:hAnsi="黑体" w:eastAsia="黑体" w:cs="黑体"/>
          <w:szCs w:val="21"/>
        </w:rPr>
      </w:pPr>
      <w:r>
        <w:rPr>
          <w:rFonts w:ascii="黑体" w:hAnsi="黑体" w:eastAsia="黑体" w:cs="黑体"/>
          <w:b/>
          <w:bCs/>
          <w:spacing w:val="17"/>
          <w:szCs w:val="21"/>
        </w:rPr>
        <w:t>2</w:t>
      </w:r>
      <w:r>
        <w:rPr>
          <w:rFonts w:ascii="黑体" w:hAnsi="黑体" w:eastAsia="黑体" w:cs="黑体"/>
          <w:spacing w:val="-63"/>
          <w:szCs w:val="21"/>
        </w:rPr>
        <w:t xml:space="preserve"> </w:t>
      </w:r>
      <w:r>
        <w:rPr>
          <w:rFonts w:ascii="黑体" w:hAnsi="黑体" w:eastAsia="黑体" w:cs="黑体"/>
          <w:b/>
          <w:bCs/>
          <w:spacing w:val="17"/>
          <w:szCs w:val="21"/>
        </w:rPr>
        <w:t>.项目概况与招标范围</w:t>
      </w:r>
    </w:p>
    <w:p>
      <w:pPr>
        <w:pStyle w:val="10"/>
        <w:spacing w:after="0" w:line="360" w:lineRule="auto"/>
        <w:ind w:firstLine="404" w:firstLineChars="200"/>
      </w:pPr>
      <w:r>
        <w:rPr>
          <w:spacing w:val="-4"/>
        </w:rPr>
        <w:t>2.1</w:t>
      </w:r>
      <w:r>
        <w:rPr>
          <w:spacing w:val="-24"/>
        </w:rPr>
        <w:t xml:space="preserve"> </w:t>
      </w:r>
      <w:r>
        <w:rPr>
          <w:spacing w:val="-4"/>
        </w:rPr>
        <w:t>项目概况</w:t>
      </w:r>
    </w:p>
    <w:p>
      <w:pPr>
        <w:pStyle w:val="10"/>
        <w:spacing w:after="0" w:line="360" w:lineRule="auto"/>
        <w:ind w:firstLine="428" w:firstLineChars="200"/>
      </w:pPr>
      <w:r>
        <w:rPr>
          <w:spacing w:val="2"/>
        </w:rPr>
        <w:t>建设地点：</w:t>
      </w:r>
      <w:r>
        <w:rPr>
          <w:rFonts w:hint="eastAsia"/>
          <w:spacing w:val="2"/>
        </w:rPr>
        <w:t>辽宁（营口）沿海产业基地冶金化工重装备区</w:t>
      </w:r>
    </w:p>
    <w:p>
      <w:pPr>
        <w:pStyle w:val="10"/>
        <w:spacing w:after="0" w:line="360" w:lineRule="auto"/>
        <w:ind w:firstLine="404" w:firstLineChars="200"/>
        <w:rPr>
          <w:highlight w:val="yellow"/>
          <w:u w:val="single"/>
        </w:rPr>
      </w:pPr>
      <w:r>
        <w:rPr>
          <w:spacing w:val="-4"/>
          <w:position w:val="1"/>
        </w:rPr>
        <w:t>建设规模：</w:t>
      </w:r>
      <w:r>
        <w:rPr>
          <w:rFonts w:hint="eastAsia"/>
          <w:spacing w:val="-4"/>
          <w:position w:val="1"/>
          <w:highlight w:val="yellow"/>
          <w:u w:val="single"/>
        </w:rPr>
        <w:t>一期建设规模为：30万吨/年湿法磷酸装置、60万吨/年复合肥装置、30万吨/年水溶肥装置、1.5万吨/年氟硅酸钠装置、磷石膏无害化处理装置及项目配套的公用工程。公用工程主要包括：总图运输、辅助工程（包含厂区外管及外管廊、安全及环保设施、消防系统、地下管网、事故水池、雨水收集池、厂区道路、围墙、挡墙、门禁、给排水、全厂采暖、全厂电信（含监控、通讯、网络等）、过磅系统、自动取样系统、备品备件库、三修厂房、编织袋库、危废库、生产综合楼及厂区生活设施等）。</w:t>
      </w:r>
    </w:p>
    <w:p>
      <w:pPr>
        <w:pStyle w:val="10"/>
        <w:spacing w:after="0" w:line="360" w:lineRule="auto"/>
        <w:ind w:firstLine="396" w:firstLineChars="200"/>
      </w:pPr>
      <w:r>
        <w:rPr>
          <w:spacing w:val="-6"/>
        </w:rPr>
        <w:t>2.2</w:t>
      </w:r>
      <w:r>
        <w:rPr>
          <w:spacing w:val="-16"/>
        </w:rPr>
        <w:t xml:space="preserve"> </w:t>
      </w:r>
      <w:r>
        <w:rPr>
          <w:spacing w:val="-6"/>
        </w:rPr>
        <w:t>招标范围</w:t>
      </w:r>
    </w:p>
    <w:p>
      <w:pPr>
        <w:pStyle w:val="10"/>
        <w:spacing w:after="0" w:line="360" w:lineRule="auto"/>
        <w:ind w:firstLine="416" w:firstLineChars="200"/>
      </w:pPr>
      <w:r>
        <w:rPr>
          <w:spacing w:val="-1"/>
        </w:rPr>
        <w:t>标段划分：</w:t>
      </w:r>
      <w:r>
        <w:rPr>
          <w:spacing w:val="-1"/>
          <w:u w:val="single"/>
        </w:rPr>
        <w:t>共划分一个标段</w:t>
      </w:r>
      <w:r>
        <w:rPr>
          <w:spacing w:val="-1"/>
        </w:rPr>
        <w:t>；是否兼投：否；是否兼中：否。</w:t>
      </w:r>
    </w:p>
    <w:p>
      <w:pPr>
        <w:pStyle w:val="10"/>
        <w:spacing w:after="0" w:line="360" w:lineRule="auto"/>
        <w:ind w:firstLine="408" w:firstLineChars="200"/>
      </w:pPr>
      <w:r>
        <w:rPr>
          <w:spacing w:val="-3"/>
        </w:rPr>
        <w:t>计划工期/服务期限/供货期限：</w:t>
      </w:r>
      <w:r>
        <w:rPr>
          <w:rFonts w:hint="eastAsia"/>
          <w:spacing w:val="-3"/>
          <w:u w:val="single"/>
        </w:rPr>
        <w:t>90个</w:t>
      </w:r>
      <w:r>
        <w:rPr>
          <w:spacing w:val="-3"/>
        </w:rPr>
        <w:t>日历天。</w:t>
      </w:r>
    </w:p>
    <w:p>
      <w:pPr>
        <w:pStyle w:val="10"/>
        <w:spacing w:after="0" w:line="360" w:lineRule="auto"/>
        <w:ind w:firstLine="452" w:firstLineChars="200"/>
        <w:rPr>
          <w:highlight w:val="yellow"/>
        </w:rPr>
      </w:pPr>
      <w:r>
        <w:rPr>
          <w:spacing w:val="8"/>
          <w:highlight w:val="yellow"/>
        </w:rPr>
        <w:t>计划开工/服务开始/供货开始日期</w:t>
      </w:r>
      <w:r>
        <w:rPr>
          <w:spacing w:val="-91"/>
          <w:highlight w:val="yellow"/>
        </w:rPr>
        <w:t xml:space="preserve"> </w:t>
      </w:r>
      <w:r>
        <w:rPr>
          <w:spacing w:val="-94"/>
          <w:highlight w:val="yellow"/>
          <w:u w:val="single"/>
        </w:rPr>
        <w:t xml:space="preserve"> </w:t>
      </w:r>
      <w:r>
        <w:rPr>
          <w:spacing w:val="8"/>
          <w:highlight w:val="yellow"/>
          <w:u w:val="single"/>
        </w:rPr>
        <w:t>2025年</w:t>
      </w:r>
      <w:r>
        <w:rPr>
          <w:rFonts w:hint="eastAsia"/>
          <w:spacing w:val="8"/>
          <w:highlight w:val="yellow"/>
          <w:u w:val="single"/>
        </w:rPr>
        <w:t xml:space="preserve"> 10</w:t>
      </w:r>
      <w:r>
        <w:rPr>
          <w:spacing w:val="8"/>
          <w:highlight w:val="yellow"/>
          <w:u w:val="single"/>
        </w:rPr>
        <w:t>月</w:t>
      </w:r>
      <w:r>
        <w:rPr>
          <w:rFonts w:hint="eastAsia"/>
          <w:spacing w:val="8"/>
          <w:highlight w:val="yellow"/>
          <w:u w:val="single"/>
        </w:rPr>
        <w:t xml:space="preserve"> 25  </w:t>
      </w:r>
      <w:r>
        <w:rPr>
          <w:spacing w:val="8"/>
          <w:highlight w:val="yellow"/>
          <w:u w:val="single"/>
        </w:rPr>
        <w:t>日：</w:t>
      </w:r>
      <w:r>
        <w:rPr>
          <w:spacing w:val="8"/>
          <w:highlight w:val="yellow"/>
        </w:rPr>
        <w:t>计划竣工/服务结束/供货</w:t>
      </w:r>
      <w:r>
        <w:rPr>
          <w:spacing w:val="19"/>
          <w:highlight w:val="yellow"/>
        </w:rPr>
        <w:t>结束日期</w:t>
      </w:r>
      <w:r>
        <w:rPr>
          <w:spacing w:val="-83"/>
          <w:highlight w:val="yellow"/>
        </w:rPr>
        <w:t xml:space="preserve"> </w:t>
      </w:r>
      <w:r>
        <w:rPr>
          <w:spacing w:val="-95"/>
          <w:highlight w:val="yellow"/>
          <w:u w:val="single"/>
        </w:rPr>
        <w:t xml:space="preserve"> </w:t>
      </w:r>
      <w:r>
        <w:rPr>
          <w:spacing w:val="19"/>
          <w:highlight w:val="yellow"/>
          <w:u w:val="single"/>
        </w:rPr>
        <w:t>202</w:t>
      </w:r>
      <w:r>
        <w:rPr>
          <w:rFonts w:hint="eastAsia"/>
          <w:spacing w:val="19"/>
          <w:highlight w:val="yellow"/>
          <w:u w:val="single"/>
        </w:rPr>
        <w:t>6</w:t>
      </w:r>
      <w:r>
        <w:rPr>
          <w:spacing w:val="19"/>
          <w:highlight w:val="yellow"/>
          <w:u w:val="single"/>
        </w:rPr>
        <w:t>年</w:t>
      </w:r>
      <w:r>
        <w:rPr>
          <w:rFonts w:hint="eastAsia"/>
          <w:spacing w:val="19"/>
          <w:highlight w:val="yellow"/>
          <w:u w:val="single"/>
        </w:rPr>
        <w:t>1</w:t>
      </w:r>
      <w:r>
        <w:rPr>
          <w:spacing w:val="19"/>
          <w:highlight w:val="yellow"/>
          <w:u w:val="single"/>
        </w:rPr>
        <w:t>月</w:t>
      </w:r>
      <w:r>
        <w:rPr>
          <w:rFonts w:hint="eastAsia"/>
          <w:spacing w:val="19"/>
          <w:highlight w:val="yellow"/>
          <w:u w:val="single"/>
        </w:rPr>
        <w:t xml:space="preserve">23 </w:t>
      </w:r>
      <w:r>
        <w:rPr>
          <w:spacing w:val="19"/>
          <w:highlight w:val="yellow"/>
          <w:u w:val="single"/>
        </w:rPr>
        <w:t>日</w:t>
      </w:r>
      <w:r>
        <w:rPr>
          <w:rFonts w:hint="eastAsia"/>
          <w:spacing w:val="19"/>
          <w:highlight w:val="yellow"/>
          <w:u w:val="single"/>
        </w:rPr>
        <w:t>。其中：管廊、地管、防雷接地工期为</w:t>
      </w:r>
      <w:r>
        <w:rPr>
          <w:spacing w:val="-91"/>
          <w:highlight w:val="yellow"/>
        </w:rPr>
        <w:t xml:space="preserve"> </w:t>
      </w:r>
      <w:r>
        <w:rPr>
          <w:spacing w:val="-94"/>
          <w:highlight w:val="yellow"/>
          <w:u w:val="single"/>
        </w:rPr>
        <w:t xml:space="preserve"> </w:t>
      </w:r>
      <w:r>
        <w:rPr>
          <w:spacing w:val="8"/>
          <w:highlight w:val="yellow"/>
          <w:u w:val="single"/>
        </w:rPr>
        <w:t>2025年</w:t>
      </w:r>
      <w:r>
        <w:rPr>
          <w:rFonts w:hint="eastAsia"/>
          <w:spacing w:val="8"/>
          <w:highlight w:val="yellow"/>
          <w:u w:val="single"/>
        </w:rPr>
        <w:t>10</w:t>
      </w:r>
      <w:r>
        <w:rPr>
          <w:spacing w:val="8"/>
          <w:highlight w:val="yellow"/>
          <w:u w:val="single"/>
        </w:rPr>
        <w:t>月</w:t>
      </w:r>
      <w:r>
        <w:rPr>
          <w:rFonts w:hint="eastAsia"/>
          <w:spacing w:val="8"/>
          <w:highlight w:val="yellow"/>
          <w:u w:val="single"/>
        </w:rPr>
        <w:t>15</w:t>
      </w:r>
      <w:r>
        <w:rPr>
          <w:spacing w:val="8"/>
          <w:highlight w:val="yellow"/>
          <w:u w:val="single"/>
        </w:rPr>
        <w:t>日</w:t>
      </w:r>
      <w:r>
        <w:rPr>
          <w:rFonts w:hint="eastAsia"/>
          <w:spacing w:val="8"/>
          <w:highlight w:val="yellow"/>
          <w:u w:val="single"/>
        </w:rPr>
        <w:t>至2025年12月14日；全厂道路、</w:t>
      </w:r>
      <w:r>
        <w:rPr>
          <w:rFonts w:hint="eastAsia"/>
          <w:spacing w:val="19"/>
          <w:highlight w:val="yellow"/>
          <w:u w:val="single"/>
        </w:rPr>
        <w:t>事故水池工期为</w:t>
      </w:r>
      <w:r>
        <w:rPr>
          <w:spacing w:val="-91"/>
          <w:highlight w:val="yellow"/>
        </w:rPr>
        <w:t xml:space="preserve"> </w:t>
      </w:r>
      <w:r>
        <w:rPr>
          <w:spacing w:val="-94"/>
          <w:highlight w:val="yellow"/>
          <w:u w:val="single"/>
        </w:rPr>
        <w:t xml:space="preserve"> </w:t>
      </w:r>
      <w:r>
        <w:rPr>
          <w:spacing w:val="8"/>
          <w:highlight w:val="yellow"/>
          <w:u w:val="single"/>
        </w:rPr>
        <w:t>2025年</w:t>
      </w:r>
      <w:r>
        <w:rPr>
          <w:rFonts w:hint="eastAsia"/>
          <w:spacing w:val="8"/>
          <w:highlight w:val="yellow"/>
          <w:u w:val="single"/>
        </w:rPr>
        <w:t>10</w:t>
      </w:r>
      <w:r>
        <w:rPr>
          <w:spacing w:val="8"/>
          <w:highlight w:val="yellow"/>
          <w:u w:val="single"/>
        </w:rPr>
        <w:t>月</w:t>
      </w:r>
      <w:r>
        <w:rPr>
          <w:rFonts w:hint="eastAsia"/>
          <w:spacing w:val="8"/>
          <w:highlight w:val="yellow"/>
          <w:u w:val="single"/>
        </w:rPr>
        <w:t>15</w:t>
      </w:r>
      <w:r>
        <w:rPr>
          <w:spacing w:val="8"/>
          <w:highlight w:val="yellow"/>
          <w:u w:val="single"/>
        </w:rPr>
        <w:t>日</w:t>
      </w:r>
      <w:r>
        <w:rPr>
          <w:rFonts w:hint="eastAsia"/>
          <w:spacing w:val="8"/>
          <w:highlight w:val="yellow"/>
          <w:u w:val="single"/>
        </w:rPr>
        <w:t>至2026年1月13日；</w:t>
      </w:r>
      <w:r>
        <w:rPr>
          <w:rFonts w:hint="eastAsia"/>
          <w:spacing w:val="19"/>
          <w:highlight w:val="yellow"/>
          <w:u w:val="single"/>
        </w:rPr>
        <w:t>具体以招标人实际通知为准。</w:t>
      </w:r>
    </w:p>
    <w:p>
      <w:pPr>
        <w:pStyle w:val="10"/>
        <w:spacing w:after="0" w:line="360" w:lineRule="auto"/>
        <w:ind w:firstLine="416" w:firstLineChars="200"/>
        <w:rPr>
          <w:spacing w:val="-1"/>
        </w:rPr>
      </w:pPr>
      <w:r>
        <w:rPr>
          <w:spacing w:val="-1"/>
        </w:rPr>
        <w:t>标段名称：</w:t>
      </w:r>
      <w:r>
        <w:rPr>
          <w:rFonts w:hint="eastAsia"/>
          <w:spacing w:val="-1"/>
        </w:rPr>
        <w:t>营口建发盛海磷化工有限公司精制磷酸及磷酸铁前驱体项目全厂道路、管廊、地管、事故水池、防雷接地施工</w:t>
      </w:r>
    </w:p>
    <w:p>
      <w:pPr>
        <w:pStyle w:val="10"/>
        <w:spacing w:after="0" w:line="360" w:lineRule="auto"/>
        <w:ind w:firstLine="416" w:firstLineChars="200"/>
        <w:rPr>
          <w:highlight w:val="yellow"/>
        </w:rPr>
      </w:pPr>
      <w:r>
        <w:rPr>
          <w:spacing w:val="-1"/>
          <w:highlight w:val="yellow"/>
        </w:rPr>
        <w:t>标段编号：</w:t>
      </w:r>
    </w:p>
    <w:p>
      <w:pPr>
        <w:pStyle w:val="10"/>
        <w:spacing w:after="0" w:line="360" w:lineRule="auto"/>
        <w:ind w:firstLine="384" w:firstLineChars="200"/>
        <w:rPr>
          <w:spacing w:val="-1"/>
        </w:rPr>
      </w:pPr>
      <w:r>
        <w:rPr>
          <w:spacing w:val="-9"/>
        </w:rPr>
        <w:t>标段招标范围：</w:t>
      </w:r>
      <w:r>
        <w:rPr>
          <w:rFonts w:hint="eastAsia"/>
          <w:spacing w:val="-1"/>
        </w:rPr>
        <w:t>营口建发盛海磷化工有限公司精制磷酸及磷酸铁前驱体项目全厂道路、管廊、地管、事故水池、防雷接地施工</w:t>
      </w:r>
      <w:bookmarkStart w:id="7" w:name="OLE_LINK3"/>
      <w:r>
        <w:rPr>
          <w:rFonts w:hint="eastAsia"/>
          <w:spacing w:val="-1"/>
        </w:rPr>
        <w:t>。</w:t>
      </w:r>
      <w:bookmarkEnd w:id="7"/>
    </w:p>
    <w:p>
      <w:pPr>
        <w:tabs>
          <w:tab w:val="left" w:pos="1276"/>
        </w:tabs>
        <w:spacing w:line="360" w:lineRule="auto"/>
        <w:ind w:firstLine="416" w:firstLineChars="200"/>
        <w:rPr>
          <w:spacing w:val="-1"/>
        </w:rPr>
      </w:pPr>
      <w:r>
        <w:rPr>
          <w:rFonts w:hint="eastAsia"/>
          <w:spacing w:val="-1"/>
        </w:rPr>
        <w:t>全厂道路：总承包范围内的路面（沥青路面、人行道、引道）施工；总承包范围以外的重载道路、轻载道路、引道、重载地坪、轻载地坪、路缘石、人行道、路灯基础等，不含路面划线施工，具体范围及做法见施工图纸。道路与人行道相邻的部分，人行道路缘石与道路一侧路缘石共用。道路路基换填投标人自行考虑工程量，包含在总价中，施工过程中只做技术认可。</w:t>
      </w:r>
    </w:p>
    <w:p>
      <w:pPr>
        <w:tabs>
          <w:tab w:val="left" w:pos="1276"/>
        </w:tabs>
        <w:spacing w:line="360" w:lineRule="auto"/>
        <w:ind w:firstLine="416" w:firstLineChars="200"/>
        <w:rPr>
          <w:spacing w:val="-1"/>
        </w:rPr>
      </w:pPr>
      <w:r>
        <w:rPr>
          <w:rFonts w:hint="eastAsia"/>
          <w:spacing w:val="-1"/>
        </w:rPr>
        <w:t>管廊：现场管廊界区划分见后附说明，桩基图中F12-F33、G1-G10 段桩基采购及沉桩施工不在本次招标范围内，此部分的清理桩芯、灌桩芯、截桩头等包含在本次招标范围内。</w:t>
      </w:r>
    </w:p>
    <w:p>
      <w:pPr>
        <w:tabs>
          <w:tab w:val="left" w:pos="1276"/>
        </w:tabs>
        <w:spacing w:line="360" w:lineRule="auto"/>
        <w:ind w:firstLine="416" w:firstLineChars="200"/>
        <w:rPr>
          <w:spacing w:val="-1"/>
        </w:rPr>
      </w:pPr>
      <w:r>
        <w:rPr>
          <w:rFonts w:hint="eastAsia"/>
          <w:spacing w:val="-1"/>
        </w:rPr>
        <w:t>地管：包含地管设计图纸中全部内容，包含管道采购及施工，其中消防管道及附属设备需满足消防验收标准并配合进行消防验收。地管材料表中有品牌要求的，投标人需标明投标的品牌。</w:t>
      </w:r>
    </w:p>
    <w:p>
      <w:pPr>
        <w:tabs>
          <w:tab w:val="left" w:pos="1276"/>
        </w:tabs>
        <w:spacing w:line="360" w:lineRule="auto"/>
        <w:ind w:firstLine="416" w:firstLineChars="200"/>
        <w:rPr>
          <w:spacing w:val="-1"/>
        </w:rPr>
      </w:pPr>
      <w:r>
        <w:rPr>
          <w:rFonts w:hint="eastAsia"/>
          <w:spacing w:val="-1"/>
        </w:rPr>
        <w:t>雨水监控/事故水池：包含建筑图纸、结构图纸全部内容。包含给排水施工图中阀门井、埋地管道及预埋套管，不包含阀门等。</w:t>
      </w:r>
    </w:p>
    <w:p>
      <w:pPr>
        <w:tabs>
          <w:tab w:val="left" w:pos="1276"/>
        </w:tabs>
        <w:spacing w:line="360" w:lineRule="auto"/>
        <w:ind w:firstLine="416" w:firstLineChars="200"/>
        <w:rPr>
          <w:spacing w:val="-1"/>
        </w:rPr>
      </w:pPr>
      <w:r>
        <w:rPr>
          <w:rFonts w:hint="eastAsia"/>
          <w:spacing w:val="-1"/>
        </w:rPr>
        <w:t>防雷接地：本次招标仅包含长度1000m防雷接地的开挖及回填，防雷接地涉及的材料与施工不在本次招标范围内。</w:t>
      </w:r>
    </w:p>
    <w:p>
      <w:pPr>
        <w:tabs>
          <w:tab w:val="left" w:pos="1276"/>
        </w:tabs>
        <w:spacing w:line="360" w:lineRule="auto"/>
        <w:ind w:firstLine="416" w:firstLineChars="200"/>
      </w:pPr>
      <w:r>
        <w:rPr>
          <w:rFonts w:hint="eastAsia"/>
          <w:spacing w:val="-1"/>
        </w:rPr>
        <w:t>投标人需综合考虑以上施工内容的土方开挖回填。避免造成二次开挖。</w:t>
      </w:r>
    </w:p>
    <w:p>
      <w:pPr>
        <w:pStyle w:val="10"/>
        <w:spacing w:after="0" w:line="360" w:lineRule="auto"/>
        <w:ind w:firstLine="416" w:firstLineChars="200"/>
      </w:pPr>
      <w:r>
        <w:rPr>
          <w:spacing w:val="-1"/>
        </w:rPr>
        <w:t>标段类别：施工；</w:t>
      </w:r>
      <w:r>
        <w:rPr>
          <w:spacing w:val="-1"/>
          <w:highlight w:val="yellow"/>
        </w:rPr>
        <w:t>标段合同估算价：</w:t>
      </w:r>
      <w:r>
        <w:rPr>
          <w:rFonts w:hint="eastAsia"/>
          <w:spacing w:val="-1"/>
          <w:highlight w:val="yellow"/>
          <w:lang w:val="en-US" w:eastAsia="zh-CN"/>
        </w:rPr>
        <w:t>3738</w:t>
      </w:r>
      <w:r>
        <w:rPr>
          <w:spacing w:val="-2"/>
          <w:highlight w:val="yellow"/>
        </w:rPr>
        <w:t>万元。</w:t>
      </w:r>
    </w:p>
    <w:p>
      <w:pPr>
        <w:pStyle w:val="10"/>
        <w:spacing w:after="0" w:line="360" w:lineRule="auto"/>
        <w:ind w:firstLine="484" w:firstLineChars="200"/>
        <w:rPr>
          <w:highlight w:val="yellow"/>
        </w:rPr>
      </w:pPr>
      <w:r>
        <w:rPr>
          <w:spacing w:val="16"/>
          <w:highlight w:val="yellow"/>
        </w:rPr>
        <w:t>投标保证金金额：</w:t>
      </w:r>
      <w:r>
        <w:rPr>
          <w:rFonts w:hint="eastAsia"/>
          <w:spacing w:val="16"/>
          <w:highlight w:val="yellow"/>
        </w:rPr>
        <w:t xml:space="preserve">  </w:t>
      </w:r>
      <w:r>
        <w:rPr>
          <w:spacing w:val="16"/>
          <w:highlight w:val="yellow"/>
        </w:rPr>
        <w:t>万元；缴纳方式：现金(指电汇、支票)</w:t>
      </w:r>
      <w:r>
        <w:rPr>
          <w:spacing w:val="15"/>
          <w:highlight w:val="yellow"/>
        </w:rPr>
        <w:t>;保函(保险)。</w:t>
      </w:r>
    </w:p>
    <w:p>
      <w:pPr>
        <w:pStyle w:val="10"/>
        <w:spacing w:after="0" w:line="360" w:lineRule="auto"/>
        <w:ind w:firstLine="460" w:firstLineChars="200"/>
      </w:pPr>
      <w:r>
        <w:rPr>
          <w:spacing w:val="10"/>
        </w:rPr>
        <w:t>2.3其他：</w:t>
      </w:r>
      <w:r>
        <w:rPr>
          <w:rFonts w:hint="eastAsia"/>
          <w:spacing w:val="10"/>
        </w:rPr>
        <w:t>/</w:t>
      </w:r>
    </w:p>
    <w:p>
      <w:pPr>
        <w:pStyle w:val="10"/>
        <w:spacing w:after="0" w:line="360" w:lineRule="auto"/>
        <w:ind w:firstLine="494" w:firstLineChars="200"/>
        <w:outlineLvl w:val="4"/>
        <w:rPr>
          <w:rFonts w:hint="eastAsia" w:ascii="黑体" w:hAnsi="黑体" w:eastAsia="黑体" w:cs="黑体"/>
        </w:rPr>
      </w:pPr>
      <w:r>
        <w:rPr>
          <w:b/>
          <w:bCs/>
          <w:spacing w:val="18"/>
        </w:rPr>
        <w:t>3.</w:t>
      </w:r>
      <w:r>
        <w:rPr>
          <w:rFonts w:ascii="黑体" w:hAnsi="黑体" w:eastAsia="黑体" w:cs="黑体"/>
          <w:b/>
          <w:bCs/>
          <w:spacing w:val="18"/>
        </w:rPr>
        <w:t>投标人资格要求</w:t>
      </w:r>
    </w:p>
    <w:p>
      <w:pPr>
        <w:pStyle w:val="10"/>
        <w:snapToGrid w:val="0"/>
        <w:spacing w:after="0" w:line="360" w:lineRule="auto"/>
        <w:ind w:right="152" w:firstLine="392" w:firstLineChars="200"/>
        <w:rPr>
          <w:spacing w:val="7"/>
        </w:rPr>
      </w:pPr>
      <w:r>
        <w:rPr>
          <w:spacing w:val="-7"/>
        </w:rPr>
        <w:t>3.1本次招标要求投标人须具备</w:t>
      </w:r>
      <w:r>
        <w:rPr>
          <w:rFonts w:hint="eastAsia"/>
          <w:b/>
          <w:bCs/>
          <w:color w:val="FF0000"/>
          <w:spacing w:val="-7"/>
          <w:highlight w:val="yellow"/>
          <w:u w:val="single"/>
        </w:rPr>
        <w:t>【建筑</w:t>
      </w:r>
      <w:r>
        <w:rPr>
          <w:b/>
          <w:bCs/>
          <w:color w:val="FF0000"/>
          <w:spacing w:val="-7"/>
          <w:highlight w:val="yellow"/>
          <w:u w:val="single"/>
        </w:rPr>
        <w:t>工程施工总承包</w:t>
      </w:r>
      <w:r>
        <w:rPr>
          <w:rFonts w:hint="eastAsia"/>
          <w:b/>
          <w:bCs/>
          <w:color w:val="FF0000"/>
          <w:spacing w:val="-7"/>
          <w:highlight w:val="yellow"/>
          <w:u w:val="single"/>
        </w:rPr>
        <w:t>二</w:t>
      </w:r>
      <w:r>
        <w:rPr>
          <w:b/>
          <w:bCs/>
          <w:color w:val="FF0000"/>
          <w:spacing w:val="-7"/>
          <w:highlight w:val="yellow"/>
          <w:u w:val="single"/>
        </w:rPr>
        <w:t>级</w:t>
      </w:r>
      <w:r>
        <w:rPr>
          <w:rFonts w:hint="eastAsia"/>
          <w:b/>
          <w:bCs/>
          <w:color w:val="FF0000"/>
          <w:spacing w:val="-7"/>
          <w:highlight w:val="yellow"/>
          <w:u w:val="single"/>
        </w:rPr>
        <w:t>】或【市政公用工程</w:t>
      </w:r>
      <w:r>
        <w:rPr>
          <w:b/>
          <w:bCs/>
          <w:color w:val="FF0000"/>
          <w:spacing w:val="-7"/>
          <w:highlight w:val="yellow"/>
          <w:u w:val="single"/>
        </w:rPr>
        <w:t>施工总承包</w:t>
      </w:r>
      <w:r>
        <w:rPr>
          <w:rFonts w:hint="eastAsia"/>
          <w:b/>
          <w:bCs/>
          <w:color w:val="FF0000"/>
          <w:spacing w:val="-7"/>
          <w:highlight w:val="yellow"/>
          <w:u w:val="single"/>
        </w:rPr>
        <w:t>二</w:t>
      </w:r>
      <w:r>
        <w:rPr>
          <w:b/>
          <w:bCs/>
          <w:color w:val="FF0000"/>
          <w:spacing w:val="-7"/>
          <w:highlight w:val="yellow"/>
          <w:u w:val="single"/>
        </w:rPr>
        <w:t>级</w:t>
      </w:r>
      <w:r>
        <w:rPr>
          <w:rFonts w:hint="eastAsia"/>
          <w:b/>
          <w:bCs/>
          <w:color w:val="FF0000"/>
          <w:spacing w:val="-7"/>
          <w:highlight w:val="yellow"/>
          <w:u w:val="single"/>
        </w:rPr>
        <w:t>】</w:t>
      </w:r>
      <w:r>
        <w:rPr>
          <w:b/>
          <w:bCs/>
          <w:color w:val="FF0000"/>
          <w:spacing w:val="-7"/>
          <w:highlight w:val="yellow"/>
          <w:u w:val="single"/>
        </w:rPr>
        <w:t>(含)以上</w:t>
      </w:r>
      <w:r>
        <w:rPr>
          <w:spacing w:val="-7"/>
        </w:rPr>
        <w:t>资质，</w:t>
      </w:r>
      <w:r>
        <w:rPr>
          <w:rFonts w:hint="eastAsia"/>
          <w:spacing w:val="-7"/>
        </w:rPr>
        <w:t>安全生产许可证，</w:t>
      </w:r>
      <w:r>
        <w:rPr>
          <w:spacing w:val="-7"/>
        </w:rPr>
        <w:t>并在人员、设备、资金等方面具有相应的施工能力，其中，投标人拟派项目经理须具备</w:t>
      </w:r>
      <w:r>
        <w:rPr>
          <w:spacing w:val="-7"/>
          <w:u w:val="single"/>
        </w:rPr>
        <w:t>「注册二级建造师 ·</w:t>
      </w:r>
      <w:r>
        <w:rPr>
          <w:rFonts w:hint="eastAsia"/>
          <w:spacing w:val="-7"/>
          <w:u w:val="single"/>
        </w:rPr>
        <w:t>建筑</w:t>
      </w:r>
      <w:r>
        <w:rPr>
          <w:spacing w:val="-7"/>
          <w:u w:val="single"/>
        </w:rPr>
        <w:t>工程]</w:t>
      </w:r>
      <w:r>
        <w:rPr>
          <w:rFonts w:hint="eastAsia"/>
          <w:spacing w:val="-7"/>
          <w:u w:val="single"/>
        </w:rPr>
        <w:t>或</w:t>
      </w:r>
      <w:r>
        <w:rPr>
          <w:spacing w:val="-7"/>
          <w:u w:val="single"/>
        </w:rPr>
        <w:t>「注册二级建造师 ·</w:t>
      </w:r>
      <w:r>
        <w:rPr>
          <w:rFonts w:hint="eastAsia"/>
          <w:spacing w:val="-7"/>
          <w:u w:val="single"/>
        </w:rPr>
        <w:t>市政</w:t>
      </w:r>
      <w:r>
        <w:rPr>
          <w:spacing w:val="-7"/>
          <w:u w:val="single"/>
        </w:rPr>
        <w:t>工程](含)以上</w:t>
      </w:r>
      <w:r>
        <w:rPr>
          <w:spacing w:val="-7"/>
        </w:rPr>
        <w:t>执业资格，具备有效的安全生</w:t>
      </w:r>
      <w:r>
        <w:rPr>
          <w:spacing w:val="-8"/>
        </w:rPr>
        <w:t>产考</w:t>
      </w:r>
      <w:r>
        <w:rPr>
          <w:spacing w:val="8"/>
        </w:rPr>
        <w:t>核合格证书(B证),且未担任其他在施建设工程项目的项目经</w:t>
      </w:r>
      <w:r>
        <w:rPr>
          <w:spacing w:val="7"/>
        </w:rPr>
        <w:t>理。</w:t>
      </w:r>
      <w:r>
        <w:rPr>
          <w:rFonts w:hint="eastAsia" w:ascii="宋体" w:hAnsi="宋体" w:cs="宋体"/>
          <w:bCs/>
        </w:rPr>
        <w:t>项目经理须为投标人在册正式人员，须提供投标截止日前连续6个月或以上养老保险缴纳证明（须具有社保机构公章）。</w:t>
      </w:r>
    </w:p>
    <w:p>
      <w:pPr>
        <w:pStyle w:val="10"/>
        <w:spacing w:after="0" w:line="360" w:lineRule="auto"/>
        <w:ind w:right="152" w:firstLine="448" w:firstLineChars="200"/>
        <w:rPr>
          <w:spacing w:val="7"/>
        </w:rPr>
      </w:pPr>
      <w:r>
        <w:rPr>
          <w:rFonts w:hint="eastAsia"/>
          <w:spacing w:val="7"/>
        </w:rPr>
        <w:t>3.2业绩要求：投标人2022年1月至投标截止日（以合同签订时间为准），投标人须至少提供一份具有满足本标段施工要求的</w:t>
      </w:r>
      <w:r>
        <w:rPr>
          <w:rFonts w:hint="eastAsia"/>
          <w:b/>
          <w:bCs/>
          <w:color w:val="FF0000"/>
          <w:spacing w:val="7"/>
          <w:highlight w:val="yellow"/>
        </w:rPr>
        <w:t>类似项目施工</w:t>
      </w:r>
      <w:r>
        <w:rPr>
          <w:rFonts w:hint="eastAsia"/>
          <w:spacing w:val="7"/>
        </w:rPr>
        <w:t>总承包合同业绩，提供中标通知书（如有）、合同及对应发票等业绩证明材料复印件(证明材料以签署日期为准，证明材料中必须包含关键内容和盖章页)。</w:t>
      </w:r>
    </w:p>
    <w:p>
      <w:pPr>
        <w:pStyle w:val="10"/>
        <w:spacing w:after="0" w:line="360" w:lineRule="auto"/>
        <w:ind w:right="152" w:firstLine="448" w:firstLineChars="200"/>
        <w:rPr>
          <w:spacing w:val="7"/>
        </w:rPr>
      </w:pPr>
      <w:r>
        <w:rPr>
          <w:rFonts w:hint="eastAsia"/>
          <w:spacing w:val="7"/>
        </w:rPr>
        <w:t>3.3项目管理机构主要人员要求：</w:t>
      </w:r>
    </w:p>
    <w:p>
      <w:pPr>
        <w:pStyle w:val="10"/>
        <w:spacing w:after="0" w:line="360" w:lineRule="auto"/>
        <w:ind w:right="152" w:firstLine="448" w:firstLineChars="200"/>
        <w:rPr>
          <w:spacing w:val="7"/>
        </w:rPr>
      </w:pPr>
      <w:r>
        <w:rPr>
          <w:rFonts w:hint="eastAsia"/>
          <w:spacing w:val="7"/>
        </w:rPr>
        <w:t>技术负责人：</w:t>
      </w:r>
    </w:p>
    <w:p>
      <w:pPr>
        <w:pStyle w:val="10"/>
        <w:spacing w:after="0" w:line="360" w:lineRule="auto"/>
        <w:ind w:right="152" w:firstLine="448" w:firstLineChars="200"/>
        <w:rPr>
          <w:spacing w:val="7"/>
        </w:rPr>
      </w:pPr>
      <w:r>
        <w:rPr>
          <w:rFonts w:hint="eastAsia"/>
          <w:spacing w:val="7"/>
        </w:rPr>
        <w:t>（1）投标人拟派技术负责人须具有并提供有效的工程系类中级职称证书。</w:t>
      </w:r>
    </w:p>
    <w:p>
      <w:pPr>
        <w:pStyle w:val="10"/>
        <w:spacing w:after="0" w:line="360" w:lineRule="auto"/>
        <w:ind w:right="152" w:firstLine="448" w:firstLineChars="200"/>
        <w:rPr>
          <w:spacing w:val="7"/>
        </w:rPr>
      </w:pPr>
      <w:r>
        <w:rPr>
          <w:rFonts w:hint="eastAsia"/>
          <w:spacing w:val="7"/>
        </w:rPr>
        <w:t>（2）技术负责人须为投标人在册正式人员，须提供投标截止日前连续6个月或以上养老保险缴纳证明（须具有社保机构公章）。</w:t>
      </w:r>
    </w:p>
    <w:p>
      <w:pPr>
        <w:pStyle w:val="10"/>
        <w:spacing w:after="0" w:line="360" w:lineRule="auto"/>
        <w:ind w:right="152" w:firstLine="448" w:firstLineChars="200"/>
        <w:rPr>
          <w:spacing w:val="7"/>
        </w:rPr>
      </w:pPr>
      <w:r>
        <w:rPr>
          <w:rFonts w:hint="eastAsia"/>
          <w:spacing w:val="7"/>
        </w:rPr>
        <w:t>安全负责人：（1）投标人须提供拟派安全负责人有效的安全生产考核合格证（C类）。</w:t>
      </w:r>
    </w:p>
    <w:p>
      <w:pPr>
        <w:pStyle w:val="10"/>
        <w:spacing w:after="0" w:line="360" w:lineRule="auto"/>
        <w:ind w:right="152" w:firstLine="448" w:firstLineChars="200"/>
        <w:rPr>
          <w:spacing w:val="7"/>
        </w:rPr>
      </w:pPr>
      <w:r>
        <w:rPr>
          <w:rFonts w:hint="eastAsia"/>
          <w:spacing w:val="7"/>
        </w:rPr>
        <w:t>（2）安全负责人须为投标人在册正式人员，须提供投标截止日前连续6个月或以上养老保险缴纳证明（须具有社保机构公章）。</w:t>
      </w:r>
    </w:p>
    <w:p>
      <w:pPr>
        <w:pStyle w:val="10"/>
        <w:spacing w:after="0" w:line="360" w:lineRule="auto"/>
        <w:ind w:right="152" w:firstLine="448" w:firstLineChars="200"/>
        <w:rPr>
          <w:spacing w:val="7"/>
        </w:rPr>
      </w:pPr>
      <w:r>
        <w:rPr>
          <w:rFonts w:hint="eastAsia"/>
          <w:spacing w:val="7"/>
        </w:rPr>
        <w:t>其他要求：1.具有有效的企业在辽基本信息登记单（外省企业）。</w:t>
      </w:r>
    </w:p>
    <w:p>
      <w:pPr>
        <w:pStyle w:val="10"/>
        <w:spacing w:after="0" w:line="360" w:lineRule="auto"/>
        <w:ind w:right="152" w:firstLine="420" w:firstLineChars="200"/>
      </w:pPr>
      <w:r>
        <w:rPr>
          <w:rFonts w:hint="eastAsia"/>
        </w:rPr>
        <w:t>3.4</w:t>
      </w:r>
      <w:r>
        <w:t>本次招标</w:t>
      </w:r>
      <w:r>
        <w:rPr>
          <w:u w:val="single"/>
        </w:rPr>
        <w:t>不接受</w:t>
      </w:r>
      <w:r>
        <w:t>联合体投标。联合体投标的，应满足下列要求：/</w:t>
      </w:r>
    </w:p>
    <w:p>
      <w:pPr>
        <w:pStyle w:val="10"/>
        <w:spacing w:after="0" w:line="360" w:lineRule="auto"/>
        <w:ind w:firstLine="424" w:firstLineChars="200"/>
        <w:rPr>
          <w:spacing w:val="3"/>
          <w:u w:val="single"/>
        </w:rPr>
      </w:pPr>
      <w:r>
        <w:rPr>
          <w:spacing w:val="1"/>
        </w:rPr>
        <w:t>3.</w:t>
      </w:r>
      <w:r>
        <w:rPr>
          <w:rFonts w:hint="eastAsia"/>
          <w:spacing w:val="1"/>
        </w:rPr>
        <w:t>5</w:t>
      </w:r>
      <w:r>
        <w:rPr>
          <w:spacing w:val="1"/>
        </w:rPr>
        <w:t>其他要求：</w:t>
      </w:r>
      <w:r>
        <w:rPr>
          <w:spacing w:val="1"/>
          <w:u w:val="single"/>
        </w:rPr>
        <w:t>投标人具有建设行政主管部门核发的安全生产许可证，安全生产许可证</w:t>
      </w:r>
      <w:r>
        <w:rPr>
          <w:spacing w:val="4"/>
          <w:u w:val="single"/>
        </w:rPr>
        <w:t>在有效期内；</w:t>
      </w:r>
      <w:r>
        <w:rPr>
          <w:rFonts w:hint="eastAsia"/>
          <w:spacing w:val="3"/>
          <w:u w:val="single"/>
        </w:rPr>
        <w:t>投标人在“信用中国”网站（www.creditchina.gov.cn）未被列入失信被执行人名单、重大税收违法失信主体。单位负责人为同一人或者存在控股、管理关系的不同单位，不得参加同一招标项目投标。</w:t>
      </w:r>
    </w:p>
    <w:p>
      <w:pPr>
        <w:pStyle w:val="10"/>
        <w:spacing w:after="0" w:line="360" w:lineRule="auto"/>
        <w:ind w:firstLine="420" w:firstLineChars="200"/>
      </w:pPr>
      <w:r>
        <w:t>3.4允许互跨专业承接同等级业务：否</w:t>
      </w:r>
    </w:p>
    <w:p>
      <w:pPr>
        <w:pStyle w:val="10"/>
        <w:spacing w:after="0" w:line="360" w:lineRule="auto"/>
        <w:ind w:firstLine="448" w:firstLineChars="200"/>
        <w:outlineLvl w:val="4"/>
        <w:rPr>
          <w:spacing w:val="7"/>
        </w:rPr>
      </w:pPr>
      <w:r>
        <w:rPr>
          <w:rFonts w:hint="eastAsia"/>
          <w:spacing w:val="7"/>
        </w:rPr>
        <w:t>3.5需联合体投标，且联合体中中小企业合同份额占总合同额30%以上：否</w:t>
      </w:r>
    </w:p>
    <w:p>
      <w:pPr>
        <w:pStyle w:val="10"/>
        <w:spacing w:after="0" w:line="360" w:lineRule="auto"/>
        <w:ind w:firstLine="494" w:firstLineChars="200"/>
        <w:outlineLvl w:val="4"/>
      </w:pPr>
      <w:r>
        <w:rPr>
          <w:b/>
          <w:bCs/>
          <w:spacing w:val="18"/>
        </w:rPr>
        <w:t>4.招标文件的获取</w:t>
      </w:r>
    </w:p>
    <w:p>
      <w:pPr>
        <w:pStyle w:val="10"/>
        <w:spacing w:after="0" w:line="360" w:lineRule="auto"/>
        <w:ind w:firstLine="464" w:firstLineChars="200"/>
      </w:pPr>
      <w:r>
        <w:rPr>
          <w:spacing w:val="11"/>
        </w:rPr>
        <w:t>4.1 凡有意参加投标者(若为联合体投标，指联合体所有成员),应当在主体信息库</w:t>
      </w:r>
      <w:r>
        <w:rPr>
          <w:spacing w:val="8"/>
        </w:rPr>
        <w:t xml:space="preserve"> (辽宁省工程建设项目主体云库)进行注册登记(具体参见主体云库注册操作指南)。</w:t>
      </w:r>
    </w:p>
    <w:p>
      <w:pPr>
        <w:pStyle w:val="10"/>
        <w:spacing w:after="0" w:line="360" w:lineRule="auto"/>
        <w:ind w:firstLine="532" w:firstLineChars="200"/>
      </w:pPr>
      <w:r>
        <w:rPr>
          <w:spacing w:val="28"/>
        </w:rPr>
        <w:t>4.2完成注册登记后，请于</w:t>
      </w:r>
      <w:r>
        <w:rPr>
          <w:spacing w:val="28"/>
          <w:u w:val="single"/>
        </w:rPr>
        <w:t>2025年0</w:t>
      </w:r>
      <w:r>
        <w:rPr>
          <w:rFonts w:hint="eastAsia"/>
          <w:spacing w:val="28"/>
          <w:u w:val="single"/>
        </w:rPr>
        <w:t>6</w:t>
      </w:r>
      <w:r>
        <w:rPr>
          <w:spacing w:val="28"/>
          <w:u w:val="single"/>
        </w:rPr>
        <w:t>月</w:t>
      </w:r>
      <w:r>
        <w:rPr>
          <w:rFonts w:hint="eastAsia"/>
          <w:spacing w:val="28"/>
          <w:u w:val="single"/>
        </w:rPr>
        <w:t xml:space="preserve">   </w:t>
      </w:r>
      <w:r>
        <w:rPr>
          <w:spacing w:val="28"/>
          <w:u w:val="single"/>
        </w:rPr>
        <w:t>日08时00分至2025年0</w:t>
      </w:r>
      <w:r>
        <w:rPr>
          <w:rFonts w:hint="eastAsia"/>
          <w:spacing w:val="28"/>
          <w:u w:val="single"/>
        </w:rPr>
        <w:t>6</w:t>
      </w:r>
      <w:r>
        <w:rPr>
          <w:spacing w:val="28"/>
          <w:u w:val="single"/>
        </w:rPr>
        <w:t>月</w:t>
      </w:r>
      <w:r>
        <w:rPr>
          <w:rFonts w:hint="eastAsia"/>
          <w:spacing w:val="28"/>
          <w:u w:val="single"/>
        </w:rPr>
        <w:t xml:space="preserve">   </w:t>
      </w:r>
      <w:r>
        <w:rPr>
          <w:spacing w:val="28"/>
          <w:u w:val="single"/>
        </w:rPr>
        <w:t>日16</w:t>
      </w:r>
      <w:r>
        <w:rPr>
          <w:spacing w:val="2"/>
        </w:rPr>
        <w:t xml:space="preserve"> </w:t>
      </w:r>
      <w:r>
        <w:rPr>
          <w:spacing w:val="18"/>
          <w:u w:val="single"/>
        </w:rPr>
        <w:t>时</w:t>
      </w:r>
      <w:r>
        <w:rPr>
          <w:spacing w:val="-18"/>
          <w:u w:val="single"/>
        </w:rPr>
        <w:t xml:space="preserve"> </w:t>
      </w:r>
      <w:r>
        <w:rPr>
          <w:spacing w:val="18"/>
          <w:u w:val="single"/>
        </w:rPr>
        <w:t>0</w:t>
      </w:r>
      <w:r>
        <w:rPr>
          <w:spacing w:val="-36"/>
          <w:u w:val="single"/>
        </w:rPr>
        <w:t xml:space="preserve"> </w:t>
      </w:r>
      <w:r>
        <w:rPr>
          <w:spacing w:val="18"/>
          <w:u w:val="single"/>
        </w:rPr>
        <w:t>0</w:t>
      </w:r>
      <w:r>
        <w:rPr>
          <w:spacing w:val="-35"/>
          <w:u w:val="single"/>
        </w:rPr>
        <w:t xml:space="preserve"> </w:t>
      </w:r>
      <w:r>
        <w:rPr>
          <w:spacing w:val="18"/>
          <w:u w:val="single"/>
        </w:rPr>
        <w:t>分</w:t>
      </w:r>
      <w:r>
        <w:rPr>
          <w:spacing w:val="18"/>
        </w:rPr>
        <w:t>止</w:t>
      </w:r>
      <w:r>
        <w:rPr>
          <w:spacing w:val="-35"/>
        </w:rPr>
        <w:t xml:space="preserve"> </w:t>
      </w:r>
      <w:r>
        <w:rPr>
          <w:spacing w:val="18"/>
        </w:rPr>
        <w:t>(北京时间、下同),通过</w:t>
      </w:r>
      <w:r>
        <w:rPr>
          <w:rFonts w:hint="eastAsia"/>
          <w:spacing w:val="18"/>
        </w:rPr>
        <w:t>辽宁工程咨询招投标交易平台（投标盲盒工具https://nxbox.lnzb.com:8888/#/login）</w:t>
      </w:r>
      <w:r>
        <w:rPr>
          <w:rFonts w:eastAsia="Times New Roman"/>
          <w:spacing w:val="1"/>
        </w:rPr>
        <w:t xml:space="preserve">,  </w:t>
      </w:r>
      <w:r>
        <w:rPr>
          <w:spacing w:val="1"/>
        </w:rPr>
        <w:t>在所投标段进行资格确认并下</w:t>
      </w:r>
      <w:r>
        <w:t>载招标文件。联合体投</w:t>
      </w:r>
      <w:r>
        <w:rPr>
          <w:spacing w:val="-3"/>
        </w:rPr>
        <w:t>标的，由联合体牵头人下载招标文件。</w:t>
      </w:r>
    </w:p>
    <w:p>
      <w:pPr>
        <w:pStyle w:val="10"/>
        <w:spacing w:after="0" w:line="360" w:lineRule="auto"/>
        <w:ind w:firstLine="494" w:firstLineChars="200"/>
        <w:outlineLvl w:val="4"/>
      </w:pPr>
      <w:r>
        <w:rPr>
          <w:b/>
          <w:bCs/>
          <w:spacing w:val="18"/>
        </w:rPr>
        <w:t>5.投标文件的递交</w:t>
      </w:r>
    </w:p>
    <w:p>
      <w:pPr>
        <w:pStyle w:val="10"/>
        <w:spacing w:after="0" w:line="360" w:lineRule="auto"/>
        <w:ind w:firstLine="492" w:firstLineChars="200"/>
      </w:pPr>
      <w:r>
        <w:rPr>
          <w:spacing w:val="18"/>
        </w:rPr>
        <w:t>5.1</w:t>
      </w:r>
      <w:r>
        <w:rPr>
          <w:spacing w:val="-35"/>
        </w:rPr>
        <w:t xml:space="preserve"> </w:t>
      </w:r>
      <w:r>
        <w:rPr>
          <w:spacing w:val="18"/>
        </w:rPr>
        <w:t>投标文件递交截止时间为</w:t>
      </w:r>
      <w:r>
        <w:rPr>
          <w:spacing w:val="-96"/>
        </w:rPr>
        <w:t xml:space="preserve"> </w:t>
      </w:r>
      <w:r>
        <w:rPr>
          <w:spacing w:val="-95"/>
          <w:u w:val="single"/>
        </w:rPr>
        <w:t xml:space="preserve"> </w:t>
      </w:r>
      <w:r>
        <w:rPr>
          <w:spacing w:val="18"/>
          <w:u w:val="single"/>
        </w:rPr>
        <w:t>2025年</w:t>
      </w:r>
      <w:r>
        <w:rPr>
          <w:spacing w:val="17"/>
          <w:u w:val="single"/>
        </w:rPr>
        <w:t>06月</w:t>
      </w:r>
      <w:r>
        <w:rPr>
          <w:rFonts w:hint="eastAsia"/>
          <w:spacing w:val="17"/>
          <w:u w:val="single"/>
        </w:rPr>
        <w:t xml:space="preserve">    </w:t>
      </w:r>
      <w:r>
        <w:rPr>
          <w:spacing w:val="17"/>
          <w:u w:val="single"/>
        </w:rPr>
        <w:t>日</w:t>
      </w:r>
      <w:r>
        <w:rPr>
          <w:rFonts w:hint="eastAsia"/>
          <w:spacing w:val="17"/>
          <w:u w:val="single"/>
        </w:rPr>
        <w:t>09</w:t>
      </w:r>
      <w:r>
        <w:rPr>
          <w:spacing w:val="17"/>
          <w:u w:val="single"/>
        </w:rPr>
        <w:t>时30分</w:t>
      </w:r>
      <w:r>
        <w:rPr>
          <w:spacing w:val="17"/>
        </w:rPr>
        <w:t>。</w:t>
      </w:r>
    </w:p>
    <w:p>
      <w:pPr>
        <w:pStyle w:val="10"/>
        <w:spacing w:after="0" w:line="360" w:lineRule="auto"/>
        <w:ind w:firstLine="432" w:firstLineChars="200"/>
      </w:pPr>
      <w:r>
        <w:rPr>
          <w:spacing w:val="3"/>
        </w:rPr>
        <w:t>5.2投标人应当在投标截止时间前，通过</w:t>
      </w:r>
      <w:r>
        <w:rPr>
          <w:rFonts w:hint="eastAsia"/>
          <w:spacing w:val="3"/>
        </w:rPr>
        <w:t>辽宁工程咨询招投标交易平台（投标盲盒工具https://nxbox.lnzb.com:8888/#/login）</w:t>
      </w:r>
      <w:r>
        <w:rPr>
          <w:spacing w:val="-5"/>
        </w:rPr>
        <w:t>,选择所投标段将加密的电子投标文件上传。投标</w:t>
      </w:r>
      <w:r>
        <w:rPr>
          <w:spacing w:val="17"/>
        </w:rPr>
        <w:t xml:space="preserve"> </w:t>
      </w:r>
      <w:r>
        <w:rPr>
          <w:spacing w:val="-2"/>
        </w:rPr>
        <w:t>人完成投标文件上传后，电子交易系统向投标人发出电子签收凭证，递交时间以电子签收凭</w:t>
      </w:r>
      <w:r>
        <w:rPr>
          <w:spacing w:val="4"/>
        </w:rPr>
        <w:t>证载明的时间为准。逾期未完成上传或未加</w:t>
      </w:r>
      <w:r>
        <w:rPr>
          <w:spacing w:val="3"/>
        </w:rPr>
        <w:t>密的电子投标文件，招标人(电子交易系统)将</w:t>
      </w:r>
      <w:r>
        <w:rPr>
          <w:spacing w:val="-1"/>
        </w:rPr>
        <w:t>拒收其投标文件。</w:t>
      </w:r>
    </w:p>
    <w:p>
      <w:pPr>
        <w:pStyle w:val="10"/>
        <w:spacing w:after="0" w:line="360" w:lineRule="auto"/>
        <w:ind w:firstLine="428" w:firstLineChars="200"/>
        <w:rPr>
          <w:u w:val="single"/>
        </w:rPr>
      </w:pPr>
      <w:r>
        <w:rPr>
          <w:spacing w:val="2"/>
        </w:rPr>
        <w:t>5.3开标地点：</w:t>
      </w:r>
      <w:r>
        <w:rPr>
          <w:rFonts w:hint="eastAsia"/>
          <w:spacing w:val="2"/>
          <w:u w:val="single"/>
        </w:rPr>
        <w:t>辽宁省工程建设项目数字化开标评标系统（https://dts.lnzb.com:8888/zjt-bid/)</w:t>
      </w:r>
    </w:p>
    <w:p>
      <w:pPr>
        <w:pStyle w:val="10"/>
        <w:spacing w:after="0" w:line="360" w:lineRule="auto"/>
        <w:ind w:firstLine="432" w:firstLineChars="200"/>
      </w:pPr>
      <w:r>
        <w:rPr>
          <w:spacing w:val="3"/>
        </w:rPr>
        <w:t>5.4开标方式：</w:t>
      </w:r>
      <w:r>
        <w:rPr>
          <w:rFonts w:hint="eastAsia"/>
          <w:spacing w:val="3"/>
          <w:u w:val="single"/>
        </w:rPr>
        <w:t>远程不见面（请按招标文件规定时间登录“辽宁省工程建设项目数字化开标评标系统（https://dts.lnzb.com:8888/zjt-bid/）”进行解密）</w:t>
      </w:r>
    </w:p>
    <w:p>
      <w:pPr>
        <w:pStyle w:val="10"/>
        <w:numPr>
          <w:ilvl w:val="0"/>
          <w:numId w:val="1"/>
        </w:numPr>
        <w:spacing w:after="0" w:line="360" w:lineRule="auto"/>
        <w:ind w:firstLine="498" w:firstLineChars="200"/>
        <w:outlineLvl w:val="4"/>
        <w:rPr>
          <w:spacing w:val="8"/>
          <w:highlight w:val="yellow"/>
        </w:rPr>
      </w:pPr>
      <w:r>
        <w:rPr>
          <w:b/>
          <w:bCs/>
          <w:spacing w:val="19"/>
        </w:rPr>
        <w:t>投标相关事宜</w:t>
      </w:r>
    </w:p>
    <w:p>
      <w:pPr>
        <w:pStyle w:val="10"/>
        <w:spacing w:after="0" w:line="360" w:lineRule="auto"/>
        <w:ind w:firstLine="452" w:firstLineChars="200"/>
        <w:outlineLvl w:val="4"/>
        <w:rPr>
          <w:spacing w:val="8"/>
          <w:highlight w:val="yellow"/>
        </w:rPr>
      </w:pPr>
      <w:r>
        <w:rPr>
          <w:rFonts w:hint="eastAsia"/>
          <w:spacing w:val="8"/>
          <w:highlight w:val="yellow"/>
        </w:rPr>
        <w:t>外省企业入辽信息报送具体参见“辽宁建设工程信息网(辽宁省房屋建筑和市政工程数字化全链条监管系统)业务操作指引”。</w:t>
      </w:r>
    </w:p>
    <w:p>
      <w:pPr>
        <w:pStyle w:val="10"/>
        <w:spacing w:after="0" w:line="360" w:lineRule="auto"/>
        <w:ind w:firstLine="478" w:firstLineChars="200"/>
        <w:outlineLvl w:val="4"/>
      </w:pPr>
      <w:r>
        <w:rPr>
          <w:b/>
          <w:bCs/>
          <w:spacing w:val="14"/>
        </w:rPr>
        <w:t>7.评标办法</w:t>
      </w:r>
    </w:p>
    <w:p>
      <w:pPr>
        <w:pStyle w:val="10"/>
        <w:spacing w:after="0" w:line="360" w:lineRule="auto"/>
        <w:ind w:firstLine="424" w:firstLineChars="200"/>
      </w:pPr>
      <w:r>
        <w:rPr>
          <w:spacing w:val="1"/>
        </w:rPr>
        <w:t>本次招标评标办法采用</w:t>
      </w:r>
      <w:r>
        <w:rPr>
          <w:spacing w:val="1"/>
          <w:u w:val="single"/>
        </w:rPr>
        <w:t>综合评估法</w:t>
      </w:r>
      <w:r>
        <w:rPr>
          <w:spacing w:val="1"/>
        </w:rPr>
        <w:t>。</w:t>
      </w:r>
    </w:p>
    <w:p>
      <w:pPr>
        <w:pStyle w:val="10"/>
        <w:spacing w:after="0" w:line="360" w:lineRule="auto"/>
        <w:ind w:firstLine="494" w:firstLineChars="200"/>
        <w:outlineLvl w:val="4"/>
      </w:pPr>
      <w:r>
        <w:rPr>
          <w:b/>
          <w:bCs/>
          <w:spacing w:val="18"/>
        </w:rPr>
        <w:t>8.发布公告的媒介</w:t>
      </w:r>
    </w:p>
    <w:p>
      <w:pPr>
        <w:pStyle w:val="10"/>
        <w:spacing w:after="0" w:line="360" w:lineRule="auto"/>
        <w:ind w:firstLine="432" w:firstLineChars="200"/>
      </w:pPr>
      <w:r>
        <w:rPr>
          <w:spacing w:val="3"/>
        </w:rPr>
        <w:t>本次招标公告同时</w:t>
      </w:r>
      <w:r>
        <w:rPr>
          <w:spacing w:val="3"/>
          <w:u w:val="single"/>
        </w:rPr>
        <w:t>在</w:t>
      </w:r>
      <w:r>
        <w:rPr>
          <w:rFonts w:hint="eastAsia"/>
          <w:spacing w:val="3"/>
          <w:u w:val="single"/>
        </w:rPr>
        <w:t>辽宁省招标投标监管网、辽宁建设工程信息网及全国公共资源交易平台（辽宁省·营口市）</w:t>
      </w:r>
      <w:r>
        <w:rPr>
          <w:spacing w:val="-2"/>
        </w:rPr>
        <w:t>上发布。</w:t>
      </w:r>
    </w:p>
    <w:p>
      <w:pPr>
        <w:pStyle w:val="10"/>
        <w:spacing w:after="0" w:line="360" w:lineRule="auto"/>
        <w:ind w:firstLine="486" w:firstLineChars="200"/>
      </w:pPr>
      <w:r>
        <w:rPr>
          <w:b/>
          <w:bCs/>
          <w:spacing w:val="16"/>
        </w:rPr>
        <w:t>9.监督信息</w:t>
      </w:r>
    </w:p>
    <w:p>
      <w:pPr>
        <w:pStyle w:val="10"/>
        <w:spacing w:after="0" w:line="360" w:lineRule="auto"/>
        <w:ind w:firstLine="420" w:firstLineChars="200"/>
      </w:pPr>
      <w:r>
        <w:rPr>
          <w:rFonts w:hint="eastAsia"/>
        </w:rPr>
        <w:t>1.监督部门：辽宁（营口）沿海产业基地管委会规划建设管理局，</w:t>
      </w:r>
      <w:r>
        <w:rPr>
          <w:rFonts w:hint="eastAsia"/>
          <w:highlight w:val="yellow"/>
        </w:rPr>
        <w:t xml:space="preserve">负责人：     </w:t>
      </w:r>
      <w:r>
        <w:rPr>
          <w:rFonts w:hint="eastAsia"/>
        </w:rPr>
        <w:t>，联系方式：0417-3888147。</w:t>
      </w:r>
    </w:p>
    <w:p>
      <w:pPr>
        <w:pStyle w:val="10"/>
        <w:spacing w:after="0" w:line="360" w:lineRule="auto"/>
        <w:ind w:firstLine="416" w:firstLineChars="200"/>
        <w:rPr>
          <w:spacing w:val="-1"/>
        </w:rPr>
      </w:pPr>
      <w:r>
        <w:rPr>
          <w:spacing w:val="-1"/>
        </w:rPr>
        <w:t>2.</w:t>
      </w:r>
      <w:r>
        <w:rPr>
          <w:spacing w:val="-1"/>
          <w:highlight w:val="yellow"/>
        </w:rPr>
        <w:t>招标负责人：</w:t>
      </w:r>
      <w:r>
        <w:rPr>
          <w:rFonts w:hint="eastAsia"/>
          <w:spacing w:val="-1"/>
          <w:highlight w:val="yellow"/>
        </w:rPr>
        <w:t xml:space="preserve">    </w:t>
      </w:r>
      <w:r>
        <w:rPr>
          <w:spacing w:val="-1"/>
          <w:highlight w:val="yellow"/>
        </w:rPr>
        <w:t>，</w:t>
      </w:r>
      <w:r>
        <w:rPr>
          <w:spacing w:val="-1"/>
        </w:rPr>
        <w:t>联系方式：</w:t>
      </w:r>
      <w:r>
        <w:rPr>
          <w:rFonts w:hint="eastAsia"/>
          <w:spacing w:val="-1"/>
        </w:rPr>
        <w:t>0417-3888</w:t>
      </w:r>
      <w:r>
        <w:rPr>
          <w:rFonts w:hint="eastAsia"/>
          <w:spacing w:val="-1"/>
          <w:lang w:val="en-US" w:eastAsia="zh-CN"/>
        </w:rPr>
        <w:t>123</w:t>
      </w:r>
      <w:r>
        <w:rPr>
          <w:spacing w:val="-1"/>
        </w:rPr>
        <w:t>。</w:t>
      </w:r>
    </w:p>
    <w:p>
      <w:pPr>
        <w:pStyle w:val="10"/>
        <w:spacing w:after="0" w:line="360" w:lineRule="auto"/>
        <w:ind w:firstLine="416" w:firstLineChars="200"/>
        <w:rPr>
          <w:rFonts w:hint="eastAsia" w:ascii="黑体" w:hAnsi="黑体" w:eastAsia="黑体" w:cs="黑体"/>
          <w:b/>
          <w:bCs/>
          <w:spacing w:val="10"/>
        </w:rPr>
      </w:pPr>
      <w:r>
        <w:rPr>
          <w:rFonts w:hint="eastAsia" w:eastAsia="黑体"/>
          <w:spacing w:val="-1"/>
        </w:rPr>
        <w:t>10.</w:t>
      </w:r>
      <w:r>
        <w:rPr>
          <w:rFonts w:ascii="黑体" w:hAnsi="黑体" w:eastAsia="黑体" w:cs="黑体"/>
          <w:b/>
          <w:bCs/>
          <w:spacing w:val="10"/>
        </w:rPr>
        <w:t>联系方式</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招标人:营口建发盛海磷化工有限公司</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地址:辽宁（营口）沿海产业基地</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联系人:李先生</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电话:0417-5275777</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举报监督电话：0592-2337588</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举报监督邮箱：hongyan@chinacnd.com</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招标代理机构:营口公物咨询管理有限公司</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 xml:space="preserve">地址:营口市渤海大街西13号                               </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邮编:115000</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联系人:邱楠</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电话:</w:t>
      </w:r>
      <w:r>
        <w:rPr>
          <w:rFonts w:hint="eastAsia" w:ascii="宋体" w:hAnsi="宋体" w:cs="宋体"/>
          <w:spacing w:val="10"/>
          <w:lang w:eastAsia="zh-CN"/>
        </w:rPr>
        <w:t>04172801618</w:t>
      </w:r>
      <w:r>
        <w:rPr>
          <w:rFonts w:hint="eastAsia" w:ascii="宋体" w:hAnsi="宋体" w:cs="宋体"/>
          <w:spacing w:val="10"/>
        </w:rPr>
        <w:t xml:space="preserve">                             </w:t>
      </w:r>
    </w:p>
    <w:p>
      <w:pPr>
        <w:pStyle w:val="10"/>
        <w:kinsoku w:val="0"/>
        <w:autoSpaceDE w:val="0"/>
        <w:autoSpaceDN w:val="0"/>
        <w:adjustRightInd w:val="0"/>
        <w:spacing w:after="0" w:line="360" w:lineRule="auto"/>
        <w:ind w:firstLine="460" w:firstLineChars="200"/>
        <w:jc w:val="left"/>
        <w:textAlignment w:val="baseline"/>
        <w:outlineLvl w:val="3"/>
        <w:rPr>
          <w:rFonts w:hint="eastAsia" w:ascii="宋体" w:hAnsi="宋体" w:cs="宋体"/>
          <w:spacing w:val="10"/>
        </w:rPr>
      </w:pPr>
      <w:r>
        <w:rPr>
          <w:rFonts w:hint="eastAsia" w:ascii="宋体" w:hAnsi="宋体" w:cs="宋体"/>
          <w:spacing w:val="10"/>
        </w:rPr>
        <w:t>电子邮件:ykgongwu@163.com</w:t>
      </w:r>
    </w:p>
    <w:p>
      <w:pPr>
        <w:pStyle w:val="10"/>
        <w:kinsoku w:val="0"/>
        <w:autoSpaceDE w:val="0"/>
        <w:autoSpaceDN w:val="0"/>
        <w:adjustRightInd w:val="0"/>
        <w:snapToGrid w:val="0"/>
        <w:spacing w:after="0" w:line="360" w:lineRule="auto"/>
        <w:ind w:firstLine="460" w:firstLineChars="200"/>
        <w:jc w:val="left"/>
        <w:textAlignment w:val="baseline"/>
        <w:rPr>
          <w:rFonts w:hint="eastAsia" w:ascii="宋体" w:hAnsi="宋体" w:cs="宋体"/>
          <w:spacing w:val="10"/>
        </w:rPr>
      </w:pPr>
      <w:r>
        <w:rPr>
          <w:rFonts w:hint="eastAsia" w:ascii="宋体" w:hAnsi="宋体" w:cs="宋体"/>
          <w:spacing w:val="10"/>
        </w:rPr>
        <w:t xml:space="preserve"> </w:t>
      </w:r>
    </w:p>
    <w:p>
      <w:pPr>
        <w:spacing w:line="360" w:lineRule="auto"/>
        <w:ind w:firstLine="480" w:firstLineChars="200"/>
        <w:jc w:val="left"/>
        <w:rPr>
          <w:rFonts w:hint="eastAsia" w:ascii="宋体" w:hAnsi="宋体"/>
          <w:sz w:val="24"/>
        </w:rPr>
        <w:sectPr>
          <w:pgSz w:w="11906" w:h="16838"/>
          <w:pgMar w:top="1803" w:right="1440" w:bottom="1803" w:left="1440" w:header="851" w:footer="992" w:gutter="0"/>
          <w:cols w:space="425" w:num="1"/>
          <w:docGrid w:type="lines" w:linePitch="312" w:charSpace="0"/>
        </w:sectPr>
      </w:pPr>
    </w:p>
    <w:p>
      <w:bookmarkStart w:id="8" w:name="_Toc152265814"/>
    </w:p>
    <w:p/>
    <w:p/>
    <w:p/>
    <w:p/>
    <w:p/>
    <w:p/>
    <w:p/>
    <w:p/>
    <w:p/>
    <w:p/>
    <w:p/>
    <w:p/>
    <w:p/>
    <w:p/>
    <w:p/>
    <w:p/>
    <w:p/>
    <w:p/>
    <w:p>
      <w:pPr>
        <w:pStyle w:val="4"/>
        <w:spacing w:before="120" w:after="120" w:line="400" w:lineRule="exact"/>
        <w:jc w:val="center"/>
        <w:rPr>
          <w:rFonts w:eastAsia="黑体"/>
        </w:rPr>
        <w:sectPr>
          <w:footerReference r:id="rId6" w:type="default"/>
          <w:pgSz w:w="11906" w:h="16838"/>
          <w:pgMar w:top="1440" w:right="1800" w:bottom="1440" w:left="1800" w:header="851" w:footer="992" w:gutter="0"/>
          <w:cols w:space="425" w:num="1"/>
          <w:docGrid w:type="lines" w:linePitch="312" w:charSpace="0"/>
        </w:sectPr>
      </w:pPr>
      <w:bookmarkStart w:id="9" w:name="_Toc9785"/>
      <w:bookmarkStart w:id="10" w:name="_Toc256000002"/>
      <w:r>
        <w:rPr>
          <w:rFonts w:ascii="黑体" w:hAnsi="黑体" w:eastAsia="黑体"/>
          <w:b w:val="0"/>
          <w:bCs w:val="0"/>
          <w:sz w:val="32"/>
        </w:rPr>
        <w:t>第</w:t>
      </w:r>
      <w:r>
        <w:rPr>
          <w:rFonts w:hint="eastAsia" w:ascii="黑体" w:hAnsi="黑体" w:eastAsia="黑体"/>
          <w:b w:val="0"/>
          <w:bCs w:val="0"/>
          <w:sz w:val="32"/>
        </w:rPr>
        <w:t>二</w:t>
      </w:r>
      <w:r>
        <w:rPr>
          <w:rFonts w:ascii="黑体" w:hAnsi="黑体" w:eastAsia="黑体"/>
          <w:b w:val="0"/>
          <w:bCs w:val="0"/>
          <w:sz w:val="32"/>
        </w:rPr>
        <w:t>章</w:t>
      </w:r>
      <w:r>
        <w:rPr>
          <w:rFonts w:hint="eastAsia" w:ascii="黑体" w:hAnsi="黑体" w:eastAsia="黑体"/>
          <w:b w:val="0"/>
          <w:bCs w:val="0"/>
          <w:sz w:val="32"/>
        </w:rPr>
        <w:t xml:space="preserve">  </w:t>
      </w:r>
      <w:bookmarkEnd w:id="8"/>
      <w:r>
        <w:rPr>
          <w:rFonts w:hint="eastAsia" w:ascii="黑体" w:hAnsi="黑体" w:eastAsia="黑体"/>
          <w:b w:val="0"/>
          <w:bCs w:val="0"/>
          <w:sz w:val="32"/>
        </w:rPr>
        <w:t>投标人须知</w:t>
      </w:r>
      <w:bookmarkEnd w:id="9"/>
      <w:bookmarkEnd w:id="10"/>
    </w:p>
    <w:p>
      <w:pPr>
        <w:jc w:val="center"/>
        <w:rPr>
          <w:rFonts w:hint="eastAsia" w:ascii="黑体" w:hAnsi="黑体" w:eastAsia="黑体" w:cs="黑体"/>
          <w:sz w:val="32"/>
          <w:szCs w:val="32"/>
        </w:rPr>
      </w:pPr>
      <w:bookmarkStart w:id="11" w:name="_Toc152264301"/>
      <w:bookmarkStart w:id="12" w:name="_Hlk144975830"/>
      <w:bookmarkStart w:id="13" w:name="_Toc165804275"/>
      <w:bookmarkStart w:id="14" w:name="_Hlk144977074"/>
      <w:r>
        <w:rPr>
          <w:rFonts w:hint="eastAsia" w:ascii="黑体" w:hAnsi="黑体" w:eastAsia="黑体" w:cs="黑体"/>
          <w:sz w:val="32"/>
          <w:szCs w:val="32"/>
        </w:rPr>
        <w:t>第二章  投标人须知</w:t>
      </w:r>
      <w:bookmarkEnd w:id="11"/>
    </w:p>
    <w:p>
      <w:pPr>
        <w:pStyle w:val="29"/>
        <w:jc w:val="center"/>
      </w:pPr>
      <w:bookmarkStart w:id="15" w:name="_Toc24730"/>
      <w:bookmarkStart w:id="16" w:name="_Toc152264302"/>
      <w:bookmarkStart w:id="17" w:name="_Toc256000003"/>
      <w:r>
        <w:rPr>
          <w:rFonts w:hint="eastAsia"/>
        </w:rPr>
        <w:t>投标人须知前附表</w:t>
      </w:r>
      <w:bookmarkEnd w:id="12"/>
      <w:bookmarkEnd w:id="15"/>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pPr>
              <w:spacing w:line="320" w:lineRule="exact"/>
              <w:jc w:val="center"/>
              <w:rPr>
                <w:b/>
              </w:rPr>
            </w:pPr>
            <w:r>
              <w:rPr>
                <w:rFonts w:hint="eastAsia"/>
                <w:b/>
              </w:rPr>
              <w:t>条款号</w:t>
            </w:r>
          </w:p>
        </w:tc>
        <w:tc>
          <w:tcPr>
            <w:tcW w:w="2262" w:type="dxa"/>
            <w:vAlign w:val="center"/>
          </w:tcPr>
          <w:p>
            <w:pPr>
              <w:spacing w:line="320" w:lineRule="exact"/>
              <w:jc w:val="center"/>
              <w:rPr>
                <w:b/>
              </w:rPr>
            </w:pPr>
            <w:r>
              <w:rPr>
                <w:rFonts w:hint="eastAsia"/>
                <w:b/>
              </w:rPr>
              <w:t>条  款  名  称</w:t>
            </w:r>
          </w:p>
        </w:tc>
        <w:tc>
          <w:tcPr>
            <w:tcW w:w="5295" w:type="dxa"/>
            <w:vAlign w:val="center"/>
          </w:tcPr>
          <w:p>
            <w:pPr>
              <w:spacing w:line="320" w:lineRule="exact"/>
              <w:jc w:val="center"/>
              <w:rPr>
                <w:b/>
              </w:rPr>
            </w:pPr>
            <w:r>
              <w:rPr>
                <w:rFonts w:hint="eastAsia"/>
                <w:b/>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pPr>
              <w:spacing w:line="320" w:lineRule="exact"/>
              <w:jc w:val="center"/>
            </w:pPr>
            <w:r>
              <w:rPr>
                <w:rFonts w:hint="eastAsia"/>
              </w:rPr>
              <w:t>1.1.2</w:t>
            </w:r>
          </w:p>
        </w:tc>
        <w:tc>
          <w:tcPr>
            <w:tcW w:w="2262" w:type="dxa"/>
            <w:vAlign w:val="center"/>
          </w:tcPr>
          <w:p>
            <w:pPr>
              <w:spacing w:line="320" w:lineRule="exact"/>
              <w:jc w:val="center"/>
            </w:pPr>
            <w:r>
              <w:rPr>
                <w:rFonts w:hint="eastAsia"/>
              </w:rPr>
              <w:t>招标人</w:t>
            </w:r>
          </w:p>
        </w:tc>
        <w:tc>
          <w:tcPr>
            <w:tcW w:w="5295" w:type="dxa"/>
            <w:vAlign w:val="center"/>
          </w:tcPr>
          <w:p>
            <w:pPr>
              <w:spacing w:line="320" w:lineRule="exact"/>
              <w:jc w:val="left"/>
            </w:pPr>
            <w:r>
              <w:rPr>
                <w:rFonts w:hint="eastAsia"/>
              </w:rPr>
              <w:t>名    称：</w:t>
            </w:r>
            <w:r>
              <w:rPr>
                <w:rFonts w:hint="eastAsia" w:ascii="宋体" w:hAnsi="宋体" w:cs="宋体"/>
                <w:spacing w:val="10"/>
              </w:rPr>
              <w:t>营口建发盛海磷化工有限公司</w:t>
            </w:r>
            <w:r>
              <w:t xml:space="preserve"> </w:t>
            </w:r>
          </w:p>
          <w:p>
            <w:pPr>
              <w:spacing w:line="320" w:lineRule="exact"/>
              <w:jc w:val="left"/>
            </w:pPr>
            <w:r>
              <w:rPr>
                <w:rFonts w:hint="eastAsia"/>
              </w:rPr>
              <w:t>地    址：</w:t>
            </w:r>
            <w:r>
              <w:rPr>
                <w:rFonts w:hint="eastAsia" w:ascii="宋体" w:hAnsi="宋体" w:cs="宋体"/>
                <w:spacing w:val="10"/>
              </w:rPr>
              <w:t>辽宁（营口）沿海产业基地</w:t>
            </w:r>
          </w:p>
          <w:p>
            <w:pPr>
              <w:spacing w:line="320" w:lineRule="exact"/>
              <w:jc w:val="left"/>
            </w:pPr>
            <w:r>
              <w:rPr>
                <w:rFonts w:hint="eastAsia"/>
              </w:rPr>
              <w:t>联 系 人：</w:t>
            </w:r>
            <w:r>
              <w:rPr>
                <w:rFonts w:hint="eastAsia" w:ascii="宋体" w:hAnsi="宋体" w:cs="宋体"/>
                <w:spacing w:val="10"/>
              </w:rPr>
              <w:t>李先生</w:t>
            </w:r>
            <w:r>
              <w:t xml:space="preserve"> </w:t>
            </w:r>
          </w:p>
          <w:p>
            <w:pPr>
              <w:spacing w:line="320" w:lineRule="exact"/>
              <w:jc w:val="left"/>
            </w:pPr>
            <w:r>
              <w:rPr>
                <w:rFonts w:hint="eastAsia"/>
              </w:rPr>
              <w:t>电    话：</w:t>
            </w:r>
            <w:r>
              <w:rPr>
                <w:rFonts w:hint="eastAsia" w:ascii="宋体" w:hAnsi="宋体" w:cs="宋体"/>
                <w:spacing w:val="10"/>
              </w:rPr>
              <w:t>0417-5275777</w:t>
            </w:r>
            <w:r>
              <w:rPr>
                <w:rFonts w:hint="eastAsia"/>
              </w:rPr>
              <w:t xml:space="preserve"> </w:t>
            </w:r>
          </w:p>
          <w:p>
            <w:pPr>
              <w:spacing w:line="320" w:lineRule="exact"/>
              <w:jc w:val="left"/>
            </w:pPr>
            <w:r>
              <w:rPr>
                <w:rFonts w:hint="eastAsia"/>
              </w:rPr>
              <w:t>项目负责人姓名及联系方式：</w:t>
            </w:r>
          </w:p>
          <w:p>
            <w:pPr>
              <w:spacing w:line="320" w:lineRule="exact"/>
              <w:jc w:val="left"/>
            </w:pPr>
            <w:r>
              <w:rPr>
                <w:rFonts w:hint="eastAsia"/>
              </w:rPr>
              <w:t>姓名：</w:t>
            </w:r>
            <w:r>
              <w:rPr>
                <w:rFonts w:hint="eastAsia" w:ascii="宋体" w:hAnsi="宋体" w:cs="宋体"/>
                <w:spacing w:val="10"/>
              </w:rPr>
              <w:t>李先生</w:t>
            </w:r>
            <w:r>
              <w:rPr>
                <w:rFonts w:hint="eastAsia"/>
              </w:rPr>
              <w:t xml:space="preserve">     电话：</w:t>
            </w:r>
            <w:r>
              <w:rPr>
                <w:rFonts w:hint="eastAsia" w:ascii="宋体" w:hAnsi="宋体" w:cs="宋体"/>
                <w:spacing w:val="10"/>
              </w:rPr>
              <w:t>0417-5275777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pPr>
              <w:spacing w:line="320" w:lineRule="exact"/>
              <w:jc w:val="center"/>
            </w:pPr>
            <w:r>
              <w:rPr>
                <w:rFonts w:hint="eastAsia"/>
              </w:rPr>
              <w:t>1.1.3</w:t>
            </w:r>
          </w:p>
        </w:tc>
        <w:tc>
          <w:tcPr>
            <w:tcW w:w="2262" w:type="dxa"/>
            <w:vAlign w:val="center"/>
          </w:tcPr>
          <w:p>
            <w:pPr>
              <w:spacing w:line="320" w:lineRule="exact"/>
              <w:jc w:val="center"/>
            </w:pPr>
            <w:r>
              <w:rPr>
                <w:rFonts w:hint="eastAsia"/>
              </w:rPr>
              <w:t>招标代理机构</w:t>
            </w:r>
          </w:p>
        </w:tc>
        <w:tc>
          <w:tcPr>
            <w:tcW w:w="5295" w:type="dxa"/>
            <w:vAlign w:val="center"/>
          </w:tcPr>
          <w:p>
            <w:pPr>
              <w:spacing w:line="320" w:lineRule="exact"/>
              <w:jc w:val="left"/>
            </w:pPr>
            <w:r>
              <w:rPr>
                <w:rFonts w:hint="eastAsia"/>
              </w:rPr>
              <w:t>名    称：营口公物咨询管理有限公司</w:t>
            </w:r>
          </w:p>
          <w:p>
            <w:pPr>
              <w:spacing w:line="320" w:lineRule="exact"/>
              <w:jc w:val="left"/>
            </w:pPr>
            <w:r>
              <w:rPr>
                <w:rFonts w:hint="eastAsia"/>
              </w:rPr>
              <w:t>地    址：渤海大街西13号</w:t>
            </w:r>
          </w:p>
          <w:p>
            <w:pPr>
              <w:spacing w:line="320" w:lineRule="exact"/>
              <w:jc w:val="left"/>
            </w:pPr>
            <w:r>
              <w:rPr>
                <w:rFonts w:hint="eastAsia"/>
              </w:rPr>
              <w:t>联 系 人：邱楠</w:t>
            </w:r>
          </w:p>
          <w:p>
            <w:pPr>
              <w:spacing w:line="320" w:lineRule="exact"/>
              <w:jc w:val="left"/>
              <w:rPr>
                <w:rFonts w:hint="eastAsia" w:eastAsia="宋体"/>
                <w:lang w:eastAsia="zh-CN"/>
              </w:rPr>
            </w:pPr>
            <w:r>
              <w:rPr>
                <w:rFonts w:hint="eastAsia"/>
              </w:rPr>
              <w:t>电    话：</w:t>
            </w:r>
            <w:r>
              <w:rPr>
                <w:rFonts w:hint="eastAsia"/>
                <w:lang w:eastAsia="zh-CN"/>
              </w:rPr>
              <w:t>04172801618</w:t>
            </w:r>
          </w:p>
          <w:p>
            <w:pPr>
              <w:spacing w:line="320" w:lineRule="exact"/>
              <w:jc w:val="left"/>
            </w:pPr>
            <w:r>
              <w:rPr>
                <w:rFonts w:hint="eastAsia"/>
              </w:rPr>
              <w:t>电子邮件：ykgongwu@163.com</w:t>
            </w:r>
          </w:p>
          <w:p>
            <w:pPr>
              <w:spacing w:line="320" w:lineRule="exact"/>
              <w:jc w:val="left"/>
              <w:rPr>
                <w:b/>
                <w:bCs/>
              </w:rPr>
            </w:pPr>
            <w:r>
              <w:rPr>
                <w:rFonts w:hint="eastAsia"/>
              </w:rPr>
              <w:t>项目负责人姓名及联系方式：</w:t>
            </w:r>
          </w:p>
          <w:p>
            <w:pPr>
              <w:spacing w:line="320" w:lineRule="exact"/>
              <w:jc w:val="left"/>
              <w:rPr>
                <w:rFonts w:hint="eastAsia" w:eastAsia="宋体"/>
                <w:lang w:eastAsia="zh-CN"/>
              </w:rPr>
            </w:pPr>
            <w:r>
              <w:rPr>
                <w:rFonts w:hint="eastAsia"/>
              </w:rPr>
              <w:t>姓名：邱楠     电话：</w:t>
            </w:r>
            <w:r>
              <w:rPr>
                <w:rFonts w:hint="eastAsia"/>
                <w:lang w:eastAsia="zh-CN"/>
              </w:rPr>
              <w:t>04172801618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1.1.4</w:t>
            </w:r>
          </w:p>
        </w:tc>
        <w:tc>
          <w:tcPr>
            <w:tcW w:w="2262" w:type="dxa"/>
            <w:vAlign w:val="center"/>
          </w:tcPr>
          <w:p>
            <w:pPr>
              <w:spacing w:line="320" w:lineRule="exact"/>
              <w:jc w:val="center"/>
            </w:pPr>
            <w:bookmarkStart w:id="18" w:name="_Hlk154489467"/>
            <w:r>
              <w:rPr>
                <w:rFonts w:hint="eastAsia" w:ascii="宋体" w:hAnsi="宋体"/>
                <w:szCs w:val="21"/>
              </w:rPr>
              <w:t>标段</w:t>
            </w:r>
            <w:bookmarkEnd w:id="18"/>
            <w:r>
              <w:rPr>
                <w:rFonts w:hint="eastAsia"/>
              </w:rPr>
              <w:t>项目名称</w:t>
            </w:r>
          </w:p>
        </w:tc>
        <w:tc>
          <w:tcPr>
            <w:tcW w:w="5295" w:type="dxa"/>
            <w:vAlign w:val="center"/>
          </w:tcPr>
          <w:p>
            <w:pPr>
              <w:spacing w:line="320" w:lineRule="exact"/>
              <w:jc w:val="left"/>
            </w:pPr>
            <w:r>
              <w:rPr>
                <w:rFonts w:hint="eastAsia"/>
              </w:rPr>
              <w:t>营口建发盛海磷化工有限公司精制磷酸及磷酸铁前驱体项目</w:t>
            </w:r>
            <w:r>
              <w:rPr>
                <w:rFonts w:hint="eastAsia"/>
                <w:spacing w:val="-1"/>
              </w:rPr>
              <w:t>全厂道路、管廊、地管、事故水池、防雷接地施工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1.1.5</w:t>
            </w:r>
          </w:p>
        </w:tc>
        <w:tc>
          <w:tcPr>
            <w:tcW w:w="2262" w:type="dxa"/>
            <w:vAlign w:val="center"/>
          </w:tcPr>
          <w:p>
            <w:pPr>
              <w:spacing w:line="320" w:lineRule="exact"/>
              <w:jc w:val="center"/>
            </w:pPr>
            <w:r>
              <w:rPr>
                <w:rFonts w:hint="eastAsia"/>
              </w:rPr>
              <w:t>建设地点</w:t>
            </w:r>
          </w:p>
        </w:tc>
        <w:tc>
          <w:tcPr>
            <w:tcW w:w="5295" w:type="dxa"/>
            <w:vAlign w:val="center"/>
          </w:tcPr>
          <w:p>
            <w:pPr>
              <w:spacing w:line="320" w:lineRule="exact"/>
              <w:jc w:val="left"/>
            </w:pPr>
            <w:r>
              <w:rPr>
                <w:rFonts w:hint="eastAsia"/>
                <w:spacing w:val="2"/>
              </w:rPr>
              <w:t>辽宁（营口）沿海产业基地冶金化工重装备区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w:t>
            </w:r>
            <w:r>
              <w:t>.1.6</w:t>
            </w:r>
          </w:p>
        </w:tc>
        <w:tc>
          <w:tcPr>
            <w:tcW w:w="2262" w:type="dxa"/>
            <w:vAlign w:val="center"/>
          </w:tcPr>
          <w:p>
            <w:pPr>
              <w:spacing w:line="320" w:lineRule="exact"/>
              <w:jc w:val="center"/>
            </w:pPr>
            <w:r>
              <w:rPr>
                <w:rFonts w:hint="eastAsia"/>
              </w:rPr>
              <w:t>项目投资估算</w:t>
            </w:r>
          </w:p>
        </w:tc>
        <w:tc>
          <w:tcPr>
            <w:tcW w:w="5295" w:type="dxa"/>
            <w:vAlign w:val="center"/>
          </w:tcPr>
          <w:p>
            <w:pPr>
              <w:spacing w:line="320" w:lineRule="exact"/>
              <w:jc w:val="left"/>
            </w:pPr>
            <w:r>
              <w:rPr>
                <w:rFonts w:hint="eastAsia"/>
                <w:u w:val="single"/>
              </w:rPr>
              <w:t xml:space="preserve">  510000   </w:t>
            </w: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w:t>
            </w:r>
            <w:r>
              <w:t>.1.</w:t>
            </w:r>
            <w:r>
              <w:rPr>
                <w:rFonts w:hint="eastAsia"/>
              </w:rPr>
              <w:t>7</w:t>
            </w:r>
          </w:p>
        </w:tc>
        <w:tc>
          <w:tcPr>
            <w:tcW w:w="2262" w:type="dxa"/>
            <w:vAlign w:val="center"/>
          </w:tcPr>
          <w:p>
            <w:pPr>
              <w:spacing w:line="320" w:lineRule="exact"/>
              <w:jc w:val="center"/>
            </w:pPr>
            <w:r>
              <w:rPr>
                <w:rFonts w:hint="eastAsia"/>
              </w:rPr>
              <w:t>电子交易系统</w:t>
            </w:r>
          </w:p>
        </w:tc>
        <w:tc>
          <w:tcPr>
            <w:tcW w:w="5295" w:type="dxa"/>
            <w:vAlign w:val="center"/>
          </w:tcPr>
          <w:p>
            <w:pPr>
              <w:spacing w:line="320" w:lineRule="exact"/>
              <w:jc w:val="left"/>
            </w:pPr>
            <w:r>
              <w:rPr>
                <w:rFonts w:hint="eastAsia"/>
              </w:rPr>
              <w:t>辽宁省房屋建筑和市政工程电子交易系统</w:t>
            </w:r>
            <w:r>
              <w:rPr>
                <w:rFonts w:hint="eastAsia"/>
              </w:rPr>
              <w:br w:type="textWrapping"/>
            </w:r>
            <w:r>
              <w:rPr>
                <w:rFonts w:hint="eastAsia"/>
              </w:rPr>
              <w:t>（工程咨询）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1.2.1</w:t>
            </w:r>
          </w:p>
        </w:tc>
        <w:tc>
          <w:tcPr>
            <w:tcW w:w="2262" w:type="dxa"/>
            <w:vAlign w:val="center"/>
          </w:tcPr>
          <w:p>
            <w:pPr>
              <w:spacing w:line="320" w:lineRule="exact"/>
              <w:jc w:val="center"/>
              <w:rPr>
                <w:highlight w:val="yellow"/>
              </w:rPr>
            </w:pPr>
            <w:r>
              <w:rPr>
                <w:rFonts w:hint="eastAsia"/>
                <w:highlight w:val="yellow"/>
              </w:rPr>
              <w:t>资金来源</w:t>
            </w:r>
          </w:p>
        </w:tc>
        <w:tc>
          <w:tcPr>
            <w:tcW w:w="5295" w:type="dxa"/>
            <w:vAlign w:val="center"/>
          </w:tcPr>
          <w:p>
            <w:pPr>
              <w:spacing w:line="320" w:lineRule="exact"/>
              <w:jc w:val="left"/>
              <w:rPr>
                <w:highlight w:val="yellow"/>
              </w:rPr>
            </w:pPr>
            <w:r>
              <w:rPr>
                <w:rFonts w:hint="eastAsia"/>
                <w:highlight w:val="yellow"/>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w:t>
            </w:r>
            <w:r>
              <w:t>.2.2</w:t>
            </w:r>
          </w:p>
        </w:tc>
        <w:tc>
          <w:tcPr>
            <w:tcW w:w="2262" w:type="dxa"/>
            <w:vAlign w:val="center"/>
          </w:tcPr>
          <w:p>
            <w:pPr>
              <w:spacing w:line="320" w:lineRule="exact"/>
              <w:jc w:val="center"/>
            </w:pPr>
            <w:r>
              <w:rPr>
                <w:rFonts w:hint="eastAsia"/>
              </w:rPr>
              <w:t>出资比例</w:t>
            </w:r>
          </w:p>
        </w:tc>
        <w:tc>
          <w:tcPr>
            <w:tcW w:w="5295" w:type="dxa"/>
            <w:vAlign w:val="center"/>
          </w:tcPr>
          <w:p>
            <w:pPr>
              <w:spacing w:line="320" w:lineRule="exact"/>
              <w:jc w:val="left"/>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w:t>
            </w:r>
            <w:r>
              <w:t>.2.3</w:t>
            </w:r>
          </w:p>
        </w:tc>
        <w:tc>
          <w:tcPr>
            <w:tcW w:w="2262" w:type="dxa"/>
            <w:vAlign w:val="center"/>
          </w:tcPr>
          <w:p>
            <w:pPr>
              <w:spacing w:line="320" w:lineRule="exact"/>
              <w:jc w:val="center"/>
              <w:rPr>
                <w:highlight w:val="yellow"/>
              </w:rPr>
            </w:pPr>
            <w:r>
              <w:rPr>
                <w:rFonts w:hint="eastAsia"/>
                <w:highlight w:val="yellow"/>
              </w:rPr>
              <w:t>标段合同估算价</w:t>
            </w:r>
          </w:p>
        </w:tc>
        <w:tc>
          <w:tcPr>
            <w:tcW w:w="5295" w:type="dxa"/>
            <w:vAlign w:val="center"/>
          </w:tcPr>
          <w:p>
            <w:pPr>
              <w:spacing w:line="320" w:lineRule="exact"/>
              <w:jc w:val="left"/>
              <w:rPr>
                <w:highlight w:val="yellow"/>
              </w:rPr>
            </w:pPr>
            <w:r>
              <w:rPr>
                <w:rFonts w:hint="eastAsia"/>
                <w:highlight w:val="yellow"/>
                <w:u w:val="single"/>
              </w:rPr>
              <w:t xml:space="preserve">  3</w:t>
            </w:r>
            <w:r>
              <w:rPr>
                <w:rFonts w:hint="eastAsia"/>
                <w:highlight w:val="yellow"/>
                <w:u w:val="single"/>
                <w:lang w:val="en-US" w:eastAsia="zh-CN"/>
              </w:rPr>
              <w:t>738</w:t>
            </w:r>
            <w:r>
              <w:rPr>
                <w:rFonts w:hint="eastAsia"/>
                <w:highlight w:val="yellow"/>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pPr>
            <w:r>
              <w:rPr>
                <w:rFonts w:hint="eastAsia"/>
              </w:rPr>
              <w:t>1.2.</w:t>
            </w:r>
            <w:r>
              <w:t>4</w:t>
            </w:r>
          </w:p>
        </w:tc>
        <w:tc>
          <w:tcPr>
            <w:tcW w:w="2262" w:type="dxa"/>
            <w:vAlign w:val="center"/>
          </w:tcPr>
          <w:p>
            <w:pPr>
              <w:spacing w:line="320" w:lineRule="exact"/>
              <w:jc w:val="center"/>
            </w:pPr>
            <w:r>
              <w:rPr>
                <w:rFonts w:hint="eastAsia"/>
              </w:rPr>
              <w:t>资金落实情况</w:t>
            </w:r>
          </w:p>
        </w:tc>
        <w:tc>
          <w:tcPr>
            <w:tcW w:w="5295" w:type="dxa"/>
            <w:vAlign w:val="center"/>
          </w:tcPr>
          <w:p>
            <w:pPr>
              <w:spacing w:line="320" w:lineRule="exact"/>
              <w:jc w:val="left"/>
            </w:pPr>
            <w:r>
              <w:rPr>
                <w:rFonts w:hint="eastAsi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57" w:type="dxa"/>
            <w:vAlign w:val="center"/>
          </w:tcPr>
          <w:p>
            <w:pPr>
              <w:spacing w:line="320" w:lineRule="exact"/>
              <w:jc w:val="center"/>
            </w:pPr>
            <w:r>
              <w:rPr>
                <w:rFonts w:hint="eastAsia"/>
              </w:rPr>
              <w:t>1.3.1</w:t>
            </w:r>
          </w:p>
        </w:tc>
        <w:tc>
          <w:tcPr>
            <w:tcW w:w="2262" w:type="dxa"/>
            <w:vAlign w:val="center"/>
          </w:tcPr>
          <w:p>
            <w:pPr>
              <w:spacing w:line="320" w:lineRule="exact"/>
              <w:jc w:val="center"/>
            </w:pPr>
            <w:r>
              <w:rPr>
                <w:rFonts w:hint="eastAsia"/>
              </w:rPr>
              <w:t>招标范围</w:t>
            </w:r>
          </w:p>
        </w:tc>
        <w:tc>
          <w:tcPr>
            <w:tcW w:w="5295" w:type="dxa"/>
            <w:vAlign w:val="center"/>
          </w:tcPr>
          <w:p>
            <w:pPr>
              <w:spacing w:line="320" w:lineRule="exact"/>
              <w:jc w:val="left"/>
              <w:rPr>
                <w:u w:val="single"/>
              </w:rPr>
            </w:pPr>
            <w:r>
              <w:rPr>
                <w:rFonts w:hint="eastAsia"/>
                <w:spacing w:val="-1"/>
              </w:rPr>
              <w:t>全厂道路、管廊、地管、事故水池、防雷接地施工</w:t>
            </w:r>
            <w:r>
              <w:rPr>
                <w:rFonts w:hint="eastAsia"/>
              </w:rPr>
              <w:t>关于招标范围的详细说明见第七章“技术标准和要求”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pPr>
              <w:spacing w:line="320" w:lineRule="exact"/>
              <w:jc w:val="center"/>
            </w:pPr>
            <w:r>
              <w:rPr>
                <w:rFonts w:hint="eastAsia"/>
              </w:rPr>
              <w:t>1.3.2</w:t>
            </w:r>
          </w:p>
        </w:tc>
        <w:tc>
          <w:tcPr>
            <w:tcW w:w="2262" w:type="dxa"/>
            <w:vAlign w:val="center"/>
          </w:tcPr>
          <w:p>
            <w:pPr>
              <w:spacing w:line="320" w:lineRule="exact"/>
              <w:jc w:val="center"/>
            </w:pPr>
            <w:r>
              <w:rPr>
                <w:rFonts w:hint="eastAsia"/>
              </w:rPr>
              <w:t>计划工期</w:t>
            </w:r>
          </w:p>
        </w:tc>
        <w:tc>
          <w:tcPr>
            <w:tcW w:w="5295" w:type="dxa"/>
            <w:vAlign w:val="center"/>
          </w:tcPr>
          <w:p>
            <w:pPr>
              <w:spacing w:line="320" w:lineRule="exact"/>
              <w:jc w:val="left"/>
            </w:pPr>
            <w:r>
              <w:rPr>
                <w:rFonts w:hint="eastAsia"/>
              </w:rPr>
              <w:t>计划工期：</w:t>
            </w:r>
            <w:r>
              <w:rPr>
                <w:rFonts w:hint="eastAsia"/>
                <w:u w:val="single"/>
              </w:rPr>
              <w:t>90</w:t>
            </w:r>
            <w:r>
              <w:rPr>
                <w:rFonts w:hint="eastAsia"/>
              </w:rPr>
              <w:t>日历天</w:t>
            </w:r>
          </w:p>
          <w:p>
            <w:pPr>
              <w:spacing w:line="320" w:lineRule="exact"/>
              <w:jc w:val="left"/>
              <w:rPr>
                <w:highlight w:val="yellow"/>
              </w:rPr>
            </w:pPr>
            <w:r>
              <w:rPr>
                <w:rFonts w:hint="eastAsia"/>
                <w:highlight w:val="yellow"/>
              </w:rPr>
              <w:t>计划开工日期：</w:t>
            </w:r>
            <w:r>
              <w:rPr>
                <w:rFonts w:hint="eastAsia"/>
                <w:highlight w:val="yellow"/>
                <w:u w:val="single"/>
              </w:rPr>
              <w:t>2025年10月25日</w:t>
            </w:r>
          </w:p>
          <w:p>
            <w:pPr>
              <w:spacing w:line="320" w:lineRule="exact"/>
              <w:jc w:val="left"/>
              <w:rPr>
                <w:highlight w:val="yellow"/>
                <w:u w:val="single"/>
              </w:rPr>
            </w:pPr>
            <w:r>
              <w:rPr>
                <w:rFonts w:hint="eastAsia"/>
                <w:highlight w:val="yellow"/>
              </w:rPr>
              <w:t>计划竣工日期：</w:t>
            </w:r>
            <w:r>
              <w:rPr>
                <w:rFonts w:hint="eastAsia"/>
                <w:highlight w:val="yellow"/>
                <w:u w:val="single"/>
              </w:rPr>
              <w:t>2026年1月23日</w:t>
            </w:r>
          </w:p>
          <w:p>
            <w:pPr>
              <w:pStyle w:val="2"/>
              <w:ind w:firstLine="496"/>
            </w:pPr>
            <w:r>
              <w:rPr>
                <w:rFonts w:hint="eastAsia"/>
                <w:spacing w:val="19"/>
                <w:highlight w:val="yellow"/>
                <w:u w:val="single"/>
              </w:rPr>
              <w:t>具体以招标人实际通知为准。</w:t>
            </w:r>
          </w:p>
          <w:p>
            <w:pPr>
              <w:spacing w:line="320" w:lineRule="exact"/>
              <w:jc w:val="left"/>
            </w:pPr>
            <w:r>
              <w:rPr>
                <w:rFonts w:hint="eastAsia"/>
              </w:rPr>
              <w:t>除上述总工期外，发包人还要求以下区段工期：</w:t>
            </w:r>
          </w:p>
          <w:p>
            <w:pPr>
              <w:spacing w:line="320" w:lineRule="exact"/>
              <w:jc w:val="left"/>
              <w:rPr>
                <w:u w:val="single"/>
              </w:rPr>
            </w:pPr>
            <w:r>
              <w:rPr>
                <w:rFonts w:hint="eastAsia"/>
                <w:u w:val="single"/>
              </w:rPr>
              <w:t>无</w:t>
            </w:r>
          </w:p>
          <w:p>
            <w:pPr>
              <w:spacing w:line="320" w:lineRule="exact"/>
              <w:jc w:val="left"/>
              <w:rPr>
                <w:u w:val="single"/>
              </w:rPr>
            </w:pPr>
            <w:r>
              <w:rPr>
                <w:rFonts w:hint="eastAsia"/>
              </w:rPr>
              <w:t>有关工期的详细要求见第七章“技术标准和要求”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pPr>
              <w:spacing w:line="320" w:lineRule="exact"/>
              <w:jc w:val="center"/>
            </w:pPr>
            <w:r>
              <w:rPr>
                <w:rFonts w:hint="eastAsia"/>
              </w:rPr>
              <w:t>1.3.3</w:t>
            </w:r>
          </w:p>
        </w:tc>
        <w:tc>
          <w:tcPr>
            <w:tcW w:w="2262" w:type="dxa"/>
            <w:vAlign w:val="center"/>
          </w:tcPr>
          <w:p>
            <w:pPr>
              <w:spacing w:line="320" w:lineRule="exact"/>
              <w:jc w:val="center"/>
            </w:pPr>
            <w:r>
              <w:rPr>
                <w:rFonts w:hint="eastAsia"/>
              </w:rPr>
              <w:t>质量要求</w:t>
            </w:r>
          </w:p>
        </w:tc>
        <w:tc>
          <w:tcPr>
            <w:tcW w:w="5295" w:type="dxa"/>
            <w:vAlign w:val="center"/>
          </w:tcPr>
          <w:p>
            <w:pPr>
              <w:spacing w:line="320" w:lineRule="exact"/>
              <w:jc w:val="left"/>
              <w:rPr>
                <w:u w:val="single"/>
              </w:rPr>
            </w:pPr>
            <w:r>
              <w:rPr>
                <w:rFonts w:hint="eastAsia"/>
              </w:rPr>
              <w:t>质量要求：</w:t>
            </w:r>
            <w:r>
              <w:rPr>
                <w:rFonts w:hint="eastAsia"/>
                <w:u w:val="single"/>
              </w:rPr>
              <w:t>合格</w:t>
            </w:r>
          </w:p>
          <w:p>
            <w:pPr>
              <w:spacing w:line="320" w:lineRule="exact"/>
              <w:jc w:val="left"/>
            </w:pPr>
            <w:r>
              <w:rPr>
                <w:rFonts w:hint="eastAsia"/>
              </w:rPr>
              <w:t>其他要求：</w:t>
            </w:r>
            <w:r>
              <w:rPr>
                <w:rFonts w:hint="eastAsia"/>
                <w:u w:val="single"/>
              </w:rPr>
              <w:t>无</w:t>
            </w:r>
          </w:p>
          <w:p>
            <w:pPr>
              <w:spacing w:line="320" w:lineRule="exact"/>
              <w:jc w:val="left"/>
            </w:pPr>
            <w:r>
              <w:rPr>
                <w:rFonts w:hint="eastAsia"/>
              </w:rPr>
              <w:t>关于质量要求的详细说明见第七章“技术标准和要求”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pPr>
              <w:spacing w:line="320" w:lineRule="exact"/>
              <w:jc w:val="center"/>
            </w:pPr>
            <w:r>
              <w:rPr>
                <w:rFonts w:hint="eastAsia"/>
              </w:rPr>
              <w:t>1.4.1</w:t>
            </w:r>
          </w:p>
        </w:tc>
        <w:tc>
          <w:tcPr>
            <w:tcW w:w="2262" w:type="dxa"/>
            <w:vAlign w:val="center"/>
          </w:tcPr>
          <w:p>
            <w:pPr>
              <w:spacing w:line="320" w:lineRule="exact"/>
              <w:jc w:val="center"/>
            </w:pPr>
            <w:r>
              <w:rPr>
                <w:rFonts w:hint="eastAsia"/>
              </w:rPr>
              <w:t>投标人资质条件、</w:t>
            </w:r>
          </w:p>
          <w:p>
            <w:pPr>
              <w:spacing w:line="320" w:lineRule="exact"/>
              <w:jc w:val="center"/>
            </w:pPr>
            <w:r>
              <w:rPr>
                <w:rFonts w:hint="eastAsia"/>
              </w:rPr>
              <w:t>能力和信誉</w:t>
            </w:r>
          </w:p>
        </w:tc>
        <w:tc>
          <w:tcPr>
            <w:tcW w:w="5295" w:type="dxa"/>
            <w:vAlign w:val="center"/>
          </w:tcPr>
          <w:p>
            <w:pPr>
              <w:spacing w:line="320" w:lineRule="exact"/>
              <w:rPr>
                <w:color w:val="FF0000"/>
                <w:highlight w:val="yellow"/>
              </w:rPr>
            </w:pPr>
            <w:r>
              <w:rPr>
                <w:rFonts w:hint="eastAsia"/>
                <w:b/>
              </w:rPr>
              <w:t>资质要求：</w:t>
            </w:r>
            <w:r>
              <w:rPr>
                <w:rFonts w:hint="eastAsia"/>
                <w:b/>
                <w:highlight w:val="yellow"/>
              </w:rPr>
              <w:t>投标人须具备建设行政主管部门核发的建筑工程施工总承包二级或市政公用工程及以上资质，安全生产许可证的独立法人单位。</w:t>
            </w:r>
          </w:p>
          <w:p>
            <w:pPr>
              <w:spacing w:line="320" w:lineRule="exact"/>
            </w:pPr>
            <w:r>
              <w:rPr>
                <w:rFonts w:hint="eastAsia"/>
                <w:b/>
              </w:rPr>
              <w:t>信誉要求：</w:t>
            </w:r>
            <w:r>
              <w:rPr>
                <w:rFonts w:hint="eastAsia"/>
              </w:rPr>
              <w:t>不得具有投标人须知第1.4.3（10）至（17）条目规定的情形。</w:t>
            </w:r>
          </w:p>
          <w:p>
            <w:pPr>
              <w:snapToGrid w:val="0"/>
              <w:spacing w:line="320" w:lineRule="exact"/>
              <w:ind w:right="152" w:firstLine="419"/>
              <w:rPr>
                <w:rFonts w:hint="eastAsia" w:ascii="宋体" w:hAnsi="宋体" w:cs="宋体"/>
                <w:strike/>
                <w:spacing w:val="7"/>
              </w:rPr>
            </w:pPr>
            <w:r>
              <w:rPr>
                <w:rFonts w:hint="eastAsia"/>
                <w:b/>
              </w:rPr>
              <w:t>项目经理资格：投标人拟派项目经理须具备注册建造师二级资格（建筑工程或市政工程）；具备有效的安全生产考核合格证书（B证），且未担任其他在施建设工程项目的项目经理。</w:t>
            </w:r>
            <w:r>
              <w:rPr>
                <w:rFonts w:hint="eastAsia" w:ascii="宋体" w:hAnsi="宋体" w:cs="宋体"/>
                <w:bCs/>
              </w:rPr>
              <w:t>项目经理须为投标人在册正式人员，须提供投标截止日前连续6个月或以上养老保险缴纳证明（须具有社保机构公章）。</w:t>
            </w:r>
          </w:p>
          <w:p/>
          <w:p>
            <w:r>
              <w:rPr>
                <w:rFonts w:hint="eastAsia"/>
                <w:b/>
              </w:rPr>
              <w:t>业绩要求：投标人</w:t>
            </w:r>
            <w:r>
              <w:rPr>
                <w:b/>
                <w:color w:val="FF0000"/>
              </w:rPr>
              <w:t>2022</w:t>
            </w:r>
            <w:r>
              <w:rPr>
                <w:rFonts w:hint="eastAsia"/>
                <w:b/>
                <w:color w:val="FF0000"/>
              </w:rPr>
              <w:t>年1月至投标截止日（以合同签订时间为准），</w:t>
            </w:r>
            <w:r>
              <w:rPr>
                <w:rFonts w:hint="eastAsia"/>
                <w:spacing w:val="7"/>
              </w:rPr>
              <w:t>投标人须至少提供一份具有已完工的满足本标段施工要求的</w:t>
            </w:r>
            <w:r>
              <w:rPr>
                <w:rFonts w:hint="eastAsia"/>
                <w:b/>
                <w:bCs/>
                <w:color w:val="FF0000"/>
                <w:spacing w:val="7"/>
                <w:highlight w:val="yellow"/>
              </w:rPr>
              <w:t>类似项目施工</w:t>
            </w:r>
            <w:r>
              <w:rPr>
                <w:rFonts w:hint="eastAsia"/>
                <w:spacing w:val="7"/>
              </w:rPr>
              <w:t>总承包合同业绩</w:t>
            </w:r>
            <w:r>
              <w:rPr>
                <w:rFonts w:hint="eastAsia"/>
                <w:b/>
                <w:color w:val="FF0000"/>
              </w:rPr>
              <w:t>，提供中标通知书（如有）、合同及对应发票等业绩证明材料复印件(证明材料以签署日期为准，证明材料中必须包含关键内容和盖章页)。</w:t>
            </w:r>
          </w:p>
          <w:p>
            <w:pPr>
              <w:spacing w:line="320" w:lineRule="exact"/>
              <w:rPr>
                <w:b/>
              </w:rPr>
            </w:pPr>
            <w:r>
              <w:rPr>
                <w:rFonts w:hint="eastAsia"/>
                <w:b/>
              </w:rPr>
              <w:t>项目管理机构主要人员要求：</w:t>
            </w:r>
          </w:p>
          <w:p>
            <w:pPr>
              <w:spacing w:line="320" w:lineRule="exact"/>
              <w:rPr>
                <w:b/>
                <w:color w:val="FF0000"/>
              </w:rPr>
            </w:pPr>
            <w:r>
              <w:rPr>
                <w:rFonts w:hint="eastAsia"/>
                <w:b/>
                <w:color w:val="FF0000"/>
              </w:rPr>
              <w:t>技术负责人：（</w:t>
            </w:r>
            <w:r>
              <w:rPr>
                <w:b/>
                <w:color w:val="FF0000"/>
              </w:rPr>
              <w:t>1</w:t>
            </w:r>
            <w:r>
              <w:rPr>
                <w:rFonts w:hint="eastAsia"/>
                <w:b/>
                <w:color w:val="FF0000"/>
              </w:rPr>
              <w:t>）投标人拟派技术负责人须具有并提供有效的工程系类中级职称证书。（</w:t>
            </w:r>
            <w:r>
              <w:rPr>
                <w:b/>
                <w:color w:val="FF0000"/>
              </w:rPr>
              <w:t>2</w:t>
            </w:r>
            <w:r>
              <w:rPr>
                <w:rFonts w:hint="eastAsia"/>
                <w:b/>
                <w:color w:val="FF0000"/>
              </w:rPr>
              <w:t>）技术负责人须为投标人在册正式人员，须提供投标截止日前连续</w:t>
            </w:r>
            <w:r>
              <w:rPr>
                <w:b/>
                <w:color w:val="FF0000"/>
              </w:rPr>
              <w:t>6</w:t>
            </w:r>
            <w:r>
              <w:rPr>
                <w:rFonts w:hint="eastAsia"/>
                <w:b/>
                <w:color w:val="FF0000"/>
              </w:rPr>
              <w:t>个月或以上养老保险缴纳证明（须具有社保机构公章）。</w:t>
            </w:r>
          </w:p>
          <w:p>
            <w:pPr>
              <w:spacing w:line="320" w:lineRule="exact"/>
              <w:rPr>
                <w:b/>
              </w:rPr>
            </w:pPr>
            <w:r>
              <w:rPr>
                <w:rFonts w:hint="eastAsia"/>
                <w:b/>
              </w:rPr>
              <w:t>安全负责人：（1）投标人须提供拟派安全负责人有效的安全生产考核合格证（C类）。（2）安全负责人须为投标人</w:t>
            </w:r>
            <w:r>
              <w:rPr>
                <w:rFonts w:hint="eastAsia"/>
                <w:b/>
                <w:color w:val="FF0000"/>
              </w:rPr>
              <w:t>在册正式人员，须提供投标截止日前连续6个月或以上养老保险缴纳证明（须具有社保机构公章）。</w:t>
            </w:r>
          </w:p>
          <w:p>
            <w:pPr>
              <w:spacing w:line="320" w:lineRule="exact"/>
            </w:pPr>
            <w:r>
              <w:rPr>
                <w:rFonts w:hint="eastAsia"/>
                <w:b/>
              </w:rPr>
              <w:t>其他要求：</w:t>
            </w:r>
            <w:r>
              <w:rPr>
                <w:rFonts w:hint="eastAsia"/>
                <w:bCs/>
              </w:rPr>
              <w:t>1</w:t>
            </w:r>
            <w:r>
              <w:rPr>
                <w:bCs/>
              </w:rPr>
              <w:t>.</w:t>
            </w:r>
            <w:r>
              <w:rPr>
                <w:rFonts w:hint="eastAsia"/>
              </w:rPr>
              <w:t>具有有效的企业在辽基本信息登记单（外省企业）。</w:t>
            </w:r>
          </w:p>
          <w:p>
            <w:pPr>
              <w:numPr>
                <w:ilvl w:val="0"/>
                <w:numId w:val="2"/>
              </w:numPr>
              <w:spacing w:line="320" w:lineRule="exact"/>
            </w:pPr>
            <w:r>
              <w:rPr>
                <w:rFonts w:hint="eastAsia"/>
              </w:rPr>
              <w:t>1）本项目采用“不见面交易”方式开标；2）投标人在开标前需在业务系统完成实名认证及二次刷卡操作；3）投标人开标结束后需要在规定时间内（唱标完成后3分钟内）完成对开标记录表的电子签章操作，否则视为认同开标情况，后续不予受理对开标情况的投诉。</w:t>
            </w:r>
          </w:p>
          <w:p>
            <w:pPr>
              <w:spacing w:line="320" w:lineRule="exact"/>
            </w:pPr>
            <w:r>
              <w:rPr>
                <w:spacing w:val="1"/>
              </w:rPr>
              <w:t>投标人具有建设行政主管部门核发的安全生产许可证，安全生产许可证</w:t>
            </w:r>
            <w:r>
              <w:rPr>
                <w:spacing w:val="2"/>
              </w:rPr>
              <w:t xml:space="preserve">  </w:t>
            </w:r>
            <w:r>
              <w:rPr>
                <w:spacing w:val="4"/>
              </w:rPr>
              <w:t>在有效期内；</w:t>
            </w:r>
            <w:r>
              <w:rPr>
                <w:rFonts w:hint="eastAsia"/>
                <w:spacing w:val="3"/>
              </w:rPr>
              <w:t>投标人在“信用中国”网站（www.creditchina.gov.cn）未被列入失信被执行人名单、重大税收违法失信主体。单位负责人为同一人或者存在控股、管理关系的不同单位，不得参加同一招标项目投标。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pPr>
              <w:spacing w:line="320" w:lineRule="exact"/>
              <w:jc w:val="center"/>
            </w:pPr>
            <w:r>
              <w:rPr>
                <w:rFonts w:hint="eastAsia"/>
              </w:rPr>
              <w:t>1.4.2</w:t>
            </w:r>
          </w:p>
        </w:tc>
        <w:tc>
          <w:tcPr>
            <w:tcW w:w="2262" w:type="dxa"/>
            <w:vAlign w:val="center"/>
          </w:tcPr>
          <w:p>
            <w:pPr>
              <w:spacing w:line="320" w:lineRule="exact"/>
              <w:jc w:val="center"/>
            </w:pPr>
            <w:r>
              <w:rPr>
                <w:rFonts w:hint="eastAsia"/>
              </w:rPr>
              <w:t>是否接受联合体投标</w:t>
            </w:r>
          </w:p>
        </w:tc>
        <w:tc>
          <w:tcPr>
            <w:tcW w:w="5295" w:type="dxa"/>
            <w:vAlign w:val="center"/>
          </w:tcPr>
          <w:p>
            <w:pPr>
              <w:spacing w:line="320" w:lineRule="exact"/>
              <w:jc w:val="left"/>
            </w:pPr>
            <w:r>
              <w:rPr>
                <w:rFonts w:hint="eastAsia"/>
              </w:rPr>
              <w:t>☑不接受</w:t>
            </w:r>
          </w:p>
          <w:p>
            <w:pPr>
              <w:spacing w:line="320" w:lineRule="exact"/>
              <w:jc w:val="left"/>
              <w:rPr>
                <w:u w:val="single"/>
              </w:rPr>
            </w:pPr>
            <w:r>
              <w:rPr>
                <w:rFonts w:hint="eastAsia"/>
              </w:rPr>
              <w:t>□接受，应满足下列要求：</w:t>
            </w:r>
            <w:r>
              <w:rPr>
                <w:rFonts w:hint="eastAsia"/>
                <w:u w:val="single"/>
              </w:rPr>
              <w:t>/</w:t>
            </w:r>
          </w:p>
          <w:p>
            <w:pPr>
              <w:spacing w:line="320" w:lineRule="exact"/>
              <w:jc w:val="left"/>
            </w:pPr>
            <w:r>
              <w:rPr>
                <w:rFonts w:hint="eastAsia"/>
                <w:szCs w:val="21"/>
              </w:rPr>
              <w:t>其中：</w:t>
            </w:r>
            <w:r>
              <w:rPr>
                <w:rFonts w:hint="eastAsia"/>
                <w:szCs w:val="21"/>
                <w:u w:val="single"/>
              </w:rPr>
              <w:t>联合体资质按照联合体协议约定的分工认定，其他按照评审标准规定和联合体协议中约定的各成员分工要求进行。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pPr>
              <w:spacing w:line="320" w:lineRule="exact"/>
              <w:jc w:val="center"/>
            </w:pPr>
            <w:r>
              <w:rPr>
                <w:rFonts w:hint="eastAsia"/>
              </w:rPr>
              <w:t>1.4.3（17）</w:t>
            </w:r>
          </w:p>
        </w:tc>
        <w:tc>
          <w:tcPr>
            <w:tcW w:w="2262" w:type="dxa"/>
            <w:vAlign w:val="center"/>
          </w:tcPr>
          <w:p>
            <w:pPr>
              <w:spacing w:line="320" w:lineRule="exact"/>
              <w:jc w:val="center"/>
            </w:pPr>
            <w:r>
              <w:rPr>
                <w:rFonts w:hint="eastAsia" w:ascii="宋体" w:hAnsi="宋体"/>
                <w:szCs w:val="21"/>
              </w:rPr>
              <w:t>投标人</w:t>
            </w:r>
            <w:r>
              <w:rPr>
                <w:rFonts w:hint="eastAsia"/>
                <w:szCs w:val="21"/>
              </w:rPr>
              <w:t>不得存在</w:t>
            </w:r>
            <w:r>
              <w:rPr>
                <w:szCs w:val="21"/>
              </w:rPr>
              <w:t>的其他</w:t>
            </w:r>
            <w:r>
              <w:rPr>
                <w:rFonts w:hint="eastAsia"/>
                <w:szCs w:val="21"/>
              </w:rPr>
              <w:t>情形</w:t>
            </w:r>
          </w:p>
        </w:tc>
        <w:tc>
          <w:tcPr>
            <w:tcW w:w="5295" w:type="dxa"/>
            <w:vAlign w:val="center"/>
          </w:tcPr>
          <w:p>
            <w:pPr>
              <w:spacing w:line="320" w:lineRule="exact"/>
              <w:jc w:val="left"/>
            </w:pPr>
            <w:r>
              <w:rPr>
                <w:rFonts w:hint="eastAsia"/>
              </w:rPr>
              <w:t>在招投标过程中，发现下列情形之一的，招投标监管机构和评标委员会将认定为围标串标行为，投标按作废标处理，并按相关规定予以处罚:</w:t>
            </w:r>
            <w:r>
              <w:rPr>
                <w:rFonts w:hint="eastAsia"/>
              </w:rPr>
              <w:br w:type="textWrapping"/>
            </w:r>
            <w:r>
              <w:rPr>
                <w:rFonts w:hint="eastAsia"/>
              </w:rPr>
              <w:t>1、投标人同属于一个母公司或者一个母公司和他所属的子公司同时参加投标;</w:t>
            </w:r>
            <w:r>
              <w:rPr>
                <w:rFonts w:hint="eastAsia"/>
              </w:rPr>
              <w:br w:type="textWrapping"/>
            </w:r>
            <w:r>
              <w:rPr>
                <w:rFonts w:hint="eastAsia"/>
              </w:rPr>
              <w:t>2、投标人以两家及以上企业的名义参与投标报名的;</w:t>
            </w:r>
            <w:r>
              <w:rPr>
                <w:rFonts w:hint="eastAsia"/>
              </w:rPr>
              <w:br w:type="textWrapping"/>
            </w:r>
            <w:r>
              <w:rPr>
                <w:rFonts w:hint="eastAsia"/>
              </w:rPr>
              <w:t>3、投标人的投标文件相互混装的;</w:t>
            </w:r>
            <w:r>
              <w:rPr>
                <w:rFonts w:hint="eastAsia"/>
              </w:rPr>
              <w:br w:type="textWrapping"/>
            </w:r>
            <w:r>
              <w:rPr>
                <w:rFonts w:hint="eastAsia"/>
              </w:rPr>
              <w:t>4、投标人的投标文件错、漏之处一致的;</w:t>
            </w:r>
            <w:r>
              <w:rPr>
                <w:rFonts w:hint="eastAsia"/>
              </w:rPr>
              <w:br w:type="textWrapping"/>
            </w:r>
            <w:r>
              <w:rPr>
                <w:rFonts w:hint="eastAsia"/>
              </w:rPr>
              <w:t>5、投标人的投标报价或报价组成异常一致或呈规律性变化的;</w:t>
            </w:r>
            <w:r>
              <w:rPr>
                <w:rFonts w:hint="eastAsia"/>
              </w:rPr>
              <w:br w:type="textWrapping"/>
            </w:r>
            <w:r>
              <w:rPr>
                <w:rFonts w:hint="eastAsia"/>
              </w:rPr>
              <w:t>6、投标人的投标文件由同一单位或同一个人编制的;</w:t>
            </w:r>
            <w:r>
              <w:rPr>
                <w:rFonts w:hint="eastAsia"/>
              </w:rPr>
              <w:br w:type="textWrapping"/>
            </w:r>
            <w:r>
              <w:rPr>
                <w:rFonts w:hint="eastAsia"/>
              </w:rPr>
              <w:t>7、投标人的投标文件授权代表人为同一人或同一单位人员的;</w:t>
            </w:r>
            <w:r>
              <w:rPr>
                <w:rFonts w:hint="eastAsia"/>
              </w:rPr>
              <w:br w:type="textWrapping"/>
            </w:r>
            <w:r>
              <w:rPr>
                <w:rFonts w:hint="eastAsia"/>
              </w:rPr>
              <w:t>8、投标人的相关人员有在同一个单位缴纳社会保险的;</w:t>
            </w:r>
            <w:r>
              <w:rPr>
                <w:rFonts w:hint="eastAsia"/>
              </w:rPr>
              <w:br w:type="textWrapping"/>
            </w:r>
            <w:r>
              <w:rPr>
                <w:rFonts w:hint="eastAsia"/>
              </w:rPr>
              <w:t>9、投标人的投标保证金由同一企业或同一账户资金缴纳的;</w:t>
            </w:r>
            <w:r>
              <w:rPr>
                <w:rFonts w:hint="eastAsia"/>
              </w:rPr>
              <w:br w:type="textWrapping"/>
            </w:r>
            <w:r>
              <w:rPr>
                <w:rFonts w:hint="eastAsia"/>
              </w:rPr>
              <w:t>10、证明投标人与招标人、招标代理机构或其他投标人串通的其他情形及其他不符合法律、法规规定情形的。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pPr>
              <w:spacing w:line="320" w:lineRule="exact"/>
              <w:jc w:val="center"/>
            </w:pPr>
            <w:r>
              <w:rPr>
                <w:rFonts w:hint="eastAsia"/>
              </w:rPr>
              <w:t>1.9.1</w:t>
            </w:r>
          </w:p>
        </w:tc>
        <w:tc>
          <w:tcPr>
            <w:tcW w:w="2262" w:type="dxa"/>
            <w:vAlign w:val="center"/>
          </w:tcPr>
          <w:p>
            <w:pPr>
              <w:spacing w:line="320" w:lineRule="exact"/>
              <w:jc w:val="center"/>
            </w:pPr>
            <w:r>
              <w:rPr>
                <w:rFonts w:hint="eastAsia"/>
              </w:rPr>
              <w:t>踏勘现场</w:t>
            </w:r>
          </w:p>
        </w:tc>
        <w:tc>
          <w:tcPr>
            <w:tcW w:w="5295" w:type="dxa"/>
            <w:vAlign w:val="center"/>
          </w:tcPr>
          <w:p>
            <w:pPr>
              <w:spacing w:line="320" w:lineRule="exact"/>
              <w:jc w:val="left"/>
            </w:pPr>
            <w:r>
              <w:rPr>
                <w:rFonts w:hint="eastAsia"/>
              </w:rPr>
              <w:t>☑不统一组织</w:t>
            </w:r>
          </w:p>
          <w:p>
            <w:pPr>
              <w:spacing w:line="320" w:lineRule="exact"/>
              <w:jc w:val="left"/>
            </w:pPr>
            <w:r>
              <w:rPr>
                <w:rFonts w:hint="eastAsia"/>
              </w:rPr>
              <w:t>□统一组织，踏勘时间：</w:t>
            </w:r>
            <w:r>
              <w:rPr>
                <w:rFonts w:hint="eastAsia"/>
                <w:u w:val="single"/>
              </w:rPr>
              <w:t>/</w:t>
            </w:r>
          </w:p>
          <w:p>
            <w:pPr>
              <w:spacing w:line="320" w:lineRule="exact"/>
              <w:ind w:firstLine="1260" w:firstLineChars="600"/>
              <w:jc w:val="left"/>
            </w:pPr>
            <w:r>
              <w:rPr>
                <w:rFonts w:hint="eastAsia"/>
              </w:rPr>
              <w:t>踏勘地点：</w:t>
            </w:r>
            <w:r>
              <w:rPr>
                <w:rFonts w:hint="eastAsia"/>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pPr>
              <w:spacing w:line="320" w:lineRule="exact"/>
              <w:jc w:val="center"/>
            </w:pPr>
            <w:r>
              <w:rPr>
                <w:rFonts w:hint="eastAsia"/>
              </w:rPr>
              <w:t>1.10.1</w:t>
            </w:r>
          </w:p>
        </w:tc>
        <w:tc>
          <w:tcPr>
            <w:tcW w:w="2262" w:type="dxa"/>
            <w:vAlign w:val="center"/>
          </w:tcPr>
          <w:p>
            <w:pPr>
              <w:spacing w:line="320" w:lineRule="exact"/>
              <w:jc w:val="center"/>
            </w:pPr>
            <w:r>
              <w:rPr>
                <w:rFonts w:hint="eastAsia"/>
              </w:rPr>
              <w:t>投标预备会</w:t>
            </w:r>
          </w:p>
        </w:tc>
        <w:tc>
          <w:tcPr>
            <w:tcW w:w="5295" w:type="dxa"/>
            <w:vAlign w:val="center"/>
          </w:tcPr>
          <w:p>
            <w:pPr>
              <w:spacing w:line="320" w:lineRule="exact"/>
              <w:jc w:val="left"/>
            </w:pPr>
            <w:r>
              <w:rPr>
                <w:rFonts w:hint="eastAsia"/>
              </w:rPr>
              <w:t>☑不召开</w:t>
            </w:r>
          </w:p>
          <w:p>
            <w:pPr>
              <w:spacing w:line="320" w:lineRule="exact"/>
              <w:jc w:val="left"/>
            </w:pPr>
            <w:r>
              <w:rPr>
                <w:rFonts w:hint="eastAsia"/>
              </w:rPr>
              <w:t>□召开，召开时间：</w:t>
            </w:r>
            <w:r>
              <w:rPr>
                <w:rFonts w:hint="eastAsia"/>
                <w:u w:val="single"/>
              </w:rPr>
              <w:t>/</w:t>
            </w:r>
          </w:p>
          <w:p>
            <w:pPr>
              <w:spacing w:line="320" w:lineRule="exact"/>
              <w:ind w:firstLine="840" w:firstLineChars="400"/>
              <w:jc w:val="left"/>
            </w:pPr>
            <w:r>
              <w:rPr>
                <w:rFonts w:hint="eastAsia"/>
              </w:rPr>
              <w:t>召开地点：</w:t>
            </w:r>
            <w:r>
              <w:rPr>
                <w:rFonts w:hint="eastAsia"/>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pPr>
              <w:spacing w:line="320" w:lineRule="exact"/>
              <w:jc w:val="center"/>
            </w:pPr>
            <w:r>
              <w:rPr>
                <w:rFonts w:hint="eastAsia"/>
              </w:rPr>
              <w:t>1.10.2</w:t>
            </w:r>
          </w:p>
        </w:tc>
        <w:tc>
          <w:tcPr>
            <w:tcW w:w="2262" w:type="dxa"/>
            <w:vAlign w:val="center"/>
          </w:tcPr>
          <w:p>
            <w:pPr>
              <w:spacing w:line="320" w:lineRule="exact"/>
              <w:jc w:val="center"/>
            </w:pPr>
            <w:r>
              <w:rPr>
                <w:rFonts w:hint="eastAsia"/>
              </w:rPr>
              <w:t>投标人提出问题的</w:t>
            </w:r>
          </w:p>
          <w:p>
            <w:pPr>
              <w:spacing w:line="320" w:lineRule="exact"/>
              <w:jc w:val="center"/>
            </w:pPr>
            <w:r>
              <w:rPr>
                <w:rFonts w:hint="eastAsia"/>
              </w:rPr>
              <w:t>截止时间</w:t>
            </w:r>
          </w:p>
        </w:tc>
        <w:tc>
          <w:tcPr>
            <w:tcW w:w="5295" w:type="dxa"/>
            <w:vAlign w:val="center"/>
          </w:tcPr>
          <w:p>
            <w:pPr>
              <w:spacing w:line="320" w:lineRule="exact"/>
              <w:jc w:val="left"/>
            </w:pPr>
            <w:r>
              <w:rPr>
                <w:rFonts w:hint="eastAsia"/>
              </w:rPr>
              <w:t>召开投标预备会之日10日前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pPr>
              <w:spacing w:line="320" w:lineRule="exact"/>
              <w:jc w:val="center"/>
            </w:pPr>
            <w:r>
              <w:rPr>
                <w:rFonts w:hint="eastAsia"/>
              </w:rPr>
              <w:t>1.11</w:t>
            </w:r>
          </w:p>
        </w:tc>
        <w:tc>
          <w:tcPr>
            <w:tcW w:w="2262" w:type="dxa"/>
            <w:vAlign w:val="center"/>
          </w:tcPr>
          <w:p>
            <w:pPr>
              <w:spacing w:line="320" w:lineRule="exact"/>
              <w:jc w:val="center"/>
            </w:pPr>
            <w:r>
              <w:rPr>
                <w:rFonts w:hint="eastAsia"/>
              </w:rPr>
              <w:t>分  包</w:t>
            </w:r>
          </w:p>
        </w:tc>
        <w:tc>
          <w:tcPr>
            <w:tcW w:w="5295" w:type="dxa"/>
            <w:vAlign w:val="center"/>
          </w:tcPr>
          <w:p>
            <w:pPr>
              <w:widowControl/>
              <w:jc w:val="left"/>
            </w:pPr>
            <w:r>
              <w:rPr>
                <w:rFonts w:hint="eastAsia"/>
              </w:rPr>
              <w:t>☑不允许</w:t>
            </w:r>
          </w:p>
          <w:p>
            <w:pPr>
              <w:spacing w:line="320" w:lineRule="exact"/>
              <w:jc w:val="left"/>
            </w:pPr>
            <w:r>
              <w:rPr>
                <w:rFonts w:hint="eastAsia"/>
              </w:rPr>
              <w:t>□允许，分包内容要求：</w:t>
            </w:r>
            <w:r>
              <w:rPr>
                <w:rFonts w:hint="eastAsia"/>
                <w:u w:val="single"/>
              </w:rPr>
              <w:t>/</w:t>
            </w:r>
            <w:r>
              <w:rPr>
                <w:rFonts w:hint="eastAsia"/>
              </w:rPr>
              <w:t xml:space="preserve"> </w:t>
            </w:r>
          </w:p>
          <w:p>
            <w:pPr>
              <w:spacing w:line="320" w:lineRule="exact"/>
              <w:ind w:firstLine="840" w:firstLineChars="400"/>
              <w:jc w:val="left"/>
            </w:pPr>
            <w:r>
              <w:rPr>
                <w:rFonts w:hint="eastAsia"/>
              </w:rPr>
              <w:t>分包金额要求：</w:t>
            </w:r>
            <w:r>
              <w:rPr>
                <w:rFonts w:hint="eastAsia"/>
                <w:u w:val="single"/>
              </w:rPr>
              <w:t>/</w:t>
            </w:r>
          </w:p>
          <w:p>
            <w:pPr>
              <w:spacing w:line="320" w:lineRule="exact"/>
              <w:ind w:firstLine="420" w:firstLineChars="200"/>
              <w:jc w:val="left"/>
            </w:pPr>
            <w:r>
              <w:rPr>
                <w:rFonts w:hint="eastAsia"/>
              </w:rPr>
              <w:t>接受分包的第三人资质要求：</w:t>
            </w:r>
            <w:r>
              <w:rPr>
                <w:rFonts w:hint="eastAsia"/>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pPr>
              <w:spacing w:line="320" w:lineRule="exact"/>
              <w:jc w:val="center"/>
            </w:pPr>
            <w:r>
              <w:rPr>
                <w:rFonts w:hint="eastAsia"/>
              </w:rPr>
              <w:t>1.12</w:t>
            </w:r>
          </w:p>
        </w:tc>
        <w:tc>
          <w:tcPr>
            <w:tcW w:w="2262" w:type="dxa"/>
            <w:vAlign w:val="center"/>
          </w:tcPr>
          <w:p>
            <w:pPr>
              <w:spacing w:line="320" w:lineRule="exact"/>
              <w:jc w:val="center"/>
            </w:pPr>
            <w:r>
              <w:rPr>
                <w:rFonts w:hint="eastAsia"/>
              </w:rPr>
              <w:t>偏  离</w:t>
            </w:r>
          </w:p>
        </w:tc>
        <w:tc>
          <w:tcPr>
            <w:tcW w:w="5295" w:type="dxa"/>
            <w:vAlign w:val="center"/>
          </w:tcPr>
          <w:p>
            <w:pPr>
              <w:spacing w:line="320" w:lineRule="exact"/>
              <w:jc w:val="left"/>
              <w:rPr>
                <w:u w:val="single"/>
              </w:rPr>
            </w:pPr>
            <w:r>
              <w:rPr>
                <w:rFonts w:hint="eastAsia"/>
              </w:rPr>
              <w:t>☑不允许</w:t>
            </w:r>
          </w:p>
          <w:p>
            <w:pPr>
              <w:spacing w:line="320" w:lineRule="exact"/>
              <w:jc w:val="left"/>
            </w:pPr>
            <w:r>
              <w:rPr>
                <w:rFonts w:hint="eastAsia"/>
              </w:rPr>
              <w:t>□允许，可偏离的项目和范围见第七章“技术标准和要求”：</w:t>
            </w:r>
          </w:p>
          <w:p>
            <w:pPr>
              <w:spacing w:line="320" w:lineRule="exact"/>
              <w:jc w:val="left"/>
            </w:pPr>
            <w:r>
              <w:rPr>
                <w:rFonts w:hint="eastAsia"/>
              </w:rPr>
              <w:t xml:space="preserve">        允许偏离最高项数：</w:t>
            </w:r>
            <w:r>
              <w:rPr>
                <w:rFonts w:hint="eastAsia"/>
                <w:u w:val="single"/>
              </w:rPr>
              <w:t>/</w:t>
            </w:r>
          </w:p>
          <w:p>
            <w:pPr>
              <w:spacing w:line="320" w:lineRule="exact"/>
              <w:jc w:val="left"/>
            </w:pPr>
            <w:r>
              <w:rPr>
                <w:rFonts w:hint="eastAsia"/>
              </w:rPr>
              <w:t xml:space="preserve">        偏差调整方法：</w:t>
            </w:r>
            <w:r>
              <w:rPr>
                <w:rFonts w:hint="eastAsia"/>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pPr>
            <w:r>
              <w:rPr>
                <w:rFonts w:hint="eastAsia"/>
              </w:rPr>
              <w:t>2.1.1</w:t>
            </w:r>
          </w:p>
          <w:p>
            <w:pPr>
              <w:spacing w:line="320" w:lineRule="exact"/>
              <w:jc w:val="center"/>
            </w:pPr>
            <w:r>
              <w:rPr>
                <w:rFonts w:hint="eastAsia"/>
              </w:rPr>
              <w:t>（9）</w:t>
            </w:r>
          </w:p>
        </w:tc>
        <w:tc>
          <w:tcPr>
            <w:tcW w:w="2262" w:type="dxa"/>
            <w:vAlign w:val="center"/>
          </w:tcPr>
          <w:p>
            <w:pPr>
              <w:spacing w:line="320" w:lineRule="exact"/>
              <w:jc w:val="center"/>
            </w:pPr>
            <w:r>
              <w:rPr>
                <w:rFonts w:hint="eastAsia"/>
              </w:rPr>
              <w:t>构成招标文件的其他材料</w:t>
            </w:r>
          </w:p>
        </w:tc>
        <w:tc>
          <w:tcPr>
            <w:tcW w:w="5295" w:type="dxa"/>
            <w:vAlign w:val="center"/>
          </w:tcPr>
          <w:p>
            <w:pPr>
              <w:spacing w:line="320" w:lineRule="exact"/>
              <w:jc w:val="left"/>
            </w:pPr>
            <w:r>
              <w:rPr>
                <w:rFonts w:hint="eastAsia"/>
              </w:rPr>
              <w:t>图纸（如有）、澄清文件（如有）、招标控制价文件等。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spacing w:line="320" w:lineRule="exact"/>
              <w:jc w:val="center"/>
            </w:pPr>
            <w:r>
              <w:rPr>
                <w:rFonts w:hint="eastAsia"/>
              </w:rPr>
              <w:t>2.2.1</w:t>
            </w:r>
          </w:p>
        </w:tc>
        <w:tc>
          <w:tcPr>
            <w:tcW w:w="2262" w:type="dxa"/>
            <w:vAlign w:val="center"/>
          </w:tcPr>
          <w:p>
            <w:pPr>
              <w:spacing w:line="320" w:lineRule="exact"/>
              <w:jc w:val="center"/>
            </w:pPr>
            <w:r>
              <w:rPr>
                <w:rFonts w:hint="eastAsia"/>
              </w:rPr>
              <w:t>投标人要求澄清招标文件的截止时间</w:t>
            </w:r>
          </w:p>
        </w:tc>
        <w:tc>
          <w:tcPr>
            <w:tcW w:w="5295" w:type="dxa"/>
            <w:vAlign w:val="center"/>
          </w:tcPr>
          <w:p>
            <w:pPr>
              <w:spacing w:line="320" w:lineRule="exact"/>
              <w:jc w:val="left"/>
            </w:pPr>
            <w:r>
              <w:rPr>
                <w:rFonts w:hint="eastAsia"/>
                <w:szCs w:val="21"/>
              </w:rPr>
              <w:t>递交投标文件截止之日</w:t>
            </w:r>
            <w:r>
              <w:rPr>
                <w:rFonts w:hint="eastAsia"/>
                <w:szCs w:val="21"/>
                <w:u w:val="single"/>
              </w:rPr>
              <w:t>15</w:t>
            </w:r>
            <w:r>
              <w:rPr>
                <w:rFonts w:hint="eastAsia"/>
                <w:szCs w:val="21"/>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spacing w:line="320" w:lineRule="exact"/>
              <w:jc w:val="center"/>
            </w:pPr>
            <w:r>
              <w:rPr>
                <w:rFonts w:hint="eastAsia"/>
              </w:rPr>
              <w:t>2</w:t>
            </w:r>
            <w:r>
              <w:t>.4.1</w:t>
            </w:r>
          </w:p>
        </w:tc>
        <w:tc>
          <w:tcPr>
            <w:tcW w:w="2262" w:type="dxa"/>
            <w:vAlign w:val="center"/>
          </w:tcPr>
          <w:p>
            <w:pPr>
              <w:spacing w:line="320" w:lineRule="exact"/>
              <w:jc w:val="center"/>
            </w:pPr>
            <w:r>
              <w:t>异议受理部门</w:t>
            </w:r>
            <w:r>
              <w:rPr>
                <w:rFonts w:hint="eastAsia"/>
              </w:rPr>
              <w:t>及</w:t>
            </w:r>
          </w:p>
          <w:p>
            <w:pPr>
              <w:spacing w:line="320" w:lineRule="exact"/>
              <w:jc w:val="center"/>
              <w:rPr>
                <w:szCs w:val="21"/>
              </w:rPr>
            </w:pPr>
            <w:r>
              <w:rPr>
                <w:rFonts w:hint="eastAsia"/>
              </w:rPr>
              <w:t>联系方式</w:t>
            </w:r>
          </w:p>
        </w:tc>
        <w:tc>
          <w:tcPr>
            <w:tcW w:w="5295" w:type="dxa"/>
            <w:vAlign w:val="center"/>
          </w:tcPr>
          <w:p>
            <w:pPr>
              <w:spacing w:line="320" w:lineRule="exact"/>
              <w:jc w:val="left"/>
              <w:rPr>
                <w:szCs w:val="21"/>
              </w:rPr>
            </w:pPr>
            <w:r>
              <w:rPr>
                <w:rFonts w:hint="eastAsia"/>
                <w:szCs w:val="21"/>
              </w:rPr>
              <w:t>招 标 人：</w:t>
            </w:r>
          </w:p>
          <w:p>
            <w:pPr>
              <w:spacing w:line="320" w:lineRule="exact"/>
              <w:jc w:val="left"/>
              <w:rPr>
                <w:szCs w:val="21"/>
              </w:rPr>
            </w:pPr>
            <w:r>
              <w:rPr>
                <w:rFonts w:hint="eastAsia"/>
                <w:szCs w:val="21"/>
              </w:rPr>
              <w:t>名    称：</w:t>
            </w:r>
            <w:r>
              <w:rPr>
                <w:rFonts w:hint="eastAsia" w:ascii="宋体" w:hAnsi="宋体" w:cs="宋体"/>
                <w:spacing w:val="10"/>
              </w:rPr>
              <w:t>营口建发盛海磷化工有限公司</w:t>
            </w:r>
            <w:r>
              <w:rPr>
                <w:rFonts w:hint="eastAsia"/>
                <w:szCs w:val="21"/>
              </w:rPr>
              <w:t xml:space="preserve"> </w:t>
            </w:r>
          </w:p>
          <w:p>
            <w:pPr>
              <w:spacing w:line="320" w:lineRule="exact"/>
              <w:jc w:val="left"/>
              <w:rPr>
                <w:szCs w:val="21"/>
              </w:rPr>
            </w:pPr>
            <w:r>
              <w:rPr>
                <w:rFonts w:hint="eastAsia"/>
                <w:szCs w:val="21"/>
              </w:rPr>
              <w:t>地    址：辽宁（营口）沿海产业基地</w:t>
            </w:r>
          </w:p>
          <w:p>
            <w:pPr>
              <w:spacing w:line="320" w:lineRule="exact"/>
              <w:jc w:val="left"/>
              <w:rPr>
                <w:szCs w:val="21"/>
              </w:rPr>
            </w:pPr>
            <w:r>
              <w:rPr>
                <w:rFonts w:hint="eastAsia"/>
                <w:szCs w:val="21"/>
              </w:rPr>
              <w:t xml:space="preserve">联 系 人：李先生 </w:t>
            </w:r>
          </w:p>
          <w:p>
            <w:pPr>
              <w:spacing w:line="320" w:lineRule="exact"/>
              <w:jc w:val="left"/>
              <w:rPr>
                <w:szCs w:val="21"/>
              </w:rPr>
            </w:pPr>
            <w:r>
              <w:rPr>
                <w:rFonts w:hint="eastAsia"/>
                <w:szCs w:val="21"/>
              </w:rPr>
              <w:t xml:space="preserve">电    话：0417-5275777 </w:t>
            </w:r>
          </w:p>
          <w:p>
            <w:pPr>
              <w:spacing w:line="320" w:lineRule="exact"/>
              <w:jc w:val="left"/>
              <w:rPr>
                <w:szCs w:val="21"/>
              </w:rPr>
            </w:pPr>
            <w:r>
              <w:rPr>
                <w:rFonts w:hint="eastAsia"/>
                <w:szCs w:val="21"/>
              </w:rPr>
              <w:t>项目负责人姓名及联系方式：</w:t>
            </w:r>
          </w:p>
          <w:p>
            <w:pPr>
              <w:spacing w:line="320" w:lineRule="exact"/>
              <w:jc w:val="left"/>
              <w:rPr>
                <w:szCs w:val="21"/>
              </w:rPr>
            </w:pPr>
            <w:r>
              <w:rPr>
                <w:rFonts w:hint="eastAsia"/>
                <w:szCs w:val="21"/>
              </w:rPr>
              <w:t>姓名：李先生     电话：0417-5275777</w:t>
            </w:r>
          </w:p>
          <w:p>
            <w:pPr>
              <w:spacing w:line="320" w:lineRule="exact"/>
              <w:jc w:val="left"/>
              <w:rPr>
                <w:szCs w:val="21"/>
              </w:rPr>
            </w:pPr>
            <w:r>
              <w:rPr>
                <w:rFonts w:hint="eastAsia"/>
                <w:szCs w:val="21"/>
              </w:rPr>
              <w:t>招标代理机构：</w:t>
            </w:r>
          </w:p>
          <w:p>
            <w:pPr>
              <w:spacing w:line="320" w:lineRule="exact"/>
              <w:jc w:val="left"/>
              <w:rPr>
                <w:szCs w:val="21"/>
                <w:u w:val="single"/>
              </w:rPr>
            </w:pPr>
            <w:r>
              <w:rPr>
                <w:rFonts w:hint="eastAsia"/>
                <w:szCs w:val="21"/>
              </w:rPr>
              <w:t>名    称：营口公物咨询管理有限公司</w:t>
            </w:r>
          </w:p>
          <w:p>
            <w:pPr>
              <w:spacing w:line="320" w:lineRule="exact"/>
              <w:jc w:val="left"/>
              <w:rPr>
                <w:szCs w:val="21"/>
                <w:u w:val="single"/>
              </w:rPr>
            </w:pPr>
            <w:r>
              <w:rPr>
                <w:rFonts w:hint="eastAsia"/>
                <w:szCs w:val="21"/>
              </w:rPr>
              <w:t>地    址：</w:t>
            </w:r>
            <w:r>
              <w:rPr>
                <w:rFonts w:hint="eastAsia"/>
                <w:szCs w:val="21"/>
                <w:u w:val="single"/>
              </w:rPr>
              <w:t>渤海大街西13号</w:t>
            </w:r>
          </w:p>
          <w:p>
            <w:pPr>
              <w:spacing w:line="320" w:lineRule="exact"/>
              <w:jc w:val="left"/>
              <w:rPr>
                <w:szCs w:val="21"/>
              </w:rPr>
            </w:pPr>
            <w:r>
              <w:rPr>
                <w:rFonts w:hint="eastAsia"/>
                <w:szCs w:val="21"/>
              </w:rPr>
              <w:t>联 系 人：</w:t>
            </w:r>
            <w:r>
              <w:rPr>
                <w:rFonts w:hint="eastAsia"/>
                <w:szCs w:val="21"/>
                <w:u w:val="single"/>
              </w:rPr>
              <w:t>邱楠</w:t>
            </w:r>
          </w:p>
          <w:p>
            <w:pPr>
              <w:spacing w:line="320" w:lineRule="exact"/>
              <w:jc w:val="left"/>
              <w:rPr>
                <w:rFonts w:hint="eastAsia" w:eastAsia="宋体"/>
                <w:szCs w:val="21"/>
                <w:lang w:eastAsia="zh-CN"/>
              </w:rPr>
            </w:pPr>
            <w:r>
              <w:rPr>
                <w:rFonts w:hint="eastAsia"/>
                <w:szCs w:val="21"/>
              </w:rPr>
              <w:t>电    话：</w:t>
            </w:r>
            <w:r>
              <w:rPr>
                <w:rFonts w:hint="eastAsia"/>
                <w:szCs w:val="21"/>
                <w:u w:val="single"/>
                <w:lang w:eastAsia="zh-CN"/>
              </w:rPr>
              <w:t>04172801618</w:t>
            </w:r>
          </w:p>
          <w:p>
            <w:pPr>
              <w:spacing w:line="320" w:lineRule="exact"/>
              <w:jc w:val="left"/>
              <w:rPr>
                <w:szCs w:val="21"/>
                <w:u w:val="single"/>
              </w:rPr>
            </w:pPr>
            <w:r>
              <w:rPr>
                <w:rFonts w:hint="eastAsia"/>
                <w:szCs w:val="21"/>
              </w:rPr>
              <w:t>邮政编码：</w:t>
            </w:r>
            <w:r>
              <w:rPr>
                <w:rFonts w:hint="eastAsia"/>
                <w:szCs w:val="21"/>
                <w:u w:val="single"/>
              </w:rPr>
              <w:t>115000</w:t>
            </w:r>
          </w:p>
          <w:p>
            <w:pPr>
              <w:spacing w:line="320" w:lineRule="exact"/>
              <w:jc w:val="left"/>
              <w:rPr>
                <w:szCs w:val="21"/>
                <w:u w:val="single"/>
              </w:rPr>
            </w:pPr>
            <w:r>
              <w:rPr>
                <w:rFonts w:hint="eastAsia"/>
                <w:szCs w:val="21"/>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pPr>
            <w:r>
              <w:rPr>
                <w:rFonts w:hint="eastAsia"/>
              </w:rPr>
              <w:t>3.1.1</w:t>
            </w:r>
          </w:p>
          <w:p>
            <w:pPr>
              <w:spacing w:line="320" w:lineRule="exact"/>
              <w:jc w:val="center"/>
            </w:pPr>
            <w:r>
              <w:rPr>
                <w:rFonts w:hint="eastAsia"/>
              </w:rPr>
              <w:t>（10）</w:t>
            </w:r>
          </w:p>
        </w:tc>
        <w:tc>
          <w:tcPr>
            <w:tcW w:w="2262" w:type="dxa"/>
            <w:vAlign w:val="center"/>
          </w:tcPr>
          <w:p>
            <w:pPr>
              <w:spacing w:line="320" w:lineRule="exact"/>
              <w:jc w:val="center"/>
            </w:pPr>
            <w:r>
              <w:rPr>
                <w:rFonts w:hint="eastAsia"/>
              </w:rPr>
              <w:t>构成投标文件的其他材料</w:t>
            </w:r>
          </w:p>
        </w:tc>
        <w:tc>
          <w:tcPr>
            <w:tcW w:w="5295" w:type="dxa"/>
            <w:vAlign w:val="center"/>
          </w:tcPr>
          <w:p>
            <w:pPr>
              <w:spacing w:line="320" w:lineRule="exact"/>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pPr>
            <w:r>
              <w:rPr>
                <w:rFonts w:hint="eastAsia"/>
              </w:rPr>
              <w:t>3</w:t>
            </w:r>
            <w:r>
              <w:t>.2.4</w:t>
            </w:r>
          </w:p>
        </w:tc>
        <w:tc>
          <w:tcPr>
            <w:tcW w:w="2262" w:type="dxa"/>
            <w:vAlign w:val="center"/>
          </w:tcPr>
          <w:p>
            <w:pPr>
              <w:spacing w:line="320" w:lineRule="exact"/>
              <w:jc w:val="center"/>
              <w:rPr>
                <w:highlight w:val="yellow"/>
              </w:rPr>
            </w:pPr>
            <w:r>
              <w:rPr>
                <w:rFonts w:hint="eastAsia"/>
                <w:highlight w:val="yellow"/>
              </w:rPr>
              <w:t>最高投标限价</w:t>
            </w:r>
          </w:p>
          <w:p>
            <w:pPr>
              <w:spacing w:line="320" w:lineRule="exact"/>
              <w:jc w:val="center"/>
              <w:rPr>
                <w:highlight w:val="yellow"/>
              </w:rPr>
            </w:pPr>
            <w:r>
              <w:rPr>
                <w:rFonts w:hint="eastAsia"/>
                <w:highlight w:val="yellow"/>
              </w:rPr>
              <w:t>或其计算方法</w:t>
            </w:r>
          </w:p>
        </w:tc>
        <w:tc>
          <w:tcPr>
            <w:tcW w:w="5295" w:type="dxa"/>
            <w:vAlign w:val="center"/>
          </w:tcPr>
          <w:p>
            <w:pPr>
              <w:spacing w:line="320" w:lineRule="exact"/>
              <w:jc w:val="left"/>
              <w:rPr>
                <w:highlight w:val="yellow"/>
              </w:rPr>
            </w:pPr>
            <w:r>
              <w:rPr>
                <w:rFonts w:hint="eastAsia"/>
                <w:highlight w:val="yellow"/>
              </w:rPr>
              <w:t>□不设置</w:t>
            </w:r>
          </w:p>
          <w:p>
            <w:pPr>
              <w:spacing w:line="320" w:lineRule="exact"/>
              <w:jc w:val="left"/>
              <w:rPr>
                <w:highlight w:val="yellow"/>
              </w:rPr>
            </w:pPr>
            <w:r>
              <w:rPr>
                <w:rFonts w:hint="eastAsia"/>
                <w:highlight w:val="yellow"/>
              </w:rPr>
              <w:t>☑设置，最高投标限价：</w:t>
            </w:r>
            <w:r>
              <w:rPr>
                <w:rFonts w:hint="eastAsia"/>
                <w:highlight w:val="yellow"/>
                <w:u w:val="single"/>
              </w:rPr>
              <w:t xml:space="preserve"> 3</w:t>
            </w:r>
            <w:r>
              <w:rPr>
                <w:rFonts w:hint="eastAsia"/>
                <w:highlight w:val="yellow"/>
                <w:u w:val="single"/>
                <w:lang w:val="en-US" w:eastAsia="zh-CN"/>
              </w:rPr>
              <w:t>738</w:t>
            </w:r>
            <w:r>
              <w:rPr>
                <w:rFonts w:hint="eastAsia"/>
                <w:highlight w:val="yellow"/>
                <w:u w:val="single"/>
              </w:rPr>
              <w:t>万元</w:t>
            </w:r>
            <w:r>
              <w:rPr>
                <w:rFonts w:hint="eastAsia"/>
                <w:highlight w:val="yellow"/>
              </w:rPr>
              <w:t>。</w:t>
            </w:r>
          </w:p>
          <w:p>
            <w:pPr>
              <w:spacing w:line="320" w:lineRule="exact"/>
              <w:jc w:val="left"/>
              <w:rPr>
                <w:highlight w:val="yellow"/>
              </w:rPr>
            </w:pPr>
            <w:r>
              <w:rPr>
                <w:rFonts w:hint="eastAsia"/>
                <w:highlight w:val="yellow"/>
              </w:rPr>
              <w:t>最高投标限价公布时间：投标截止时间</w:t>
            </w:r>
            <w:r>
              <w:rPr>
                <w:rFonts w:hint="eastAsia"/>
                <w:highlight w:val="yellow"/>
                <w:u w:val="single"/>
              </w:rPr>
              <w:t>/</w:t>
            </w:r>
            <w:r>
              <w:rPr>
                <w:rFonts w:hint="eastAsia"/>
                <w:highlight w:val="yellow"/>
              </w:rPr>
              <w:t>日前。</w:t>
            </w:r>
          </w:p>
          <w:p>
            <w:pPr>
              <w:spacing w:line="320" w:lineRule="exact"/>
              <w:jc w:val="left"/>
              <w:rPr>
                <w:highlight w:val="yellow"/>
              </w:rPr>
            </w:pPr>
            <w:r>
              <w:rPr>
                <w:rFonts w:hint="eastAsia"/>
                <w:highlight w:val="yellow"/>
              </w:rPr>
              <w:t>其他要求：</w:t>
            </w:r>
            <w:r>
              <w:rPr>
                <w:rFonts w:hint="eastAsia"/>
                <w:highlight w:val="yellow"/>
                <w:u w:val="single"/>
              </w:rPr>
              <w:t>其中（预留金 /万元（含税价），检测费  /万元（含税价））为不可竞争费用，投标人在报价时应充分考虑。</w:t>
            </w:r>
            <w:r>
              <w:rPr>
                <w:rFonts w:hint="eastAsia"/>
                <w:highlight w:val="yellow"/>
                <w:u w:val="single"/>
              </w:rPr>
              <w:br w:type="textWrapping"/>
            </w:r>
            <w:r>
              <w:rPr>
                <w:rFonts w:hint="eastAsia"/>
                <w:highlight w:val="yellow"/>
                <w:u w:val="single"/>
              </w:rPr>
              <w:t>投标报价超出最高投标限价作无效标处理。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pPr>
            <w:r>
              <w:rPr>
                <w:rFonts w:hint="eastAsia"/>
              </w:rPr>
              <w:t>3.2.5</w:t>
            </w:r>
          </w:p>
        </w:tc>
        <w:tc>
          <w:tcPr>
            <w:tcW w:w="2262" w:type="dxa"/>
            <w:vAlign w:val="center"/>
          </w:tcPr>
          <w:p>
            <w:pPr>
              <w:spacing w:line="320" w:lineRule="exact"/>
              <w:jc w:val="center"/>
            </w:pPr>
            <w:r>
              <w:rPr>
                <w:rFonts w:hint="eastAsia"/>
              </w:rPr>
              <w:t>报价说明</w:t>
            </w:r>
          </w:p>
        </w:tc>
        <w:tc>
          <w:tcPr>
            <w:tcW w:w="5295" w:type="dxa"/>
            <w:vAlign w:val="center"/>
          </w:tcPr>
          <w:p>
            <w:pPr>
              <w:spacing w:line="320" w:lineRule="exact"/>
              <w:jc w:val="left"/>
            </w:pPr>
            <w:r>
              <w:rPr>
                <w:rFonts w:hint="eastAsia"/>
              </w:rPr>
              <w:t>报价方式：</w:t>
            </w:r>
          </w:p>
          <w:p>
            <w:pPr>
              <w:spacing w:line="320" w:lineRule="exact"/>
            </w:pPr>
            <w:r>
              <w:rPr>
                <w:rFonts w:hint="eastAsia"/>
              </w:rPr>
              <w:t>☑人民币价格</w:t>
            </w:r>
          </w:p>
          <w:p>
            <w:pPr>
              <w:spacing w:line="320" w:lineRule="exact"/>
            </w:pPr>
            <w:r>
              <w:rPr>
                <w:rFonts w:hint="eastAsia"/>
              </w:rPr>
              <w:t>□综合费率（参与价格评审的为综合费率）</w:t>
            </w:r>
          </w:p>
          <w:p>
            <w:pPr>
              <w:spacing w:line="320" w:lineRule="exact"/>
            </w:pPr>
            <w:r>
              <w:rPr>
                <w:rFonts w:hint="eastAsia"/>
              </w:rPr>
              <w:t>□下浮率（参与价格评审的为下浮率）</w:t>
            </w:r>
          </w:p>
          <w:p>
            <w:pPr>
              <w:spacing w:line="320" w:lineRule="exact"/>
            </w:pPr>
            <w:r>
              <w:rPr>
                <w:rFonts w:hint="eastAsia"/>
              </w:rPr>
              <w:t>□综合单价（参与价格评审的为综合单价）</w:t>
            </w:r>
          </w:p>
          <w:p>
            <w:pPr>
              <w:spacing w:line="320" w:lineRule="exact"/>
            </w:pPr>
            <w:r>
              <w:rPr>
                <w:rFonts w:hint="eastAsia"/>
              </w:rPr>
              <w:t>特别说明：非人民币价格方式报价，投标人均应根据实际情况合理填报转换的人民币价格。</w:t>
            </w:r>
          </w:p>
          <w:p>
            <w:pPr>
              <w:spacing w:line="320" w:lineRule="exact"/>
              <w:jc w:val="left"/>
            </w:pPr>
            <w:r>
              <w:rPr>
                <w:rFonts w:hint="eastAsia"/>
              </w:rPr>
              <w:t>报价要求：</w:t>
            </w:r>
            <w:r>
              <w:rPr>
                <w:rFonts w:hint="eastAsia"/>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pPr>
            <w:r>
              <w:rPr>
                <w:rFonts w:hint="eastAsia"/>
              </w:rPr>
              <w:t>3.3.1</w:t>
            </w:r>
          </w:p>
        </w:tc>
        <w:tc>
          <w:tcPr>
            <w:tcW w:w="2262" w:type="dxa"/>
            <w:vAlign w:val="center"/>
          </w:tcPr>
          <w:p>
            <w:pPr>
              <w:spacing w:line="320" w:lineRule="exact"/>
              <w:jc w:val="center"/>
            </w:pPr>
            <w:r>
              <w:rPr>
                <w:rFonts w:hint="eastAsia"/>
              </w:rPr>
              <w:t>投标有效期</w:t>
            </w:r>
          </w:p>
        </w:tc>
        <w:tc>
          <w:tcPr>
            <w:tcW w:w="5295" w:type="dxa"/>
            <w:vAlign w:val="center"/>
          </w:tcPr>
          <w:p>
            <w:pPr>
              <w:spacing w:line="320" w:lineRule="exact"/>
              <w:jc w:val="left"/>
            </w:pPr>
            <w:r>
              <w:rPr>
                <w:rFonts w:hint="eastAsia"/>
              </w:rPr>
              <w:t>自投标截止</w:t>
            </w:r>
            <w:r>
              <w:rPr>
                <w:rFonts w:hint="eastAsia"/>
                <w:szCs w:val="21"/>
              </w:rPr>
              <w:t>之日</w:t>
            </w:r>
            <w:r>
              <w:rPr>
                <w:rFonts w:hint="eastAsia"/>
              </w:rPr>
              <w:t>起</w:t>
            </w:r>
            <w:r>
              <w:rPr>
                <w:rFonts w:hint="eastAsia"/>
                <w:u w:val="single"/>
              </w:rPr>
              <w:t>90</w:t>
            </w:r>
            <w:r>
              <w:rPr>
                <w:rFonts w:hint="eastAsia"/>
              </w:rPr>
              <w:t>日内有效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pPr>
              <w:spacing w:line="320" w:lineRule="exact"/>
              <w:jc w:val="center"/>
            </w:pPr>
            <w:r>
              <w:rPr>
                <w:rFonts w:hint="eastAsia"/>
              </w:rPr>
              <w:t>3.4.1</w:t>
            </w:r>
          </w:p>
        </w:tc>
        <w:tc>
          <w:tcPr>
            <w:tcW w:w="2262" w:type="dxa"/>
            <w:vAlign w:val="center"/>
          </w:tcPr>
          <w:p>
            <w:pPr>
              <w:spacing w:line="320" w:lineRule="exact"/>
              <w:jc w:val="center"/>
            </w:pPr>
            <w:r>
              <w:rPr>
                <w:rFonts w:hint="eastAsia"/>
              </w:rPr>
              <w:t>投标保证金</w:t>
            </w:r>
          </w:p>
        </w:tc>
        <w:tc>
          <w:tcPr>
            <w:tcW w:w="5295" w:type="dxa"/>
            <w:vAlign w:val="center"/>
          </w:tcPr>
          <w:p>
            <w:pPr>
              <w:spacing w:line="320" w:lineRule="exact"/>
              <w:jc w:val="left"/>
              <w:rPr>
                <w:szCs w:val="21"/>
              </w:rPr>
            </w:pPr>
            <w:r>
              <w:rPr>
                <w:rFonts w:hint="eastAsia"/>
                <w:szCs w:val="21"/>
              </w:rPr>
              <w:t>□不提交</w:t>
            </w:r>
          </w:p>
          <w:p>
            <w:pPr>
              <w:adjustRightInd w:val="0"/>
              <w:snapToGrid w:val="0"/>
              <w:spacing w:line="320" w:lineRule="exact"/>
              <w:jc w:val="left"/>
              <w:rPr>
                <w:szCs w:val="21"/>
              </w:rPr>
            </w:pPr>
            <w:r>
              <w:rPr>
                <w:rFonts w:hint="eastAsia"/>
                <w:szCs w:val="21"/>
              </w:rPr>
              <w:t>☑提交</w:t>
            </w:r>
          </w:p>
          <w:p>
            <w:pPr>
              <w:widowControl/>
              <w:spacing w:line="320" w:lineRule="exact"/>
              <w:jc w:val="left"/>
              <w:rPr>
                <w:rFonts w:hint="eastAsia" w:ascii="宋体" w:hAnsi="宋体" w:cs="宋体"/>
                <w:b/>
                <w:kern w:val="0"/>
                <w:szCs w:val="21"/>
              </w:rPr>
            </w:pPr>
            <w:r>
              <w:rPr>
                <w:rFonts w:ascii="宋体" w:hAnsi="宋体" w:cs="宋体"/>
                <w:kern w:val="0"/>
                <w:szCs w:val="21"/>
              </w:rPr>
              <w:t>1.递交截止时间（到账时间）：</w:t>
            </w:r>
            <w:r>
              <w:rPr>
                <w:rFonts w:ascii="宋体" w:hAnsi="宋体" w:cs="宋体"/>
                <w:b/>
                <w:kern w:val="0"/>
                <w:szCs w:val="21"/>
              </w:rPr>
              <w:t>同</w:t>
            </w:r>
            <w:r>
              <w:rPr>
                <w:rFonts w:hint="eastAsia" w:ascii="宋体" w:hAnsi="宋体" w:cs="宋体"/>
                <w:b/>
                <w:kern w:val="0"/>
                <w:szCs w:val="21"/>
              </w:rPr>
              <w:t>本标段</w:t>
            </w:r>
            <w:r>
              <w:rPr>
                <w:rFonts w:ascii="宋体" w:hAnsi="宋体" w:cs="宋体"/>
                <w:b/>
                <w:kern w:val="0"/>
                <w:szCs w:val="21"/>
              </w:rPr>
              <w:t>投标截止时间</w:t>
            </w:r>
          </w:p>
          <w:p>
            <w:pPr>
              <w:widowControl/>
              <w:spacing w:line="320" w:lineRule="exact"/>
              <w:jc w:val="left"/>
              <w:rPr>
                <w:rFonts w:hint="eastAsia" w:ascii="宋体" w:hAnsi="宋体" w:cs="宋体"/>
                <w:kern w:val="0"/>
                <w:szCs w:val="21"/>
              </w:rPr>
            </w:pPr>
            <w:r>
              <w:rPr>
                <w:rFonts w:ascii="宋体" w:hAnsi="宋体" w:cs="宋体"/>
                <w:kern w:val="0"/>
                <w:szCs w:val="21"/>
              </w:rPr>
              <w:t>2.</w:t>
            </w:r>
            <w:r>
              <w:rPr>
                <w:rFonts w:ascii="宋体" w:hAnsi="宋体" w:cs="宋体"/>
                <w:kern w:val="0"/>
                <w:szCs w:val="21"/>
                <w:highlight w:val="yellow"/>
              </w:rPr>
              <w:t>金额：</w:t>
            </w:r>
            <w:r>
              <w:rPr>
                <w:rFonts w:hint="eastAsia" w:ascii="宋体" w:hAnsi="宋体" w:cs="宋体"/>
                <w:kern w:val="0"/>
                <w:szCs w:val="21"/>
                <w:highlight w:val="yellow"/>
                <w:u w:val="single"/>
              </w:rPr>
              <w:t xml:space="preserve">    </w:t>
            </w:r>
            <w:r>
              <w:rPr>
                <w:rFonts w:hint="eastAsia" w:ascii="宋体" w:hAnsi="宋体" w:cs="宋体"/>
                <w:kern w:val="0"/>
                <w:szCs w:val="21"/>
                <w:highlight w:val="yellow"/>
              </w:rPr>
              <w:t>万</w:t>
            </w:r>
            <w:r>
              <w:rPr>
                <w:rFonts w:hint="eastAsia" w:ascii="宋体" w:hAnsi="宋体" w:cs="宋体"/>
                <w:kern w:val="0"/>
                <w:szCs w:val="21"/>
              </w:rPr>
              <w:t>元。</w:t>
            </w:r>
          </w:p>
          <w:p>
            <w:pPr>
              <w:spacing w:line="320" w:lineRule="exact"/>
              <w:jc w:val="left"/>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形式</w:t>
            </w:r>
            <w:r>
              <w:rPr>
                <w:rFonts w:hint="eastAsia" w:ascii="宋体" w:hAnsi="宋体" w:cs="宋体"/>
                <w:kern w:val="0"/>
                <w:szCs w:val="21"/>
              </w:rPr>
              <w:t>：</w:t>
            </w:r>
            <w:r>
              <w:rPr>
                <w:rFonts w:hint="eastAsia"/>
              </w:rPr>
              <w:t>☑现金（指电汇、支票）  ☑保函（保险）  ☑其他形式</w:t>
            </w:r>
          </w:p>
          <w:p>
            <w:pPr>
              <w:widowControl/>
              <w:spacing w:line="320" w:lineRule="exact"/>
              <w:jc w:val="left"/>
            </w:pPr>
            <w:r>
              <w:rPr>
                <w:rFonts w:hint="eastAsia" w:ascii="宋体" w:hAnsi="宋体" w:cs="宋体"/>
                <w:kern w:val="0"/>
                <w:szCs w:val="21"/>
              </w:rPr>
              <w:t>4.递交方</w:t>
            </w:r>
            <w:r>
              <w:rPr>
                <w:rFonts w:hint="eastAsia"/>
              </w:rPr>
              <w:t>式：</w:t>
            </w:r>
          </w:p>
          <w:p>
            <w:pPr>
              <w:widowControl/>
              <w:spacing w:line="320" w:lineRule="exact"/>
              <w:jc w:val="left"/>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现金</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（1）收款信息</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收款单位：</w:t>
            </w:r>
            <w:r>
              <w:rPr>
                <w:rFonts w:hint="eastAsia" w:ascii="宋体" w:hAnsi="宋体" w:cs="宋体"/>
                <w:kern w:val="0"/>
                <w:szCs w:val="21"/>
                <w:u w:val="single"/>
              </w:rPr>
              <w:t>营口公物咨询管理有限公司</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营口银行股份有限公司中小企业园支行</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账户账号：</w:t>
            </w:r>
            <w:r>
              <w:rPr>
                <w:rFonts w:hint="eastAsia" w:ascii="宋体" w:hAnsi="宋体" w:cs="宋体"/>
                <w:kern w:val="0"/>
                <w:szCs w:val="21"/>
                <w:u w:val="single"/>
              </w:rPr>
              <w:t>518801001660713</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w:t>
            </w:r>
            <w:r>
              <w:rPr>
                <w:rFonts w:ascii="宋体" w:hAnsi="宋体" w:cs="宋体"/>
                <w:kern w:val="0"/>
                <w:szCs w:val="21"/>
              </w:rPr>
              <w:t>2</w:t>
            </w:r>
            <w:r>
              <w:rPr>
                <w:rFonts w:hint="eastAsia" w:ascii="宋体" w:hAnsi="宋体" w:cs="宋体"/>
                <w:kern w:val="0"/>
                <w:szCs w:val="21"/>
              </w:rPr>
              <w:t>）收款说明</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投标人应在投标截止时间前通过企业基本账户递交至</w:t>
            </w:r>
            <w:r>
              <w:rPr>
                <w:rFonts w:ascii="宋体" w:hAnsi="宋体" w:cs="宋体"/>
                <w:kern w:val="0"/>
                <w:szCs w:val="21"/>
              </w:rPr>
              <w:t>4.1</w:t>
            </w:r>
            <w:r>
              <w:rPr>
                <w:rFonts w:hint="eastAsia" w:ascii="宋体" w:hAnsi="宋体" w:cs="宋体"/>
                <w:kern w:val="0"/>
                <w:szCs w:val="21"/>
              </w:rPr>
              <w:t>（1）规定的账户，否则视为无效投标保证金。</w:t>
            </w:r>
          </w:p>
          <w:p>
            <w:pPr>
              <w:widowControl/>
              <w:spacing w:line="320" w:lineRule="exact"/>
              <w:jc w:val="left"/>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.2</w:t>
            </w:r>
            <w:r>
              <w:rPr>
                <w:rFonts w:hint="eastAsia" w:ascii="宋体" w:hAnsi="宋体" w:cs="宋体"/>
                <w:kern w:val="0"/>
                <w:szCs w:val="21"/>
              </w:rPr>
              <w:t>保函（</w:t>
            </w:r>
            <w:r>
              <w:rPr>
                <w:rFonts w:hint="eastAsia"/>
              </w:rPr>
              <w:t>保险</w:t>
            </w:r>
            <w:r>
              <w:rPr>
                <w:rFonts w:hint="eastAsia" w:ascii="宋体" w:hAnsi="宋体" w:cs="宋体"/>
                <w:kern w:val="0"/>
                <w:szCs w:val="21"/>
              </w:rPr>
              <w:t>）</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2）投标人应在投标截止时间前购买完成并生效。购买保函（保险）的财务费用应当通过企业基本账户或主体信息库登记的企业账户缴纳。纸质保函（保险）和电子保函（保险）能够满足出函机构官方媒介或其指定的在线系统实时验真的条件。购买保函（保险）的财务费用不是通过企业账户缴纳或无法在线验真的保函（保险）视为无效保函（保险）。</w:t>
            </w:r>
          </w:p>
          <w:p>
            <w:pPr>
              <w:widowControl/>
              <w:spacing w:line="320" w:lineRule="exact"/>
              <w:jc w:val="left"/>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.3</w:t>
            </w:r>
            <w:r>
              <w:rPr>
                <w:rFonts w:hint="eastAsia" w:ascii="宋体" w:hAnsi="宋体" w:cs="宋体"/>
                <w:kern w:val="0"/>
                <w:szCs w:val="21"/>
              </w:rPr>
              <w:t>其他</w:t>
            </w:r>
          </w:p>
          <w:p>
            <w:pPr>
              <w:widowControl/>
              <w:spacing w:line="320" w:lineRule="exact"/>
              <w:ind w:firstLine="420" w:firstLineChars="200"/>
              <w:jc w:val="left"/>
              <w:rPr>
                <w:rFonts w:hint="eastAsia" w:ascii="宋体" w:hAnsi="宋体" w:cs="宋体"/>
                <w:kern w:val="0"/>
                <w:szCs w:val="21"/>
              </w:rPr>
            </w:pPr>
            <w:r>
              <w:rPr>
                <w:rFonts w:hint="eastAsia" w:ascii="宋体" w:hAnsi="宋体" w:cs="宋体"/>
                <w:kern w:val="0"/>
                <w:szCs w:val="21"/>
              </w:rPr>
              <w:t>采用汇票等其他方式缴纳投标保证金的，也应参照现金方式缴纳要求执行。招标人要求可以不缴纳投标保证金的除外。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pPr>
              <w:spacing w:line="320" w:lineRule="exact"/>
              <w:jc w:val="center"/>
            </w:pPr>
            <w:r>
              <w:rPr>
                <w:rFonts w:hint="eastAsia"/>
              </w:rPr>
              <w:t>3.4.3</w:t>
            </w:r>
          </w:p>
        </w:tc>
        <w:tc>
          <w:tcPr>
            <w:tcW w:w="2262" w:type="dxa"/>
            <w:vAlign w:val="center"/>
          </w:tcPr>
          <w:p>
            <w:pPr>
              <w:spacing w:line="320" w:lineRule="exact"/>
              <w:jc w:val="center"/>
            </w:pPr>
            <w:r>
              <w:rPr>
                <w:rFonts w:hint="eastAsia"/>
              </w:rPr>
              <w:t>退还投标保证金</w:t>
            </w:r>
          </w:p>
          <w:p>
            <w:pPr>
              <w:spacing w:line="320" w:lineRule="exact"/>
              <w:jc w:val="center"/>
            </w:pPr>
            <w:r>
              <w:rPr>
                <w:rFonts w:hint="eastAsia"/>
              </w:rPr>
              <w:t>及利息</w:t>
            </w:r>
          </w:p>
        </w:tc>
        <w:tc>
          <w:tcPr>
            <w:tcW w:w="5295" w:type="dxa"/>
            <w:vAlign w:val="center"/>
          </w:tcPr>
          <w:p>
            <w:pPr>
              <w:spacing w:line="320" w:lineRule="exact"/>
              <w:jc w:val="left"/>
            </w:pPr>
            <w:r>
              <w:rPr>
                <w:rFonts w:hint="eastAsia"/>
              </w:rPr>
              <w:t>计息标准：</w:t>
            </w:r>
            <w:r>
              <w:rPr>
                <w:rFonts w:hint="eastAsia"/>
                <w:u w:val="single"/>
              </w:rPr>
              <w:t>人民银行同期活期存款利率。</w:t>
            </w:r>
          </w:p>
          <w:p>
            <w:pPr>
              <w:spacing w:line="320" w:lineRule="exact"/>
              <w:jc w:val="left"/>
            </w:pPr>
            <w:r>
              <w:rPr>
                <w:rFonts w:hint="eastAsia"/>
              </w:rPr>
              <w:t>计息时间：</w:t>
            </w:r>
            <w:r>
              <w:rPr>
                <w:rFonts w:hint="eastAsia"/>
                <w:u w:val="single"/>
              </w:rPr>
              <w:t>投标保证金到账之日至退还的前一日。</w:t>
            </w:r>
          </w:p>
          <w:p>
            <w:pPr>
              <w:spacing w:line="320" w:lineRule="exact"/>
              <w:ind w:left="1050" w:hanging="1050" w:hangingChars="500"/>
              <w:jc w:val="left"/>
            </w:pPr>
            <w:r>
              <w:rPr>
                <w:rFonts w:hint="eastAsia"/>
              </w:rPr>
              <w:t>退还办法：</w:t>
            </w:r>
            <w:r>
              <w:rPr>
                <w:rFonts w:hint="eastAsia" w:ascii="宋体" w:hAnsi="宋体" w:cs="宋体"/>
                <w:szCs w:val="21"/>
                <w:u w:val="single"/>
              </w:rPr>
              <w:t>中标结果公示后5日内，未中标的投标人</w:t>
            </w:r>
            <w:r>
              <w:rPr>
                <w:rFonts w:ascii="宋体" w:hAnsi="宋体" w:cs="宋体"/>
                <w:szCs w:val="21"/>
                <w:u w:val="single"/>
              </w:rPr>
              <w:t>现金</w:t>
            </w:r>
            <w:r>
              <w:rPr>
                <w:rFonts w:hint="eastAsia" w:ascii="宋体" w:hAnsi="宋体" w:cs="宋体"/>
                <w:szCs w:val="21"/>
                <w:u w:val="single"/>
              </w:rPr>
              <w:t>保证金按原路径自动退回；合同签订后5日内，中标人的</w:t>
            </w:r>
            <w:r>
              <w:rPr>
                <w:rFonts w:ascii="宋体" w:hAnsi="宋体" w:cs="宋体"/>
                <w:szCs w:val="21"/>
                <w:u w:val="single"/>
              </w:rPr>
              <w:t>现金</w:t>
            </w:r>
            <w:r>
              <w:rPr>
                <w:rFonts w:hint="eastAsia" w:ascii="宋体" w:hAnsi="宋体" w:cs="宋体"/>
                <w:szCs w:val="21"/>
                <w:u w:val="single"/>
              </w:rPr>
              <w:t>投标保证金按原路径自动退回。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pPr>
            <w:r>
              <w:rPr>
                <w:rFonts w:hint="eastAsia"/>
              </w:rPr>
              <w:t>3</w:t>
            </w:r>
            <w:r>
              <w:t>.5.2</w:t>
            </w:r>
          </w:p>
        </w:tc>
        <w:tc>
          <w:tcPr>
            <w:tcW w:w="2262" w:type="dxa"/>
            <w:vAlign w:val="center"/>
          </w:tcPr>
          <w:p>
            <w:pPr>
              <w:spacing w:line="320" w:lineRule="exact"/>
              <w:jc w:val="center"/>
            </w:pPr>
            <w:r>
              <w:rPr>
                <w:rFonts w:hint="eastAsia"/>
              </w:rPr>
              <w:t>企业近年财务状况的年份要求</w:t>
            </w:r>
          </w:p>
        </w:tc>
        <w:tc>
          <w:tcPr>
            <w:tcW w:w="5295" w:type="dxa"/>
            <w:vAlign w:val="center"/>
          </w:tcPr>
          <w:p>
            <w:pPr>
              <w:spacing w:line="320" w:lineRule="exact"/>
              <w:jc w:val="left"/>
            </w:pPr>
            <w:r>
              <w:rPr>
                <w:rFonts w:hint="eastAsia"/>
              </w:rPr>
              <w:t>近</w:t>
            </w:r>
            <w:r>
              <w:rPr>
                <w:rFonts w:hint="eastAsia"/>
                <w:u w:val="single"/>
              </w:rPr>
              <w:t>3</w:t>
            </w:r>
            <w:r>
              <w:rPr>
                <w:rFonts w:hint="eastAsia"/>
              </w:rPr>
              <w:t>年，指2022年度、2023年度、2024年度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pPr>
            <w:r>
              <w:rPr>
                <w:rFonts w:hint="eastAsia"/>
              </w:rPr>
              <w:t>3.5.</w:t>
            </w:r>
            <w:r>
              <w:t>3</w:t>
            </w:r>
          </w:p>
        </w:tc>
        <w:tc>
          <w:tcPr>
            <w:tcW w:w="2262" w:type="dxa"/>
            <w:vAlign w:val="center"/>
          </w:tcPr>
          <w:p>
            <w:pPr>
              <w:spacing w:line="320" w:lineRule="exact"/>
              <w:jc w:val="center"/>
            </w:pPr>
            <w:r>
              <w:rPr>
                <w:rFonts w:hint="eastAsia"/>
              </w:rPr>
              <w:t>企业近年已完成的类似项目的年份要求</w:t>
            </w:r>
          </w:p>
        </w:tc>
        <w:tc>
          <w:tcPr>
            <w:tcW w:w="5295" w:type="dxa"/>
            <w:vAlign w:val="center"/>
          </w:tcPr>
          <w:p>
            <w:pPr>
              <w:spacing w:line="320" w:lineRule="exact"/>
              <w:jc w:val="left"/>
            </w:pPr>
            <w:r>
              <w:rPr>
                <w:rFonts w:hint="eastAsia"/>
              </w:rPr>
              <w:t>近</w:t>
            </w:r>
            <w:r>
              <w:rPr>
                <w:rFonts w:hint="eastAsia"/>
                <w:u w:val="single"/>
              </w:rPr>
              <w:t>3</w:t>
            </w:r>
            <w:r>
              <w:rPr>
                <w:rFonts w:hint="eastAsia"/>
              </w:rPr>
              <w:t>年，指</w:t>
            </w:r>
            <w:r>
              <w:rPr>
                <w:rFonts w:hint="eastAsia"/>
                <w:u w:val="single"/>
              </w:rPr>
              <w:t>2022年01月01日 至 2025年06月30日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pPr>
            <w:r>
              <w:rPr>
                <w:rFonts w:hint="eastAsia"/>
              </w:rPr>
              <w:t>3.5.</w:t>
            </w:r>
            <w:r>
              <w:t>5</w:t>
            </w:r>
          </w:p>
        </w:tc>
        <w:tc>
          <w:tcPr>
            <w:tcW w:w="2262" w:type="dxa"/>
            <w:vAlign w:val="center"/>
          </w:tcPr>
          <w:p>
            <w:pPr>
              <w:spacing w:line="320" w:lineRule="exact"/>
              <w:jc w:val="center"/>
            </w:pPr>
            <w:r>
              <w:rPr>
                <w:rFonts w:hint="eastAsia"/>
              </w:rPr>
              <w:t>企业近年发生的诉讼及仲裁情况的年份要求</w:t>
            </w:r>
          </w:p>
        </w:tc>
        <w:tc>
          <w:tcPr>
            <w:tcW w:w="5295" w:type="dxa"/>
            <w:vAlign w:val="center"/>
          </w:tcPr>
          <w:p>
            <w:pPr>
              <w:spacing w:line="320" w:lineRule="exact"/>
              <w:rPr>
                <w:u w:val="single"/>
              </w:rPr>
            </w:pPr>
            <w:r>
              <w:rPr>
                <w:rFonts w:hint="eastAsia"/>
              </w:rPr>
              <w:t>近</w:t>
            </w:r>
            <w:r>
              <w:rPr>
                <w:rFonts w:hint="eastAsia"/>
                <w:u w:val="single"/>
              </w:rPr>
              <w:t>3</w:t>
            </w:r>
            <w:r>
              <w:rPr>
                <w:rFonts w:hint="eastAsia"/>
              </w:rPr>
              <w:t>年，指</w:t>
            </w:r>
            <w:r>
              <w:rPr>
                <w:rFonts w:hint="eastAsia"/>
                <w:u w:val="single"/>
              </w:rPr>
              <w:t>2022年01月01日 至 2025年06月30日</w:t>
            </w:r>
          </w:p>
          <w:p>
            <w:pPr>
              <w:spacing w:line="320" w:lineRule="exact"/>
              <w:rPr>
                <w:u w:val="single"/>
              </w:rPr>
            </w:pPr>
            <w:r>
              <w:rPr>
                <w:rFonts w:hint="eastAsia"/>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pPr>
            <w:r>
              <w:rPr>
                <w:rFonts w:hint="eastAsia"/>
              </w:rPr>
              <w:t>3</w:t>
            </w:r>
            <w:r>
              <w:t>.5.9</w:t>
            </w:r>
          </w:p>
        </w:tc>
        <w:tc>
          <w:tcPr>
            <w:tcW w:w="2262" w:type="dxa"/>
            <w:vAlign w:val="center"/>
          </w:tcPr>
          <w:p>
            <w:pPr>
              <w:spacing w:line="320" w:lineRule="exact"/>
              <w:jc w:val="center"/>
            </w:pPr>
            <w:r>
              <w:rPr>
                <w:rFonts w:hint="eastAsia"/>
              </w:rPr>
              <w:t>项目经理近年已完成的类似项目的年份要求</w:t>
            </w:r>
          </w:p>
        </w:tc>
        <w:tc>
          <w:tcPr>
            <w:tcW w:w="5295" w:type="dxa"/>
            <w:vAlign w:val="center"/>
          </w:tcPr>
          <w:p>
            <w:pPr>
              <w:spacing w:line="320" w:lineRule="exact"/>
              <w:jc w:val="left"/>
            </w:pPr>
            <w:r>
              <w:rPr>
                <w:rFonts w:hint="eastAsia"/>
              </w:rPr>
              <w:t>近</w:t>
            </w:r>
            <w:r>
              <w:rPr>
                <w:rFonts w:hint="eastAsia"/>
                <w:u w:val="single"/>
              </w:rPr>
              <w:t>3</w:t>
            </w:r>
            <w:r>
              <w:rPr>
                <w:rFonts w:hint="eastAsia"/>
              </w:rPr>
              <w:t>年，指</w:t>
            </w:r>
            <w:r>
              <w:rPr>
                <w:rFonts w:hint="eastAsia"/>
                <w:u w:val="single"/>
              </w:rPr>
              <w:t>2022年01月01日 至 2025年06月30日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spacing w:line="320" w:lineRule="exact"/>
              <w:jc w:val="center"/>
            </w:pPr>
            <w:r>
              <w:rPr>
                <w:rFonts w:hint="eastAsia"/>
              </w:rPr>
              <w:t>3.6</w:t>
            </w:r>
          </w:p>
        </w:tc>
        <w:tc>
          <w:tcPr>
            <w:tcW w:w="2262" w:type="dxa"/>
            <w:vAlign w:val="center"/>
          </w:tcPr>
          <w:p>
            <w:pPr>
              <w:spacing w:line="320" w:lineRule="exact"/>
              <w:jc w:val="center"/>
            </w:pPr>
            <w:r>
              <w:rPr>
                <w:rFonts w:hint="eastAsia"/>
              </w:rPr>
              <w:t>是否允许递交备选投标方案</w:t>
            </w:r>
          </w:p>
        </w:tc>
        <w:tc>
          <w:tcPr>
            <w:tcW w:w="5295" w:type="dxa"/>
            <w:vAlign w:val="center"/>
          </w:tcPr>
          <w:p>
            <w:pPr>
              <w:spacing w:line="320" w:lineRule="exact"/>
              <w:jc w:val="left"/>
              <w:rPr>
                <w:szCs w:val="21"/>
              </w:rPr>
            </w:pPr>
            <w:r>
              <w:rPr>
                <w:rFonts w:hint="eastAsia"/>
                <w:szCs w:val="21"/>
              </w:rPr>
              <w:t>☑不允许</w:t>
            </w:r>
          </w:p>
          <w:p>
            <w:pPr>
              <w:spacing w:line="320" w:lineRule="exact"/>
              <w:jc w:val="left"/>
            </w:pPr>
            <w:r>
              <w:rPr>
                <w:rFonts w:hint="eastAsia" w:ascii="宋体" w:hAnsi="宋体"/>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spacing w:line="320" w:lineRule="exact"/>
              <w:jc w:val="center"/>
            </w:pPr>
            <w:r>
              <w:rPr>
                <w:rFonts w:hint="eastAsia"/>
              </w:rPr>
              <w:t>3.7.3</w:t>
            </w:r>
          </w:p>
        </w:tc>
        <w:tc>
          <w:tcPr>
            <w:tcW w:w="2262" w:type="dxa"/>
            <w:vAlign w:val="center"/>
          </w:tcPr>
          <w:p>
            <w:pPr>
              <w:spacing w:line="320" w:lineRule="exact"/>
              <w:jc w:val="center"/>
            </w:pPr>
            <w:r>
              <w:rPr>
                <w:rFonts w:hint="eastAsia"/>
              </w:rPr>
              <w:t>应用于评审的佐证或证明材料</w:t>
            </w:r>
          </w:p>
        </w:tc>
        <w:tc>
          <w:tcPr>
            <w:tcW w:w="5295" w:type="dxa"/>
            <w:vAlign w:val="center"/>
          </w:tcPr>
          <w:p>
            <w:pPr>
              <w:spacing w:line="320" w:lineRule="exact"/>
              <w:jc w:val="left"/>
              <w:rPr>
                <w:rFonts w:ascii="Segoe UI Symbol" w:hAnsi="Segoe UI Symbol" w:cs="Segoe UI Symbol"/>
              </w:rPr>
            </w:pPr>
            <w:r>
              <w:rPr>
                <w:rFonts w:hint="eastAsia"/>
              </w:rPr>
              <w:t>应用数字证照评审的节点和材料内容：</w:t>
            </w:r>
          </w:p>
          <w:p>
            <w:pPr>
              <w:spacing w:line="320" w:lineRule="exact"/>
              <w:jc w:val="left"/>
              <w:rPr>
                <w:rFonts w:hint="eastAsia" w:ascii="宋体" w:hAnsi="宋体"/>
              </w:rPr>
            </w:pPr>
            <w:r>
              <w:rPr>
                <w:rFonts w:ascii="Segoe UI Symbol" w:hAnsi="Segoe UI Symbol" w:cs="Segoe UI Symbol"/>
              </w:rPr>
              <w:t>☑</w:t>
            </w:r>
            <w:r>
              <w:rPr>
                <w:rFonts w:hint="eastAsia" w:ascii="宋体" w:hAnsi="宋体"/>
              </w:rPr>
              <w:t>企业业绩</w:t>
            </w:r>
          </w:p>
          <w:p>
            <w:pPr>
              <w:spacing w:line="320" w:lineRule="exact"/>
              <w:jc w:val="left"/>
              <w:rPr>
                <w:rFonts w:hint="eastAsia" w:ascii="宋体" w:hAnsi="宋体"/>
              </w:rPr>
            </w:pPr>
            <w:r>
              <w:rPr>
                <w:rFonts w:ascii="Segoe UI Symbol" w:hAnsi="Segoe UI Symbol" w:cs="Segoe UI Symbol"/>
              </w:rPr>
              <w:t>☑</w:t>
            </w:r>
            <w:r>
              <w:rPr>
                <w:rFonts w:hint="eastAsia" w:ascii="宋体" w:hAnsi="宋体"/>
              </w:rPr>
              <w:t>人员业绩</w:t>
            </w:r>
          </w:p>
          <w:p>
            <w:pPr>
              <w:spacing w:line="320" w:lineRule="exact"/>
              <w:jc w:val="left"/>
              <w:rPr>
                <w:rFonts w:hint="eastAsia" w:ascii="宋体" w:hAnsi="宋体"/>
              </w:rPr>
            </w:pPr>
            <w:r>
              <w:rPr>
                <w:rFonts w:ascii="Segoe UI Symbol" w:hAnsi="Segoe UI Symbol" w:cs="Segoe UI Symbol"/>
              </w:rPr>
              <w:t>☑</w:t>
            </w:r>
            <w:r>
              <w:rPr>
                <w:rFonts w:hint="eastAsia" w:ascii="宋体" w:hAnsi="宋体"/>
              </w:rPr>
              <w:t>财务审计报告</w:t>
            </w:r>
          </w:p>
          <w:p>
            <w:pPr>
              <w:spacing w:line="320" w:lineRule="exact"/>
              <w:jc w:val="left"/>
            </w:pPr>
            <w:r>
              <w:rPr>
                <w:rFonts w:hint="eastAsia"/>
              </w:rPr>
              <w:t>特别说明：1.通过企业主体信息库生成的数字证照信息，投标人应当自行校核和确认数字证照数据信息内容，一般应当对投标文件中已生成的数字证照进行电子签名，否则视为已确认和认可数据信息内容。</w:t>
            </w:r>
          </w:p>
          <w:p>
            <w:pPr>
              <w:spacing w:line="320" w:lineRule="exact"/>
              <w:jc w:val="left"/>
              <w:rPr>
                <w:rFonts w:hint="eastAsia" w:ascii="宋体" w:hAnsi="宋体"/>
              </w:rPr>
            </w:pPr>
            <w:r>
              <w:rPr>
                <w:rFonts w:hint="eastAsia"/>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pPr>
            <w:r>
              <w:rPr>
                <w:rFonts w:hint="eastAsia"/>
              </w:rPr>
              <w:t>3.7.4</w:t>
            </w:r>
          </w:p>
        </w:tc>
        <w:tc>
          <w:tcPr>
            <w:tcW w:w="2262" w:type="dxa"/>
            <w:vAlign w:val="center"/>
          </w:tcPr>
          <w:p>
            <w:pPr>
              <w:spacing w:line="320" w:lineRule="exact"/>
              <w:jc w:val="center"/>
            </w:pPr>
            <w:r>
              <w:rPr>
                <w:rFonts w:hint="eastAsia"/>
                <w:szCs w:val="21"/>
              </w:rPr>
              <w:t>技术标是否采用暗标</w:t>
            </w:r>
          </w:p>
        </w:tc>
        <w:tc>
          <w:tcPr>
            <w:tcW w:w="5295" w:type="dxa"/>
            <w:vAlign w:val="center"/>
          </w:tcPr>
          <w:p>
            <w:pPr>
              <w:spacing w:line="320" w:lineRule="exact"/>
              <w:jc w:val="left"/>
              <w:rPr>
                <w:rFonts w:hint="eastAsia" w:ascii="宋体" w:hAnsi="宋体"/>
                <w:szCs w:val="21"/>
              </w:rPr>
            </w:pPr>
            <w:r>
              <w:rPr>
                <w:rFonts w:hint="eastAsia"/>
                <w:szCs w:val="21"/>
              </w:rPr>
              <w:t>采用模块化暗标评审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pPr>
              <w:spacing w:line="320" w:lineRule="exact"/>
              <w:jc w:val="center"/>
            </w:pPr>
            <w:r>
              <w:rPr>
                <w:rFonts w:hint="eastAsia"/>
              </w:rPr>
              <w:t>4.2.1</w:t>
            </w:r>
          </w:p>
        </w:tc>
        <w:tc>
          <w:tcPr>
            <w:tcW w:w="2262" w:type="dxa"/>
            <w:vAlign w:val="center"/>
          </w:tcPr>
          <w:p>
            <w:pPr>
              <w:spacing w:line="320" w:lineRule="exact"/>
              <w:jc w:val="center"/>
              <w:rPr>
                <w:highlight w:val="yellow"/>
              </w:rPr>
            </w:pPr>
            <w:r>
              <w:rPr>
                <w:rFonts w:hint="eastAsia"/>
                <w:highlight w:val="yellow"/>
              </w:rPr>
              <w:t>投标截止时间</w:t>
            </w:r>
          </w:p>
        </w:tc>
        <w:tc>
          <w:tcPr>
            <w:tcW w:w="5295" w:type="dxa"/>
            <w:vAlign w:val="center"/>
          </w:tcPr>
          <w:p>
            <w:pPr>
              <w:spacing w:line="320" w:lineRule="exact"/>
              <w:jc w:val="left"/>
              <w:rPr>
                <w:highlight w:val="yellow"/>
              </w:rPr>
            </w:pPr>
            <w:r>
              <w:rPr>
                <w:rFonts w:hint="eastAsia"/>
                <w:highlight w:val="yellow"/>
                <w:u w:val="single"/>
              </w:rPr>
              <w:t>2025年   月  日 09时30分00秒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pPr>
              <w:spacing w:line="320" w:lineRule="exact"/>
              <w:jc w:val="center"/>
            </w:pPr>
            <w:r>
              <w:rPr>
                <w:rFonts w:hint="eastAsia"/>
              </w:rPr>
              <w:t>4.2.3</w:t>
            </w:r>
          </w:p>
        </w:tc>
        <w:tc>
          <w:tcPr>
            <w:tcW w:w="2262" w:type="dxa"/>
            <w:vAlign w:val="center"/>
          </w:tcPr>
          <w:p>
            <w:pPr>
              <w:spacing w:line="320" w:lineRule="exact"/>
              <w:jc w:val="center"/>
            </w:pPr>
            <w:r>
              <w:rPr>
                <w:rFonts w:hint="eastAsia"/>
              </w:rPr>
              <w:t>是否退还投标文件</w:t>
            </w:r>
          </w:p>
        </w:tc>
        <w:tc>
          <w:tcPr>
            <w:tcW w:w="5295" w:type="dxa"/>
            <w:vAlign w:val="center"/>
          </w:tcPr>
          <w:p>
            <w:pPr>
              <w:spacing w:line="320" w:lineRule="exact"/>
              <w:jc w:val="left"/>
            </w:pPr>
            <w:r>
              <w:rPr>
                <w:rFonts w:hint="eastAsia"/>
              </w:rPr>
              <w:t>☑否</w:t>
            </w:r>
          </w:p>
          <w:p>
            <w:pPr>
              <w:spacing w:line="320" w:lineRule="exact"/>
              <w:jc w:val="left"/>
              <w:rPr>
                <w:u w:val="single"/>
              </w:rPr>
            </w:pPr>
            <w:r>
              <w:rPr>
                <w:rFonts w:hint="eastAsia"/>
              </w:rPr>
              <w:t>□是，退还具体安排：/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pPr>
              <w:spacing w:line="320" w:lineRule="exact"/>
              <w:jc w:val="center"/>
            </w:pPr>
            <w:r>
              <w:rPr>
                <w:rFonts w:hint="eastAsia"/>
              </w:rPr>
              <w:t>5</w:t>
            </w:r>
            <w:r>
              <w:t>.1.1</w:t>
            </w:r>
          </w:p>
        </w:tc>
        <w:tc>
          <w:tcPr>
            <w:tcW w:w="2262" w:type="dxa"/>
            <w:vAlign w:val="center"/>
          </w:tcPr>
          <w:p>
            <w:pPr>
              <w:spacing w:line="320" w:lineRule="exact"/>
              <w:jc w:val="center"/>
            </w:pPr>
            <w:r>
              <w:rPr>
                <w:rFonts w:hint="eastAsia"/>
              </w:rPr>
              <w:t>开标组织方式</w:t>
            </w:r>
          </w:p>
        </w:tc>
        <w:tc>
          <w:tcPr>
            <w:tcW w:w="5295" w:type="dxa"/>
            <w:vAlign w:val="center"/>
          </w:tcPr>
          <w:p>
            <w:pPr>
              <w:spacing w:line="320" w:lineRule="exact"/>
              <w:jc w:val="left"/>
            </w:pPr>
            <w:r>
              <w:rPr>
                <w:rFonts w:hint="eastAsia"/>
              </w:rPr>
              <w:t>□现场集中开标</w:t>
            </w:r>
          </w:p>
          <w:p>
            <w:pPr>
              <w:spacing w:line="320" w:lineRule="exact"/>
              <w:jc w:val="left"/>
            </w:pPr>
            <w:bookmarkStart w:id="19" w:name="_Hlk154408936"/>
            <w:r>
              <w:rPr>
                <w:rFonts w:hint="eastAsia"/>
              </w:rPr>
              <w:t>☑远程不见面开标</w:t>
            </w:r>
            <w:bookmarkEnd w:id="19"/>
          </w:p>
          <w:p>
            <w:pPr>
              <w:spacing w:line="320" w:lineRule="exact"/>
              <w:jc w:val="left"/>
            </w:pPr>
            <w:bookmarkStart w:id="20" w:name="_Hlk154408948"/>
            <w:r>
              <w:rPr>
                <w:rFonts w:hint="eastAsia"/>
              </w:rPr>
              <w:t>□现场集中和远程不见面开标同时进行</w:t>
            </w:r>
            <w:bookmarkEnd w:id="20"/>
            <w:r>
              <w:rPr>
                <w:rFonts w:hint="eastAsia"/>
              </w:rPr>
              <w:t>。投标人自行选择参与开标的方式。</w:t>
            </w:r>
          </w:p>
          <w:p>
            <w:pPr>
              <w:spacing w:line="320" w:lineRule="exact"/>
              <w:jc w:val="left"/>
            </w:pPr>
            <w:r>
              <w:rPr>
                <w:rFonts w:hint="eastAsia"/>
              </w:rPr>
              <w:t>开标系统：</w:t>
            </w:r>
            <w:r>
              <w:rPr>
                <w:rFonts w:hint="eastAsia"/>
                <w:bCs/>
                <w:u w:val="single"/>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pPr>
              <w:spacing w:line="320" w:lineRule="exact"/>
              <w:jc w:val="center"/>
            </w:pPr>
            <w:r>
              <w:t>5.1.</w:t>
            </w:r>
            <w:r>
              <w:rPr>
                <w:rFonts w:hint="eastAsia"/>
              </w:rPr>
              <w:t>2</w:t>
            </w:r>
          </w:p>
        </w:tc>
        <w:tc>
          <w:tcPr>
            <w:tcW w:w="2262" w:type="dxa"/>
            <w:vAlign w:val="center"/>
          </w:tcPr>
          <w:p>
            <w:pPr>
              <w:spacing w:line="320" w:lineRule="exact"/>
              <w:jc w:val="center"/>
              <w:rPr>
                <w:bdr w:val="single" w:color="auto" w:sz="4" w:space="0"/>
              </w:rPr>
            </w:pPr>
            <w:r>
              <w:rPr>
                <w:rFonts w:hint="eastAsia"/>
              </w:rPr>
              <w:t>开标地点</w:t>
            </w:r>
          </w:p>
        </w:tc>
        <w:tc>
          <w:tcPr>
            <w:tcW w:w="5295" w:type="dxa"/>
            <w:vAlign w:val="center"/>
          </w:tcPr>
          <w:p>
            <w:pPr>
              <w:spacing w:line="320" w:lineRule="exact"/>
              <w:jc w:val="left"/>
              <w:rPr>
                <w:bdr w:val="single" w:color="auto" w:sz="4" w:space="0"/>
              </w:rPr>
            </w:pPr>
            <w:r>
              <w:rPr>
                <w:rFonts w:hint="eastAsia"/>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pPr>
              <w:spacing w:line="320" w:lineRule="exact"/>
              <w:jc w:val="center"/>
              <w:rPr>
                <w:rFonts w:hint="eastAsia" w:ascii="宋体" w:hAnsi="宋体"/>
                <w:szCs w:val="21"/>
              </w:rPr>
            </w:pPr>
            <w:r>
              <w:rPr>
                <w:rFonts w:hint="eastAsia"/>
              </w:rPr>
              <w:t>5.2.1（5）</w:t>
            </w:r>
          </w:p>
        </w:tc>
        <w:tc>
          <w:tcPr>
            <w:tcW w:w="2262" w:type="dxa"/>
            <w:vAlign w:val="center"/>
          </w:tcPr>
          <w:p>
            <w:pPr>
              <w:spacing w:line="320" w:lineRule="exact"/>
              <w:jc w:val="center"/>
              <w:rPr>
                <w:rFonts w:hint="eastAsia" w:ascii="宋体" w:hAnsi="宋体"/>
                <w:szCs w:val="21"/>
              </w:rPr>
            </w:pPr>
            <w:r>
              <w:rPr>
                <w:rFonts w:hint="eastAsia" w:ascii="宋体" w:hAnsi="宋体"/>
                <w:szCs w:val="21"/>
              </w:rPr>
              <w:t>解密时间</w:t>
            </w:r>
          </w:p>
        </w:tc>
        <w:tc>
          <w:tcPr>
            <w:tcW w:w="5295" w:type="dxa"/>
            <w:vAlign w:val="center"/>
          </w:tcPr>
          <w:p>
            <w:pPr>
              <w:spacing w:line="320" w:lineRule="exact"/>
              <w:jc w:val="left"/>
              <w:rPr>
                <w:rFonts w:hint="eastAsia" w:ascii="宋体" w:hAnsi="宋体"/>
                <w:szCs w:val="21"/>
              </w:rPr>
            </w:pPr>
            <w:r>
              <w:rPr>
                <w:rFonts w:hint="eastAsia" w:ascii="宋体" w:hAnsi="宋体"/>
                <w:szCs w:val="21"/>
              </w:rPr>
              <w:t>招标人发出解密提示后</w:t>
            </w:r>
            <w:r>
              <w:rPr>
                <w:rFonts w:hint="eastAsia" w:ascii="宋体" w:hAnsi="宋体"/>
                <w:szCs w:val="21"/>
                <w:u w:val="single"/>
              </w:rPr>
              <w:t>30</w:t>
            </w:r>
            <w:r>
              <w:rPr>
                <w:rFonts w:hint="eastAsia" w:ascii="宋体" w:hAnsi="宋体"/>
                <w:szCs w:val="21"/>
              </w:rPr>
              <w:t>分钟内。如遇到投标人较多或其他特殊情况在规定时间内无法完成解密的，可报项目行政监督部门适当延长解密时间。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pPr>
              <w:spacing w:line="320" w:lineRule="exact"/>
              <w:jc w:val="center"/>
            </w:pPr>
            <w:r>
              <w:rPr>
                <w:rFonts w:hint="eastAsia"/>
              </w:rPr>
              <w:t>6.1.1</w:t>
            </w:r>
          </w:p>
        </w:tc>
        <w:tc>
          <w:tcPr>
            <w:tcW w:w="2262" w:type="dxa"/>
            <w:vAlign w:val="center"/>
          </w:tcPr>
          <w:p>
            <w:pPr>
              <w:spacing w:line="320" w:lineRule="exact"/>
              <w:jc w:val="center"/>
            </w:pPr>
            <w:r>
              <w:rPr>
                <w:rFonts w:hint="eastAsia"/>
              </w:rPr>
              <w:t>评标委员会的组建</w:t>
            </w:r>
          </w:p>
        </w:tc>
        <w:tc>
          <w:tcPr>
            <w:tcW w:w="5295" w:type="dxa"/>
            <w:vAlign w:val="center"/>
          </w:tcPr>
          <w:p>
            <w:pPr>
              <w:spacing w:line="320" w:lineRule="exact"/>
              <w:jc w:val="left"/>
              <w:rPr>
                <w:highlight w:val="yellow"/>
              </w:rPr>
            </w:pPr>
            <w:r>
              <w:rPr>
                <w:rFonts w:hint="eastAsia"/>
                <w:highlight w:val="yellow"/>
              </w:rPr>
              <w:t>评标委员会构成：</w:t>
            </w:r>
            <w:r>
              <w:rPr>
                <w:rFonts w:hint="eastAsia"/>
                <w:highlight w:val="yellow"/>
                <w:u w:val="single"/>
              </w:rPr>
              <w:t>9</w:t>
            </w:r>
            <w:r>
              <w:rPr>
                <w:rFonts w:hint="eastAsia"/>
                <w:highlight w:val="yellow"/>
              </w:rPr>
              <w:t>人，其中招标人代表</w:t>
            </w:r>
            <w:r>
              <w:rPr>
                <w:rFonts w:hint="eastAsia"/>
                <w:highlight w:val="yellow"/>
                <w:u w:val="single"/>
              </w:rPr>
              <w:t>3</w:t>
            </w:r>
            <w:r>
              <w:rPr>
                <w:rFonts w:hint="eastAsia"/>
                <w:highlight w:val="yellow"/>
              </w:rPr>
              <w:t>人，专家</w:t>
            </w:r>
            <w:r>
              <w:rPr>
                <w:rFonts w:hint="eastAsia"/>
                <w:highlight w:val="yellow"/>
                <w:u w:val="single"/>
              </w:rPr>
              <w:t>6</w:t>
            </w:r>
            <w:r>
              <w:rPr>
                <w:rFonts w:hint="eastAsia"/>
                <w:highlight w:val="yellow"/>
              </w:rPr>
              <w:t xml:space="preserve">人； </w:t>
            </w:r>
          </w:p>
          <w:p>
            <w:pPr>
              <w:spacing w:line="320" w:lineRule="exact"/>
              <w:jc w:val="left"/>
            </w:pPr>
            <w:r>
              <w:rPr>
                <w:rFonts w:hint="eastAsia"/>
                <w:highlight w:val="yellow"/>
              </w:rPr>
              <w:t>评标专家确定方式：</w:t>
            </w:r>
            <w:r>
              <w:rPr>
                <w:rFonts w:hint="eastAsia"/>
                <w:highlight w:val="yellow"/>
                <w:u w:val="single"/>
              </w:rPr>
              <w:t>从辽宁省综合评标专家库相应专业中随机抽取产生。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pPr>
              <w:spacing w:line="320" w:lineRule="exact"/>
              <w:jc w:val="center"/>
            </w:pPr>
            <w:r>
              <w:rPr>
                <w:rFonts w:hint="eastAsia"/>
              </w:rPr>
              <w:t>6</w:t>
            </w:r>
            <w:r>
              <w:t>.3</w:t>
            </w:r>
          </w:p>
        </w:tc>
        <w:tc>
          <w:tcPr>
            <w:tcW w:w="2262" w:type="dxa"/>
            <w:vAlign w:val="center"/>
          </w:tcPr>
          <w:p>
            <w:pPr>
              <w:spacing w:line="320" w:lineRule="exact"/>
              <w:jc w:val="center"/>
              <w:rPr>
                <w:highlight w:val="yellow"/>
              </w:rPr>
            </w:pPr>
            <w:r>
              <w:rPr>
                <w:rFonts w:hint="eastAsia"/>
                <w:highlight w:val="yellow"/>
              </w:rPr>
              <w:t>评标采用方式</w:t>
            </w:r>
          </w:p>
        </w:tc>
        <w:tc>
          <w:tcPr>
            <w:tcW w:w="5295" w:type="dxa"/>
            <w:vAlign w:val="center"/>
          </w:tcPr>
          <w:p>
            <w:pPr>
              <w:spacing w:line="320" w:lineRule="exact"/>
              <w:jc w:val="left"/>
              <w:rPr>
                <w:highlight w:val="yellow"/>
              </w:rPr>
            </w:pPr>
            <w:r>
              <w:rPr>
                <w:rFonts w:hint="eastAsia"/>
                <w:highlight w:val="yellow"/>
              </w:rPr>
              <w:t>评标组织形式：</w:t>
            </w:r>
          </w:p>
          <w:p>
            <w:pPr>
              <w:spacing w:line="320" w:lineRule="exact"/>
              <w:jc w:val="left"/>
              <w:rPr>
                <w:highlight w:val="yellow"/>
              </w:rPr>
            </w:pPr>
            <w:r>
              <w:rPr>
                <w:rFonts w:hint="eastAsia"/>
                <w:highlight w:val="yellow"/>
              </w:rPr>
              <w:t>☑本地集中评标方式</w:t>
            </w:r>
          </w:p>
          <w:p>
            <w:pPr>
              <w:spacing w:line="320" w:lineRule="exact"/>
              <w:jc w:val="left"/>
              <w:rPr>
                <w:highlight w:val="yellow"/>
              </w:rPr>
            </w:pPr>
            <w:r>
              <w:rPr>
                <w:rFonts w:hint="eastAsia"/>
                <w:highlight w:val="yellow"/>
              </w:rPr>
              <w:t>□远程异地评标方式</w:t>
            </w:r>
          </w:p>
          <w:p>
            <w:pPr>
              <w:spacing w:line="320" w:lineRule="exact"/>
              <w:jc w:val="left"/>
              <w:rPr>
                <w:highlight w:val="yellow"/>
              </w:rPr>
            </w:pPr>
            <w:r>
              <w:rPr>
                <w:rFonts w:hint="eastAsia"/>
                <w:highlight w:val="yellow"/>
              </w:rPr>
              <w:t>评标是否采用计算机辅助智能评审：</w:t>
            </w:r>
          </w:p>
          <w:p>
            <w:pPr>
              <w:spacing w:line="320" w:lineRule="exact"/>
              <w:jc w:val="left"/>
              <w:rPr>
                <w:highlight w:val="yellow"/>
              </w:rPr>
            </w:pPr>
            <w:r>
              <w:rPr>
                <w:rFonts w:hint="eastAsia"/>
                <w:highlight w:val="yellow"/>
              </w:rPr>
              <w:t>☑是</w:t>
            </w:r>
          </w:p>
          <w:p>
            <w:pPr>
              <w:spacing w:line="320" w:lineRule="exact"/>
              <w:jc w:val="left"/>
              <w:rPr>
                <w:highlight w:val="yellow"/>
              </w:rPr>
            </w:pPr>
            <w:r>
              <w:rPr>
                <w:rFonts w:hint="eastAsia"/>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pPr>
              <w:spacing w:line="320" w:lineRule="exact"/>
              <w:jc w:val="center"/>
              <w:rPr>
                <w:szCs w:val="21"/>
              </w:rPr>
            </w:pPr>
            <w:r>
              <w:rPr>
                <w:rFonts w:hint="eastAsia"/>
              </w:rPr>
              <w:t>6</w:t>
            </w:r>
            <w:r>
              <w:t>.</w:t>
            </w:r>
            <w:r>
              <w:rPr>
                <w:rFonts w:hint="eastAsia"/>
              </w:rPr>
              <w:t>4</w:t>
            </w:r>
          </w:p>
        </w:tc>
        <w:tc>
          <w:tcPr>
            <w:tcW w:w="2262" w:type="dxa"/>
            <w:vAlign w:val="center"/>
          </w:tcPr>
          <w:p>
            <w:pPr>
              <w:spacing w:line="320" w:lineRule="exact"/>
              <w:jc w:val="center"/>
            </w:pPr>
            <w:r>
              <w:rPr>
                <w:rFonts w:hint="eastAsia"/>
              </w:rPr>
              <w:t>评标结果公示媒介</w:t>
            </w:r>
          </w:p>
        </w:tc>
        <w:tc>
          <w:tcPr>
            <w:tcW w:w="5295" w:type="dxa"/>
            <w:vAlign w:val="center"/>
          </w:tcPr>
          <w:p>
            <w:pPr>
              <w:spacing w:line="320" w:lineRule="exact"/>
              <w:jc w:val="left"/>
            </w:pPr>
            <w:r>
              <w:rPr>
                <w:rFonts w:hint="eastAsia"/>
              </w:rPr>
              <w:t>辽宁省招标投标监管网,辽宁建设工程信息网，营口市公共资源交易网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pPr>
              <w:spacing w:line="320" w:lineRule="exact"/>
              <w:jc w:val="center"/>
            </w:pPr>
            <w:r>
              <w:rPr>
                <w:rFonts w:hint="eastAsia"/>
              </w:rPr>
              <w:t>7.1</w:t>
            </w:r>
          </w:p>
        </w:tc>
        <w:tc>
          <w:tcPr>
            <w:tcW w:w="2262" w:type="dxa"/>
            <w:vAlign w:val="center"/>
          </w:tcPr>
          <w:p>
            <w:pPr>
              <w:spacing w:line="320" w:lineRule="exact"/>
              <w:jc w:val="center"/>
            </w:pPr>
            <w:r>
              <w:rPr>
                <w:rFonts w:hint="eastAsia"/>
              </w:rPr>
              <w:t>定标方式</w:t>
            </w:r>
          </w:p>
        </w:tc>
        <w:tc>
          <w:tcPr>
            <w:tcW w:w="5295" w:type="dxa"/>
            <w:vAlign w:val="center"/>
          </w:tcPr>
          <w:p>
            <w:pPr>
              <w:spacing w:line="320" w:lineRule="exact"/>
              <w:jc w:val="left"/>
            </w:pPr>
            <w:r>
              <w:rPr>
                <w:rFonts w:hint="eastAsia"/>
              </w:rPr>
              <w:t>推荐的中标候选人数：</w:t>
            </w:r>
            <w:r>
              <w:t>不超过</w:t>
            </w:r>
            <w:r>
              <w:rPr>
                <w:u w:val="single"/>
              </w:rPr>
              <w:t>3</w:t>
            </w:r>
            <w:r>
              <w:t>名</w:t>
            </w:r>
          </w:p>
          <w:p>
            <w:pPr>
              <w:spacing w:line="320" w:lineRule="exact"/>
            </w:pPr>
            <w:r>
              <w:rPr>
                <w:rFonts w:hint="eastAsia"/>
              </w:rPr>
              <w:t>□招标人授权评标委员会直接确定中标人</w:t>
            </w:r>
          </w:p>
          <w:p>
            <w:pPr>
              <w:spacing w:line="320" w:lineRule="exact"/>
            </w:pPr>
            <w:r>
              <w:rPr>
                <w:rFonts w:hint="eastAsia"/>
              </w:rPr>
              <w:t>☑招标人依据评标委员会推荐的中标候选人确定中标人</w:t>
            </w:r>
          </w:p>
          <w:p>
            <w:pPr>
              <w:spacing w:line="320" w:lineRule="exact"/>
              <w:rPr>
                <w:u w:val="single"/>
              </w:rPr>
            </w:pPr>
            <w:r>
              <w:rPr>
                <w:rFonts w:hint="eastAsia"/>
              </w:rPr>
              <w:t>□招标人从评标委员会推荐的中标候选人范围内自主研究确定中标人</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pPr>
              <w:spacing w:line="320" w:lineRule="exact"/>
              <w:jc w:val="center"/>
            </w:pPr>
            <w:r>
              <w:rPr>
                <w:rFonts w:hint="eastAsia"/>
              </w:rPr>
              <w:t>7.3.1</w:t>
            </w:r>
          </w:p>
        </w:tc>
        <w:tc>
          <w:tcPr>
            <w:tcW w:w="2262" w:type="dxa"/>
            <w:vAlign w:val="center"/>
          </w:tcPr>
          <w:p>
            <w:pPr>
              <w:spacing w:line="320" w:lineRule="exact"/>
              <w:jc w:val="center"/>
            </w:pPr>
            <w:r>
              <w:rPr>
                <w:rFonts w:hint="eastAsia"/>
              </w:rPr>
              <w:t>履约</w:t>
            </w:r>
            <w:r>
              <w:rPr>
                <w:szCs w:val="21"/>
              </w:rPr>
              <w:t>保证金</w:t>
            </w:r>
          </w:p>
        </w:tc>
        <w:tc>
          <w:tcPr>
            <w:tcW w:w="5295" w:type="dxa"/>
            <w:vAlign w:val="center"/>
          </w:tcPr>
          <w:p>
            <w:pPr>
              <w:spacing w:line="320" w:lineRule="exact"/>
              <w:jc w:val="left"/>
            </w:pPr>
            <w:r>
              <w:rPr>
                <w:rFonts w:hint="eastAsia"/>
              </w:rPr>
              <w:t>□不提交</w:t>
            </w:r>
          </w:p>
          <w:p>
            <w:pPr>
              <w:spacing w:line="320" w:lineRule="exact"/>
              <w:jc w:val="left"/>
            </w:pPr>
            <w:r>
              <w:rPr>
                <w:rFonts w:hint="eastAsia"/>
              </w:rPr>
              <w:t>☑提交，履约</w:t>
            </w:r>
            <w:r>
              <w:rPr>
                <w:szCs w:val="21"/>
              </w:rPr>
              <w:t>保证金</w:t>
            </w:r>
            <w:r>
              <w:rPr>
                <w:rFonts w:hint="eastAsia"/>
              </w:rPr>
              <w:t>的形式：</w:t>
            </w:r>
          </w:p>
          <w:p>
            <w:pPr>
              <w:spacing w:line="320" w:lineRule="exact"/>
              <w:ind w:firstLine="420" w:firstLineChars="200"/>
              <w:jc w:val="left"/>
              <w:rPr>
                <w:u w:val="single"/>
              </w:rPr>
            </w:pPr>
            <w:r>
              <w:rPr>
                <w:rFonts w:hint="eastAsia"/>
              </w:rPr>
              <w:t>☑现金  ☑保函（保险）  □其他形式（</w:t>
            </w:r>
            <w:r>
              <w:rPr>
                <w:rFonts w:hint="eastAsia"/>
                <w:u w:val="single"/>
              </w:rPr>
              <w:t>/</w:t>
            </w:r>
            <w:r>
              <w:rPr>
                <w:rFonts w:hint="eastAsia"/>
              </w:rPr>
              <w:t>）</w:t>
            </w:r>
          </w:p>
          <w:p>
            <w:pPr>
              <w:spacing w:line="320" w:lineRule="exact"/>
              <w:jc w:val="left"/>
              <w:rPr>
                <w:szCs w:val="21"/>
              </w:rPr>
            </w:pPr>
            <w:r>
              <w:rPr>
                <w:rFonts w:hint="eastAsia"/>
              </w:rPr>
              <w:t>履约</w:t>
            </w:r>
            <w:r>
              <w:rPr>
                <w:szCs w:val="21"/>
              </w:rPr>
              <w:t>保证金</w:t>
            </w:r>
            <w:r>
              <w:rPr>
                <w:rFonts w:hint="eastAsia"/>
              </w:rPr>
              <w:t>的金额：</w:t>
            </w:r>
            <w:r>
              <w:rPr>
                <w:rFonts w:hint="eastAsia"/>
                <w:szCs w:val="21"/>
              </w:rPr>
              <w:t>合同总价的</w:t>
            </w:r>
            <w:r>
              <w:rPr>
                <w:rFonts w:hint="eastAsia"/>
                <w:szCs w:val="21"/>
                <w:u w:val="single"/>
              </w:rPr>
              <w:t>5</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pPr>
              <w:spacing w:line="320" w:lineRule="exact"/>
              <w:jc w:val="center"/>
            </w:pPr>
            <w:r>
              <w:rPr>
                <w:rFonts w:hint="eastAsia"/>
              </w:rPr>
              <w:t>9</w:t>
            </w:r>
            <w:r>
              <w:t>.</w:t>
            </w:r>
            <w:r>
              <w:rPr>
                <w:rFonts w:hint="eastAsia"/>
              </w:rPr>
              <w:t>5</w:t>
            </w:r>
          </w:p>
        </w:tc>
        <w:tc>
          <w:tcPr>
            <w:tcW w:w="2262" w:type="dxa"/>
            <w:vAlign w:val="center"/>
          </w:tcPr>
          <w:p>
            <w:pPr>
              <w:spacing w:line="320" w:lineRule="exact"/>
              <w:jc w:val="center"/>
              <w:rPr>
                <w:szCs w:val="21"/>
              </w:rPr>
            </w:pPr>
            <w:r>
              <w:rPr>
                <w:rFonts w:hint="eastAsia"/>
              </w:rPr>
              <w:t>行政监督部门</w:t>
            </w:r>
          </w:p>
        </w:tc>
        <w:tc>
          <w:tcPr>
            <w:tcW w:w="5295" w:type="dxa"/>
            <w:vAlign w:val="center"/>
          </w:tcPr>
          <w:p>
            <w:pPr>
              <w:spacing w:line="320" w:lineRule="exact"/>
              <w:jc w:val="left"/>
              <w:rPr>
                <w:szCs w:val="21"/>
                <w:u w:val="single"/>
              </w:rPr>
            </w:pPr>
            <w:r>
              <w:rPr>
                <w:rFonts w:hint="eastAsia"/>
                <w:szCs w:val="21"/>
              </w:rPr>
              <w:t>名    称：</w:t>
            </w:r>
            <w:r>
              <w:rPr>
                <w:rFonts w:hint="eastAsia"/>
              </w:rPr>
              <w:t>辽宁（营口）沿海产业基地管委会规划建设管理局</w:t>
            </w:r>
          </w:p>
          <w:p>
            <w:pPr>
              <w:spacing w:line="320" w:lineRule="exact"/>
              <w:jc w:val="left"/>
              <w:rPr>
                <w:szCs w:val="21"/>
              </w:rPr>
            </w:pPr>
            <w:r>
              <w:rPr>
                <w:rFonts w:hint="eastAsia"/>
                <w:szCs w:val="21"/>
              </w:rPr>
              <w:t>地    址：</w:t>
            </w:r>
            <w:r>
              <w:rPr>
                <w:rFonts w:hint="eastAsia"/>
              </w:rPr>
              <w:t>辽宁（营口）沿海产业基地</w:t>
            </w:r>
            <w:r>
              <w:rPr>
                <w:szCs w:val="21"/>
              </w:rPr>
              <w:t xml:space="preserve"> </w:t>
            </w:r>
          </w:p>
          <w:p>
            <w:pPr>
              <w:spacing w:line="320" w:lineRule="exact"/>
              <w:jc w:val="left"/>
              <w:rPr>
                <w:szCs w:val="21"/>
              </w:rPr>
            </w:pPr>
            <w:r>
              <w:rPr>
                <w:rFonts w:hint="eastAsia"/>
                <w:szCs w:val="21"/>
              </w:rPr>
              <w:t>电    话：</w:t>
            </w:r>
            <w:r>
              <w:rPr>
                <w:rFonts w:hint="eastAsia"/>
              </w:rPr>
              <w:t>0417-3888147</w:t>
            </w:r>
          </w:p>
          <w:p>
            <w:pPr>
              <w:spacing w:line="320" w:lineRule="exact"/>
              <w:jc w:val="left"/>
              <w:rPr>
                <w:szCs w:val="21"/>
                <w:u w:val="single"/>
              </w:rPr>
            </w:pPr>
            <w:r>
              <w:rPr>
                <w:rFonts w:hint="eastAsia"/>
                <w:szCs w:val="21"/>
              </w:rPr>
              <w:t>传</w:t>
            </w:r>
            <w:r>
              <w:rPr>
                <w:szCs w:val="21"/>
              </w:rPr>
              <w:t xml:space="preserve">    </w:t>
            </w:r>
            <w:r>
              <w:rPr>
                <w:rFonts w:hint="eastAsia"/>
                <w:szCs w:val="21"/>
              </w:rPr>
              <w:t>真：</w:t>
            </w:r>
            <w:r>
              <w:rPr>
                <w:rFonts w:hint="eastAsia"/>
                <w:szCs w:val="21"/>
                <w:u w:val="single"/>
              </w:rPr>
              <w:t>/</w:t>
            </w:r>
          </w:p>
          <w:p>
            <w:pPr>
              <w:spacing w:line="320" w:lineRule="exact"/>
              <w:jc w:val="left"/>
              <w:rPr>
                <w:szCs w:val="21"/>
                <w:u w:val="single"/>
              </w:rPr>
            </w:pPr>
            <w:r>
              <w:rPr>
                <w:rFonts w:hint="eastAsia"/>
                <w:szCs w:val="21"/>
              </w:rPr>
              <w:t>邮政编码：</w:t>
            </w:r>
            <w:r>
              <w:rPr>
                <w:rFonts w:hint="eastAsia"/>
                <w:szCs w:val="21"/>
                <w:u w:val="single"/>
              </w:rPr>
              <w:t>/</w:t>
            </w:r>
          </w:p>
          <w:p>
            <w:pPr>
              <w:spacing w:line="320" w:lineRule="exact"/>
              <w:jc w:val="left"/>
              <w:rPr>
                <w:szCs w:val="21"/>
                <w:u w:val="single"/>
              </w:rPr>
            </w:pPr>
            <w:r>
              <w:rPr>
                <w:rFonts w:hint="eastAsia"/>
                <w:szCs w:val="21"/>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pPr>
              <w:spacing w:line="320" w:lineRule="exact"/>
              <w:jc w:val="center"/>
            </w:pPr>
            <w:r>
              <w:rPr>
                <w:rFonts w:hint="eastAsia"/>
              </w:rPr>
              <w:t>1</w:t>
            </w:r>
            <w:r>
              <w:t>0</w:t>
            </w:r>
          </w:p>
        </w:tc>
        <w:tc>
          <w:tcPr>
            <w:tcW w:w="7557" w:type="dxa"/>
            <w:gridSpan w:val="2"/>
            <w:vAlign w:val="center"/>
          </w:tcPr>
          <w:p>
            <w:pPr>
              <w:spacing w:line="320" w:lineRule="exact"/>
              <w:rPr>
                <w:b/>
                <w:bCs/>
                <w:szCs w:val="21"/>
              </w:rPr>
            </w:pPr>
            <w:r>
              <w:rPr>
                <w:rFonts w:hint="eastAsia"/>
                <w:b/>
                <w:bCs/>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pPr>
              <w:spacing w:line="320" w:lineRule="exact"/>
              <w:jc w:val="center"/>
            </w:pPr>
            <w:r>
              <w:rPr>
                <w:rFonts w:hint="eastAsia"/>
              </w:rPr>
              <w:t>1</w:t>
            </w:r>
            <w:r>
              <w:t>0.1</w:t>
            </w:r>
          </w:p>
        </w:tc>
        <w:tc>
          <w:tcPr>
            <w:tcW w:w="7557" w:type="dxa"/>
            <w:gridSpan w:val="2"/>
            <w:vAlign w:val="center"/>
          </w:tcPr>
          <w:p>
            <w:pPr>
              <w:spacing w:line="320" w:lineRule="exact"/>
              <w:rPr>
                <w:b/>
                <w:bCs/>
                <w:szCs w:val="21"/>
              </w:rPr>
            </w:pPr>
            <w:r>
              <w:rPr>
                <w:rFonts w:hint="eastAsia"/>
                <w:b/>
                <w:bCs/>
                <w:szCs w:val="21"/>
              </w:rPr>
              <w:t>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szCs w:val="21"/>
              </w:rPr>
            </w:pPr>
            <w:r>
              <w:rPr>
                <w:rFonts w:hint="eastAsia"/>
                <w:szCs w:val="21"/>
              </w:rPr>
              <w:t>1</w:t>
            </w:r>
            <w:r>
              <w:rPr>
                <w:szCs w:val="21"/>
              </w:rPr>
              <w:t>0.1.1</w:t>
            </w:r>
          </w:p>
        </w:tc>
        <w:tc>
          <w:tcPr>
            <w:tcW w:w="2262" w:type="dxa"/>
            <w:vAlign w:val="center"/>
          </w:tcPr>
          <w:p>
            <w:pPr>
              <w:spacing w:line="320" w:lineRule="exact"/>
              <w:jc w:val="center"/>
              <w:rPr>
                <w:szCs w:val="21"/>
              </w:rPr>
            </w:pPr>
            <w:r>
              <w:rPr>
                <w:rFonts w:hint="eastAsia"/>
                <w:szCs w:val="21"/>
              </w:rPr>
              <w:t>类似项目</w:t>
            </w:r>
          </w:p>
        </w:tc>
        <w:tc>
          <w:tcPr>
            <w:tcW w:w="5295" w:type="dxa"/>
            <w:vAlign w:val="center"/>
          </w:tcPr>
          <w:p>
            <w:pPr>
              <w:spacing w:line="320" w:lineRule="exact"/>
              <w:jc w:val="left"/>
              <w:rPr>
                <w:rFonts w:hint="eastAsia" w:ascii="宋体" w:hAnsi="宋体" w:cs="宋体"/>
                <w:highlight w:val="yellow"/>
              </w:rPr>
            </w:pPr>
            <w:r>
              <w:rPr>
                <w:rFonts w:hint="eastAsia" w:ascii="宋体" w:hAnsi="宋体" w:cs="宋体"/>
                <w:szCs w:val="21"/>
                <w:highlight w:val="yellow"/>
              </w:rPr>
              <w:t>（1）类似项目指合同金额大于</w:t>
            </w:r>
            <w:r>
              <w:rPr>
                <w:rFonts w:hint="eastAsia" w:ascii="宋体" w:hAnsi="宋体" w:cs="宋体"/>
                <w:color w:val="FF0000"/>
                <w:highlight w:val="yellow"/>
                <w:u w:val="single"/>
              </w:rPr>
              <w:t xml:space="preserve"> 2000 </w:t>
            </w:r>
            <w:r>
              <w:rPr>
                <w:rFonts w:hint="eastAsia" w:ascii="宋体" w:hAnsi="宋体" w:cs="宋体"/>
                <w:highlight w:val="yellow"/>
              </w:rPr>
              <w:t>万元</w:t>
            </w:r>
            <w:r>
              <w:rPr>
                <w:rFonts w:hint="eastAsia" w:ascii="宋体" w:hAnsi="宋体" w:cs="宋体"/>
                <w:highlight w:val="yellow"/>
                <w:u w:val="single"/>
              </w:rPr>
              <w:t xml:space="preserve"> </w:t>
            </w:r>
            <w:r>
              <w:rPr>
                <w:rFonts w:hint="eastAsia" w:ascii="宋体" w:hAnsi="宋体" w:cs="宋体"/>
                <w:b/>
                <w:bCs/>
                <w:color w:val="FF0000"/>
                <w:highlight w:val="yellow"/>
                <w:u w:val="single"/>
              </w:rPr>
              <w:t>建筑工程或市政</w:t>
            </w:r>
            <w:r>
              <w:rPr>
                <w:rFonts w:ascii="宋体" w:hAnsi="宋体" w:cs="宋体"/>
                <w:b/>
                <w:bCs/>
                <w:highlight w:val="yellow"/>
                <w:u w:val="single"/>
              </w:rPr>
              <w:t xml:space="preserve"> </w:t>
            </w:r>
            <w:r>
              <w:rPr>
                <w:rFonts w:hint="eastAsia" w:ascii="宋体" w:hAnsi="宋体" w:cs="宋体"/>
                <w:highlight w:val="yellow"/>
              </w:rPr>
              <w:t>工程，且已完成工程竣工验收合格。</w:t>
            </w:r>
          </w:p>
          <w:p>
            <w:pPr>
              <w:spacing w:line="320" w:lineRule="exact"/>
              <w:jc w:val="left"/>
              <w:rPr>
                <w:rFonts w:hint="eastAsia" w:ascii="宋体" w:hAnsi="宋体" w:cs="宋体"/>
              </w:rPr>
            </w:pPr>
            <w:r>
              <w:rPr>
                <w:rFonts w:hint="eastAsia" w:ascii="宋体" w:hAnsi="宋体" w:cs="宋体"/>
              </w:rPr>
              <w:t>（2）类似项目时间：</w:t>
            </w:r>
          </w:p>
          <w:p>
            <w:pPr>
              <w:spacing w:line="320" w:lineRule="exact"/>
              <w:ind w:left="420" w:leftChars="200"/>
              <w:jc w:val="left"/>
              <w:rPr>
                <w:rFonts w:hint="eastAsia" w:ascii="宋体" w:hAnsi="宋体" w:cs="宋体"/>
              </w:rPr>
            </w:pPr>
            <w:r>
              <w:rPr>
                <w:rFonts w:hint="eastAsia" w:ascii="宋体" w:hAnsi="宋体" w:cs="宋体"/>
              </w:rPr>
              <w:t>□合同签订时间为准</w:t>
            </w:r>
          </w:p>
          <w:p>
            <w:pPr>
              <w:spacing w:line="320" w:lineRule="exact"/>
              <w:ind w:left="420" w:leftChars="200"/>
              <w:jc w:val="left"/>
              <w:rPr>
                <w:rFonts w:hint="eastAsia" w:ascii="宋体" w:hAnsi="宋体" w:cs="宋体"/>
              </w:rPr>
            </w:pPr>
            <w:r>
              <w:rPr>
                <w:rFonts w:hint="eastAsia" w:ascii="宋体" w:hAnsi="宋体" w:cs="宋体"/>
              </w:rPr>
              <w:t>☑竣工验收时间为准</w:t>
            </w:r>
          </w:p>
          <w:p>
            <w:pPr>
              <w:spacing w:line="320" w:lineRule="exact"/>
              <w:jc w:val="left"/>
              <w:rPr>
                <w:rFonts w:hint="eastAsia" w:ascii="宋体" w:hAnsi="宋体" w:cs="宋体"/>
              </w:rPr>
            </w:pPr>
            <w:r>
              <w:rPr>
                <w:rFonts w:hint="eastAsia" w:ascii="宋体" w:hAnsi="宋体" w:cs="宋体"/>
              </w:rPr>
              <w:t>（3）类似项目类型</w:t>
            </w:r>
          </w:p>
          <w:p>
            <w:pPr>
              <w:spacing w:line="320" w:lineRule="exact"/>
              <w:ind w:left="420" w:leftChars="200"/>
              <w:jc w:val="left"/>
              <w:rPr>
                <w:rFonts w:hint="eastAsia" w:ascii="宋体" w:hAnsi="宋体" w:cs="宋体"/>
                <w:highlight w:val="yellow"/>
              </w:rPr>
            </w:pPr>
            <w:r>
              <w:rPr>
                <w:rFonts w:hint="eastAsia" w:ascii="宋体" w:hAnsi="宋体" w:cs="宋体"/>
                <w:highlight w:val="yellow"/>
              </w:rPr>
              <w:t>□A类</w:t>
            </w:r>
          </w:p>
          <w:p>
            <w:pPr>
              <w:spacing w:line="320" w:lineRule="exact"/>
              <w:ind w:left="420" w:leftChars="200"/>
              <w:jc w:val="left"/>
              <w:rPr>
                <w:rFonts w:hint="eastAsia" w:ascii="宋体" w:hAnsi="宋体" w:cs="宋体"/>
                <w:highlight w:val="yellow"/>
              </w:rPr>
            </w:pPr>
            <w:r>
              <w:rPr>
                <w:rFonts w:hint="eastAsia" w:ascii="宋体" w:hAnsi="宋体" w:cs="宋体"/>
                <w:highlight w:val="yellow"/>
              </w:rPr>
              <w:t>☑A+B类</w:t>
            </w:r>
          </w:p>
          <w:p>
            <w:pPr>
              <w:spacing w:line="320" w:lineRule="exact"/>
              <w:jc w:val="left"/>
            </w:pPr>
            <w:r>
              <w:rPr>
                <w:rFonts w:hint="eastAsia" w:ascii="宋体" w:hAnsi="宋体" w:cs="宋体"/>
              </w:rPr>
              <w:t>（4）其他：</w:t>
            </w:r>
            <w:r>
              <w:rPr>
                <w:rFonts w:hint="eastAsia" w:ascii="宋体" w:hAnsi="宋体" w:cs="宋体"/>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szCs w:val="21"/>
              </w:rPr>
            </w:pPr>
            <w:r>
              <w:rPr>
                <w:rFonts w:hint="eastAsia"/>
                <w:szCs w:val="21"/>
              </w:rPr>
              <w:t>1</w:t>
            </w:r>
            <w:r>
              <w:rPr>
                <w:szCs w:val="21"/>
              </w:rPr>
              <w:t>0.1.</w:t>
            </w:r>
            <w:r>
              <w:rPr>
                <w:rFonts w:hint="eastAsia"/>
                <w:szCs w:val="21"/>
              </w:rPr>
              <w:t>2</w:t>
            </w:r>
          </w:p>
        </w:tc>
        <w:tc>
          <w:tcPr>
            <w:tcW w:w="2262" w:type="dxa"/>
            <w:vAlign w:val="center"/>
          </w:tcPr>
          <w:p>
            <w:pPr>
              <w:spacing w:line="320" w:lineRule="exact"/>
              <w:jc w:val="center"/>
              <w:rPr>
                <w:szCs w:val="21"/>
              </w:rPr>
            </w:pPr>
            <w:r>
              <w:rPr>
                <w:rFonts w:hint="eastAsia"/>
              </w:rPr>
              <w:t>盖章</w:t>
            </w:r>
          </w:p>
        </w:tc>
        <w:tc>
          <w:tcPr>
            <w:tcW w:w="5295" w:type="dxa"/>
            <w:vAlign w:val="center"/>
          </w:tcPr>
          <w:p>
            <w:pPr>
              <w:spacing w:line="320" w:lineRule="exact"/>
              <w:rPr>
                <w:sz w:val="32"/>
                <w:szCs w:val="32"/>
              </w:rPr>
            </w:pPr>
            <w:r>
              <w:rPr>
                <w:rFonts w:hint="eastAsia"/>
                <w:szCs w:val="21"/>
              </w:rPr>
              <w:t>盖单位章及签章（个人）均为电子签名法所指的电子签名，即表示数据电文中以电子形式所含、所附用于识别签名单位和签名人身份并表明签名单位和签名人认可其中内容的数据。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szCs w:val="21"/>
              </w:rPr>
            </w:pPr>
            <w:r>
              <w:rPr>
                <w:rFonts w:hint="eastAsia"/>
                <w:szCs w:val="21"/>
              </w:rPr>
              <w:t>1</w:t>
            </w:r>
            <w:r>
              <w:rPr>
                <w:szCs w:val="21"/>
              </w:rPr>
              <w:t>0.1.</w:t>
            </w:r>
            <w:r>
              <w:rPr>
                <w:rFonts w:hint="eastAsia"/>
                <w:szCs w:val="21"/>
              </w:rPr>
              <w:t>3</w:t>
            </w:r>
          </w:p>
        </w:tc>
        <w:tc>
          <w:tcPr>
            <w:tcW w:w="2262" w:type="dxa"/>
            <w:vAlign w:val="center"/>
          </w:tcPr>
          <w:p>
            <w:pPr>
              <w:spacing w:line="320" w:lineRule="exact"/>
              <w:jc w:val="center"/>
            </w:pPr>
            <w:r>
              <w:rPr>
                <w:rFonts w:hint="eastAsia"/>
              </w:rPr>
              <w:t>获奖表彰时间</w:t>
            </w:r>
          </w:p>
        </w:tc>
        <w:tc>
          <w:tcPr>
            <w:tcW w:w="5295" w:type="dxa"/>
            <w:vAlign w:val="center"/>
          </w:tcPr>
          <w:p>
            <w:pPr>
              <w:spacing w:line="320" w:lineRule="exact"/>
              <w:jc w:val="left"/>
              <w:rPr>
                <w:szCs w:val="21"/>
              </w:rPr>
            </w:pPr>
            <w:r>
              <w:rPr>
                <w:rFonts w:hint="eastAsia"/>
                <w:szCs w:val="21"/>
              </w:rPr>
              <w:t>以表彰文件、获奖证书的颁发时间为准。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szCs w:val="21"/>
              </w:rPr>
            </w:pPr>
            <w:r>
              <w:rPr>
                <w:szCs w:val="21"/>
              </w:rPr>
              <w:t>10.1.</w:t>
            </w:r>
            <w:r>
              <w:rPr>
                <w:rFonts w:hint="eastAsia"/>
                <w:szCs w:val="21"/>
              </w:rPr>
              <w:t>4</w:t>
            </w:r>
          </w:p>
        </w:tc>
        <w:tc>
          <w:tcPr>
            <w:tcW w:w="2262" w:type="dxa"/>
            <w:vAlign w:val="center"/>
          </w:tcPr>
          <w:p>
            <w:pPr>
              <w:spacing w:line="320" w:lineRule="exact"/>
              <w:jc w:val="center"/>
            </w:pPr>
            <w:r>
              <w:rPr>
                <w:rFonts w:hint="eastAsia"/>
              </w:rPr>
              <w:t>不良行为</w:t>
            </w:r>
          </w:p>
        </w:tc>
        <w:tc>
          <w:tcPr>
            <w:tcW w:w="5295" w:type="dxa"/>
            <w:vAlign w:val="center"/>
          </w:tcPr>
          <w:p>
            <w:pPr>
              <w:spacing w:line="320" w:lineRule="exact"/>
              <w:jc w:val="left"/>
            </w:pPr>
            <w:r>
              <w:rPr>
                <w:rFonts w:hint="eastAsia"/>
              </w:rPr>
              <w:t>（1）指投标人须知第1.4.3（10）至（17）条目规定的情形。</w:t>
            </w:r>
          </w:p>
          <w:p>
            <w:pPr>
              <w:spacing w:line="320" w:lineRule="exact"/>
              <w:jc w:val="left"/>
            </w:pPr>
            <w:r>
              <w:rPr>
                <w:rFonts w:hint="eastAsia"/>
              </w:rPr>
              <w:t>（2）投标人须知第1.4.3（13）条目规定的在最近三年内有骗取中标或严重违约或重大工程质量问题的时间以相关行业主管部门行政处罚决定时间或司法机关出具的法律文书时间为准。</w:t>
            </w:r>
          </w:p>
          <w:p>
            <w:pPr>
              <w:spacing w:line="320" w:lineRule="exact"/>
              <w:jc w:val="left"/>
            </w:pPr>
            <w:r>
              <w:rPr>
                <w:rFonts w:hint="eastAsia"/>
              </w:rPr>
              <w:t>特别说明：同一标段项目出现两个（含）以上不同处罚时间（或法律文书时间）均应满足时间要求。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szCs w:val="21"/>
              </w:rPr>
            </w:pPr>
            <w:r>
              <w:rPr>
                <w:rFonts w:hint="eastAsia"/>
                <w:szCs w:val="21"/>
              </w:rPr>
              <w:t>1</w:t>
            </w:r>
            <w:r>
              <w:rPr>
                <w:szCs w:val="21"/>
              </w:rPr>
              <w:t>0.1.</w:t>
            </w:r>
            <w:r>
              <w:rPr>
                <w:rFonts w:hint="eastAsia"/>
                <w:szCs w:val="21"/>
              </w:rPr>
              <w:t>5</w:t>
            </w:r>
          </w:p>
        </w:tc>
        <w:tc>
          <w:tcPr>
            <w:tcW w:w="2262" w:type="dxa"/>
            <w:vAlign w:val="center"/>
          </w:tcPr>
          <w:p>
            <w:pPr>
              <w:spacing w:line="320" w:lineRule="exact"/>
              <w:jc w:val="center"/>
            </w:pPr>
            <w:r>
              <w:rPr>
                <w:rFonts w:hint="eastAsia"/>
              </w:rPr>
              <w:t>现金</w:t>
            </w:r>
          </w:p>
        </w:tc>
        <w:tc>
          <w:tcPr>
            <w:tcW w:w="5295" w:type="dxa"/>
            <w:vAlign w:val="center"/>
          </w:tcPr>
          <w:p>
            <w:pPr>
              <w:spacing w:line="320" w:lineRule="exact"/>
              <w:jc w:val="left"/>
            </w:pPr>
            <w:r>
              <w:rPr>
                <w:rFonts w:hint="eastAsia"/>
              </w:rPr>
              <w:t>投标保证金、履约</w:t>
            </w:r>
            <w:r>
              <w:rPr>
                <w:szCs w:val="21"/>
              </w:rPr>
              <w:t>保证金</w:t>
            </w:r>
            <w:r>
              <w:rPr>
                <w:rFonts w:hint="eastAsia"/>
              </w:rPr>
              <w:t>现金缴纳方式指通过电汇、支票等广义现金方式缴纳而非现金钞票。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pPr>
              <w:spacing w:line="320" w:lineRule="exact"/>
              <w:jc w:val="center"/>
            </w:pPr>
            <w:r>
              <w:rPr>
                <w:rFonts w:hint="eastAsia"/>
              </w:rPr>
              <w:t>10.</w:t>
            </w:r>
            <w:r>
              <w:t>2</w:t>
            </w:r>
          </w:p>
        </w:tc>
        <w:tc>
          <w:tcPr>
            <w:tcW w:w="2262" w:type="dxa"/>
            <w:vAlign w:val="center"/>
          </w:tcPr>
          <w:p>
            <w:pPr>
              <w:spacing w:line="320" w:lineRule="exact"/>
              <w:jc w:val="center"/>
              <w:rPr>
                <w:rFonts w:hint="eastAsia" w:ascii="宋体" w:hAnsi="宋体"/>
                <w:szCs w:val="21"/>
              </w:rPr>
            </w:pPr>
            <w:r>
              <w:rPr>
                <w:rFonts w:hint="eastAsia" w:ascii="宋体" w:hAnsi="宋体"/>
                <w:szCs w:val="21"/>
              </w:rPr>
              <w:t>中标后须提交的</w:t>
            </w:r>
          </w:p>
          <w:p>
            <w:pPr>
              <w:spacing w:line="320" w:lineRule="exact"/>
              <w:jc w:val="center"/>
              <w:rPr>
                <w:rFonts w:hint="eastAsia" w:ascii="宋体" w:hAnsi="宋体"/>
                <w:szCs w:val="21"/>
              </w:rPr>
            </w:pPr>
            <w:r>
              <w:rPr>
                <w:rFonts w:hint="eastAsia" w:ascii="宋体" w:hAnsi="宋体"/>
                <w:szCs w:val="21"/>
              </w:rPr>
              <w:t>纸质投标</w:t>
            </w:r>
            <w:r>
              <w:rPr>
                <w:rFonts w:hint="eastAsia"/>
              </w:rPr>
              <w:t>文件</w:t>
            </w:r>
          </w:p>
        </w:tc>
        <w:tc>
          <w:tcPr>
            <w:tcW w:w="5295" w:type="dxa"/>
            <w:vAlign w:val="center"/>
          </w:tcPr>
          <w:p>
            <w:pPr>
              <w:spacing w:line="320" w:lineRule="exact"/>
              <w:jc w:val="left"/>
              <w:rPr>
                <w:rFonts w:hint="eastAsia" w:ascii="宋体" w:hAnsi="宋体"/>
                <w:szCs w:val="21"/>
                <w:u w:val="single"/>
              </w:rPr>
            </w:pPr>
            <w:r>
              <w:rPr>
                <w:rFonts w:hint="eastAsia" w:ascii="宋体" w:hAnsi="宋体"/>
                <w:szCs w:val="21"/>
              </w:rPr>
              <w:t>份数：</w:t>
            </w:r>
            <w:r>
              <w:rPr>
                <w:rFonts w:hint="eastAsia" w:ascii="宋体" w:hAnsi="宋体"/>
                <w:szCs w:val="21"/>
                <w:u w:val="single"/>
              </w:rPr>
              <w:t>3</w:t>
            </w:r>
            <w:r>
              <w:rPr>
                <w:rFonts w:hint="eastAsia" w:ascii="宋体" w:hAnsi="宋体"/>
                <w:szCs w:val="21"/>
              </w:rPr>
              <w:t>份，中标人提交的纸质投标文件应当与投标时的电子投标文件内容一致。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pPr>
              <w:spacing w:line="320" w:lineRule="exact"/>
              <w:jc w:val="center"/>
            </w:pPr>
            <w:r>
              <w:rPr>
                <w:rFonts w:hint="eastAsia"/>
              </w:rPr>
              <w:t>10.6</w:t>
            </w:r>
          </w:p>
        </w:tc>
        <w:tc>
          <w:tcPr>
            <w:tcW w:w="2262" w:type="dxa"/>
            <w:vAlign w:val="center"/>
          </w:tcPr>
          <w:p>
            <w:pPr>
              <w:spacing w:line="320" w:lineRule="exact"/>
              <w:jc w:val="center"/>
            </w:pPr>
            <w:r>
              <w:rPr>
                <w:rFonts w:hint="eastAsia"/>
              </w:rPr>
              <w:t>招标人补充的其他</w:t>
            </w:r>
          </w:p>
          <w:p>
            <w:pPr>
              <w:spacing w:line="320" w:lineRule="exact"/>
              <w:jc w:val="center"/>
            </w:pPr>
            <w:r>
              <w:rPr>
                <w:rFonts w:hint="eastAsia"/>
              </w:rPr>
              <w:t>内容</w:t>
            </w:r>
          </w:p>
        </w:tc>
        <w:tc>
          <w:tcPr>
            <w:tcW w:w="5295" w:type="dxa"/>
            <w:vAlign w:val="center"/>
          </w:tcPr>
          <w:p>
            <w:pPr>
              <w:numPr>
                <w:ilvl w:val="0"/>
                <w:numId w:val="3"/>
              </w:numPr>
              <w:spacing w:line="320" w:lineRule="exact"/>
            </w:pPr>
            <w:r>
              <w:rPr>
                <w:rFonts w:hint="eastAsia"/>
              </w:rPr>
              <w:t xml:space="preserve">交易中心服务费：按（辽发改价格【2023】128号）文件规定执行，由中标单位向营口市建设工程交易服务中心有限公司缴纳。含在投标报价中，不得单独列项。           </w:t>
            </w:r>
            <w:r>
              <w:rPr>
                <w:rFonts w:hint="eastAsia"/>
              </w:rPr>
              <w:br w:type="textWrapping"/>
            </w:r>
            <w:r>
              <w:rPr>
                <w:rFonts w:hint="eastAsia"/>
              </w:rPr>
              <w:t xml:space="preserve">2.招标代理服务费: 参照国家发改委计价格【2002】1980号文件、发改委计价格【2011】534号文件及发改办价格【2003】857号文件规定下浮70%向中标人收取，含在投标报价中，不得单独列项。            </w:t>
            </w:r>
            <w:r>
              <w:rPr>
                <w:rFonts w:hint="eastAsia"/>
              </w:rPr>
              <w:br w:type="textWrapping"/>
            </w:r>
            <w:r>
              <w:rPr>
                <w:rFonts w:hint="eastAsia"/>
              </w:rPr>
              <w:t xml:space="preserve">3.投标保证金见投标人须知3.4.1和3.4.2要求。             </w:t>
            </w:r>
            <w:r>
              <w:rPr>
                <w:rFonts w:hint="eastAsia"/>
              </w:rPr>
              <w:br w:type="textWrapping"/>
            </w:r>
            <w:r>
              <w:rPr>
                <w:rFonts w:hint="eastAsia"/>
                <w:highlight w:val="yellow"/>
              </w:rPr>
              <w:t>4.合同约定方式：固定总价合同。</w:t>
            </w:r>
          </w:p>
          <w:p>
            <w:pPr>
              <w:numPr>
                <w:ilvl w:val="255"/>
                <w:numId w:val="0"/>
              </w:numPr>
              <w:autoSpaceDE w:val="0"/>
              <w:autoSpaceDN w:val="0"/>
              <w:spacing w:line="360" w:lineRule="auto"/>
              <w:rPr>
                <w:highlight w:val="yellow"/>
              </w:rPr>
            </w:pPr>
            <w:r>
              <w:rPr>
                <w:rFonts w:hint="eastAsia"/>
                <w:highlight w:val="yellow"/>
              </w:rPr>
              <w:t xml:space="preserve">5.合同签订             </w:t>
            </w:r>
            <w:r>
              <w:rPr>
                <w:rFonts w:hint="eastAsia"/>
                <w:highlight w:val="yellow"/>
              </w:rPr>
              <w:br w:type="textWrapping"/>
            </w:r>
            <w:r>
              <w:rPr>
                <w:rFonts w:hint="eastAsia"/>
                <w:highlight w:val="yellow"/>
              </w:rPr>
              <w:t xml:space="preserve">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             </w:t>
            </w:r>
            <w:r>
              <w:rPr>
                <w:rFonts w:hint="eastAsia"/>
                <w:highlight w:val="yellow"/>
              </w:rPr>
              <w:br w:type="textWrapping"/>
            </w:r>
            <w:r>
              <w:rPr>
                <w:rFonts w:hint="eastAsia"/>
                <w:highlight w:val="yellow"/>
              </w:rPr>
              <w:t xml:space="preserve">6.开标注意事项 ：                      </w:t>
            </w:r>
            <w:r>
              <w:rPr>
                <w:rFonts w:hint="eastAsia"/>
                <w:highlight w:val="yellow"/>
              </w:rPr>
              <w:br w:type="textWrapping"/>
            </w:r>
            <w:r>
              <w:rPr>
                <w:rFonts w:hint="eastAsia"/>
                <w:highlight w:val="yellow"/>
              </w:rPr>
              <w:t xml:space="preserve">开标前投标人自行在网上进行二次刷卡及授权委托人身份认证，具体要求按照辽宁省住房和城乡建设厅建管处发布的关于进一步落实招投标各方主体及从业人员实名制的通知执行。              </w:t>
            </w:r>
            <w:r>
              <w:rPr>
                <w:rFonts w:hint="eastAsia"/>
                <w:highlight w:val="yellow"/>
              </w:rPr>
              <w:br w:type="textWrapping"/>
            </w:r>
            <w:r>
              <w:rPr>
                <w:rFonts w:hint="eastAsia"/>
                <w:highlight w:val="yellow"/>
              </w:rPr>
              <w:t xml:space="preserve">注：①项目负责人或授权委托人二次刷卡时，如读卡器不能识别的需提前自行与软件公司联              </w:t>
            </w:r>
            <w:r>
              <w:rPr>
                <w:rFonts w:hint="eastAsia"/>
                <w:highlight w:val="yellow"/>
              </w:rPr>
              <w:br w:type="textWrapping"/>
            </w:r>
            <w:r>
              <w:rPr>
                <w:rFonts w:hint="eastAsia"/>
                <w:highlight w:val="yellow"/>
              </w:rPr>
              <w:t xml:space="preserve">系，否则造成的后果由投标人自行承担；投标人不得借用其他投标单位读卡器，否则由于借              </w:t>
            </w:r>
            <w:r>
              <w:rPr>
                <w:rFonts w:hint="eastAsia"/>
                <w:highlight w:val="yellow"/>
              </w:rPr>
              <w:br w:type="textWrapping"/>
            </w:r>
            <w:r>
              <w:rPr>
                <w:rFonts w:hint="eastAsia"/>
                <w:highlight w:val="yellow"/>
              </w:rPr>
              <w:t xml:space="preserve">用读卡器而造成废标的后果由投标人自行承担。              </w:t>
            </w:r>
            <w:r>
              <w:rPr>
                <w:rFonts w:hint="eastAsia"/>
                <w:highlight w:val="yellow"/>
              </w:rPr>
              <w:br w:type="textWrapping"/>
            </w:r>
            <w:r>
              <w:rPr>
                <w:rFonts w:hint="eastAsia"/>
                <w:highlight w:val="yellow"/>
              </w:rPr>
              <w:t xml:space="preserve">②投标文件采用网络递交，实行网络开标的，若网络解密失败，将拒绝其投标。              </w:t>
            </w:r>
            <w:r>
              <w:rPr>
                <w:rFonts w:hint="eastAsia"/>
                <w:highlight w:val="yellow"/>
              </w:rPr>
              <w:br w:type="textWrapping"/>
            </w:r>
            <w:r>
              <w:rPr>
                <w:rFonts w:hint="eastAsia"/>
                <w:highlight w:val="yellow"/>
              </w:rPr>
              <w:t xml:space="preserve">7.外埠企业投标：外埠投标人入辽承揽业务需按照辽住建【2016】1号文件执行。             </w:t>
            </w:r>
            <w:r>
              <w:rPr>
                <w:rFonts w:hint="eastAsia"/>
                <w:highlight w:val="yellow"/>
              </w:rPr>
              <w:br w:type="textWrapping"/>
            </w:r>
            <w:r>
              <w:rPr>
                <w:rFonts w:hint="eastAsia"/>
                <w:highlight w:val="yellow"/>
              </w:rPr>
              <w:t xml:space="preserve">8.投标人中标后需提交纸质投标文件，纸质投标文件要求必须整洁，不得活页装订，采用胶装的方式，装订成一册，如不能装订成一册的，可分册装订，但需标明每册的内容。             </w:t>
            </w:r>
            <w:r>
              <w:rPr>
                <w:rFonts w:hint="eastAsia"/>
                <w:highlight w:val="yellow"/>
              </w:rPr>
              <w:br w:type="textWrapping"/>
            </w:r>
            <w:r>
              <w:rPr>
                <w:rFonts w:hint="eastAsia"/>
                <w:highlight w:val="yellow"/>
              </w:rPr>
              <w:t xml:space="preserve">9.本项目招标文件中，如有部分内容前后不一致的，以投标人须知前附表为准。             </w:t>
            </w:r>
            <w:r>
              <w:rPr>
                <w:rFonts w:hint="eastAsia"/>
                <w:highlight w:val="yellow"/>
              </w:rPr>
              <w:br w:type="textWrapping"/>
            </w:r>
            <w:r>
              <w:rPr>
                <w:rFonts w:hint="eastAsia"/>
                <w:highlight w:val="yellow"/>
              </w:rPr>
              <w:t xml:space="preserve">10.注意事项：             </w:t>
            </w:r>
            <w:r>
              <w:rPr>
                <w:rFonts w:hint="eastAsia"/>
                <w:highlight w:val="yellow"/>
              </w:rPr>
              <w:br w:type="textWrapping"/>
            </w:r>
            <w:r>
              <w:rPr>
                <w:rFonts w:hint="eastAsia"/>
                <w:highlight w:val="yellow"/>
              </w:rPr>
              <w:t xml:space="preserve">1、投标人须随时关注系统发布的通知（补遗文件、补充通知、招标控制价等信息），招标代理机构不再另行通知。             </w:t>
            </w:r>
            <w:r>
              <w:rPr>
                <w:rFonts w:hint="eastAsia"/>
                <w:highlight w:val="yellow"/>
              </w:rPr>
              <w:br w:type="textWrapping"/>
            </w:r>
            <w:r>
              <w:rPr>
                <w:rFonts w:hint="eastAsia"/>
                <w:highlight w:val="yellow"/>
              </w:rPr>
              <w:t xml:space="preserve">2、投标单位如有疑问，以邮件形式发送至招标代理机构（ykgongwu@163.com）并电话确认，预留联系人、联系电话、单位名称。             </w:t>
            </w:r>
            <w:r>
              <w:rPr>
                <w:rFonts w:hint="eastAsia"/>
                <w:highlight w:val="yellow"/>
              </w:rPr>
              <w:br w:type="textWrapping"/>
            </w:r>
            <w:r>
              <w:rPr>
                <w:rFonts w:hint="eastAsia"/>
                <w:highlight w:val="yellow"/>
              </w:rPr>
              <w:t xml:space="preserve">11承包人的施工安全责任             </w:t>
            </w:r>
            <w:r>
              <w:rPr>
                <w:rFonts w:hint="eastAsia"/>
                <w:highlight w:val="yellow"/>
              </w:rPr>
              <w:br w:type="textWrapping"/>
            </w:r>
            <w:r>
              <w:rPr>
                <w:rFonts w:hint="eastAsia"/>
                <w:highlight w:val="yellow"/>
              </w:rPr>
              <w:t xml:space="preserve">承包人应充分考虑料场、进场道路、施工道路及工程建设中一切与其他相关方纠纷的组织，协调，发包人不负责组织和协调工作。由此产生的纠纷赔偿，由承包人负责。             </w:t>
            </w:r>
            <w:r>
              <w:rPr>
                <w:rFonts w:hint="eastAsia"/>
                <w:highlight w:val="yellow"/>
              </w:rPr>
              <w:br w:type="textWrapping"/>
            </w:r>
            <w:r>
              <w:rPr>
                <w:rFonts w:hint="eastAsia"/>
                <w:highlight w:val="yellow"/>
              </w:rPr>
              <w:t>承包人应充分保证施工期间对周边环境和人、畜、建、构筑物的安全及影响，所发生费用均包含在投标价格中，做好一切必备保护保障措施，造成一切损失及索赔均由承包人赔付。</w:t>
            </w:r>
            <w:r>
              <w:rPr>
                <w:rFonts w:hint="eastAsia"/>
                <w:highlight w:val="yellow"/>
              </w:rPr>
              <w:br w:type="textWrapping"/>
            </w:r>
            <w:r>
              <w:rPr>
                <w:rFonts w:hint="eastAsia"/>
                <w:highlight w:val="yellow"/>
              </w:rPr>
              <w:t>12.投标人上传的投标文件应按招标文件要求进行签章，对无法完成 CA 签章的，应将按招标文件要求完成签章的扫描页或图片页，随投标文件一同上传，否则评审过程中带来的一切不利后果均由投标人自负。</w:t>
            </w:r>
            <w:r>
              <w:rPr>
                <w:rFonts w:hint="eastAsia"/>
                <w:highlight w:val="yellow"/>
              </w:rPr>
              <w:br w:type="textWrapping"/>
            </w:r>
            <w:r>
              <w:rPr>
                <w:rFonts w:hint="eastAsia"/>
                <w:highlight w:val="yellow"/>
              </w:rPr>
              <w:t>13.付款方式：</w:t>
            </w:r>
          </w:p>
          <w:p>
            <w:pPr>
              <w:numPr>
                <w:ilvl w:val="255"/>
                <w:numId w:val="0"/>
              </w:numPr>
              <w:autoSpaceDE w:val="0"/>
              <w:autoSpaceDN w:val="0"/>
              <w:spacing w:line="360" w:lineRule="auto"/>
              <w:rPr>
                <w:szCs w:val="20"/>
              </w:rPr>
            </w:pPr>
            <w:r>
              <w:rPr>
                <w:rFonts w:hint="eastAsia"/>
                <w:szCs w:val="20"/>
              </w:rPr>
              <w:t>工程预付款</w:t>
            </w:r>
          </w:p>
          <w:p>
            <w:pPr>
              <w:autoSpaceDE w:val="0"/>
              <w:autoSpaceDN w:val="0"/>
              <w:spacing w:line="360" w:lineRule="auto"/>
              <w:rPr>
                <w:szCs w:val="20"/>
              </w:rPr>
            </w:pPr>
            <w:r>
              <w:rPr>
                <w:rFonts w:hint="eastAsia"/>
                <w:szCs w:val="20"/>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承包人已支付的全部款项，并向承包人支付本合同总价款20%的违约金。若上述违约金不足以弥补发包人实际损失的，发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25%作为预付款。</w:t>
            </w:r>
          </w:p>
          <w:p>
            <w:pPr>
              <w:autoSpaceDE w:val="0"/>
              <w:autoSpaceDN w:val="0"/>
              <w:spacing w:line="360" w:lineRule="auto"/>
              <w:rPr>
                <w:szCs w:val="20"/>
              </w:rPr>
            </w:pPr>
            <w:r>
              <w:rPr>
                <w:rFonts w:hint="eastAsia"/>
                <w:szCs w:val="20"/>
              </w:rPr>
              <w:t>工程进度款：</w:t>
            </w:r>
          </w:p>
          <w:p>
            <w:pPr>
              <w:autoSpaceDE w:val="0"/>
              <w:autoSpaceDN w:val="0"/>
              <w:spacing w:line="360" w:lineRule="auto"/>
              <w:ind w:firstLine="315" w:firstLineChars="150"/>
              <w:rPr>
                <w:szCs w:val="20"/>
              </w:rPr>
            </w:pPr>
            <w:r>
              <w:rPr>
                <w:rFonts w:hint="eastAsia"/>
                <w:szCs w:val="20"/>
              </w:rPr>
              <w:t>根据监理、造价、发包人审批的工程量按月支付审核金额80%的进度款。工程进度款达合同总价的</w:t>
            </w:r>
            <w:r>
              <w:rPr>
                <w:szCs w:val="20"/>
              </w:rPr>
              <w:t>30%</w:t>
            </w:r>
            <w:r>
              <w:rPr>
                <w:rFonts w:hint="eastAsia"/>
                <w:szCs w:val="20"/>
              </w:rPr>
              <w:t>时，开始抵扣预付款，工程付款总额达合同总价的</w:t>
            </w:r>
            <w:r>
              <w:rPr>
                <w:szCs w:val="20"/>
              </w:rPr>
              <w:t>80%</w:t>
            </w:r>
            <w:r>
              <w:rPr>
                <w:rFonts w:hint="eastAsia"/>
                <w:szCs w:val="20"/>
              </w:rPr>
              <w:t>（含已支付的预付款）时，停止拨付；</w:t>
            </w:r>
          </w:p>
          <w:p>
            <w:pPr>
              <w:autoSpaceDE w:val="0"/>
              <w:autoSpaceDN w:val="0"/>
              <w:spacing w:line="360" w:lineRule="auto"/>
              <w:rPr>
                <w:szCs w:val="20"/>
              </w:rPr>
            </w:pPr>
            <w:r>
              <w:rPr>
                <w:rFonts w:hint="eastAsia"/>
                <w:szCs w:val="20"/>
              </w:rPr>
              <w:t>工程结算尾款：</w:t>
            </w:r>
          </w:p>
          <w:p>
            <w:pPr>
              <w:autoSpaceDE w:val="0"/>
              <w:autoSpaceDN w:val="0"/>
              <w:spacing w:line="360" w:lineRule="auto"/>
              <w:ind w:firstLine="420" w:firstLineChars="200"/>
              <w:rPr>
                <w:szCs w:val="20"/>
              </w:rPr>
            </w:pPr>
            <w:r>
              <w:rPr>
                <w:rFonts w:hint="eastAsia"/>
                <w:szCs w:val="20"/>
              </w:rPr>
              <w:t>工程完工、验收合格、工程交付、竣工资料交付、工程结算完成后，依据相关报告在</w:t>
            </w:r>
            <w:r>
              <w:rPr>
                <w:szCs w:val="20"/>
              </w:rPr>
              <w:t>10</w:t>
            </w:r>
            <w:r>
              <w:rPr>
                <w:rFonts w:hint="eastAsia"/>
                <w:szCs w:val="20"/>
              </w:rPr>
              <w:t>个工作日内支付工程结算尾款。工程结算尾款</w:t>
            </w:r>
            <w:r>
              <w:rPr>
                <w:szCs w:val="20"/>
              </w:rPr>
              <w:t>=</w:t>
            </w:r>
            <w:r>
              <w:rPr>
                <w:rFonts w:hint="eastAsia"/>
                <w:szCs w:val="20"/>
              </w:rPr>
              <w:t>审定的工程结算总价</w:t>
            </w:r>
            <w:r>
              <w:rPr>
                <w:szCs w:val="20"/>
              </w:rPr>
              <w:t>-</w:t>
            </w:r>
            <w:r>
              <w:rPr>
                <w:rFonts w:hint="eastAsia"/>
                <w:szCs w:val="20"/>
              </w:rPr>
              <w:t>已支付工程款项（预付款、进度款）</w:t>
            </w:r>
            <w:r>
              <w:rPr>
                <w:szCs w:val="20"/>
              </w:rPr>
              <w:t>-</w:t>
            </w:r>
            <w:r>
              <w:rPr>
                <w:rFonts w:hint="eastAsia"/>
                <w:szCs w:val="20"/>
              </w:rPr>
              <w:t>质量保证金</w:t>
            </w:r>
            <w:r>
              <w:rPr>
                <w:szCs w:val="20"/>
              </w:rPr>
              <w:t>-</w:t>
            </w:r>
            <w:r>
              <w:rPr>
                <w:rFonts w:hint="eastAsia"/>
                <w:szCs w:val="20"/>
              </w:rPr>
              <w:t>其他扣款。</w:t>
            </w:r>
          </w:p>
          <w:p>
            <w:pPr>
              <w:autoSpaceDE w:val="0"/>
              <w:autoSpaceDN w:val="0"/>
              <w:spacing w:line="360" w:lineRule="auto"/>
              <w:ind w:firstLine="420" w:firstLineChars="200"/>
              <w:rPr>
                <w:szCs w:val="20"/>
              </w:rPr>
            </w:pPr>
            <w:r>
              <w:rPr>
                <w:rFonts w:hint="eastAsia"/>
                <w:szCs w:val="20"/>
              </w:rPr>
              <w:t>在每次付款前承包人须提供税率为</w:t>
            </w:r>
            <w:r>
              <w:rPr>
                <w:szCs w:val="20"/>
              </w:rPr>
              <w:t>9%</w:t>
            </w:r>
            <w:r>
              <w:rPr>
                <w:rFonts w:hint="eastAsia"/>
                <w:szCs w:val="20"/>
              </w:rPr>
              <w:t>增值税专用发票（支付工程结算尾款时，提供的增值税专用发票金额须含质量保证金），否则，发包人有权拒绝付款。</w:t>
            </w:r>
          </w:p>
          <w:p>
            <w:pPr>
              <w:autoSpaceDE w:val="0"/>
              <w:autoSpaceDN w:val="0"/>
              <w:spacing w:line="360" w:lineRule="auto"/>
              <w:ind w:firstLine="420" w:firstLineChars="200"/>
              <w:rPr>
                <w:szCs w:val="20"/>
              </w:rPr>
            </w:pPr>
            <w:r>
              <w:rPr>
                <w:rFonts w:hint="eastAsia"/>
                <w:szCs w:val="20"/>
              </w:rPr>
              <w:t>合同实施过程中，如遇国家税率调整，合同结算价款也作相应的调整，调整时间节点以国家税率实施起点时间为分界点。</w:t>
            </w:r>
          </w:p>
          <w:p>
            <w:pPr>
              <w:pStyle w:val="2"/>
              <w:ind w:firstLine="0" w:firstLineChars="0"/>
            </w:pPr>
            <w:r>
              <w:rPr>
                <w:rFonts w:hint="eastAsia"/>
              </w:rPr>
              <w:t>质保金：</w:t>
            </w:r>
          </w:p>
          <w:p>
            <w:pPr>
              <w:autoSpaceDE w:val="0"/>
              <w:autoSpaceDN w:val="0"/>
              <w:spacing w:line="360" w:lineRule="auto"/>
              <w:ind w:firstLine="420" w:firstLineChars="200"/>
              <w:rPr>
                <w:szCs w:val="20"/>
              </w:rPr>
            </w:pPr>
            <w:r>
              <w:rPr>
                <w:rFonts w:hint="eastAsia"/>
                <w:szCs w:val="20"/>
              </w:rPr>
              <w:t>质量保证金为审定结算总价的3%。在工程验收合格交付使用之日起一年后，经发包人复检无质量问题1个月内将本合同规定的质量保证金返还承包人（无息），但不解除承包人在《工程质量保修书》中承诺的保修责任。</w:t>
            </w:r>
          </w:p>
          <w:p>
            <w:pPr>
              <w:autoSpaceDE w:val="0"/>
              <w:autoSpaceDN w:val="0"/>
              <w:spacing w:line="360" w:lineRule="auto"/>
              <w:ind w:firstLine="420" w:firstLineChars="200"/>
            </w:pPr>
            <w:r>
              <w:rPr>
                <w:rFonts w:hint="eastAsia"/>
                <w:color w:val="0000FF"/>
                <w:szCs w:val="20"/>
              </w:rPr>
              <w:t xml:space="preserve"> 关于承包人使用发包人的水、电费用</w:t>
            </w:r>
            <w:r>
              <w:rPr>
                <w:rFonts w:hint="eastAsia"/>
                <w:color w:val="0000FF"/>
                <w:szCs w:val="20"/>
                <w:lang w:eastAsia="zh-CN"/>
              </w:rPr>
              <w:t>安装</w:t>
            </w:r>
            <w:r>
              <w:rPr>
                <w:rFonts w:hint="eastAsia"/>
                <w:color w:val="0000FF"/>
                <w:szCs w:val="20"/>
              </w:rPr>
              <w:t>表计量（计量设施由承包人负责安装），并在支付工程结算尾款时扣回。水、电费单价按照发包方当期实际购买价格（含税）计算执行。</w:t>
            </w:r>
          </w:p>
          <w:p>
            <w:pPr>
              <w:pStyle w:val="2"/>
            </w:pPr>
          </w:p>
          <w:p>
            <w:pPr>
              <w:pStyle w:val="2"/>
              <w:ind w:firstLine="0" w:firstLineChars="0"/>
            </w:pPr>
            <w:r>
              <w:rPr>
                <w:rFonts w:hint="eastAsia"/>
                <w:highlight w:val="yellow"/>
              </w:rPr>
              <w:t>14.</w:t>
            </w:r>
            <w:r>
              <w:rPr>
                <w:rFonts w:hint="eastAsia"/>
              </w:rPr>
              <w:t>招标人在中标候选人公示期间，将组织相关人员对中标候选人的信誉情况、</w:t>
            </w:r>
            <w:r>
              <w:rPr>
                <w:rFonts w:hint="eastAsia"/>
                <w:highlight w:val="yellow"/>
              </w:rPr>
              <w:t>施工质量、</w:t>
            </w:r>
            <w:r>
              <w:rPr>
                <w:rFonts w:hint="eastAsia"/>
              </w:rPr>
              <w:t>财务状况等情况进行核查，如发现中标候选人在</w:t>
            </w:r>
            <w:r>
              <w:rPr>
                <w:rFonts w:hint="eastAsia"/>
                <w:highlight w:val="yellow"/>
              </w:rPr>
              <w:t>2020年至递交投标文件截止时间因工期延误、施工过程及服务存在瑕疵</w:t>
            </w:r>
            <w:r>
              <w:rPr>
                <w:rFonts w:hint="eastAsia"/>
              </w:rPr>
              <w:t>等情况存在司法案件败诉情况的、中标候选人在投标文件中提供虚假资料骗取中标的以及其他存在中标候选人的经营、财务状况发生较大变化或者存在违法行为，招标人认为可能影响其履约能力的，将取消其中标候选人资格。</w:t>
            </w:r>
          </w:p>
        </w:tc>
      </w:tr>
    </w:tbl>
    <w:p>
      <w:r>
        <w:rPr>
          <w:rFonts w:hint="eastAsia"/>
        </w:rPr>
        <w:br w:type="page"/>
      </w:r>
    </w:p>
    <w:bookmarkEnd w:id="13"/>
    <w:bookmarkEnd w:id="14"/>
    <w:p>
      <w:pPr>
        <w:pStyle w:val="29"/>
        <w:spacing w:line="360" w:lineRule="exact"/>
      </w:pPr>
      <w:bookmarkStart w:id="21" w:name="_Toc5563"/>
      <w:bookmarkStart w:id="22" w:name="_Toc256000004"/>
      <w:bookmarkStart w:id="23" w:name="_Toc166326840"/>
      <w:r>
        <w:rPr>
          <w:rFonts w:hint="eastAsia"/>
        </w:rPr>
        <w:t>投标人须知正文部分</w:t>
      </w:r>
      <w:bookmarkEnd w:id="21"/>
      <w:bookmarkEnd w:id="22"/>
      <w:bookmarkEnd w:id="23"/>
    </w:p>
    <w:p>
      <w:pPr>
        <w:pStyle w:val="29"/>
        <w:spacing w:line="360" w:lineRule="exact"/>
      </w:pPr>
      <w:bookmarkStart w:id="24" w:name="_Toc152042305"/>
      <w:bookmarkStart w:id="25" w:name="_Toc144974497"/>
      <w:bookmarkStart w:id="26" w:name="_Toc179632546"/>
      <w:bookmarkStart w:id="27" w:name="_Toc256000005"/>
      <w:bookmarkStart w:id="28" w:name="_Toc166326841"/>
      <w:bookmarkStart w:id="29" w:name="_Toc152045529"/>
      <w:bookmarkStart w:id="30" w:name="_Toc10878"/>
      <w:r>
        <w:rPr>
          <w:rFonts w:hint="eastAsia"/>
        </w:rPr>
        <w:t>1. 总则</w:t>
      </w:r>
      <w:bookmarkEnd w:id="24"/>
      <w:bookmarkEnd w:id="25"/>
      <w:bookmarkEnd w:id="26"/>
      <w:bookmarkEnd w:id="27"/>
      <w:bookmarkEnd w:id="28"/>
      <w:bookmarkEnd w:id="29"/>
      <w:bookmarkEnd w:id="30"/>
    </w:p>
    <w:p>
      <w:pPr>
        <w:pStyle w:val="31"/>
        <w:spacing w:line="360" w:lineRule="exact"/>
      </w:pPr>
      <w:bookmarkStart w:id="31" w:name="_Toc152042306"/>
      <w:bookmarkStart w:id="32" w:name="_Toc144974498"/>
      <w:bookmarkStart w:id="33" w:name="_Toc166326842"/>
      <w:bookmarkStart w:id="34" w:name="_Toc256000006"/>
      <w:bookmarkStart w:id="35" w:name="_Toc27892"/>
      <w:bookmarkStart w:id="36" w:name="_Toc179632547"/>
      <w:bookmarkStart w:id="37" w:name="_Toc152045530"/>
      <w:r>
        <w:rPr>
          <w:rFonts w:hint="eastAsia"/>
        </w:rPr>
        <w:t>1.1 项目概况</w:t>
      </w:r>
      <w:bookmarkEnd w:id="31"/>
      <w:bookmarkEnd w:id="32"/>
      <w:bookmarkEnd w:id="33"/>
      <w:bookmarkEnd w:id="34"/>
      <w:bookmarkEnd w:id="35"/>
      <w:bookmarkEnd w:id="36"/>
      <w:bookmarkEnd w:id="37"/>
    </w:p>
    <w:p>
      <w:pPr>
        <w:spacing w:line="360" w:lineRule="exact"/>
        <w:ind w:firstLine="420" w:firstLineChars="200"/>
      </w:pPr>
      <w:r>
        <w:rPr>
          <w:rFonts w:hint="eastAsia"/>
        </w:rPr>
        <w:t>1.1.1根据《中华人民共和国招标投标法》等有关法律、法规和规章的规定，本招标项目已具备招标条件，现对本标段施工进行招标。</w:t>
      </w:r>
    </w:p>
    <w:p>
      <w:pPr>
        <w:spacing w:line="360" w:lineRule="exact"/>
        <w:ind w:firstLine="420" w:firstLineChars="200"/>
      </w:pPr>
      <w:r>
        <w:rPr>
          <w:rFonts w:hint="eastAsia"/>
        </w:rPr>
        <w:t>1.1.2 本招标项目招标人：见投标人须知前附表。</w:t>
      </w:r>
    </w:p>
    <w:p>
      <w:pPr>
        <w:spacing w:line="360" w:lineRule="exact"/>
        <w:ind w:firstLine="420" w:firstLineChars="200"/>
      </w:pPr>
      <w:r>
        <w:rPr>
          <w:rFonts w:hint="eastAsia"/>
        </w:rPr>
        <w:t>1.1.3 本标段招标代理机构：见投标人须知前附表。</w:t>
      </w:r>
    </w:p>
    <w:p>
      <w:pPr>
        <w:spacing w:line="360" w:lineRule="exact"/>
        <w:ind w:firstLine="420" w:firstLineChars="200"/>
      </w:pPr>
      <w:r>
        <w:rPr>
          <w:rFonts w:hint="eastAsia"/>
        </w:rPr>
        <w:t>1.1.4 本标段项目名称：见投标人须知前附表。</w:t>
      </w:r>
    </w:p>
    <w:p>
      <w:pPr>
        <w:spacing w:line="360" w:lineRule="exact"/>
        <w:ind w:firstLine="420" w:firstLineChars="200"/>
      </w:pPr>
      <w:r>
        <w:rPr>
          <w:rFonts w:hint="eastAsia"/>
        </w:rPr>
        <w:t>1.1.5 本标段建设地点：见投标人须知前附表。</w:t>
      </w:r>
    </w:p>
    <w:p>
      <w:pPr>
        <w:spacing w:line="360" w:lineRule="exact"/>
        <w:ind w:firstLine="420" w:firstLineChars="200"/>
      </w:pPr>
      <w:bookmarkStart w:id="38" w:name="_Hlk165114484"/>
      <w:bookmarkStart w:id="39" w:name="_Hlk165117315"/>
      <w:r>
        <w:rPr>
          <w:rFonts w:hint="eastAsia"/>
        </w:rPr>
        <w:t>1.1.6 本招标项目投资估算：见投标人须知前附表。</w:t>
      </w:r>
      <w:bookmarkEnd w:id="38"/>
    </w:p>
    <w:bookmarkEnd w:id="39"/>
    <w:p>
      <w:pPr>
        <w:spacing w:line="360" w:lineRule="exact"/>
        <w:ind w:firstLine="420" w:firstLineChars="200"/>
      </w:pPr>
      <w:bookmarkStart w:id="40" w:name="_Hlk144976007"/>
      <w:r>
        <w:rPr>
          <w:rFonts w:hint="eastAsia"/>
        </w:rPr>
        <w:t>1.1.7 本标段采用的电子交易系统名称：见投标人须知前附表。</w:t>
      </w:r>
      <w:bookmarkEnd w:id="40"/>
    </w:p>
    <w:p>
      <w:pPr>
        <w:pStyle w:val="31"/>
        <w:spacing w:line="360" w:lineRule="exact"/>
      </w:pPr>
      <w:bookmarkStart w:id="41" w:name="_Toc256000007"/>
      <w:bookmarkStart w:id="42" w:name="_Toc152042307"/>
      <w:bookmarkStart w:id="43" w:name="_Toc166326843"/>
      <w:bookmarkStart w:id="44" w:name="_Toc179632548"/>
      <w:bookmarkStart w:id="45" w:name="_Toc152045531"/>
      <w:bookmarkStart w:id="46" w:name="_Toc144974499"/>
      <w:bookmarkStart w:id="47" w:name="_Toc3011"/>
      <w:r>
        <w:rPr>
          <w:rFonts w:hint="eastAsia"/>
        </w:rPr>
        <w:t>1.2 资金来源和落实情况</w:t>
      </w:r>
      <w:bookmarkEnd w:id="41"/>
      <w:bookmarkEnd w:id="42"/>
      <w:bookmarkEnd w:id="43"/>
      <w:bookmarkEnd w:id="44"/>
      <w:bookmarkEnd w:id="45"/>
      <w:bookmarkEnd w:id="46"/>
      <w:bookmarkEnd w:id="47"/>
    </w:p>
    <w:p>
      <w:pPr>
        <w:spacing w:line="360" w:lineRule="exact"/>
        <w:ind w:firstLine="420" w:firstLineChars="200"/>
      </w:pPr>
      <w:r>
        <w:rPr>
          <w:rFonts w:hint="eastAsia"/>
        </w:rPr>
        <w:t xml:space="preserve">1.2.1 </w:t>
      </w:r>
      <w:bookmarkStart w:id="48" w:name="_Hlk165117758"/>
      <w:r>
        <w:rPr>
          <w:rFonts w:hint="eastAsia"/>
        </w:rPr>
        <w:t>本招标项目的</w:t>
      </w:r>
      <w:bookmarkEnd w:id="48"/>
      <w:r>
        <w:rPr>
          <w:rFonts w:hint="eastAsia"/>
        </w:rPr>
        <w:t>资金来源：见投标人须知前附表。</w:t>
      </w:r>
    </w:p>
    <w:p>
      <w:pPr>
        <w:spacing w:line="360" w:lineRule="exact"/>
        <w:ind w:firstLine="420" w:firstLineChars="200"/>
      </w:pPr>
      <w:r>
        <w:t>1.2.2</w:t>
      </w:r>
      <w:r>
        <w:rPr>
          <w:rFonts w:hint="eastAsia"/>
        </w:rPr>
        <w:t xml:space="preserve"> 本招标项目的出资比例：见投标人须知前附表。</w:t>
      </w:r>
    </w:p>
    <w:p>
      <w:pPr>
        <w:spacing w:line="360" w:lineRule="exact"/>
        <w:ind w:firstLine="420" w:firstLineChars="200"/>
      </w:pPr>
      <w:bookmarkStart w:id="49" w:name="_Hlk165114533"/>
      <w:bookmarkStart w:id="50" w:name="_Hlk165114515"/>
      <w:r>
        <w:rPr>
          <w:rFonts w:hint="eastAsia"/>
        </w:rPr>
        <w:t>1.2.</w:t>
      </w:r>
      <w:r>
        <w:t>3</w:t>
      </w:r>
      <w:bookmarkStart w:id="51" w:name="_Hlk165114740"/>
      <w:r>
        <w:rPr>
          <w:rFonts w:hint="eastAsia"/>
        </w:rPr>
        <w:t xml:space="preserve"> 本</w:t>
      </w:r>
      <w:bookmarkStart w:id="52" w:name="_Hlk165116025"/>
      <w:r>
        <w:rPr>
          <w:rFonts w:hint="eastAsia"/>
        </w:rPr>
        <w:t>标段合同估算价：见投标人须知前附表。</w:t>
      </w:r>
      <w:bookmarkEnd w:id="49"/>
      <w:bookmarkEnd w:id="51"/>
      <w:bookmarkEnd w:id="52"/>
    </w:p>
    <w:bookmarkEnd w:id="50"/>
    <w:p>
      <w:pPr>
        <w:spacing w:line="360" w:lineRule="exact"/>
        <w:ind w:firstLine="420" w:firstLineChars="200"/>
      </w:pPr>
      <w:r>
        <w:rPr>
          <w:rFonts w:hint="eastAsia"/>
        </w:rPr>
        <w:t>1.2.</w:t>
      </w:r>
      <w:r>
        <w:t>4</w:t>
      </w:r>
      <w:r>
        <w:rPr>
          <w:rFonts w:hint="eastAsia"/>
        </w:rPr>
        <w:t xml:space="preserve"> 本标段资金落实情况：见投标人须知前附表。</w:t>
      </w:r>
    </w:p>
    <w:p>
      <w:pPr>
        <w:pStyle w:val="31"/>
        <w:spacing w:line="360" w:lineRule="exact"/>
      </w:pPr>
      <w:bookmarkStart w:id="53" w:name="_Toc879"/>
      <w:bookmarkStart w:id="54" w:name="_Toc256000008"/>
      <w:bookmarkStart w:id="55" w:name="_Toc179632549"/>
      <w:bookmarkStart w:id="56" w:name="_Toc144974500"/>
      <w:bookmarkStart w:id="57" w:name="_Toc166326844"/>
      <w:bookmarkStart w:id="58" w:name="_Toc152045532"/>
      <w:bookmarkStart w:id="59" w:name="_Toc152042308"/>
      <w:r>
        <w:rPr>
          <w:rFonts w:hint="eastAsia"/>
        </w:rPr>
        <w:t>1.3 招标范围、计划工期和质量要求</w:t>
      </w:r>
      <w:bookmarkEnd w:id="53"/>
      <w:bookmarkEnd w:id="54"/>
      <w:bookmarkEnd w:id="55"/>
      <w:bookmarkEnd w:id="56"/>
      <w:bookmarkEnd w:id="57"/>
      <w:bookmarkEnd w:id="58"/>
      <w:bookmarkEnd w:id="59"/>
    </w:p>
    <w:p>
      <w:pPr>
        <w:spacing w:line="360" w:lineRule="exact"/>
        <w:ind w:firstLine="420" w:firstLineChars="200"/>
      </w:pPr>
      <w:r>
        <w:rPr>
          <w:rFonts w:hint="eastAsia"/>
        </w:rPr>
        <w:t>1.3.1 本次招标范围：见投标人须知前附表。</w:t>
      </w:r>
    </w:p>
    <w:p>
      <w:pPr>
        <w:spacing w:line="360" w:lineRule="exact"/>
        <w:ind w:firstLine="420" w:firstLineChars="200"/>
      </w:pPr>
      <w:r>
        <w:rPr>
          <w:rFonts w:hint="eastAsia"/>
        </w:rPr>
        <w:t>1.3.2 本标段的计划工期：见投标人须知前附表。</w:t>
      </w:r>
    </w:p>
    <w:p>
      <w:pPr>
        <w:spacing w:line="360" w:lineRule="exact"/>
        <w:ind w:firstLine="420" w:firstLineChars="200"/>
      </w:pPr>
      <w:r>
        <w:rPr>
          <w:rFonts w:hint="eastAsia"/>
        </w:rPr>
        <w:t>1.3.3 本标段的质量要求：见投标人须知前附表。</w:t>
      </w:r>
    </w:p>
    <w:p>
      <w:pPr>
        <w:pStyle w:val="31"/>
        <w:spacing w:line="360" w:lineRule="exact"/>
      </w:pPr>
      <w:bookmarkStart w:id="60" w:name="_Toc152045534"/>
      <w:bookmarkStart w:id="61" w:name="_Toc166326845"/>
      <w:bookmarkStart w:id="62" w:name="_Toc179632551"/>
      <w:bookmarkStart w:id="63" w:name="_Toc152042310"/>
      <w:bookmarkStart w:id="64" w:name="_Toc256000009"/>
      <w:bookmarkStart w:id="65" w:name="_Toc19469"/>
      <w:bookmarkStart w:id="66" w:name="_Toc144974502"/>
      <w:r>
        <w:rPr>
          <w:rFonts w:hint="eastAsia"/>
        </w:rPr>
        <w:t>1.4 投标人资格要求</w:t>
      </w:r>
      <w:bookmarkEnd w:id="60"/>
      <w:bookmarkEnd w:id="61"/>
      <w:bookmarkEnd w:id="62"/>
      <w:bookmarkEnd w:id="63"/>
      <w:bookmarkEnd w:id="64"/>
      <w:bookmarkEnd w:id="65"/>
      <w:bookmarkEnd w:id="66"/>
    </w:p>
    <w:p>
      <w:pPr>
        <w:spacing w:line="360" w:lineRule="exact"/>
        <w:ind w:firstLine="420" w:firstLineChars="200"/>
      </w:pPr>
      <w:r>
        <w:rPr>
          <w:rFonts w:hint="eastAsia"/>
        </w:rPr>
        <w:t>1.4.1投标人应具备承担本标段施工的资质条件、能力和信誉。</w:t>
      </w:r>
    </w:p>
    <w:p>
      <w:pPr>
        <w:spacing w:line="360" w:lineRule="exact"/>
        <w:ind w:firstLine="718" w:firstLineChars="342"/>
      </w:pPr>
      <w:r>
        <w:rPr>
          <w:rFonts w:hint="eastAsia"/>
        </w:rPr>
        <w:t>（1）资质条件：见投标人须知前附表；</w:t>
      </w:r>
    </w:p>
    <w:p>
      <w:pPr>
        <w:spacing w:line="360" w:lineRule="exact"/>
        <w:ind w:firstLine="718" w:firstLineChars="342"/>
      </w:pPr>
      <w:r>
        <w:rPr>
          <w:rFonts w:hint="eastAsia"/>
        </w:rPr>
        <w:t>（2）财务要求：见投标人须知前附表（如有）；</w:t>
      </w:r>
    </w:p>
    <w:p>
      <w:pPr>
        <w:spacing w:line="360" w:lineRule="exact"/>
        <w:ind w:firstLine="718" w:firstLineChars="342"/>
      </w:pPr>
      <w:r>
        <w:rPr>
          <w:rFonts w:hint="eastAsia"/>
        </w:rPr>
        <w:t>（3）业绩要求：见投标人须知前附表（如有）；</w:t>
      </w:r>
    </w:p>
    <w:p>
      <w:pPr>
        <w:spacing w:line="360" w:lineRule="exact"/>
        <w:ind w:firstLine="718" w:firstLineChars="342"/>
      </w:pPr>
      <w:r>
        <w:rPr>
          <w:rFonts w:hint="eastAsia"/>
        </w:rPr>
        <w:t>（4）信誉要求：见投标人须知前附表；</w:t>
      </w:r>
    </w:p>
    <w:p>
      <w:pPr>
        <w:spacing w:line="360" w:lineRule="exact"/>
        <w:ind w:firstLine="718" w:firstLineChars="342"/>
      </w:pPr>
      <w:r>
        <w:rPr>
          <w:rFonts w:hint="eastAsia"/>
        </w:rPr>
        <w:t>（5）项目经理资格：见投标人须知前附表；</w:t>
      </w:r>
    </w:p>
    <w:p>
      <w:pPr>
        <w:spacing w:line="360" w:lineRule="exact"/>
        <w:ind w:firstLine="718" w:firstLineChars="342"/>
      </w:pPr>
      <w:r>
        <w:rPr>
          <w:rFonts w:hint="eastAsia"/>
        </w:rPr>
        <w:t>（6）项目管理机构主要人员要求：见投标人须知前附表；</w:t>
      </w:r>
    </w:p>
    <w:p>
      <w:pPr>
        <w:spacing w:line="360" w:lineRule="exact"/>
        <w:ind w:firstLine="718" w:firstLineChars="342"/>
      </w:pPr>
      <w:r>
        <w:rPr>
          <w:rFonts w:hint="eastAsia"/>
        </w:rPr>
        <w:t>（7）其他要求：见投标人须知前附表。</w:t>
      </w:r>
    </w:p>
    <w:p>
      <w:pPr>
        <w:spacing w:line="360" w:lineRule="exact"/>
        <w:ind w:firstLine="420" w:firstLineChars="200"/>
      </w:pPr>
      <w:r>
        <w:rPr>
          <w:rFonts w:hint="eastAsia"/>
        </w:rPr>
        <w:t xml:space="preserve">1.4.2 投标人须知前附表规定接受联合体投标的，除应符合本章第1.4.1项和投标人须知前附表的要求外，还应遵守以下规定： </w:t>
      </w:r>
    </w:p>
    <w:p>
      <w:pPr>
        <w:spacing w:line="360" w:lineRule="exact"/>
        <w:ind w:firstLine="718" w:firstLineChars="342"/>
      </w:pPr>
      <w:r>
        <w:rPr>
          <w:rFonts w:hint="eastAsia"/>
        </w:rPr>
        <w:t>（1）联合体各方应按招标文件提供的格式签订联合体协议书，明确联合体牵头人和各方权利义务；</w:t>
      </w:r>
    </w:p>
    <w:p>
      <w:pPr>
        <w:spacing w:line="360" w:lineRule="exact"/>
        <w:ind w:firstLine="718" w:firstLineChars="342"/>
      </w:pPr>
      <w:r>
        <w:rPr>
          <w:rFonts w:hint="eastAsia"/>
        </w:rPr>
        <w:t xml:space="preserve">（2）由同一专业的单位组成的联合体，按照资质等级较低的单位确定资质等级； </w:t>
      </w:r>
    </w:p>
    <w:p>
      <w:pPr>
        <w:spacing w:line="360" w:lineRule="exact"/>
        <w:ind w:firstLine="718" w:firstLineChars="342"/>
      </w:pPr>
      <w:r>
        <w:rPr>
          <w:rFonts w:hint="eastAsia"/>
        </w:rPr>
        <w:t>（3）联合体各方不得再以自己名义单独或参加其他联合体在同一标段中投标。</w:t>
      </w:r>
    </w:p>
    <w:p>
      <w:pPr>
        <w:spacing w:line="360" w:lineRule="exact"/>
        <w:ind w:firstLine="420" w:firstLineChars="200"/>
      </w:pPr>
      <w:r>
        <w:rPr>
          <w:rFonts w:hint="eastAsia"/>
        </w:rPr>
        <w:t>1.4.3 投标人不得存在下列情形之一：</w:t>
      </w:r>
    </w:p>
    <w:p>
      <w:pPr>
        <w:spacing w:line="360" w:lineRule="exact"/>
        <w:ind w:firstLine="718" w:firstLineChars="342"/>
      </w:pPr>
      <w:r>
        <w:rPr>
          <w:rFonts w:hint="eastAsia"/>
        </w:rPr>
        <w:t>（1）为招标人不具有独立法人资格的附属机构（单位）；</w:t>
      </w:r>
    </w:p>
    <w:p>
      <w:pPr>
        <w:spacing w:line="360" w:lineRule="exact"/>
        <w:ind w:firstLine="718" w:firstLineChars="342"/>
      </w:pPr>
      <w:r>
        <w:rPr>
          <w:rFonts w:hint="eastAsia"/>
        </w:rPr>
        <w:t xml:space="preserve">（2）为本标段前期准备提供设计或咨询服务的； </w:t>
      </w:r>
    </w:p>
    <w:p>
      <w:pPr>
        <w:spacing w:line="360" w:lineRule="exact"/>
        <w:ind w:firstLine="718" w:firstLineChars="342"/>
      </w:pPr>
      <w:r>
        <w:rPr>
          <w:rFonts w:hint="eastAsia"/>
        </w:rPr>
        <w:t>（3）为本标段的监理人；</w:t>
      </w:r>
    </w:p>
    <w:p>
      <w:pPr>
        <w:spacing w:line="360" w:lineRule="exact"/>
        <w:ind w:firstLine="718" w:firstLineChars="342"/>
      </w:pPr>
      <w:r>
        <w:rPr>
          <w:rFonts w:hint="eastAsia"/>
        </w:rPr>
        <w:t>（4）为本标段的代建人；</w:t>
      </w:r>
    </w:p>
    <w:p>
      <w:pPr>
        <w:spacing w:line="360" w:lineRule="exact"/>
        <w:ind w:firstLine="718" w:firstLineChars="342"/>
      </w:pPr>
      <w:r>
        <w:rPr>
          <w:rFonts w:hint="eastAsia"/>
        </w:rPr>
        <w:t>（5）为本标段提供招标代理服务；</w:t>
      </w:r>
    </w:p>
    <w:p>
      <w:pPr>
        <w:spacing w:line="360" w:lineRule="exact"/>
        <w:ind w:firstLine="718" w:firstLineChars="342"/>
      </w:pPr>
      <w:r>
        <w:rPr>
          <w:rFonts w:hint="eastAsia"/>
        </w:rPr>
        <w:t xml:space="preserve">（6）与本标段的监理人或代建人或招标代理机构同为一个法定代表人或单位负责人； </w:t>
      </w:r>
    </w:p>
    <w:p>
      <w:pPr>
        <w:spacing w:line="360" w:lineRule="exact"/>
        <w:ind w:firstLine="718" w:firstLineChars="342"/>
      </w:pPr>
      <w:r>
        <w:rPr>
          <w:rFonts w:hint="eastAsia"/>
        </w:rPr>
        <w:t>（7）与本标段的监理人或代建人或招标代理机构相互控股或参股；</w:t>
      </w:r>
    </w:p>
    <w:p>
      <w:pPr>
        <w:spacing w:line="360" w:lineRule="exact"/>
        <w:ind w:firstLine="718" w:firstLineChars="342"/>
      </w:pPr>
      <w:r>
        <w:rPr>
          <w:rFonts w:hint="eastAsia"/>
        </w:rPr>
        <w:t>（8）与本标段的监理人或代建人或招标代理机构的法定代表人或单位负责人相互任职或工作；</w:t>
      </w:r>
    </w:p>
    <w:p>
      <w:pPr>
        <w:spacing w:line="360" w:lineRule="exact"/>
        <w:ind w:firstLine="718" w:firstLineChars="342"/>
      </w:pPr>
      <w:r>
        <w:rPr>
          <w:rFonts w:hint="eastAsia"/>
        </w:rPr>
        <w:t>（9）单位负责人为同一人或者存在控股、管理关系的不同单位，同时参加本标段投标的；</w:t>
      </w:r>
    </w:p>
    <w:p>
      <w:pPr>
        <w:spacing w:line="360" w:lineRule="exact"/>
        <w:ind w:firstLine="718" w:firstLineChars="342"/>
      </w:pPr>
      <w:r>
        <w:rPr>
          <w:rFonts w:hint="eastAsia"/>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718" w:firstLineChars="342"/>
      </w:pPr>
      <w:r>
        <w:rPr>
          <w:rFonts w:hint="eastAsia"/>
        </w:rPr>
        <w:t xml:space="preserve">（11）被责令停产停业、暂扣或者吊销许可证、暂扣或者吊销执照； </w:t>
      </w:r>
    </w:p>
    <w:p>
      <w:pPr>
        <w:spacing w:line="360" w:lineRule="exact"/>
        <w:ind w:firstLine="718" w:firstLineChars="342"/>
      </w:pPr>
      <w:r>
        <w:rPr>
          <w:rFonts w:hint="eastAsia"/>
        </w:rPr>
        <w:t>（12）进入清算程序，或被宣告破产，或其他丧失履约能力的情形；</w:t>
      </w:r>
    </w:p>
    <w:p>
      <w:pPr>
        <w:spacing w:line="360" w:lineRule="exact"/>
        <w:ind w:firstLine="718" w:firstLineChars="342"/>
      </w:pPr>
      <w:r>
        <w:rPr>
          <w:rFonts w:hint="eastAsia"/>
        </w:rPr>
        <w:t>（13）在最近三年内有骗取中标或严重违约或重大工程质量问题的（以相关行业主管部门的行政处罚决定或司法机关出具的有关法律文书为准）；</w:t>
      </w:r>
    </w:p>
    <w:p>
      <w:pPr>
        <w:spacing w:line="360" w:lineRule="exact"/>
        <w:ind w:firstLine="718" w:firstLineChars="342"/>
      </w:pPr>
      <w:r>
        <w:rPr>
          <w:rFonts w:hint="eastAsia"/>
        </w:rPr>
        <w:t>（14）在“国家企业信用信息公示系统”（www.gsxt.gov.cn）中被列入严重违法失信企业名单；</w:t>
      </w:r>
    </w:p>
    <w:p>
      <w:pPr>
        <w:spacing w:line="360" w:lineRule="exact"/>
        <w:ind w:firstLine="718" w:firstLineChars="342"/>
      </w:pPr>
      <w:r>
        <w:rPr>
          <w:rFonts w:hint="eastAsia"/>
        </w:rPr>
        <w:t>（15）在“信用中国”网站（www.creditchina.gov.cn）或“中国执行信息公开网”（http://zxgk.court.gov.cn/shixin/） 被列入失信被执行人名单；</w:t>
      </w:r>
    </w:p>
    <w:p>
      <w:pPr>
        <w:spacing w:line="360" w:lineRule="exact"/>
        <w:ind w:firstLine="718" w:firstLineChars="342"/>
      </w:pPr>
      <w:r>
        <w:rPr>
          <w:rFonts w:hint="eastAsia"/>
        </w:rPr>
        <w:t>（16）在辽宁省建设工程招投标监督平台-辽宁建设工程信息网上被列入不良行为记录且在公布期内的；</w:t>
      </w:r>
    </w:p>
    <w:p>
      <w:pPr>
        <w:spacing w:line="360" w:lineRule="exact"/>
        <w:ind w:firstLine="718" w:firstLineChars="342"/>
      </w:pPr>
      <w:r>
        <w:rPr>
          <w:rFonts w:hint="eastAsia"/>
        </w:rPr>
        <w:t>（17）法律法规规定的其他情形。</w:t>
      </w:r>
    </w:p>
    <w:p>
      <w:pPr>
        <w:pStyle w:val="31"/>
        <w:spacing w:line="360" w:lineRule="exact"/>
      </w:pPr>
      <w:bookmarkStart w:id="67" w:name="_Toc152045535"/>
      <w:bookmarkStart w:id="68" w:name="_Toc8065"/>
      <w:bookmarkStart w:id="69" w:name="_Toc144974503"/>
      <w:bookmarkStart w:id="70" w:name="_Toc166326846"/>
      <w:bookmarkStart w:id="71" w:name="_Toc179632552"/>
      <w:bookmarkStart w:id="72" w:name="_Toc152042311"/>
      <w:bookmarkStart w:id="73" w:name="_Toc256000010"/>
      <w:r>
        <w:rPr>
          <w:rFonts w:hint="eastAsia"/>
        </w:rPr>
        <w:t>1.5 费用承担</w:t>
      </w:r>
      <w:bookmarkEnd w:id="67"/>
      <w:bookmarkEnd w:id="68"/>
      <w:bookmarkEnd w:id="69"/>
      <w:bookmarkEnd w:id="70"/>
      <w:bookmarkEnd w:id="71"/>
      <w:bookmarkEnd w:id="72"/>
      <w:bookmarkEnd w:id="73"/>
    </w:p>
    <w:p>
      <w:pPr>
        <w:spacing w:line="360" w:lineRule="exact"/>
        <w:ind w:firstLine="420" w:firstLineChars="200"/>
      </w:pPr>
      <w:r>
        <w:rPr>
          <w:rFonts w:hint="eastAsia"/>
        </w:rPr>
        <w:t>投标人准备和参加投标活动发生的费用自理。</w:t>
      </w:r>
    </w:p>
    <w:p>
      <w:pPr>
        <w:pStyle w:val="31"/>
        <w:spacing w:line="360" w:lineRule="exact"/>
      </w:pPr>
      <w:bookmarkStart w:id="74" w:name="_Toc152045536"/>
      <w:bookmarkStart w:id="75" w:name="_Toc179632553"/>
      <w:bookmarkStart w:id="76" w:name="_Toc256000011"/>
      <w:bookmarkStart w:id="77" w:name="_Toc152042312"/>
      <w:bookmarkStart w:id="78" w:name="_Toc144974504"/>
      <w:bookmarkStart w:id="79" w:name="_Toc166326847"/>
      <w:bookmarkStart w:id="80" w:name="_Toc10416"/>
      <w:r>
        <w:rPr>
          <w:rFonts w:hint="eastAsia"/>
        </w:rPr>
        <w:t>1.6 保密</w:t>
      </w:r>
      <w:bookmarkEnd w:id="74"/>
      <w:bookmarkEnd w:id="75"/>
      <w:bookmarkEnd w:id="76"/>
      <w:bookmarkEnd w:id="77"/>
      <w:bookmarkEnd w:id="78"/>
      <w:bookmarkEnd w:id="79"/>
      <w:bookmarkEnd w:id="80"/>
    </w:p>
    <w:p>
      <w:pPr>
        <w:spacing w:line="360" w:lineRule="exact"/>
        <w:ind w:firstLine="420" w:firstLineChars="200"/>
      </w:pPr>
      <w:r>
        <w:rPr>
          <w:rFonts w:hint="eastAsia"/>
        </w:rPr>
        <w:t xml:space="preserve">参与招标投标活动的各方应对招标文件和投标文件中的商业和技术等秘密保密，违者应对由此造成的后果承担法律责任。 </w:t>
      </w:r>
    </w:p>
    <w:p>
      <w:pPr>
        <w:pStyle w:val="31"/>
        <w:spacing w:line="360" w:lineRule="exact"/>
      </w:pPr>
      <w:bookmarkStart w:id="81" w:name="_Toc144974505"/>
      <w:bookmarkStart w:id="82" w:name="_Toc166326848"/>
      <w:bookmarkStart w:id="83" w:name="_Toc256000012"/>
      <w:bookmarkStart w:id="84" w:name="_Toc152042313"/>
      <w:bookmarkStart w:id="85" w:name="_Toc179632554"/>
      <w:bookmarkStart w:id="86" w:name="_Toc8240"/>
      <w:bookmarkStart w:id="87" w:name="_Toc152045537"/>
      <w:r>
        <w:rPr>
          <w:rFonts w:hint="eastAsia"/>
        </w:rPr>
        <w:t>1.7 语言</w:t>
      </w:r>
      <w:bookmarkEnd w:id="81"/>
      <w:r>
        <w:rPr>
          <w:rFonts w:hint="eastAsia"/>
        </w:rPr>
        <w:t>文字</w:t>
      </w:r>
      <w:bookmarkEnd w:id="82"/>
      <w:bookmarkEnd w:id="83"/>
      <w:bookmarkEnd w:id="84"/>
      <w:bookmarkEnd w:id="85"/>
      <w:bookmarkEnd w:id="86"/>
      <w:bookmarkEnd w:id="87"/>
    </w:p>
    <w:p>
      <w:pPr>
        <w:spacing w:line="360" w:lineRule="exact"/>
        <w:ind w:firstLine="420" w:firstLineChars="200"/>
      </w:pPr>
      <w:r>
        <w:rPr>
          <w:rFonts w:hint="eastAsia"/>
        </w:rPr>
        <w:t>除专用术语外，与招标投标有关的语言均使用中文。必要时专用术语应附有中文注释。</w:t>
      </w:r>
    </w:p>
    <w:p>
      <w:pPr>
        <w:pStyle w:val="31"/>
        <w:spacing w:line="360" w:lineRule="exact"/>
      </w:pPr>
      <w:bookmarkStart w:id="88" w:name="_Toc152045538"/>
      <w:bookmarkStart w:id="89" w:name="_Toc179632555"/>
      <w:bookmarkStart w:id="90" w:name="_Toc256000013"/>
      <w:bookmarkStart w:id="91" w:name="_Toc26489"/>
      <w:bookmarkStart w:id="92" w:name="_Toc166326849"/>
      <w:bookmarkStart w:id="93" w:name="_Toc152042314"/>
      <w:bookmarkStart w:id="94" w:name="_Toc144974506"/>
      <w:r>
        <w:rPr>
          <w:rFonts w:hint="eastAsia"/>
        </w:rPr>
        <w:t>1.8 计量单位</w:t>
      </w:r>
      <w:bookmarkEnd w:id="88"/>
      <w:bookmarkEnd w:id="89"/>
      <w:bookmarkEnd w:id="90"/>
      <w:bookmarkEnd w:id="91"/>
      <w:bookmarkEnd w:id="92"/>
      <w:bookmarkEnd w:id="93"/>
      <w:bookmarkEnd w:id="94"/>
    </w:p>
    <w:p>
      <w:pPr>
        <w:spacing w:line="360" w:lineRule="exact"/>
        <w:ind w:firstLine="420" w:firstLineChars="200"/>
      </w:pPr>
      <w:r>
        <w:rPr>
          <w:rFonts w:hint="eastAsia"/>
        </w:rPr>
        <w:t>所有计量均采用中华人民共和国法定计量单位。</w:t>
      </w:r>
    </w:p>
    <w:p>
      <w:pPr>
        <w:pStyle w:val="31"/>
        <w:spacing w:line="360" w:lineRule="exact"/>
      </w:pPr>
      <w:bookmarkStart w:id="95" w:name="_Toc144974507"/>
      <w:bookmarkStart w:id="96" w:name="_Toc4978"/>
      <w:bookmarkStart w:id="97" w:name="_Toc166326850"/>
      <w:bookmarkStart w:id="98" w:name="_Toc256000014"/>
      <w:bookmarkStart w:id="99" w:name="_Toc179632556"/>
      <w:bookmarkStart w:id="100" w:name="_Toc152045539"/>
      <w:bookmarkStart w:id="101" w:name="_Toc152042315"/>
      <w:r>
        <w:rPr>
          <w:rFonts w:hint="eastAsia"/>
        </w:rPr>
        <w:t>1.9 踏勘现场</w:t>
      </w:r>
      <w:bookmarkEnd w:id="95"/>
      <w:bookmarkEnd w:id="96"/>
      <w:bookmarkEnd w:id="97"/>
      <w:bookmarkEnd w:id="98"/>
      <w:bookmarkEnd w:id="99"/>
      <w:bookmarkEnd w:id="100"/>
      <w:bookmarkEnd w:id="101"/>
    </w:p>
    <w:p>
      <w:pPr>
        <w:spacing w:line="360" w:lineRule="exact"/>
        <w:ind w:firstLine="420" w:firstLineChars="200"/>
      </w:pPr>
      <w:r>
        <w:rPr>
          <w:rFonts w:hint="eastAsia"/>
        </w:rPr>
        <w:t xml:space="preserve">1.9.1 投标人须知前附表规定组织踏勘现场的，招标人按投标人须知前附表规定的时间、地点组织投标人踏勘项目现场。 </w:t>
      </w:r>
    </w:p>
    <w:p>
      <w:pPr>
        <w:spacing w:line="360" w:lineRule="exact"/>
        <w:ind w:firstLine="420" w:firstLineChars="200"/>
      </w:pPr>
      <w:r>
        <w:rPr>
          <w:rFonts w:hint="eastAsia"/>
        </w:rPr>
        <w:t>1.9.2 投标人踏勘现场发生的费用自理。</w:t>
      </w:r>
    </w:p>
    <w:p>
      <w:pPr>
        <w:spacing w:line="360" w:lineRule="exact"/>
        <w:ind w:firstLine="420" w:firstLineChars="200"/>
      </w:pPr>
      <w:r>
        <w:rPr>
          <w:rFonts w:hint="eastAsia"/>
        </w:rPr>
        <w:t>1.9.3 除招标人的原因外，投标人自行负责在踏勘现场中所发生的人员伤亡和财产损失。</w:t>
      </w:r>
    </w:p>
    <w:p>
      <w:pPr>
        <w:spacing w:line="360" w:lineRule="exact"/>
        <w:ind w:firstLine="420" w:firstLineChars="200"/>
      </w:pPr>
      <w:r>
        <w:rPr>
          <w:rFonts w:hint="eastAsia"/>
        </w:rPr>
        <w:t>1.9.4 招标人在踏勘现场中介绍的工程场地和相关的周边环境情况，供投标人在编制投标文件时参考，招标人不对投标人据此作出的判断和决策负责。</w:t>
      </w:r>
    </w:p>
    <w:p>
      <w:pPr>
        <w:pStyle w:val="31"/>
        <w:spacing w:line="360" w:lineRule="exact"/>
      </w:pPr>
      <w:bookmarkStart w:id="102" w:name="_Toc152045540"/>
      <w:bookmarkStart w:id="103" w:name="_Toc144974508"/>
      <w:bookmarkStart w:id="104" w:name="_Toc256000015"/>
      <w:bookmarkStart w:id="105" w:name="_Toc166326851"/>
      <w:bookmarkStart w:id="106" w:name="_Toc179632557"/>
      <w:bookmarkStart w:id="107" w:name="_Toc152042316"/>
      <w:bookmarkStart w:id="108" w:name="_Toc10361"/>
      <w:r>
        <w:rPr>
          <w:rFonts w:hint="eastAsia"/>
        </w:rPr>
        <w:t>1.10 投标预备会</w:t>
      </w:r>
      <w:bookmarkEnd w:id="102"/>
      <w:bookmarkEnd w:id="103"/>
      <w:bookmarkEnd w:id="104"/>
      <w:bookmarkEnd w:id="105"/>
      <w:bookmarkEnd w:id="106"/>
      <w:bookmarkEnd w:id="107"/>
      <w:bookmarkEnd w:id="108"/>
    </w:p>
    <w:p>
      <w:pPr>
        <w:spacing w:line="360" w:lineRule="exact"/>
        <w:ind w:firstLine="420" w:firstLineChars="200"/>
      </w:pPr>
      <w:r>
        <w:rPr>
          <w:rFonts w:hint="eastAsia"/>
        </w:rPr>
        <w:t>1.10.1 投标人须知前附表规定召开投标预备会的，招标人按投标人须知前附表规定的时间和地点召开投标预备会，澄清投标人提出的问题。</w:t>
      </w:r>
    </w:p>
    <w:p>
      <w:pPr>
        <w:spacing w:line="360" w:lineRule="exact"/>
        <w:ind w:firstLine="420" w:firstLineChars="200"/>
      </w:pPr>
      <w:r>
        <w:rPr>
          <w:rFonts w:hint="eastAsia"/>
        </w:rPr>
        <w:t>1.10.2 在投标人须知前附表规定的时间前，投标人应通过电子交易系统以书面形式将提出的问题送达招标人，以便招标人在会议期间澄清。</w:t>
      </w:r>
    </w:p>
    <w:p>
      <w:pPr>
        <w:spacing w:line="360" w:lineRule="exact"/>
        <w:ind w:firstLine="420" w:firstLineChars="200"/>
      </w:pPr>
      <w:r>
        <w:rPr>
          <w:rFonts w:hint="eastAsia"/>
        </w:rPr>
        <w:t>1.10.3 投标预备会后，招标人在本章第2.2.2项规定的时间内，将对投标人所提问题的澄清，</w:t>
      </w:r>
      <w:bookmarkStart w:id="109" w:name="_Hlk144990476"/>
      <w:r>
        <w:rPr>
          <w:rFonts w:hint="eastAsia"/>
        </w:rPr>
        <w:t>以书面形式通过法定公告公示信息发布媒介、电子交易系统（投标盲盒工具）等渠道通知所有下载招标文件的投标人。</w:t>
      </w:r>
      <w:bookmarkEnd w:id="109"/>
      <w:r>
        <w:rPr>
          <w:rFonts w:hint="eastAsia"/>
        </w:rPr>
        <w:t>该澄清内容为招标文件的组成部分。</w:t>
      </w:r>
    </w:p>
    <w:p>
      <w:pPr>
        <w:pStyle w:val="31"/>
        <w:spacing w:line="360" w:lineRule="exact"/>
      </w:pPr>
      <w:bookmarkStart w:id="110" w:name="_Toc179632558"/>
      <w:bookmarkStart w:id="111" w:name="_Toc152042317"/>
      <w:bookmarkStart w:id="112" w:name="_Toc256000016"/>
      <w:bookmarkStart w:id="113" w:name="_Toc152045541"/>
      <w:bookmarkStart w:id="114" w:name="_Toc832"/>
      <w:bookmarkStart w:id="115" w:name="_Toc144974509"/>
      <w:bookmarkStart w:id="116" w:name="_Toc166326852"/>
      <w:r>
        <w:rPr>
          <w:rFonts w:hint="eastAsia"/>
        </w:rPr>
        <w:t>1.11 分包</w:t>
      </w:r>
      <w:bookmarkEnd w:id="110"/>
      <w:bookmarkEnd w:id="111"/>
      <w:bookmarkEnd w:id="112"/>
      <w:bookmarkEnd w:id="113"/>
      <w:bookmarkEnd w:id="114"/>
      <w:bookmarkEnd w:id="115"/>
      <w:bookmarkEnd w:id="116"/>
    </w:p>
    <w:p>
      <w:pPr>
        <w:spacing w:line="360" w:lineRule="exact"/>
        <w:ind w:firstLine="420" w:firstLineChars="200"/>
      </w:pPr>
      <w:r>
        <w:rPr>
          <w:rFonts w:hint="eastAsia"/>
        </w:rPr>
        <w:t>投标人拟在中标后将中标项目的部分非主体、非关键性工作进行分包的，应符合投标人须知前附表规定的分包内容、分包金额和接受分包的第三人资质要求等限制性条件。</w:t>
      </w:r>
    </w:p>
    <w:p>
      <w:pPr>
        <w:pStyle w:val="31"/>
        <w:spacing w:line="360" w:lineRule="exact"/>
      </w:pPr>
      <w:bookmarkStart w:id="117" w:name="_Toc166326853"/>
      <w:bookmarkStart w:id="118" w:name="_Toc256000017"/>
      <w:bookmarkStart w:id="119" w:name="_Toc179632559"/>
      <w:bookmarkStart w:id="120" w:name="_Toc14152"/>
      <w:r>
        <w:rPr>
          <w:rFonts w:hint="eastAsia"/>
        </w:rPr>
        <w:t>1.12 偏离</w:t>
      </w:r>
      <w:bookmarkEnd w:id="117"/>
      <w:bookmarkEnd w:id="118"/>
      <w:bookmarkEnd w:id="119"/>
      <w:bookmarkEnd w:id="120"/>
    </w:p>
    <w:p>
      <w:pPr>
        <w:spacing w:line="360" w:lineRule="exact"/>
        <w:ind w:firstLine="420" w:firstLineChars="200"/>
      </w:pPr>
      <w:r>
        <w:rPr>
          <w:rFonts w:hint="eastAsia"/>
        </w:rPr>
        <w:t>投标人须知前附表允许投标文件偏离招标文件某些要求的，偏离应当符合招标文件规定的偏离范围和幅度。</w:t>
      </w:r>
    </w:p>
    <w:p>
      <w:pPr>
        <w:pStyle w:val="29"/>
        <w:spacing w:line="360" w:lineRule="exact"/>
      </w:pPr>
      <w:bookmarkStart w:id="121" w:name="_Toc144974510"/>
      <w:bookmarkStart w:id="122" w:name="_Toc22602"/>
      <w:bookmarkStart w:id="123" w:name="_Toc152045542"/>
      <w:bookmarkStart w:id="124" w:name="_Toc179632560"/>
      <w:bookmarkStart w:id="125" w:name="_Toc166326854"/>
      <w:bookmarkStart w:id="126" w:name="_Toc152042318"/>
      <w:bookmarkStart w:id="127" w:name="_Toc256000018"/>
      <w:r>
        <w:rPr>
          <w:rFonts w:hint="eastAsia"/>
        </w:rPr>
        <w:t>2. 招标文件</w:t>
      </w:r>
      <w:bookmarkEnd w:id="121"/>
      <w:bookmarkEnd w:id="122"/>
      <w:bookmarkEnd w:id="123"/>
      <w:bookmarkEnd w:id="124"/>
      <w:bookmarkEnd w:id="125"/>
      <w:bookmarkEnd w:id="126"/>
      <w:bookmarkEnd w:id="127"/>
    </w:p>
    <w:p>
      <w:pPr>
        <w:pStyle w:val="31"/>
        <w:spacing w:line="360" w:lineRule="exact"/>
      </w:pPr>
      <w:bookmarkStart w:id="128" w:name="_Toc152042319"/>
      <w:bookmarkStart w:id="129" w:name="_Toc166326855"/>
      <w:bookmarkStart w:id="130" w:name="_Toc24423"/>
      <w:bookmarkStart w:id="131" w:name="_Toc152045543"/>
      <w:bookmarkStart w:id="132" w:name="_Toc256000019"/>
      <w:bookmarkStart w:id="133" w:name="_Toc179632561"/>
      <w:bookmarkStart w:id="134" w:name="_Toc144974511"/>
      <w:r>
        <w:rPr>
          <w:rFonts w:hint="eastAsia"/>
        </w:rPr>
        <w:t>2.1 招标文件的组成</w:t>
      </w:r>
      <w:bookmarkEnd w:id="128"/>
      <w:bookmarkEnd w:id="129"/>
      <w:bookmarkEnd w:id="130"/>
      <w:bookmarkEnd w:id="131"/>
      <w:bookmarkEnd w:id="132"/>
      <w:bookmarkEnd w:id="133"/>
      <w:bookmarkEnd w:id="134"/>
    </w:p>
    <w:p>
      <w:pPr>
        <w:spacing w:line="360" w:lineRule="exact"/>
      </w:pPr>
      <w:r>
        <w:rPr>
          <w:rFonts w:hint="eastAsia"/>
        </w:rPr>
        <w:t xml:space="preserve">  2.1.1本招标文件包括：</w:t>
      </w:r>
    </w:p>
    <w:p>
      <w:pPr>
        <w:spacing w:line="360" w:lineRule="exact"/>
        <w:ind w:firstLine="359" w:firstLineChars="171"/>
      </w:pPr>
      <w:r>
        <w:rPr>
          <w:rFonts w:hint="eastAsia"/>
        </w:rPr>
        <w:t>（1）招标公告（或投标邀请书）；</w:t>
      </w:r>
    </w:p>
    <w:p>
      <w:pPr>
        <w:spacing w:line="360" w:lineRule="exact"/>
        <w:ind w:firstLine="359" w:firstLineChars="171"/>
      </w:pPr>
      <w:r>
        <w:rPr>
          <w:rFonts w:hint="eastAsia"/>
        </w:rPr>
        <w:t>（2）投标人须知；</w:t>
      </w:r>
    </w:p>
    <w:p>
      <w:pPr>
        <w:spacing w:line="360" w:lineRule="exact"/>
        <w:ind w:firstLine="359" w:firstLineChars="171"/>
      </w:pPr>
      <w:r>
        <w:rPr>
          <w:rFonts w:hint="eastAsia"/>
        </w:rPr>
        <w:t>（3）评标办法；</w:t>
      </w:r>
    </w:p>
    <w:p>
      <w:pPr>
        <w:spacing w:line="360" w:lineRule="exact"/>
        <w:ind w:firstLine="359" w:firstLineChars="171"/>
      </w:pPr>
      <w:r>
        <w:rPr>
          <w:rFonts w:hint="eastAsia"/>
        </w:rPr>
        <w:t>（4）合同条款及格式；</w:t>
      </w:r>
    </w:p>
    <w:p>
      <w:pPr>
        <w:spacing w:line="360" w:lineRule="exact"/>
        <w:ind w:firstLine="359" w:firstLineChars="171"/>
      </w:pPr>
      <w:r>
        <w:rPr>
          <w:rFonts w:hint="eastAsia"/>
        </w:rPr>
        <w:t xml:space="preserve">（5）工程量清单； </w:t>
      </w:r>
    </w:p>
    <w:p>
      <w:pPr>
        <w:spacing w:line="360" w:lineRule="exact"/>
        <w:ind w:firstLine="359" w:firstLineChars="171"/>
      </w:pPr>
      <w:r>
        <w:rPr>
          <w:rFonts w:hint="eastAsia"/>
        </w:rPr>
        <w:t xml:space="preserve">（6）图纸； </w:t>
      </w:r>
    </w:p>
    <w:p>
      <w:pPr>
        <w:spacing w:line="360" w:lineRule="exact"/>
        <w:ind w:firstLine="359" w:firstLineChars="171"/>
      </w:pPr>
      <w:r>
        <w:rPr>
          <w:rFonts w:hint="eastAsia"/>
        </w:rPr>
        <w:t xml:space="preserve">（7）技术标准和要求； </w:t>
      </w:r>
    </w:p>
    <w:p>
      <w:pPr>
        <w:spacing w:line="360" w:lineRule="exact"/>
        <w:ind w:firstLine="359" w:firstLineChars="171"/>
      </w:pPr>
      <w:r>
        <w:rPr>
          <w:rFonts w:hint="eastAsia"/>
        </w:rPr>
        <w:t>（8）投标文件格式；</w:t>
      </w:r>
    </w:p>
    <w:p>
      <w:pPr>
        <w:spacing w:line="360" w:lineRule="exact"/>
        <w:ind w:firstLine="359" w:firstLineChars="171"/>
      </w:pPr>
      <w:r>
        <w:rPr>
          <w:rFonts w:hint="eastAsia"/>
        </w:rPr>
        <w:t>（9）投标人须知前附表规定的其他材料。</w:t>
      </w:r>
    </w:p>
    <w:p>
      <w:pPr>
        <w:spacing w:line="360" w:lineRule="exact"/>
        <w:ind w:firstLine="420" w:firstLineChars="200"/>
      </w:pPr>
      <w:r>
        <w:rPr>
          <w:rFonts w:hint="eastAsia"/>
        </w:rPr>
        <w:t>根据本章第1.10款、</w:t>
      </w:r>
      <w:r>
        <w:t>第2.2款和第2.3款</w:t>
      </w:r>
      <w:r>
        <w:rPr>
          <w:rFonts w:hint="eastAsia"/>
        </w:rPr>
        <w:t>对招标文件所作的澄清、修改，构成招标文件的组成部分。</w:t>
      </w:r>
    </w:p>
    <w:p>
      <w:pPr>
        <w:pStyle w:val="31"/>
        <w:spacing w:line="360" w:lineRule="exact"/>
      </w:pPr>
      <w:bookmarkStart w:id="135" w:name="_Toc152045544"/>
      <w:bookmarkStart w:id="136" w:name="_Toc179632562"/>
      <w:bookmarkStart w:id="137" w:name="_Toc256000020"/>
      <w:bookmarkStart w:id="138" w:name="_Toc152042320"/>
      <w:bookmarkStart w:id="139" w:name="_Toc144974512"/>
      <w:bookmarkStart w:id="140" w:name="_Toc166326856"/>
      <w:bookmarkStart w:id="141" w:name="_Toc26454"/>
      <w:r>
        <w:rPr>
          <w:rFonts w:hint="eastAsia"/>
        </w:rPr>
        <w:t>2.2 招标文件的澄清</w:t>
      </w:r>
      <w:bookmarkEnd w:id="135"/>
      <w:bookmarkEnd w:id="136"/>
      <w:bookmarkEnd w:id="137"/>
      <w:bookmarkEnd w:id="138"/>
      <w:bookmarkEnd w:id="139"/>
      <w:bookmarkEnd w:id="140"/>
      <w:bookmarkEnd w:id="141"/>
    </w:p>
    <w:p>
      <w:pPr>
        <w:spacing w:line="360" w:lineRule="exact"/>
        <w:ind w:firstLine="420" w:firstLineChars="200"/>
      </w:pPr>
      <w:r>
        <w:rPr>
          <w:rFonts w:hint="eastAsia"/>
        </w:rPr>
        <w:t>2.2.1投标人应仔细阅读和检查招标文件的全部内容。</w:t>
      </w:r>
      <w:r>
        <w:rPr>
          <w:rFonts w:hint="eastAsia" w:ascii="宋体" w:hAnsi="宋体"/>
          <w:szCs w:val="21"/>
        </w:rPr>
        <w:t>如发现缺页或附件不全，应及时向招标人提出，以便补齐。</w:t>
      </w:r>
      <w:bookmarkStart w:id="142" w:name="_Hlk144990577"/>
      <w:r>
        <w:rPr>
          <w:rFonts w:hint="eastAsia"/>
        </w:rPr>
        <w:t>如有疑问，应在投标人须知前附表规定的时间前，通过法定公告公示信息发布媒介、电子交易系统（投标盲盒工具）等渠道以书面形式要求招标人对招标文件予以澄清。</w:t>
      </w:r>
      <w:bookmarkEnd w:id="142"/>
    </w:p>
    <w:p>
      <w:pPr>
        <w:spacing w:line="360" w:lineRule="exact"/>
        <w:ind w:firstLine="420" w:firstLineChars="200"/>
      </w:pPr>
      <w:r>
        <w:rPr>
          <w:rFonts w:hint="eastAsia"/>
        </w:rPr>
        <w:t xml:space="preserve">2.2.2 </w:t>
      </w:r>
      <w:r>
        <w:t>招标人</w:t>
      </w:r>
      <w:r>
        <w:rPr>
          <w:rFonts w:hint="eastAsia"/>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pPr>
        <w:spacing w:line="360" w:lineRule="exact"/>
        <w:ind w:firstLine="420" w:firstLineChars="200"/>
      </w:pPr>
      <w:r>
        <w:rPr>
          <w:rFonts w:hint="eastAsia"/>
        </w:rPr>
        <w:t>2.2.3</w:t>
      </w:r>
      <w:r>
        <w:t>投标人应</w:t>
      </w:r>
      <w:r>
        <w:rPr>
          <w:rFonts w:hint="eastAsia"/>
        </w:rPr>
        <w:t>实时自行关注法定公告公示信息发布媒介、电子交易系统（投标盲盒工具）等渠道</w:t>
      </w:r>
      <w:r>
        <w:t>上</w:t>
      </w:r>
      <w:r>
        <w:rPr>
          <w:rFonts w:hint="eastAsia"/>
        </w:rPr>
        <w:t>发出</w:t>
      </w:r>
      <w:r>
        <w:t>的澄清通知，因投标人</w:t>
      </w:r>
      <w:r>
        <w:rPr>
          <w:rFonts w:hint="eastAsia"/>
        </w:rPr>
        <w:t>自身</w:t>
      </w:r>
      <w:r>
        <w:t>原因未及时获知澄清内容而导致的任何后果将由投标人自行承担。</w:t>
      </w:r>
    </w:p>
    <w:p>
      <w:pPr>
        <w:pStyle w:val="31"/>
        <w:spacing w:line="360" w:lineRule="exact"/>
      </w:pPr>
      <w:bookmarkStart w:id="143" w:name="_Toc152045545"/>
      <w:bookmarkStart w:id="144" w:name="_Toc256000021"/>
      <w:bookmarkStart w:id="145" w:name="_Toc144974513"/>
      <w:bookmarkStart w:id="146" w:name="_Toc152042321"/>
      <w:bookmarkStart w:id="147" w:name="_Toc9382"/>
      <w:bookmarkStart w:id="148" w:name="_Toc166326857"/>
      <w:bookmarkStart w:id="149" w:name="_Toc179632563"/>
      <w:r>
        <w:rPr>
          <w:rFonts w:hint="eastAsia"/>
        </w:rPr>
        <w:t>2.3 招标文件的修改</w:t>
      </w:r>
      <w:bookmarkEnd w:id="143"/>
      <w:bookmarkEnd w:id="144"/>
      <w:bookmarkEnd w:id="145"/>
      <w:bookmarkEnd w:id="146"/>
      <w:bookmarkEnd w:id="147"/>
      <w:bookmarkEnd w:id="148"/>
      <w:bookmarkEnd w:id="149"/>
    </w:p>
    <w:p>
      <w:pPr>
        <w:spacing w:line="360" w:lineRule="exact"/>
        <w:ind w:firstLine="420" w:firstLineChars="200"/>
      </w:pPr>
      <w:r>
        <w:rPr>
          <w:rFonts w:hint="eastAsia"/>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pPr>
        <w:spacing w:line="360" w:lineRule="exact"/>
        <w:ind w:firstLine="420" w:firstLineChars="200"/>
      </w:pPr>
      <w:r>
        <w:rPr>
          <w:rFonts w:hint="eastAsia"/>
        </w:rPr>
        <w:t>2.3.2</w:t>
      </w:r>
      <w:r>
        <w:t>投标人应</w:t>
      </w:r>
      <w:r>
        <w:rPr>
          <w:rFonts w:hint="eastAsia"/>
        </w:rPr>
        <w:t>实时自行关注法定公告公示信息发布媒介、电子交易系统（投标盲盒工具）等渠道</w:t>
      </w:r>
      <w:r>
        <w:t>上</w:t>
      </w:r>
      <w:r>
        <w:rPr>
          <w:rFonts w:hint="eastAsia"/>
        </w:rPr>
        <w:t>发出</w:t>
      </w:r>
      <w:r>
        <w:t>的</w:t>
      </w:r>
      <w:r>
        <w:rPr>
          <w:rFonts w:hint="eastAsia"/>
        </w:rPr>
        <w:t>修改</w:t>
      </w:r>
      <w:r>
        <w:t>通知，因投标人</w:t>
      </w:r>
      <w:r>
        <w:rPr>
          <w:rFonts w:hint="eastAsia"/>
        </w:rPr>
        <w:t>自身</w:t>
      </w:r>
      <w:r>
        <w:t>原因未及时获知</w:t>
      </w:r>
      <w:r>
        <w:rPr>
          <w:rFonts w:hint="eastAsia"/>
        </w:rPr>
        <w:t>修改</w:t>
      </w:r>
      <w:r>
        <w:t>内容而导致的任何后果将由投标人自行承担。</w:t>
      </w:r>
    </w:p>
    <w:p>
      <w:pPr>
        <w:pStyle w:val="31"/>
        <w:spacing w:line="360" w:lineRule="exact"/>
      </w:pPr>
      <w:bookmarkStart w:id="150" w:name="_Toc166326858"/>
      <w:bookmarkStart w:id="151" w:name="_Toc9871"/>
      <w:bookmarkStart w:id="152" w:name="_Toc256000022"/>
      <w:r>
        <w:rPr>
          <w:rFonts w:hint="eastAsia"/>
        </w:rPr>
        <w:t>2.4 招标文件的异议</w:t>
      </w:r>
      <w:bookmarkEnd w:id="150"/>
      <w:bookmarkEnd w:id="151"/>
      <w:bookmarkEnd w:id="152"/>
    </w:p>
    <w:p>
      <w:pPr>
        <w:spacing w:line="360" w:lineRule="exact"/>
        <w:ind w:firstLine="420" w:firstLineChars="200"/>
      </w:pPr>
      <w:bookmarkStart w:id="153" w:name="_Toc152045546"/>
      <w:bookmarkStart w:id="154" w:name="_Toc166326859"/>
      <w:bookmarkStart w:id="155" w:name="_Toc152042322"/>
      <w:bookmarkStart w:id="156" w:name="_Toc179632564"/>
      <w:bookmarkStart w:id="157" w:name="_Toc144974514"/>
      <w:r>
        <w:rPr>
          <w:rFonts w:hint="eastAsia"/>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t>不予受理</w:t>
      </w:r>
      <w:r>
        <w:rPr>
          <w:rFonts w:hint="eastAsia"/>
        </w:rPr>
        <w:t>。异议与答复应通过电子招标投标系统（辽宁省工程建设项目招标投标异议投诉处理系统）以书面形式进行。</w:t>
      </w:r>
    </w:p>
    <w:p>
      <w:pPr>
        <w:spacing w:line="360" w:lineRule="exact"/>
        <w:ind w:firstLine="420" w:firstLineChars="200"/>
      </w:pPr>
      <w:r>
        <w:rPr>
          <w:rFonts w:hint="eastAsia"/>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pPr>
        <w:spacing w:line="360" w:lineRule="exact"/>
        <w:ind w:firstLine="420" w:firstLineChars="200"/>
      </w:pPr>
      <w:r>
        <w:rPr>
          <w:rFonts w:hint="eastAsia"/>
        </w:rPr>
        <w:t>有关</w:t>
      </w:r>
      <w:r>
        <w:t>异议受理</w:t>
      </w:r>
      <w:r>
        <w:rPr>
          <w:rFonts w:hint="eastAsia"/>
        </w:rPr>
        <w:t>部门及联系方式见投标人须知前附表。</w:t>
      </w:r>
    </w:p>
    <w:p>
      <w:pPr>
        <w:spacing w:line="360" w:lineRule="exact"/>
        <w:ind w:firstLine="420" w:firstLineChars="200"/>
      </w:pPr>
      <w:r>
        <w:rPr>
          <w:rFonts w:hint="eastAsia"/>
        </w:rPr>
        <w:t>2.4.2招标人对异议的答复构成对招标文件澄清或者修改的，招标人将按照本章第2.2款、第2.3款规定办理。</w:t>
      </w:r>
    </w:p>
    <w:p>
      <w:pPr>
        <w:pStyle w:val="29"/>
        <w:spacing w:line="360" w:lineRule="exact"/>
      </w:pPr>
      <w:bookmarkStart w:id="158" w:name="_Toc1974"/>
      <w:bookmarkStart w:id="159" w:name="_Toc256000023"/>
      <w:r>
        <w:rPr>
          <w:rFonts w:hint="eastAsia"/>
        </w:rPr>
        <w:t>3. 投标文件</w:t>
      </w:r>
      <w:bookmarkEnd w:id="153"/>
      <w:bookmarkEnd w:id="154"/>
      <w:bookmarkEnd w:id="155"/>
      <w:bookmarkEnd w:id="156"/>
      <w:bookmarkEnd w:id="157"/>
      <w:bookmarkEnd w:id="158"/>
      <w:bookmarkEnd w:id="159"/>
    </w:p>
    <w:p>
      <w:pPr>
        <w:pStyle w:val="31"/>
        <w:spacing w:line="360" w:lineRule="exact"/>
      </w:pPr>
      <w:bookmarkStart w:id="160" w:name="_Toc152042323"/>
      <w:bookmarkStart w:id="161" w:name="_Toc256000024"/>
      <w:bookmarkStart w:id="162" w:name="_Toc144974515"/>
      <w:bookmarkStart w:id="163" w:name="_Toc179632565"/>
      <w:bookmarkStart w:id="164" w:name="_Toc152045547"/>
      <w:bookmarkStart w:id="165" w:name="_Toc12877"/>
      <w:bookmarkStart w:id="166" w:name="_Toc166326860"/>
      <w:r>
        <w:rPr>
          <w:rFonts w:hint="eastAsia"/>
        </w:rPr>
        <w:t>3.1 投标文件的组成</w:t>
      </w:r>
      <w:bookmarkEnd w:id="160"/>
      <w:bookmarkEnd w:id="161"/>
      <w:bookmarkEnd w:id="162"/>
      <w:bookmarkEnd w:id="163"/>
      <w:bookmarkEnd w:id="164"/>
      <w:bookmarkEnd w:id="165"/>
      <w:bookmarkEnd w:id="166"/>
    </w:p>
    <w:p>
      <w:pPr>
        <w:spacing w:line="360" w:lineRule="exact"/>
      </w:pPr>
      <w:r>
        <w:rPr>
          <w:rFonts w:hint="eastAsia"/>
        </w:rPr>
        <w:t xml:space="preserve">  3.1.1投标文件应包括下列内容：</w:t>
      </w:r>
    </w:p>
    <w:p>
      <w:pPr>
        <w:spacing w:line="360" w:lineRule="exact"/>
        <w:ind w:firstLine="359" w:firstLineChars="171"/>
      </w:pPr>
      <w:r>
        <w:rPr>
          <w:rFonts w:hint="eastAsia"/>
        </w:rPr>
        <w:t>（1）投标函及投标函附录等；</w:t>
      </w:r>
    </w:p>
    <w:p>
      <w:pPr>
        <w:spacing w:line="360" w:lineRule="exact"/>
        <w:ind w:firstLine="359" w:firstLineChars="171"/>
      </w:pPr>
      <w:r>
        <w:rPr>
          <w:rFonts w:hint="eastAsia"/>
        </w:rPr>
        <w:t>（2）法定代表人身份证明；</w:t>
      </w:r>
    </w:p>
    <w:p>
      <w:pPr>
        <w:spacing w:line="360" w:lineRule="exact"/>
        <w:ind w:firstLine="359" w:firstLineChars="171"/>
      </w:pPr>
      <w:r>
        <w:rPr>
          <w:rFonts w:hint="eastAsia"/>
        </w:rPr>
        <w:t>（2）授权委托书；</w:t>
      </w:r>
    </w:p>
    <w:p>
      <w:pPr>
        <w:spacing w:line="360" w:lineRule="exact"/>
        <w:ind w:firstLine="359" w:firstLineChars="171"/>
      </w:pPr>
      <w:r>
        <w:rPr>
          <w:rFonts w:hint="eastAsia"/>
        </w:rPr>
        <w:t>（3）投标保证金；</w:t>
      </w:r>
    </w:p>
    <w:p>
      <w:pPr>
        <w:spacing w:line="360" w:lineRule="exact"/>
        <w:ind w:firstLine="359" w:firstLineChars="171"/>
      </w:pPr>
      <w:r>
        <w:rPr>
          <w:rFonts w:hint="eastAsia"/>
        </w:rPr>
        <w:t>（4）联合体协议书（如有）；</w:t>
      </w:r>
    </w:p>
    <w:p>
      <w:pPr>
        <w:spacing w:line="360" w:lineRule="exact"/>
        <w:ind w:firstLine="359" w:firstLineChars="171"/>
      </w:pPr>
      <w:r>
        <w:rPr>
          <w:rFonts w:hint="eastAsia"/>
        </w:rPr>
        <w:t>（5）</w:t>
      </w:r>
      <w:r>
        <w:rPr>
          <w:rFonts w:hint="eastAsia" w:ascii="宋体" w:hAnsi="宋体"/>
          <w:szCs w:val="21"/>
        </w:rPr>
        <w:t>拟分包计划表</w:t>
      </w:r>
      <w:r>
        <w:rPr>
          <w:rFonts w:hint="eastAsia"/>
        </w:rPr>
        <w:t>（如有）；</w:t>
      </w:r>
    </w:p>
    <w:p>
      <w:pPr>
        <w:spacing w:line="360" w:lineRule="exact"/>
        <w:ind w:firstLine="359" w:firstLineChars="171"/>
      </w:pPr>
      <w:r>
        <w:rPr>
          <w:rFonts w:hint="eastAsia"/>
        </w:rPr>
        <w:t>（</w:t>
      </w:r>
      <w:r>
        <w:t>6</w:t>
      </w:r>
      <w:r>
        <w:rPr>
          <w:rFonts w:hint="eastAsia"/>
        </w:rPr>
        <w:t>）项目管理机构；</w:t>
      </w:r>
    </w:p>
    <w:p>
      <w:pPr>
        <w:spacing w:line="360" w:lineRule="exact"/>
        <w:ind w:firstLine="359" w:firstLineChars="171"/>
      </w:pPr>
      <w:r>
        <w:rPr>
          <w:rFonts w:hint="eastAsia"/>
        </w:rPr>
        <w:t>（</w:t>
      </w:r>
      <w:r>
        <w:t>7</w:t>
      </w:r>
      <w:r>
        <w:rPr>
          <w:rFonts w:hint="eastAsia"/>
        </w:rPr>
        <w:t>）资格审查资料；</w:t>
      </w:r>
    </w:p>
    <w:p>
      <w:pPr>
        <w:spacing w:line="360" w:lineRule="exact"/>
        <w:ind w:firstLine="359" w:firstLineChars="171"/>
      </w:pPr>
      <w:r>
        <w:rPr>
          <w:rFonts w:hint="eastAsia"/>
        </w:rPr>
        <w:t>（</w:t>
      </w:r>
      <w:r>
        <w:t>8</w:t>
      </w:r>
      <w:r>
        <w:rPr>
          <w:rFonts w:hint="eastAsia"/>
        </w:rPr>
        <w:t>）</w:t>
      </w:r>
      <w:r>
        <w:rPr>
          <w:rFonts w:hint="eastAsia" w:ascii="宋体" w:hAnsi="宋体"/>
          <w:szCs w:val="21"/>
        </w:rPr>
        <w:t>已标价工程量清单</w:t>
      </w:r>
      <w:r>
        <w:rPr>
          <w:rFonts w:hint="eastAsia"/>
        </w:rPr>
        <w:t>；</w:t>
      </w:r>
    </w:p>
    <w:p>
      <w:pPr>
        <w:spacing w:line="360" w:lineRule="exact"/>
        <w:ind w:firstLine="359" w:firstLineChars="171"/>
      </w:pPr>
      <w:r>
        <w:rPr>
          <w:rFonts w:hint="eastAsia"/>
        </w:rPr>
        <w:t>（</w:t>
      </w:r>
      <w:r>
        <w:t>9</w:t>
      </w:r>
      <w:r>
        <w:rPr>
          <w:rFonts w:hint="eastAsia"/>
        </w:rPr>
        <w:t>）施工组织设计；</w:t>
      </w:r>
    </w:p>
    <w:p>
      <w:pPr>
        <w:spacing w:line="360" w:lineRule="exact"/>
        <w:ind w:firstLine="359" w:firstLineChars="171"/>
      </w:pPr>
      <w:r>
        <w:rPr>
          <w:rFonts w:hint="eastAsia"/>
        </w:rPr>
        <w:t>（</w:t>
      </w:r>
      <w:r>
        <w:t>10</w:t>
      </w:r>
      <w:r>
        <w:rPr>
          <w:rFonts w:hint="eastAsia"/>
        </w:rPr>
        <w:t>）投标人须知前附表规定的其他材料。</w:t>
      </w:r>
    </w:p>
    <w:p>
      <w:pPr>
        <w:spacing w:line="360" w:lineRule="exact"/>
        <w:ind w:firstLine="359" w:firstLineChars="171"/>
      </w:pPr>
      <w:r>
        <w:rPr>
          <w:rFonts w:hint="eastAsia"/>
        </w:rPr>
        <w:t>3.1.2 投标人须知前附表规定不接受联合体投标的，或投标人没有组成联合体的，投标文件不包括本章第3.1.1（</w:t>
      </w:r>
      <w:r>
        <w:t>4</w:t>
      </w:r>
      <w:r>
        <w:rPr>
          <w:rFonts w:hint="eastAsia"/>
        </w:rPr>
        <w:t xml:space="preserve">）目所指的联合体协议书。 </w:t>
      </w:r>
    </w:p>
    <w:p>
      <w:pPr>
        <w:pStyle w:val="31"/>
        <w:spacing w:line="360" w:lineRule="exact"/>
      </w:pPr>
      <w:bookmarkStart w:id="167" w:name="_Toc256000025"/>
      <w:bookmarkStart w:id="168" w:name="_Toc166326861"/>
      <w:bookmarkStart w:id="169" w:name="_Toc152042324"/>
      <w:bookmarkStart w:id="170" w:name="_Toc80"/>
      <w:bookmarkStart w:id="171" w:name="_Toc152045548"/>
      <w:bookmarkStart w:id="172" w:name="_Toc144974516"/>
      <w:bookmarkStart w:id="173" w:name="_Toc179632566"/>
      <w:r>
        <w:rPr>
          <w:rFonts w:hint="eastAsia"/>
        </w:rPr>
        <w:t>3.2 投标报价</w:t>
      </w:r>
      <w:bookmarkEnd w:id="167"/>
      <w:bookmarkEnd w:id="168"/>
      <w:bookmarkEnd w:id="169"/>
      <w:bookmarkEnd w:id="170"/>
      <w:bookmarkEnd w:id="171"/>
      <w:bookmarkEnd w:id="172"/>
      <w:bookmarkEnd w:id="173"/>
    </w:p>
    <w:p>
      <w:pPr>
        <w:spacing w:line="360" w:lineRule="exact"/>
        <w:ind w:firstLine="420" w:firstLineChars="200"/>
      </w:pPr>
      <w:r>
        <w:rPr>
          <w:rFonts w:hint="eastAsia"/>
        </w:rPr>
        <w:t>3.2.1 投标人应按第五章“工程量清单”的要求填写相应表格。</w:t>
      </w:r>
    </w:p>
    <w:p>
      <w:pPr>
        <w:spacing w:line="360" w:lineRule="exact"/>
        <w:ind w:firstLine="420" w:firstLineChars="200"/>
      </w:pPr>
      <w:r>
        <w:rPr>
          <w:rFonts w:hint="eastAsia"/>
        </w:rPr>
        <w:t>3.2.</w:t>
      </w:r>
      <w:r>
        <w:t>2</w:t>
      </w:r>
      <w:r>
        <w:rPr>
          <w:rFonts w:hint="eastAsia"/>
        </w:rPr>
        <w:t xml:space="preserve"> 投标人在投标截止时间前修改投标函中的投标总报价，应同时修改第五章“工程量清单”中的相应报价。此修改须符合本章第4.3款的有关要求。</w:t>
      </w:r>
    </w:p>
    <w:p>
      <w:pPr>
        <w:spacing w:line="360" w:lineRule="exact"/>
        <w:ind w:firstLine="420" w:firstLineChars="200"/>
      </w:pPr>
      <w:r>
        <w:rPr>
          <w:rFonts w:hint="eastAsia"/>
        </w:rPr>
        <w:t>3.2.</w:t>
      </w:r>
      <w:r>
        <w:t>3</w:t>
      </w:r>
      <w:r>
        <w:rPr>
          <w:rFonts w:hint="eastAsia"/>
        </w:rPr>
        <w:t>投标人投标函中的大写报价或算术错误修正后的投标总报价大于最高投标限价的，</w:t>
      </w:r>
      <w:r>
        <w:t>其投标</w:t>
      </w:r>
      <w:r>
        <w:rPr>
          <w:rFonts w:hint="eastAsia"/>
        </w:rPr>
        <w:t>将被否决</w:t>
      </w:r>
      <w:r>
        <w:t>。</w:t>
      </w:r>
    </w:p>
    <w:p>
      <w:pPr>
        <w:spacing w:line="360" w:lineRule="exact"/>
        <w:ind w:firstLine="420" w:firstLineChars="200"/>
      </w:pPr>
      <w:r>
        <w:rPr>
          <w:rFonts w:hint="eastAsia"/>
        </w:rPr>
        <w:t>3</w:t>
      </w:r>
      <w:r>
        <w:t>.2.4</w:t>
      </w:r>
      <w:r>
        <w:rPr>
          <w:rFonts w:hint="eastAsia"/>
        </w:rPr>
        <w:t>本项目最高投标限价及要求详见投标人须知前附表。</w:t>
      </w:r>
    </w:p>
    <w:p>
      <w:pPr>
        <w:spacing w:line="360" w:lineRule="exact"/>
        <w:ind w:firstLine="420" w:firstLineChars="200"/>
      </w:pPr>
      <w:r>
        <w:rPr>
          <w:rFonts w:hint="eastAsia"/>
        </w:rPr>
        <w:t>3.2.5投标报价的其他要求见投标人须知前附表。</w:t>
      </w:r>
    </w:p>
    <w:p>
      <w:pPr>
        <w:pStyle w:val="31"/>
        <w:spacing w:line="360" w:lineRule="exact"/>
      </w:pPr>
      <w:bookmarkStart w:id="174" w:name="_Toc256000026"/>
      <w:bookmarkStart w:id="175" w:name="_Toc17696"/>
      <w:bookmarkStart w:id="176" w:name="_Toc179632567"/>
      <w:bookmarkStart w:id="177" w:name="_Toc166326862"/>
      <w:bookmarkStart w:id="178" w:name="_Toc152042325"/>
      <w:bookmarkStart w:id="179" w:name="_Toc152045549"/>
      <w:bookmarkStart w:id="180" w:name="_Toc144974517"/>
      <w:r>
        <w:rPr>
          <w:rFonts w:hint="eastAsia"/>
        </w:rPr>
        <w:t>3.3 投标有效期</w:t>
      </w:r>
      <w:bookmarkEnd w:id="174"/>
      <w:bookmarkEnd w:id="175"/>
      <w:bookmarkEnd w:id="176"/>
      <w:bookmarkEnd w:id="177"/>
      <w:bookmarkEnd w:id="178"/>
      <w:bookmarkEnd w:id="179"/>
      <w:bookmarkEnd w:id="180"/>
    </w:p>
    <w:p>
      <w:pPr>
        <w:spacing w:line="360" w:lineRule="exact"/>
        <w:ind w:firstLine="420" w:firstLineChars="200"/>
      </w:pPr>
      <w:r>
        <w:rPr>
          <w:rFonts w:hint="eastAsia"/>
        </w:rPr>
        <w:t>3.3.1 在投标人须知前附表规定的投标有效期内，投标人不得要求撤销或修改其投标文件。</w:t>
      </w:r>
    </w:p>
    <w:p>
      <w:pPr>
        <w:spacing w:line="360" w:lineRule="exact"/>
        <w:ind w:firstLine="420" w:firstLineChars="200"/>
      </w:pPr>
      <w:r>
        <w:rPr>
          <w:rFonts w:hint="eastAsia"/>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31"/>
        <w:spacing w:line="360" w:lineRule="exact"/>
      </w:pPr>
      <w:bookmarkStart w:id="181" w:name="_Toc24985"/>
      <w:bookmarkStart w:id="182" w:name="_Toc152045550"/>
      <w:bookmarkStart w:id="183" w:name="_Toc179632568"/>
      <w:bookmarkStart w:id="184" w:name="_Toc144974518"/>
      <w:bookmarkStart w:id="185" w:name="_Toc166326863"/>
      <w:bookmarkStart w:id="186" w:name="_Toc256000027"/>
      <w:bookmarkStart w:id="187" w:name="_Toc152042326"/>
      <w:r>
        <w:rPr>
          <w:rFonts w:hint="eastAsia"/>
        </w:rPr>
        <w:t>3.4 投标保证金</w:t>
      </w:r>
      <w:bookmarkEnd w:id="181"/>
      <w:bookmarkEnd w:id="182"/>
      <w:bookmarkEnd w:id="183"/>
      <w:bookmarkEnd w:id="184"/>
      <w:bookmarkEnd w:id="185"/>
      <w:bookmarkEnd w:id="186"/>
      <w:bookmarkEnd w:id="187"/>
    </w:p>
    <w:p>
      <w:pPr>
        <w:spacing w:line="360" w:lineRule="exact"/>
        <w:ind w:firstLine="420" w:firstLineChars="200"/>
      </w:pPr>
      <w:r>
        <w:rPr>
          <w:rFonts w:hint="eastAsia"/>
        </w:rPr>
        <w:t>3.4.1投标人须知前附表规定提交投标保证金的，投标人在递交投标文件的同时，应按投标人须知前附表规定的</w:t>
      </w:r>
      <w:r>
        <w:t>形式</w:t>
      </w:r>
      <w:r>
        <w:rPr>
          <w:rFonts w:hint="eastAsia"/>
        </w:rPr>
        <w:t>、</w:t>
      </w:r>
      <w:r>
        <w:t>金额</w:t>
      </w:r>
      <w:r>
        <w:rPr>
          <w:rFonts w:hint="eastAsia"/>
        </w:rPr>
        <w:t>、递交截止时间、递交方式提交投标保证金，并作为其投标文件的组成部分。联合体投标的，其投标保证金由牵头人递交，并应符合投标人须知前附表的规定。</w:t>
      </w:r>
    </w:p>
    <w:p>
      <w:pPr>
        <w:spacing w:line="360" w:lineRule="exact"/>
        <w:ind w:firstLine="420" w:firstLineChars="200"/>
      </w:pPr>
      <w:r>
        <w:rPr>
          <w:rFonts w:hint="eastAsia"/>
        </w:rPr>
        <w:t>3.4.2 投标人不按本章第3.4.1项要求提交投标保证金的，</w:t>
      </w:r>
      <w:r>
        <w:t>其投标</w:t>
      </w:r>
      <w:r>
        <w:rPr>
          <w:rFonts w:hint="eastAsia"/>
        </w:rPr>
        <w:t>将被否决</w:t>
      </w:r>
      <w:r>
        <w:t>。</w:t>
      </w:r>
    </w:p>
    <w:p>
      <w:pPr>
        <w:spacing w:line="360" w:lineRule="exact"/>
        <w:ind w:firstLine="420" w:firstLineChars="200"/>
      </w:pPr>
      <w:r>
        <w:rPr>
          <w:rFonts w:hint="eastAsia"/>
        </w:rPr>
        <w:t>3.4.3 招标人最迟在与中标人签订合同后5日内，向未中标的投标人和中标人退还投标保证金。招标人同时退还投标保证金的银行同期存款利息。投标保证金及利息的计息标准和退还方式见投标人须知前附表。</w:t>
      </w:r>
    </w:p>
    <w:p>
      <w:pPr>
        <w:spacing w:line="360" w:lineRule="exact"/>
        <w:ind w:firstLine="420" w:firstLineChars="200"/>
      </w:pPr>
      <w:r>
        <w:rPr>
          <w:rFonts w:hint="eastAsia"/>
        </w:rPr>
        <w:t xml:space="preserve">3.4.4 有下列情形之一的，投标保证金将不予退还： </w:t>
      </w:r>
    </w:p>
    <w:p>
      <w:pPr>
        <w:spacing w:line="360" w:lineRule="exact"/>
        <w:ind w:firstLine="718" w:firstLineChars="342"/>
      </w:pPr>
      <w:r>
        <w:rPr>
          <w:rFonts w:hint="eastAsia"/>
        </w:rPr>
        <w:t>（1）投标人在规定的投标有效期内撤销或修改其投标文件；</w:t>
      </w:r>
    </w:p>
    <w:p>
      <w:pPr>
        <w:spacing w:line="360" w:lineRule="exact"/>
        <w:ind w:firstLine="718" w:firstLineChars="342"/>
      </w:pPr>
      <w:r>
        <w:rPr>
          <w:rFonts w:hint="eastAsia"/>
        </w:rPr>
        <w:t>（2）中标人在收到中标通知书后，无正当理由拒签合同、在签订合同时向招标人提出附加条件或未按招标文件规定提交履约保证金。</w:t>
      </w:r>
    </w:p>
    <w:p>
      <w:pPr>
        <w:pStyle w:val="31"/>
        <w:spacing w:line="360" w:lineRule="exact"/>
        <w:ind w:firstLine="118"/>
        <w:rPr>
          <w:rFonts w:cs="Times New Roman"/>
        </w:rPr>
      </w:pPr>
      <w:bookmarkStart w:id="188" w:name="_Toc145081434"/>
      <w:bookmarkStart w:id="189" w:name="_Toc152045551"/>
      <w:bookmarkStart w:id="190" w:name="_Toc9502"/>
      <w:bookmarkStart w:id="191" w:name="_Toc247513975"/>
      <w:bookmarkStart w:id="192" w:name="_Toc256000028"/>
      <w:bookmarkStart w:id="193" w:name="_Toc247527576"/>
      <w:bookmarkStart w:id="194" w:name="_Toc166326864"/>
      <w:bookmarkStart w:id="195" w:name="_Toc152042327"/>
      <w:bookmarkStart w:id="196" w:name="_Toc144974519"/>
      <w:bookmarkStart w:id="197" w:name="_Toc162104038"/>
      <w:r>
        <w:rPr>
          <w:rFonts w:cs="Times New Roman"/>
        </w:rPr>
        <w:t>3.5 资格审查资料（适用于已进行资格预审的）</w:t>
      </w:r>
      <w:bookmarkEnd w:id="188"/>
      <w:bookmarkEnd w:id="189"/>
      <w:bookmarkEnd w:id="190"/>
      <w:bookmarkEnd w:id="191"/>
      <w:bookmarkEnd w:id="192"/>
      <w:bookmarkEnd w:id="193"/>
      <w:bookmarkEnd w:id="194"/>
      <w:bookmarkEnd w:id="195"/>
      <w:bookmarkEnd w:id="196"/>
      <w:bookmarkEnd w:id="197"/>
    </w:p>
    <w:p>
      <w:pPr>
        <w:spacing w:line="400" w:lineRule="exact"/>
        <w:ind w:firstLine="420" w:firstLineChars="200"/>
      </w:pPr>
      <w:r>
        <w:t>投标人在递交投标文件前，发生可能影响其投标资格的新情况的，应更新或补充其在申请资格预审时提供的资料，以证实其各项资格条件仍能继续满足资格预审文件的要求，且没有实质性降低。</w:t>
      </w:r>
    </w:p>
    <w:p>
      <w:pPr>
        <w:pStyle w:val="31"/>
        <w:spacing w:line="360" w:lineRule="exact"/>
      </w:pPr>
      <w:bookmarkStart w:id="198" w:name="_Toc144974520"/>
      <w:bookmarkStart w:id="199" w:name="_Toc152045552"/>
      <w:bookmarkStart w:id="200" w:name="_Toc179632570"/>
      <w:bookmarkStart w:id="201" w:name="_Toc152042328"/>
      <w:bookmarkStart w:id="202" w:name="_Toc256000029"/>
      <w:bookmarkStart w:id="203" w:name="_Toc17072"/>
      <w:bookmarkStart w:id="204" w:name="_Toc166326865"/>
      <w:r>
        <w:rPr>
          <w:rFonts w:hint="eastAsia"/>
        </w:rPr>
        <w:t>3.5 资格审查资料</w:t>
      </w:r>
      <w:bookmarkEnd w:id="198"/>
      <w:bookmarkEnd w:id="199"/>
      <w:bookmarkEnd w:id="200"/>
      <w:bookmarkEnd w:id="201"/>
      <w:r>
        <w:rPr>
          <w:rFonts w:cs="Times New Roman"/>
        </w:rPr>
        <w:t>（适用于未进行资格预审的）</w:t>
      </w:r>
      <w:bookmarkEnd w:id="202"/>
      <w:bookmarkEnd w:id="203"/>
      <w:bookmarkEnd w:id="204"/>
    </w:p>
    <w:p>
      <w:pPr>
        <w:spacing w:line="360" w:lineRule="exact"/>
        <w:ind w:firstLine="420" w:firstLineChars="200"/>
      </w:pPr>
      <w:r>
        <w:rPr>
          <w:rFonts w:hint="eastAsia"/>
        </w:rPr>
        <w:t>3.5.1“投标人基本情况表”应附投标人营业执照、资质证书和安全生产许可证等材料，具体要求见投标人须知前附表。</w:t>
      </w:r>
    </w:p>
    <w:p>
      <w:pPr>
        <w:spacing w:line="360" w:lineRule="exact"/>
        <w:ind w:firstLine="420" w:firstLineChars="200"/>
      </w:pPr>
      <w:r>
        <w:rPr>
          <w:rFonts w:hint="eastAsia"/>
        </w:rPr>
        <w:t>3.5.2 “近年财务状况表”应附经会计师事务所或审计机构审计的财务会计报表，具体年份要求见投标人须知前附表。</w:t>
      </w:r>
    </w:p>
    <w:p>
      <w:pPr>
        <w:spacing w:line="360" w:lineRule="exact"/>
        <w:ind w:firstLine="420" w:firstLineChars="200"/>
      </w:pPr>
      <w:r>
        <w:rPr>
          <w:rFonts w:hint="eastAsia"/>
        </w:rPr>
        <w:t>3.5.3 “近年完成的类似项目情况表”应附中标通知书、合同、竣工验收等材料，具体年份要求见投标人须知前附表。每张表格只填写一个项目，并标明序号。</w:t>
      </w:r>
    </w:p>
    <w:p>
      <w:pPr>
        <w:spacing w:line="360" w:lineRule="exact"/>
        <w:ind w:firstLine="420" w:firstLineChars="200"/>
      </w:pPr>
      <w:r>
        <w:rPr>
          <w:rFonts w:hint="eastAsia"/>
        </w:rPr>
        <w:t>3.5.4 “正在施工和新承接的项目情况表”应附中标通知书、合同协议书等材料。每张表格只填写一个项目，并标明序号。</w:t>
      </w:r>
    </w:p>
    <w:p>
      <w:pPr>
        <w:spacing w:line="360" w:lineRule="exact"/>
        <w:ind w:firstLine="420" w:firstLineChars="200"/>
      </w:pPr>
      <w:r>
        <w:rPr>
          <w:rFonts w:hint="eastAsia"/>
        </w:rPr>
        <w:t>3.5.5 “近年发生的诉讼及仲裁情况”应说明相关情况，并附法院或仲裁机构作出的判决、裁决等有关法律文书，具体年份要求见投标人须知前附表。</w:t>
      </w:r>
    </w:p>
    <w:p>
      <w:pPr>
        <w:spacing w:line="360" w:lineRule="exact"/>
        <w:ind w:firstLine="420" w:firstLineChars="200"/>
      </w:pPr>
      <w:r>
        <w:rPr>
          <w:rFonts w:hint="eastAsia"/>
        </w:rPr>
        <w:t>3.5.</w:t>
      </w:r>
      <w:r>
        <w:t>6</w:t>
      </w:r>
      <w:r>
        <w:rPr>
          <w:rFonts w:hint="eastAsia"/>
        </w:rPr>
        <w:t>投标人须知前附表第1.4.2项规定接受联合体投标的，本章第3.5.1项规定的表格和资料应包括联合体各方相关情况。</w:t>
      </w:r>
    </w:p>
    <w:p>
      <w:pPr>
        <w:spacing w:line="360" w:lineRule="exact"/>
        <w:ind w:firstLine="420" w:firstLineChars="200"/>
      </w:pPr>
      <w:r>
        <w:t>3.5.7</w:t>
      </w:r>
      <w:r>
        <w:rPr>
          <w:rFonts w:hint="eastAsia"/>
        </w:rPr>
        <w:t>投标人应按招标文件第八章“投标文件格式”中规定的表格内容填写资格审查表，并按各资格审查表的具体要求提供相关证件及证明材料。</w:t>
      </w:r>
    </w:p>
    <w:p>
      <w:pPr>
        <w:spacing w:line="360" w:lineRule="exact"/>
        <w:ind w:firstLine="420" w:firstLineChars="200"/>
      </w:pPr>
      <w:r>
        <w:t>3.5.8</w:t>
      </w:r>
      <w:r>
        <w:rPr>
          <w:rFonts w:hint="eastAsia"/>
        </w:rPr>
        <w:t>本招标文件中“类似项目”的定义见投标人须知前附表第1</w:t>
      </w:r>
      <w:r>
        <w:t>0.1.1</w:t>
      </w:r>
      <w:r>
        <w:rPr>
          <w:rFonts w:hint="eastAsia"/>
        </w:rPr>
        <w:t>条目规定。</w:t>
      </w:r>
    </w:p>
    <w:p>
      <w:pPr>
        <w:spacing w:line="360" w:lineRule="exact"/>
        <w:ind w:firstLine="420" w:firstLineChars="200"/>
      </w:pPr>
      <w:r>
        <w:rPr>
          <w:rFonts w:hint="eastAsia"/>
        </w:rPr>
        <w:t>3</w:t>
      </w:r>
      <w:r>
        <w:t>.5.9</w:t>
      </w:r>
      <w:r>
        <w:rPr>
          <w:rFonts w:hint="eastAsia"/>
        </w:rPr>
        <w:t>项目经理的已完成的类似项目的业绩，具体年份要求见投标人须知前附表。</w:t>
      </w:r>
    </w:p>
    <w:p>
      <w:pPr>
        <w:pStyle w:val="31"/>
        <w:spacing w:line="360" w:lineRule="exact"/>
      </w:pPr>
      <w:bookmarkStart w:id="205" w:name="_Toc152042329"/>
      <w:bookmarkStart w:id="206" w:name="_Toc179632571"/>
      <w:bookmarkStart w:id="207" w:name="_Toc144974521"/>
      <w:bookmarkStart w:id="208" w:name="_Toc256000030"/>
      <w:bookmarkStart w:id="209" w:name="_Toc22729"/>
      <w:bookmarkStart w:id="210" w:name="_Toc166326866"/>
      <w:bookmarkStart w:id="211" w:name="_Toc152045553"/>
      <w:r>
        <w:rPr>
          <w:rFonts w:hint="eastAsia"/>
        </w:rPr>
        <w:t>3.6 备选投标方案</w:t>
      </w:r>
      <w:bookmarkEnd w:id="205"/>
      <w:bookmarkEnd w:id="206"/>
      <w:bookmarkEnd w:id="207"/>
      <w:bookmarkEnd w:id="208"/>
      <w:bookmarkEnd w:id="209"/>
      <w:bookmarkEnd w:id="210"/>
      <w:bookmarkEnd w:id="211"/>
    </w:p>
    <w:p>
      <w:pPr>
        <w:spacing w:line="360" w:lineRule="exact"/>
        <w:ind w:firstLine="420" w:firstLineChars="200"/>
      </w:pPr>
      <w:r>
        <w:rPr>
          <w:rFonts w:hint="eastAsia"/>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pPr>
        <w:pStyle w:val="31"/>
        <w:spacing w:line="360" w:lineRule="exact"/>
      </w:pPr>
      <w:bookmarkStart w:id="212" w:name="_Toc166326867"/>
      <w:bookmarkStart w:id="213" w:name="_Toc5247"/>
      <w:bookmarkStart w:id="214" w:name="_Toc152045554"/>
      <w:bookmarkStart w:id="215" w:name="_Toc256000031"/>
      <w:bookmarkStart w:id="216" w:name="_Toc152042330"/>
      <w:bookmarkStart w:id="217" w:name="_Toc179632572"/>
      <w:bookmarkStart w:id="218" w:name="_Toc144974522"/>
      <w:r>
        <w:rPr>
          <w:rFonts w:hint="eastAsia"/>
        </w:rPr>
        <w:t>3.7 投标文件的编制</w:t>
      </w:r>
      <w:bookmarkEnd w:id="212"/>
      <w:bookmarkEnd w:id="213"/>
      <w:bookmarkEnd w:id="214"/>
      <w:bookmarkEnd w:id="215"/>
      <w:bookmarkEnd w:id="216"/>
      <w:bookmarkEnd w:id="217"/>
      <w:bookmarkEnd w:id="218"/>
    </w:p>
    <w:p>
      <w:pPr>
        <w:spacing w:line="360" w:lineRule="exact"/>
        <w:ind w:firstLine="420" w:firstLineChars="200"/>
      </w:pPr>
      <w:r>
        <w:rPr>
          <w:rFonts w:hint="eastAsia"/>
        </w:rPr>
        <w:t>3.7.1投标文件应按第八章“投标文件格式”进行编写，如有必要，可以增加附页，作为投标文件的组成部分。其中，投标函附录在满足招标文件实质性要求的基础上，可以提出比招标文件要求更有利于招标人的承诺。</w:t>
      </w:r>
    </w:p>
    <w:p>
      <w:pPr>
        <w:spacing w:line="360" w:lineRule="exact"/>
        <w:ind w:firstLine="420" w:firstLineChars="200"/>
        <w:rPr>
          <w:szCs w:val="21"/>
        </w:rPr>
      </w:pPr>
      <w:r>
        <w:rPr>
          <w:rFonts w:hint="eastAsia"/>
        </w:rPr>
        <w:t>3.7.2 投标文件应当对招标文件有关</w:t>
      </w:r>
      <w:r>
        <w:rPr>
          <w:rFonts w:hint="eastAsia"/>
          <w:szCs w:val="21"/>
        </w:rPr>
        <w:t>工期、投标有效期、质量要求、技术标准和要求、招标范围等实质性内容作出响应。</w:t>
      </w:r>
    </w:p>
    <w:p>
      <w:pPr>
        <w:spacing w:line="360" w:lineRule="exact"/>
        <w:ind w:firstLine="420" w:firstLineChars="200"/>
      </w:pPr>
      <w:r>
        <w:rPr>
          <w:rFonts w:hint="eastAsia"/>
        </w:rPr>
        <w:t xml:space="preserve">3.7.3 </w:t>
      </w:r>
      <w:r>
        <w:t>投标文件制作</w:t>
      </w:r>
    </w:p>
    <w:p>
      <w:pPr>
        <w:spacing w:line="360" w:lineRule="exact"/>
        <w:ind w:firstLine="420" w:firstLineChars="200"/>
      </w:pPr>
      <w:bookmarkStart w:id="219" w:name="_Hlk166763903"/>
      <w:r>
        <w:rPr>
          <w:rFonts w:hint="eastAsia"/>
        </w:rPr>
        <w:t>（1）</w:t>
      </w:r>
      <w:r>
        <w:t>投标文件</w:t>
      </w:r>
      <w:r>
        <w:rPr>
          <w:rFonts w:hint="eastAsia"/>
        </w:rPr>
        <w:t>由</w:t>
      </w:r>
      <w:r>
        <w:t>投标人</w:t>
      </w:r>
      <w:r>
        <w:rPr>
          <w:rFonts w:hint="eastAsia"/>
        </w:rPr>
        <w:t>使用符合标准的数字化</w:t>
      </w:r>
      <w:r>
        <w:t>投标文件制作软件制作生成。</w:t>
      </w:r>
    </w:p>
    <w:p>
      <w:pPr>
        <w:spacing w:line="360" w:lineRule="exact"/>
        <w:ind w:firstLine="420" w:firstLineChars="200"/>
      </w:pPr>
      <w:r>
        <w:rPr>
          <w:rFonts w:hint="eastAsia"/>
        </w:rPr>
        <w:t>（2）</w:t>
      </w:r>
      <w:r>
        <w:t>投标人在编制投标文件时应当建立分级目录，并按照提示</w:t>
      </w:r>
      <w:r>
        <w:rPr>
          <w:rFonts w:hint="eastAsia"/>
        </w:rPr>
        <w:t>录入或填写</w:t>
      </w:r>
      <w:r>
        <w:t>相关内容。</w:t>
      </w:r>
    </w:p>
    <w:p>
      <w:pPr>
        <w:spacing w:line="360" w:lineRule="exact"/>
        <w:ind w:firstLine="420" w:firstLineChars="200"/>
      </w:pPr>
      <w:r>
        <w:rPr>
          <w:rFonts w:hint="eastAsia"/>
        </w:rPr>
        <w:t>（3）投标人应当从企业主体信息库（2024年新版本</w:t>
      </w:r>
      <w:r>
        <w:t>辽宁省工程建设项目主体云库</w:t>
      </w:r>
      <w:r>
        <w:rPr>
          <w:rFonts w:hint="eastAsia"/>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pPr>
        <w:spacing w:line="360" w:lineRule="exact"/>
        <w:ind w:firstLine="420" w:firstLineChars="200"/>
      </w:pPr>
      <w:r>
        <w:rPr>
          <w:rFonts w:hint="eastAsia"/>
        </w:rPr>
        <w:t>投标人投标文件中数字证照数据信息内容是专家评审凭证和依据，投标人应当自行校核和确认数字证照数据信息内容，确保其准确有效和响应招标文件要求。</w:t>
      </w:r>
    </w:p>
    <w:p>
      <w:pPr>
        <w:spacing w:line="360" w:lineRule="exact"/>
        <w:ind w:firstLine="420" w:firstLineChars="200"/>
      </w:pPr>
      <w:r>
        <w:rPr>
          <w:rFonts w:hint="eastAsia"/>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pPr>
        <w:spacing w:line="360" w:lineRule="exact"/>
        <w:ind w:firstLine="420" w:firstLineChars="200"/>
      </w:pPr>
      <w:r>
        <w:rPr>
          <w:rFonts w:hint="eastAsia"/>
        </w:rPr>
        <w:t>应用数字证照评审的节点和材料内容见投标人须知前附表。</w:t>
      </w:r>
    </w:p>
    <w:bookmarkEnd w:id="219"/>
    <w:p>
      <w:pPr>
        <w:spacing w:line="360" w:lineRule="exact"/>
        <w:ind w:firstLine="420" w:firstLineChars="200"/>
      </w:pPr>
      <w:r>
        <w:rPr>
          <w:rFonts w:hint="eastAsia"/>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rPr>
        <w:t>联合体投标的，投标文件由联合体牵头人按上述规定在</w:t>
      </w:r>
      <w:r>
        <w:rPr>
          <w:rFonts w:ascii="宋体" w:hAnsi="宋体"/>
        </w:rPr>
        <w:t>要求</w:t>
      </w:r>
      <w:r>
        <w:rPr>
          <w:rFonts w:hint="eastAsia"/>
        </w:rPr>
        <w:t>“盖单位章”的地方</w:t>
      </w:r>
      <w:r>
        <w:rPr>
          <w:rFonts w:hint="eastAsia" w:ascii="宋体" w:hAnsi="宋体"/>
        </w:rPr>
        <w:t>加盖联合体牵头人单位电子印章；在</w:t>
      </w:r>
      <w:r>
        <w:rPr>
          <w:rFonts w:hint="eastAsia"/>
        </w:rPr>
        <w:t>要求“签章”的地方加盖</w:t>
      </w:r>
      <w:r>
        <w:rPr>
          <w:rFonts w:hint="eastAsia" w:ascii="宋体" w:hAnsi="宋体"/>
        </w:rPr>
        <w:t>联合体牵头人法定代表人</w:t>
      </w:r>
      <w:r>
        <w:rPr>
          <w:rFonts w:hint="eastAsia"/>
        </w:rPr>
        <w:t>（授权委托人）</w:t>
      </w:r>
      <w:r>
        <w:rPr>
          <w:rFonts w:hint="eastAsia" w:ascii="宋体" w:hAnsi="宋体"/>
        </w:rPr>
        <w:t>的个人电子印章或电子签名。</w:t>
      </w:r>
      <w:r>
        <w:rPr>
          <w:rFonts w:hint="eastAsia"/>
        </w:rPr>
        <w:t>招标文件有特别说明的除外。</w:t>
      </w:r>
    </w:p>
    <w:p>
      <w:pPr>
        <w:spacing w:line="360" w:lineRule="exact"/>
        <w:ind w:firstLine="420" w:firstLineChars="200"/>
        <w:rPr>
          <w:szCs w:val="21"/>
        </w:rPr>
      </w:pPr>
      <w:r>
        <w:rPr>
          <w:rFonts w:hint="eastAsia"/>
        </w:rPr>
        <w:t>（5）</w:t>
      </w:r>
      <w:r>
        <w:t>投标文件中</w:t>
      </w:r>
      <w:r>
        <w:rPr>
          <w:rFonts w:hint="eastAsia"/>
        </w:rPr>
        <w:t>的已标价工程量清单数据文件</w:t>
      </w:r>
      <w:r>
        <w:rPr>
          <w:rFonts w:hint="eastAsia"/>
          <w:szCs w:val="21"/>
        </w:rPr>
        <w:t>应符合辽宁省建设工程造价数据规范的要求，多个专业分别编制时，应汇总合并为一个文件</w:t>
      </w:r>
      <w:r>
        <w:t>导入</w:t>
      </w:r>
      <w:r>
        <w:rPr>
          <w:rFonts w:hint="eastAsia"/>
          <w:szCs w:val="21"/>
        </w:rPr>
        <w:t>。</w:t>
      </w:r>
    </w:p>
    <w:p>
      <w:pPr>
        <w:spacing w:line="360" w:lineRule="exact"/>
        <w:ind w:firstLine="420" w:firstLineChars="200"/>
      </w:pPr>
      <w:r>
        <w:rPr>
          <w:rFonts w:hint="eastAsia"/>
        </w:rPr>
        <w:t>（6）</w:t>
      </w:r>
      <w:r>
        <w:t>投标文件</w:t>
      </w:r>
      <w:r>
        <w:rPr>
          <w:rFonts w:hint="eastAsia"/>
        </w:rPr>
        <w:t>制作完成后</w:t>
      </w:r>
      <w:r>
        <w:t>，</w:t>
      </w:r>
      <w:r>
        <w:rPr>
          <w:rFonts w:hint="eastAsia"/>
        </w:rPr>
        <w:t>将生成一份加密的电子投标文件。</w:t>
      </w:r>
      <w:bookmarkStart w:id="220" w:name="_Hlk164708979"/>
      <w:r>
        <w:rPr>
          <w:rFonts w:hint="eastAsia"/>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220"/>
    </w:p>
    <w:p>
      <w:pPr>
        <w:spacing w:line="360" w:lineRule="exact"/>
        <w:ind w:firstLine="420" w:firstLineChars="200"/>
      </w:pPr>
      <w:r>
        <w:rPr>
          <w:rFonts w:hint="eastAsia"/>
        </w:rPr>
        <w:t>（7）</w:t>
      </w:r>
      <w:r>
        <w:t>投标文件制作</w:t>
      </w:r>
      <w:r>
        <w:rPr>
          <w:rFonts w:hint="eastAsia"/>
        </w:rPr>
        <w:t>的具体方法详见“数字化投标文件制作软件”中的操作说明。</w:t>
      </w:r>
    </w:p>
    <w:p>
      <w:pPr>
        <w:spacing w:line="360" w:lineRule="exact"/>
        <w:ind w:firstLine="420" w:firstLineChars="200"/>
        <w:rPr>
          <w:szCs w:val="21"/>
        </w:rPr>
      </w:pPr>
      <w:r>
        <w:rPr>
          <w:rFonts w:hint="eastAsia"/>
        </w:rPr>
        <w:t>3.7.4</w:t>
      </w:r>
      <w:r>
        <w:rPr>
          <w:rFonts w:hint="eastAsia"/>
          <w:szCs w:val="21"/>
        </w:rPr>
        <w:t xml:space="preserve"> 投标人须知前附表规定“施工组织设计”（技术标）采用“模块化暗标”，“施工组织设计”应按本章第3.7.3项制作</w:t>
      </w:r>
      <w:r>
        <w:t>投标文件</w:t>
      </w:r>
      <w:r>
        <w:rPr>
          <w:rFonts w:hint="eastAsia"/>
          <w:szCs w:val="21"/>
        </w:rPr>
        <w:t>并应满足下列要求：</w:t>
      </w:r>
    </w:p>
    <w:p>
      <w:pPr>
        <w:tabs>
          <w:tab w:val="left" w:pos="7980"/>
        </w:tabs>
        <w:spacing w:line="360" w:lineRule="exact"/>
        <w:ind w:firstLine="420" w:firstLineChars="200"/>
        <w:rPr>
          <w:szCs w:val="21"/>
        </w:rPr>
      </w:pPr>
      <w:r>
        <w:rPr>
          <w:rFonts w:hint="eastAsia"/>
          <w:szCs w:val="21"/>
        </w:rPr>
        <w:t>（1）</w:t>
      </w:r>
      <w:r>
        <w:rPr>
          <w:szCs w:val="21"/>
        </w:rPr>
        <w:t>采用A4规格纸张，纸张方向为纵向，段落采用单倍行距</w:t>
      </w:r>
      <w:r>
        <w:rPr>
          <w:rFonts w:hint="eastAsia"/>
          <w:szCs w:val="21"/>
        </w:rPr>
        <w:t>，“文档网格”设置为“无网格”</w:t>
      </w:r>
      <w:r>
        <w:rPr>
          <w:szCs w:val="21"/>
        </w:rPr>
        <w:t>，对齐方式两端对齐，大纲级别正文文本，左侧、右侧缩进0个字符，首行缩进2个字符，段前、段后0行。编辑软件可采用Microsoft Word 2010及以上版本或WPS 2013版本及以上版本。</w:t>
      </w:r>
    </w:p>
    <w:p>
      <w:pPr>
        <w:spacing w:line="360" w:lineRule="exact"/>
        <w:ind w:firstLine="420" w:firstLineChars="200"/>
        <w:rPr>
          <w:szCs w:val="21"/>
        </w:rPr>
      </w:pPr>
      <w:r>
        <w:rPr>
          <w:rFonts w:hint="eastAsia"/>
          <w:szCs w:val="21"/>
        </w:rPr>
        <w:t>（2）</w:t>
      </w:r>
      <w:r>
        <w:rPr>
          <w:rFonts w:hint="eastAsia" w:ascii="宋体" w:hAnsi="宋体"/>
          <w:szCs w:val="21"/>
        </w:rPr>
        <w:t>标题（包括章、节、条、款、项）、正文要求：</w:t>
      </w:r>
      <w:r>
        <w:rPr>
          <w:rFonts w:hint="eastAsia"/>
          <w:szCs w:val="21"/>
        </w:rPr>
        <w:t>采用A4规格</w:t>
      </w:r>
      <w:r>
        <w:rPr>
          <w:szCs w:val="21"/>
        </w:rPr>
        <w:t>纸张</w:t>
      </w:r>
      <w:r>
        <w:rPr>
          <w:rFonts w:hint="eastAsia"/>
          <w:szCs w:val="21"/>
        </w:rPr>
        <w:t>，文字为黑色小四号宋体，标题可加粗。</w:t>
      </w:r>
    </w:p>
    <w:p>
      <w:pPr>
        <w:spacing w:line="360" w:lineRule="exact"/>
        <w:ind w:firstLine="420" w:firstLineChars="200"/>
        <w:rPr>
          <w:szCs w:val="21"/>
        </w:rPr>
      </w:pPr>
      <w:r>
        <w:rPr>
          <w:rFonts w:hint="eastAsia"/>
          <w:szCs w:val="21"/>
        </w:rPr>
        <w:t>（3）图表要求：</w:t>
      </w:r>
      <w:r>
        <w:rPr>
          <w:rFonts w:hint="eastAsia" w:ascii="宋体" w:hAnsi="宋体"/>
          <w:szCs w:val="21"/>
        </w:rPr>
        <w:t>图表应尽可能采用</w:t>
      </w:r>
      <w:r>
        <w:rPr>
          <w:rFonts w:hint="eastAsia"/>
          <w:szCs w:val="21"/>
        </w:rPr>
        <w:t>A4规格白色底色，</w:t>
      </w:r>
      <w:r>
        <w:rPr>
          <w:rFonts w:hint="eastAsia" w:ascii="宋体" w:hAnsi="宋体"/>
          <w:szCs w:val="21"/>
        </w:rPr>
        <w:t>对于比较大的图表可使用A3</w:t>
      </w:r>
      <w:r>
        <w:rPr>
          <w:rFonts w:hint="eastAsia"/>
          <w:szCs w:val="21"/>
        </w:rPr>
        <w:t>规格白色底色。</w:t>
      </w:r>
      <w:bookmarkStart w:id="221" w:name="_Hlk154494018"/>
      <w:r>
        <w:rPr>
          <w:rFonts w:hint="eastAsia" w:ascii="宋体" w:hAnsi="宋体"/>
          <w:szCs w:val="21"/>
        </w:rPr>
        <w:t>图表中的文字采用</w:t>
      </w:r>
      <w:r>
        <w:rPr>
          <w:rFonts w:hint="eastAsia"/>
          <w:szCs w:val="21"/>
        </w:rPr>
        <w:t>黑色</w:t>
      </w:r>
      <w:r>
        <w:rPr>
          <w:rFonts w:hint="eastAsia" w:ascii="宋体" w:hAnsi="宋体"/>
          <w:szCs w:val="21"/>
        </w:rPr>
        <w:t>，字体、字号不限（不包括纯表格，</w:t>
      </w:r>
      <w:r>
        <w:rPr>
          <w:rFonts w:hint="eastAsia"/>
          <w:szCs w:val="21"/>
        </w:rPr>
        <w:t>纯表格中文字要求同正文要求</w:t>
      </w:r>
      <w:r>
        <w:rPr>
          <w:rFonts w:hint="eastAsia" w:ascii="宋体" w:hAnsi="宋体"/>
          <w:szCs w:val="21"/>
        </w:rPr>
        <w:t>）。</w:t>
      </w:r>
      <w:bookmarkEnd w:id="221"/>
      <w:r>
        <w:rPr>
          <w:rFonts w:hint="eastAsia" w:ascii="宋体" w:hAnsi="宋体"/>
          <w:szCs w:val="21"/>
        </w:rPr>
        <w:t>图表（包括框图、流程图、结构图等，不包括纯表格）内容需转换为“图片”格式插入到文件对应位置上。</w:t>
      </w:r>
    </w:p>
    <w:p>
      <w:pPr>
        <w:spacing w:line="360" w:lineRule="exact"/>
        <w:ind w:firstLine="420" w:firstLineChars="200"/>
        <w:rPr>
          <w:szCs w:val="21"/>
        </w:rPr>
      </w:pPr>
      <w:r>
        <w:rPr>
          <w:rFonts w:hint="eastAsia"/>
          <w:szCs w:val="21"/>
        </w:rPr>
        <w:t>（4）</w:t>
      </w:r>
      <w:r>
        <w:rPr>
          <w:rFonts w:ascii="宋体" w:hAnsi="宋体"/>
          <w:szCs w:val="21"/>
        </w:rPr>
        <w:t>页眉和页脚</w:t>
      </w:r>
      <w:r>
        <w:rPr>
          <w:rFonts w:hint="eastAsia" w:ascii="宋体" w:hAnsi="宋体"/>
          <w:szCs w:val="21"/>
        </w:rPr>
        <w:t>（包括页码）设置要求：不允许出现页眉，且页脚只准出现页码，页码格式采用阿拉伯数字格式，字体为五号宋体，设在页脚居中位置，页码应当连续。</w:t>
      </w:r>
    </w:p>
    <w:p>
      <w:pPr>
        <w:spacing w:line="360" w:lineRule="exact"/>
        <w:ind w:firstLine="420" w:firstLineChars="200"/>
        <w:rPr>
          <w:szCs w:val="21"/>
        </w:rPr>
      </w:pPr>
      <w:r>
        <w:rPr>
          <w:rFonts w:hint="eastAsia"/>
          <w:szCs w:val="21"/>
        </w:rPr>
        <w:t>（5）不允许有目录，不</w:t>
      </w:r>
      <w:r>
        <w:rPr>
          <w:rFonts w:ascii="宋体" w:hAnsi="宋体" w:cs="宋体"/>
        </w:rPr>
        <w:t>允许涂改或删除痕迹</w:t>
      </w:r>
      <w:r>
        <w:rPr>
          <w:rFonts w:hint="eastAsia" w:ascii="宋体" w:hAnsi="宋体" w:cs="宋体"/>
        </w:rPr>
        <w:t>，不</w:t>
      </w:r>
      <w:r>
        <w:rPr>
          <w:rFonts w:ascii="宋体" w:hAnsi="宋体" w:cs="宋体"/>
        </w:rPr>
        <w:t>允许字体涂色</w:t>
      </w:r>
      <w:r>
        <w:rPr>
          <w:rFonts w:hint="eastAsia" w:ascii="宋体" w:hAnsi="宋体" w:cs="宋体"/>
        </w:rPr>
        <w:t>。</w:t>
      </w:r>
    </w:p>
    <w:p>
      <w:pPr>
        <w:spacing w:line="360" w:lineRule="exact"/>
        <w:ind w:firstLine="420" w:firstLineChars="200"/>
        <w:rPr>
          <w:szCs w:val="21"/>
        </w:rPr>
      </w:pPr>
      <w:r>
        <w:rPr>
          <w:rFonts w:hint="eastAsia"/>
          <w:szCs w:val="21"/>
        </w:rPr>
        <w:t>（</w:t>
      </w:r>
      <w:r>
        <w:rPr>
          <w:szCs w:val="21"/>
        </w:rPr>
        <w:t>6</w:t>
      </w:r>
      <w:r>
        <w:rPr>
          <w:rFonts w:hint="eastAsia"/>
          <w:szCs w:val="21"/>
        </w:rPr>
        <w:t>）任何情况下，施工组织设计中不得出现投标人的名称和其它可以识别投标人身份的字符、徽标、人员名称等以及雷同性标记内容。</w:t>
      </w:r>
    </w:p>
    <w:p>
      <w:pPr>
        <w:pStyle w:val="29"/>
        <w:spacing w:line="360" w:lineRule="exact"/>
      </w:pPr>
      <w:bookmarkStart w:id="222" w:name="_Toc152045555"/>
      <w:bookmarkStart w:id="223" w:name="_Toc256000032"/>
      <w:bookmarkStart w:id="224" w:name="_Toc152042331"/>
      <w:bookmarkStart w:id="225" w:name="_Toc179632573"/>
      <w:bookmarkStart w:id="226" w:name="_Toc144974523"/>
      <w:bookmarkStart w:id="227" w:name="_Toc18444"/>
      <w:bookmarkStart w:id="228" w:name="_Toc166326868"/>
      <w:r>
        <w:rPr>
          <w:rFonts w:hint="eastAsia"/>
        </w:rPr>
        <w:t>4. 投标</w:t>
      </w:r>
      <w:bookmarkEnd w:id="222"/>
      <w:bookmarkEnd w:id="223"/>
      <w:bookmarkEnd w:id="224"/>
      <w:bookmarkEnd w:id="225"/>
      <w:bookmarkEnd w:id="226"/>
      <w:bookmarkEnd w:id="227"/>
      <w:bookmarkEnd w:id="228"/>
    </w:p>
    <w:p>
      <w:pPr>
        <w:pStyle w:val="31"/>
        <w:spacing w:line="360" w:lineRule="exact"/>
      </w:pPr>
      <w:bookmarkStart w:id="229" w:name="_Toc144974524"/>
      <w:bookmarkStart w:id="230" w:name="_Toc152045556"/>
      <w:bookmarkStart w:id="231" w:name="_Toc152042332"/>
      <w:bookmarkStart w:id="232" w:name="_Toc179632574"/>
      <w:bookmarkStart w:id="233" w:name="_Toc166326869"/>
      <w:bookmarkStart w:id="234" w:name="_Toc5961"/>
      <w:bookmarkStart w:id="235" w:name="_Toc256000033"/>
      <w:r>
        <w:rPr>
          <w:rFonts w:hint="eastAsia"/>
        </w:rPr>
        <w:t>4.1 投标文件的</w:t>
      </w:r>
      <w:bookmarkEnd w:id="229"/>
      <w:bookmarkEnd w:id="230"/>
      <w:bookmarkEnd w:id="231"/>
      <w:bookmarkEnd w:id="232"/>
      <w:r>
        <w:rPr>
          <w:rFonts w:hint="eastAsia"/>
        </w:rPr>
        <w:t>加密</w:t>
      </w:r>
      <w:bookmarkEnd w:id="233"/>
      <w:bookmarkEnd w:id="234"/>
      <w:bookmarkEnd w:id="235"/>
    </w:p>
    <w:p>
      <w:pPr>
        <w:spacing w:line="360" w:lineRule="exact"/>
        <w:ind w:firstLine="420" w:firstLineChars="200"/>
      </w:pPr>
      <w:r>
        <w:rPr>
          <w:rFonts w:hint="eastAsia"/>
        </w:rPr>
        <w:t>投标人应当按照</w:t>
      </w:r>
      <w:r>
        <w:t>本章第3.</w:t>
      </w:r>
      <w:r>
        <w:rPr>
          <w:rFonts w:hint="eastAsia"/>
        </w:rPr>
        <w:t>7.3</w:t>
      </w:r>
      <w:r>
        <w:t>项要求制作</w:t>
      </w:r>
      <w:r>
        <w:rPr>
          <w:rFonts w:hint="eastAsia"/>
        </w:rPr>
        <w:t>投标文件，并在投标时上传加密的投标文件，未</w:t>
      </w:r>
      <w:r>
        <w:t>加密的投标文件，</w:t>
      </w:r>
      <w:r>
        <w:rPr>
          <w:rFonts w:hint="eastAsia"/>
        </w:rPr>
        <w:t>招标人（</w:t>
      </w:r>
      <w:bookmarkStart w:id="236" w:name="_Hlk157864029"/>
      <w:r>
        <w:t>电子</w:t>
      </w:r>
      <w:r>
        <w:rPr>
          <w:rFonts w:hint="eastAsia"/>
        </w:rPr>
        <w:t>招标投标系统</w:t>
      </w:r>
      <w:bookmarkEnd w:id="236"/>
      <w:r>
        <w:rPr>
          <w:rFonts w:hint="eastAsia"/>
        </w:rPr>
        <w:t>）将拒收并提示。</w:t>
      </w:r>
    </w:p>
    <w:p>
      <w:pPr>
        <w:pStyle w:val="31"/>
        <w:spacing w:line="360" w:lineRule="exact"/>
      </w:pPr>
      <w:bookmarkStart w:id="237" w:name="_Toc179632575"/>
      <w:bookmarkStart w:id="238" w:name="_Toc166326870"/>
      <w:bookmarkStart w:id="239" w:name="_Toc152042333"/>
      <w:bookmarkStart w:id="240" w:name="_Toc144974525"/>
      <w:bookmarkStart w:id="241" w:name="_Toc152045557"/>
      <w:bookmarkStart w:id="242" w:name="_Toc21013"/>
      <w:bookmarkStart w:id="243" w:name="_Toc256000034"/>
      <w:r>
        <w:rPr>
          <w:rFonts w:hint="eastAsia"/>
        </w:rPr>
        <w:t>4.2 投标文件的递交</w:t>
      </w:r>
      <w:bookmarkEnd w:id="237"/>
      <w:bookmarkEnd w:id="238"/>
      <w:bookmarkEnd w:id="239"/>
      <w:bookmarkEnd w:id="240"/>
      <w:bookmarkEnd w:id="241"/>
      <w:bookmarkEnd w:id="242"/>
      <w:bookmarkEnd w:id="243"/>
    </w:p>
    <w:p>
      <w:pPr>
        <w:spacing w:line="360" w:lineRule="exact"/>
        <w:ind w:firstLine="420" w:firstLineChars="200"/>
      </w:pPr>
      <w:r>
        <w:rPr>
          <w:rFonts w:hint="eastAsia"/>
        </w:rPr>
        <w:t>4.2.1 投标人递交投标文件的截止时间（投标截止时间）：见投标人须知前附表。</w:t>
      </w:r>
    </w:p>
    <w:p>
      <w:pPr>
        <w:spacing w:line="360" w:lineRule="exact"/>
        <w:ind w:firstLine="420" w:firstLineChars="200"/>
      </w:pPr>
      <w:r>
        <w:t>4.</w:t>
      </w:r>
      <w:r>
        <w:rPr>
          <w:rFonts w:hint="eastAsia"/>
        </w:rPr>
        <w:t>2</w:t>
      </w:r>
      <w:r>
        <w:t>.</w:t>
      </w:r>
      <w:r>
        <w:rPr>
          <w:rFonts w:hint="eastAsia"/>
        </w:rPr>
        <w:t xml:space="preserve">2 </w:t>
      </w:r>
      <w:bookmarkStart w:id="244" w:name="_Hlk162093171"/>
      <w:r>
        <w:rPr>
          <w:rFonts w:hint="eastAsia"/>
        </w:rPr>
        <w:t>投标人应当在投标截止时间前，</w:t>
      </w:r>
      <w:r>
        <w:t>通过</w:t>
      </w:r>
      <w:bookmarkStart w:id="245" w:name="_Hlk164706052"/>
      <w:r>
        <w:t>电子</w:t>
      </w:r>
      <w:r>
        <w:rPr>
          <w:rFonts w:hint="eastAsia"/>
        </w:rPr>
        <w:t>交易系统（投标盲盒工具）</w:t>
      </w:r>
      <w:bookmarkEnd w:id="245"/>
      <w:r>
        <w:rPr>
          <w:rFonts w:hint="eastAsia"/>
        </w:rPr>
        <w:t>选择所投标段将加密的投标文件上传至</w:t>
      </w:r>
      <w:r>
        <w:t>电子</w:t>
      </w:r>
      <w:r>
        <w:rPr>
          <w:rFonts w:hint="eastAsia"/>
        </w:rPr>
        <w:t>招标投标系统（辽宁省工程建设项目数字化开标评标系统）。投标人应充分考虑上传文件时的不可预见因素，投标文件</w:t>
      </w:r>
      <w:r>
        <w:t>未在投标截止时间前完成上传</w:t>
      </w:r>
      <w:r>
        <w:rPr>
          <w:rFonts w:hint="eastAsia"/>
        </w:rPr>
        <w:t>的，</w:t>
      </w:r>
      <w:r>
        <w:t>视为逾期送达</w:t>
      </w:r>
      <w:r>
        <w:rPr>
          <w:rFonts w:hint="eastAsia"/>
        </w:rPr>
        <w:t>，招标人（</w:t>
      </w:r>
      <w:r>
        <w:t>电子</w:t>
      </w:r>
      <w:r>
        <w:rPr>
          <w:rFonts w:hint="eastAsia"/>
        </w:rPr>
        <w:t>交易系统）将拒收其投标文件</w:t>
      </w:r>
      <w:r>
        <w:t>。</w:t>
      </w:r>
    </w:p>
    <w:p>
      <w:pPr>
        <w:spacing w:line="360" w:lineRule="exact"/>
        <w:ind w:firstLine="420" w:firstLineChars="200"/>
      </w:pPr>
      <w:r>
        <w:rPr>
          <w:rFonts w:hint="eastAsia"/>
        </w:rPr>
        <w:t>投标人完成投标文件上传成功后，</w:t>
      </w:r>
      <w:r>
        <w:t>电子交易系统向投标人发出电子签收凭证</w:t>
      </w:r>
      <w:r>
        <w:rPr>
          <w:rFonts w:hint="eastAsia"/>
        </w:rPr>
        <w:t>，递交时间以</w:t>
      </w:r>
      <w:r>
        <w:t>电子签收凭证</w:t>
      </w:r>
      <w:r>
        <w:rPr>
          <w:rFonts w:hint="eastAsia"/>
        </w:rPr>
        <w:t>载明的时间为准。</w:t>
      </w:r>
      <w:bookmarkEnd w:id="244"/>
    </w:p>
    <w:p>
      <w:pPr>
        <w:spacing w:line="360" w:lineRule="exact"/>
        <w:ind w:firstLine="420" w:firstLineChars="200"/>
      </w:pPr>
      <w:r>
        <w:rPr>
          <w:rFonts w:hint="eastAsia"/>
        </w:rPr>
        <w:t>4.2.3 除投标人须知前附表另有规定外，投标人所递交的投标文件不予退还。</w:t>
      </w:r>
    </w:p>
    <w:p>
      <w:pPr>
        <w:pStyle w:val="31"/>
        <w:spacing w:line="360" w:lineRule="exact"/>
      </w:pPr>
      <w:bookmarkStart w:id="246" w:name="_Toc166326871"/>
      <w:bookmarkStart w:id="247" w:name="_Toc152042334"/>
      <w:bookmarkStart w:id="248" w:name="_Toc152045558"/>
      <w:bookmarkStart w:id="249" w:name="_Toc144974526"/>
      <w:bookmarkStart w:id="250" w:name="_Toc256000035"/>
      <w:bookmarkStart w:id="251" w:name="_Toc179632576"/>
      <w:bookmarkStart w:id="252" w:name="_Toc13717"/>
      <w:r>
        <w:rPr>
          <w:rFonts w:hint="eastAsia"/>
        </w:rPr>
        <w:t>4.3 投标文件的修改与撤回</w:t>
      </w:r>
      <w:bookmarkEnd w:id="246"/>
      <w:bookmarkEnd w:id="247"/>
      <w:bookmarkEnd w:id="248"/>
      <w:bookmarkEnd w:id="249"/>
      <w:bookmarkEnd w:id="250"/>
      <w:bookmarkEnd w:id="251"/>
      <w:bookmarkEnd w:id="252"/>
    </w:p>
    <w:p>
      <w:pPr>
        <w:spacing w:line="360" w:lineRule="exact"/>
        <w:ind w:firstLine="420" w:firstLineChars="200"/>
      </w:pPr>
      <w:r>
        <w:t>4.3.1</w:t>
      </w:r>
      <w:r>
        <w:rPr>
          <w:rFonts w:hint="eastAsia"/>
        </w:rPr>
        <w:t xml:space="preserve"> 在本章第4.2.1项规定的投标截止时间前，投标人可以修改或撤回已递交的投标文件。</w:t>
      </w:r>
    </w:p>
    <w:p>
      <w:pPr>
        <w:spacing w:line="360" w:lineRule="exact"/>
        <w:ind w:firstLine="420" w:firstLineChars="200"/>
      </w:pPr>
      <w:r>
        <w:rPr>
          <w:rFonts w:hint="eastAsia"/>
        </w:rPr>
        <w:t>4.3.2 投标人撤回投标文件的，在电子交易系统（投标盲盒工具）直接进行撤回操作</w:t>
      </w:r>
      <w:r>
        <w:t>。</w:t>
      </w:r>
    </w:p>
    <w:p>
      <w:pPr>
        <w:spacing w:line="360" w:lineRule="exact"/>
        <w:ind w:firstLine="420" w:firstLineChars="200"/>
      </w:pPr>
      <w:r>
        <w:rPr>
          <w:rFonts w:hint="eastAsia"/>
        </w:rPr>
        <w:t>4.3.3 投标人修改投标文件的，</w:t>
      </w:r>
      <w:r>
        <w:t>应当</w:t>
      </w:r>
      <w:r>
        <w:rPr>
          <w:rFonts w:hint="eastAsia"/>
        </w:rPr>
        <w:t>先按本章第</w:t>
      </w:r>
      <w:r>
        <w:t>4.3.2</w:t>
      </w:r>
      <w:r>
        <w:rPr>
          <w:rFonts w:hint="eastAsia"/>
        </w:rPr>
        <w:t>项的规定撤回投标文件，再</w:t>
      </w:r>
      <w:r>
        <w:t>使用投标文件制作软件制作成完整的投标文件</w:t>
      </w:r>
      <w:r>
        <w:rPr>
          <w:rFonts w:hint="eastAsia"/>
        </w:rPr>
        <w:t>，并按照本章第3条、第4条规定进行编制和递交</w:t>
      </w:r>
      <w:bookmarkStart w:id="253" w:name="_Hlk161477706"/>
      <w:bookmarkStart w:id="254" w:name="_Hlk161651407"/>
      <w:r>
        <w:rPr>
          <w:rFonts w:hint="eastAsia"/>
        </w:rPr>
        <w:t>，递交时间以投标截止时间前最后完成上传的文件为准</w:t>
      </w:r>
      <w:bookmarkEnd w:id="253"/>
      <w:r>
        <w:rPr>
          <w:rFonts w:hint="eastAsia"/>
        </w:rPr>
        <w:t>。</w:t>
      </w:r>
      <w:bookmarkEnd w:id="254"/>
    </w:p>
    <w:p>
      <w:pPr>
        <w:pStyle w:val="29"/>
        <w:spacing w:line="360" w:lineRule="exact"/>
      </w:pPr>
      <w:bookmarkStart w:id="255" w:name="_Toc26398"/>
      <w:bookmarkStart w:id="256" w:name="_Toc144974527"/>
      <w:bookmarkStart w:id="257" w:name="_Toc152042335"/>
      <w:bookmarkStart w:id="258" w:name="_Toc152045559"/>
      <w:bookmarkStart w:id="259" w:name="_Toc179632577"/>
      <w:bookmarkStart w:id="260" w:name="_Toc256000036"/>
      <w:bookmarkStart w:id="261" w:name="_Toc166326872"/>
      <w:r>
        <w:rPr>
          <w:rFonts w:hint="eastAsia"/>
        </w:rPr>
        <w:t>5. 开标</w:t>
      </w:r>
      <w:bookmarkEnd w:id="255"/>
      <w:bookmarkEnd w:id="256"/>
      <w:bookmarkEnd w:id="257"/>
      <w:bookmarkEnd w:id="258"/>
      <w:bookmarkEnd w:id="259"/>
      <w:bookmarkEnd w:id="260"/>
      <w:bookmarkEnd w:id="261"/>
    </w:p>
    <w:p>
      <w:pPr>
        <w:pStyle w:val="31"/>
        <w:spacing w:line="360" w:lineRule="exact"/>
      </w:pPr>
      <w:bookmarkStart w:id="262" w:name="_Toc166326873"/>
      <w:bookmarkStart w:id="263" w:name="_Toc179632578"/>
      <w:bookmarkStart w:id="264" w:name="_Toc152045560"/>
      <w:bookmarkStart w:id="265" w:name="_Toc144974528"/>
      <w:bookmarkStart w:id="266" w:name="_Toc152042336"/>
      <w:bookmarkStart w:id="267" w:name="_Toc14166"/>
      <w:bookmarkStart w:id="268" w:name="_Toc256000037"/>
      <w:r>
        <w:rPr>
          <w:rFonts w:hint="eastAsia"/>
        </w:rPr>
        <w:t>5.1 开标时间和地点</w:t>
      </w:r>
      <w:bookmarkEnd w:id="262"/>
      <w:bookmarkEnd w:id="263"/>
      <w:bookmarkEnd w:id="264"/>
      <w:bookmarkEnd w:id="265"/>
      <w:bookmarkEnd w:id="266"/>
      <w:bookmarkEnd w:id="267"/>
      <w:bookmarkEnd w:id="268"/>
    </w:p>
    <w:p>
      <w:pPr>
        <w:spacing w:line="360" w:lineRule="exact"/>
        <w:ind w:firstLine="420" w:firstLineChars="200"/>
        <w:rPr>
          <w:bCs/>
        </w:rPr>
      </w:pPr>
      <w:r>
        <w:rPr>
          <w:rFonts w:hint="eastAsia"/>
        </w:rPr>
        <w:t>5.1.1 招标人在本章第4.2.1项规定的投标截止时间（开标时间）</w:t>
      </w:r>
      <w:r>
        <w:rPr>
          <w:rFonts w:hint="eastAsia"/>
          <w:bCs/>
          <w:iCs/>
        </w:rPr>
        <w:t>在</w:t>
      </w:r>
      <w:bookmarkStart w:id="269" w:name="_Hlk164709573"/>
      <w:r>
        <w:rPr>
          <w:rFonts w:hint="eastAsia"/>
        </w:rPr>
        <w:t>电子招标投标系统（辽宁省工程建设项目数字化开标评标系统）</w:t>
      </w:r>
      <w:bookmarkEnd w:id="269"/>
      <w:r>
        <w:rPr>
          <w:rFonts w:hint="eastAsia"/>
          <w:bCs/>
          <w:iCs/>
        </w:rPr>
        <w:t>上</w:t>
      </w:r>
      <w:r>
        <w:rPr>
          <w:rFonts w:hint="eastAsia"/>
          <w:bCs/>
        </w:rPr>
        <w:t>公开进行开标，</w:t>
      </w:r>
      <w:r>
        <w:rPr>
          <w:rFonts w:hint="eastAsia"/>
          <w:bCs/>
          <w:iCs/>
        </w:rPr>
        <w:t>所有投标人均应当参加开标。招标人按照</w:t>
      </w:r>
      <w:r>
        <w:rPr>
          <w:rFonts w:hint="eastAsia"/>
        </w:rPr>
        <w:t>投标人须知前附表规定的方式组织开标。</w:t>
      </w:r>
    </w:p>
    <w:p>
      <w:pPr>
        <w:spacing w:line="360" w:lineRule="exact"/>
        <w:ind w:firstLine="420" w:firstLineChars="200"/>
      </w:pPr>
      <w:r>
        <w:rPr>
          <w:rFonts w:hint="eastAsia"/>
        </w:rPr>
        <w:t>5.1.2招标人在投标人须知前附表规定的地点组织开标，并在投标截止时间30分钟前，登录并进入电子招标投标系统（辽宁省工程建设项目数字化开标评标系统）选择相应标段作开标的准备工作。</w:t>
      </w:r>
    </w:p>
    <w:p>
      <w:pPr>
        <w:spacing w:line="360" w:lineRule="exact"/>
        <w:ind w:firstLine="420" w:firstLineChars="200"/>
      </w:pPr>
      <w:r>
        <w:rPr>
          <w:rFonts w:hint="eastAsia"/>
        </w:rPr>
        <w:t>5.1.3 投标人应当在能够保证设施设备可靠、互联网畅通的任意地点，按照本章第</w:t>
      </w:r>
      <w:r>
        <w:t>5.1.1</w:t>
      </w:r>
      <w:r>
        <w:rPr>
          <w:rFonts w:hint="eastAsia"/>
        </w:rPr>
        <w:t>项规定的组织方式，通过互联网远程在线或现场集中参加开标，</w:t>
      </w:r>
      <w:r>
        <w:t>使用</w:t>
      </w:r>
      <w:r>
        <w:rPr>
          <w:rFonts w:hint="eastAsia"/>
        </w:rPr>
        <w:t>加密其投标文件的数字证书（CA）登录电子招标投标系统（</w:t>
      </w:r>
      <w:r>
        <w:rPr>
          <w:rFonts w:hint="eastAsia"/>
          <w:bCs/>
        </w:rPr>
        <w:t>辽宁省</w:t>
      </w:r>
      <w:r>
        <w:rPr>
          <w:rFonts w:hint="eastAsia"/>
        </w:rPr>
        <w:t>工程建设项目数字化开标评标系统）选择所投标段进行签到，并实时关注招标人的操作情况。</w:t>
      </w:r>
    </w:p>
    <w:p>
      <w:pPr>
        <w:pStyle w:val="31"/>
        <w:spacing w:line="360" w:lineRule="exact"/>
      </w:pPr>
      <w:bookmarkStart w:id="270" w:name="_Toc152042337"/>
      <w:bookmarkStart w:id="271" w:name="_Toc144974529"/>
      <w:bookmarkStart w:id="272" w:name="_Toc179632579"/>
      <w:bookmarkStart w:id="273" w:name="_Toc28003"/>
      <w:bookmarkStart w:id="274" w:name="_Toc256000038"/>
      <w:bookmarkStart w:id="275" w:name="_Toc152045561"/>
      <w:bookmarkStart w:id="276" w:name="_Toc166326874"/>
      <w:r>
        <w:rPr>
          <w:rFonts w:hint="eastAsia"/>
        </w:rPr>
        <w:t>5.2 开标程序</w:t>
      </w:r>
      <w:bookmarkEnd w:id="270"/>
      <w:bookmarkEnd w:id="271"/>
      <w:bookmarkEnd w:id="272"/>
      <w:bookmarkEnd w:id="273"/>
      <w:bookmarkEnd w:id="274"/>
      <w:bookmarkEnd w:id="275"/>
      <w:bookmarkEnd w:id="276"/>
    </w:p>
    <w:p>
      <w:pPr>
        <w:spacing w:line="360" w:lineRule="exact"/>
        <w:ind w:firstLine="420" w:firstLineChars="200"/>
      </w:pPr>
      <w:r>
        <w:rPr>
          <w:rFonts w:hint="eastAsia"/>
        </w:rPr>
        <w:t>5.2.1 主持人按下列程序在电子招标投标系统（辽宁省工程建设项目数字化开标评标系统）进行开标：</w:t>
      </w:r>
    </w:p>
    <w:p>
      <w:pPr>
        <w:spacing w:line="360" w:lineRule="exact"/>
        <w:ind w:firstLine="420" w:firstLineChars="200"/>
      </w:pPr>
      <w:r>
        <w:t>（1）宣布开标纪律；</w:t>
      </w:r>
    </w:p>
    <w:p>
      <w:pPr>
        <w:spacing w:line="360" w:lineRule="exact"/>
        <w:ind w:firstLine="420" w:firstLineChars="200"/>
      </w:pPr>
      <w:r>
        <w:t>（2）公布</w:t>
      </w:r>
      <w:r>
        <w:rPr>
          <w:rFonts w:hint="eastAsia"/>
        </w:rPr>
        <w:t>主持人、招标人代表、监标人</w:t>
      </w:r>
      <w:r>
        <w:t>等有关人员</w:t>
      </w:r>
      <w:r>
        <w:rPr>
          <w:rFonts w:hint="eastAsia"/>
        </w:rPr>
        <w:t>姓</w:t>
      </w:r>
      <w:r>
        <w:t xml:space="preserve">名； </w:t>
      </w:r>
    </w:p>
    <w:p>
      <w:pPr>
        <w:spacing w:line="360" w:lineRule="exact"/>
        <w:ind w:firstLine="420" w:firstLineChars="200"/>
      </w:pPr>
      <w:r>
        <w:t>（</w:t>
      </w:r>
      <w:r>
        <w:rPr>
          <w:rFonts w:hint="eastAsia"/>
        </w:rPr>
        <w:t>3</w:t>
      </w:r>
      <w:r>
        <w:t>）</w:t>
      </w:r>
      <w:r>
        <w:rPr>
          <w:rFonts w:hint="eastAsia"/>
        </w:rPr>
        <w:t>公布在投标截止时间前投标文件的递交情况；</w:t>
      </w:r>
    </w:p>
    <w:p>
      <w:pPr>
        <w:spacing w:line="360" w:lineRule="exact"/>
        <w:ind w:firstLine="420" w:firstLineChars="200"/>
      </w:pPr>
      <w:r>
        <w:t>（</w:t>
      </w:r>
      <w:r>
        <w:rPr>
          <w:rFonts w:hint="eastAsia"/>
        </w:rPr>
        <w:t>4</w:t>
      </w:r>
      <w:r>
        <w:t>）</w:t>
      </w:r>
      <w:r>
        <w:rPr>
          <w:rFonts w:hint="eastAsia"/>
          <w:szCs w:val="21"/>
        </w:rPr>
        <w:t>公布投标保证金递交情况（对担保保函、保证保险进行实时验真）；</w:t>
      </w:r>
    </w:p>
    <w:p>
      <w:pPr>
        <w:spacing w:line="360" w:lineRule="exact"/>
        <w:ind w:firstLine="420" w:firstLineChars="200"/>
      </w:pPr>
      <w:r>
        <w:t>（</w:t>
      </w:r>
      <w:r>
        <w:rPr>
          <w:rFonts w:hint="eastAsia"/>
        </w:rPr>
        <w:t>5</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pPr>
        <w:spacing w:line="360" w:lineRule="exact"/>
        <w:ind w:firstLine="420" w:firstLineChars="200"/>
      </w:pPr>
      <w:r>
        <w:rPr>
          <w:rFonts w:hint="eastAsia"/>
        </w:rPr>
        <w:t>（6）读取已解密</w:t>
      </w:r>
      <w:r>
        <w:rPr>
          <w:rFonts w:hint="eastAsia"/>
          <w:szCs w:val="21"/>
        </w:rPr>
        <w:t>的投标文件的内容</w:t>
      </w:r>
      <w:r>
        <w:rPr>
          <w:rFonts w:hint="eastAsia"/>
        </w:rPr>
        <w:t>；</w:t>
      </w:r>
    </w:p>
    <w:p>
      <w:pPr>
        <w:spacing w:line="360" w:lineRule="exact"/>
        <w:ind w:firstLine="420" w:firstLineChars="200"/>
      </w:pPr>
      <w:r>
        <w:t>（</w:t>
      </w:r>
      <w:r>
        <w:rPr>
          <w:rFonts w:hint="eastAsia"/>
        </w:rPr>
        <w:t>7</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pPr>
        <w:spacing w:line="360" w:lineRule="exact"/>
        <w:ind w:firstLine="420" w:firstLineChars="200"/>
      </w:pPr>
      <w:r>
        <w:rPr>
          <w:rFonts w:hint="eastAsia"/>
        </w:rPr>
        <w:t>（8）投标人对开标记录进行确认；</w:t>
      </w:r>
    </w:p>
    <w:p>
      <w:pPr>
        <w:spacing w:line="360" w:lineRule="exact"/>
        <w:ind w:firstLine="420" w:firstLineChars="200"/>
      </w:pPr>
      <w:r>
        <w:t>（9）开标结束。</w:t>
      </w:r>
    </w:p>
    <w:p>
      <w:pPr>
        <w:spacing w:line="360" w:lineRule="exact"/>
        <w:ind w:firstLine="420" w:firstLineChars="200"/>
      </w:pPr>
      <w:r>
        <w:rPr>
          <w:rFonts w:hint="eastAsia"/>
          <w:bCs/>
          <w:iCs/>
        </w:rPr>
        <w:t>5</w:t>
      </w:r>
      <w:r>
        <w:rPr>
          <w:bCs/>
          <w:iCs/>
        </w:rPr>
        <w:t>.2.2</w:t>
      </w:r>
      <w:r>
        <w:rPr>
          <w:rFonts w:hint="eastAsia"/>
        </w:rPr>
        <w:t>生成开标记录后</w:t>
      </w:r>
      <w:r>
        <w:t>10</w:t>
      </w:r>
      <w:r>
        <w:rPr>
          <w:rFonts w:hint="eastAsia"/>
        </w:rPr>
        <w:t>分钟内，投标人通过电子招标投标系统（辽宁省工程建设项目数字化开标评标系统）对开标结果予以确认。未在规定时间内确认或未确认的视为对开标过程及结果无异议。</w:t>
      </w:r>
    </w:p>
    <w:p>
      <w:pPr>
        <w:spacing w:line="360" w:lineRule="exact"/>
        <w:ind w:firstLine="420" w:firstLineChars="200"/>
        <w:rPr>
          <w:bCs/>
          <w:iCs/>
        </w:rPr>
      </w:pPr>
      <w:r>
        <w:rPr>
          <w:rFonts w:hint="eastAsia"/>
        </w:rPr>
        <w:t>5.2.</w:t>
      </w:r>
      <w:r>
        <w:t>3</w:t>
      </w:r>
      <w:bookmarkStart w:id="277" w:name="_Hlk161477723"/>
      <w:r>
        <w:rPr>
          <w:rFonts w:hint="eastAsia"/>
          <w:bCs/>
          <w:iCs/>
        </w:rPr>
        <w:t>在本章第5.2.1（5）目规定的时间内，已解密的投标文件少于三个的，招标失败；已解密的投标文件不少于三个，开标</w:t>
      </w:r>
      <w:r>
        <w:rPr>
          <w:rFonts w:hint="eastAsia"/>
        </w:rPr>
        <w:t>继续</w:t>
      </w:r>
      <w:r>
        <w:rPr>
          <w:rFonts w:hint="eastAsia"/>
          <w:bCs/>
          <w:iCs/>
        </w:rPr>
        <w:t>进行。</w:t>
      </w:r>
    </w:p>
    <w:p>
      <w:pPr>
        <w:spacing w:line="360" w:lineRule="exact"/>
        <w:ind w:firstLine="420" w:firstLineChars="200"/>
        <w:rPr>
          <w:bCs/>
          <w:iCs/>
        </w:rPr>
      </w:pPr>
      <w:r>
        <w:rPr>
          <w:rFonts w:hint="eastAsia"/>
          <w:bCs/>
          <w:iCs/>
        </w:rPr>
        <w:t>因投标人原因（如数字证书（CA）损坏或密码丢失或输入错误、投标人自身网络中断等非开标系统原因）造成投标文件未解密的，视为投标人撤回投标文件。</w:t>
      </w:r>
    </w:p>
    <w:p>
      <w:pPr>
        <w:spacing w:line="360" w:lineRule="exact"/>
        <w:ind w:firstLine="420" w:firstLineChars="200"/>
        <w:rPr>
          <w:bCs/>
          <w:iCs/>
        </w:rPr>
      </w:pPr>
      <w:r>
        <w:rPr>
          <w:rFonts w:hint="eastAsia"/>
          <w:bCs/>
          <w:iCs/>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77"/>
    </w:p>
    <w:p>
      <w:pPr>
        <w:pStyle w:val="31"/>
        <w:spacing w:line="360" w:lineRule="exact"/>
      </w:pPr>
      <w:bookmarkStart w:id="278" w:name="_Toc6028"/>
      <w:bookmarkStart w:id="279" w:name="_Toc166326875"/>
      <w:bookmarkStart w:id="280" w:name="_Toc256000039"/>
      <w:bookmarkStart w:id="281" w:name="_Toc300834983"/>
      <w:r>
        <w:rPr>
          <w:rFonts w:hint="eastAsia"/>
        </w:rPr>
        <w:t>5.3 开标异议</w:t>
      </w:r>
      <w:bookmarkEnd w:id="278"/>
      <w:bookmarkEnd w:id="279"/>
      <w:bookmarkEnd w:id="280"/>
      <w:bookmarkEnd w:id="281"/>
    </w:p>
    <w:p>
      <w:pPr>
        <w:spacing w:line="360" w:lineRule="exact"/>
        <w:ind w:firstLine="420" w:firstLineChars="200"/>
      </w:pPr>
      <w:r>
        <w:rPr>
          <w:rFonts w:hint="eastAsia"/>
        </w:rPr>
        <w:t>5.3.1投标人对开标有异议的，应当在开标过程中提出；招标人当场对异议作出答复，并记入开标记录。异议与答复应通过电子招标投标系统（辽宁省工程建设项目数字化开标评标系统）以书面形式进行。</w:t>
      </w:r>
    </w:p>
    <w:p>
      <w:pPr>
        <w:spacing w:line="360" w:lineRule="exact"/>
        <w:ind w:firstLine="420" w:firstLineChars="200"/>
      </w:pPr>
      <w:r>
        <w:rPr>
          <w:rFonts w:hint="eastAsia"/>
        </w:rPr>
        <w:t>本条所称异议是指投标人在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pPr>
        <w:spacing w:line="360" w:lineRule="exact"/>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pPr>
        <w:spacing w:line="360" w:lineRule="exact"/>
        <w:ind w:firstLine="420" w:firstLineChars="200"/>
      </w:pPr>
      <w:r>
        <w:rPr>
          <w:rFonts w:hint="eastAsia"/>
        </w:rPr>
        <w:t>5</w:t>
      </w:r>
      <w:r>
        <w:t>.3.3</w:t>
      </w:r>
      <w:r>
        <w:rPr>
          <w:rFonts w:hint="eastAsia"/>
        </w:rPr>
        <w:t>投标人未在开标现场提出异议，视为异议权利灭失，不可再对开标提出异议。</w:t>
      </w:r>
    </w:p>
    <w:p>
      <w:pPr>
        <w:pStyle w:val="31"/>
        <w:spacing w:line="360" w:lineRule="exact"/>
      </w:pPr>
      <w:bookmarkStart w:id="282" w:name="_Toc166326876"/>
      <w:bookmarkStart w:id="283" w:name="_Toc256000040"/>
      <w:bookmarkStart w:id="284" w:name="_Toc13010"/>
      <w:bookmarkStart w:id="285" w:name="_Toc400530224"/>
      <w:bookmarkStart w:id="286" w:name="_Toc402465011"/>
      <w:r>
        <w:t>5.</w:t>
      </w:r>
      <w:r>
        <w:rPr>
          <w:rFonts w:hint="eastAsia"/>
        </w:rPr>
        <w:t xml:space="preserve">4 </w:t>
      </w:r>
      <w:r>
        <w:t>特殊情况的处置</w:t>
      </w:r>
      <w:bookmarkEnd w:id="282"/>
      <w:bookmarkEnd w:id="283"/>
      <w:bookmarkEnd w:id="284"/>
    </w:p>
    <w:p>
      <w:pPr>
        <w:spacing w:line="360" w:lineRule="exact"/>
        <w:ind w:firstLine="420" w:firstLineChars="200"/>
      </w:pPr>
      <w:r>
        <w:rPr>
          <w:rFonts w:hint="eastAsia"/>
        </w:rPr>
        <w:t>5.4.1</w:t>
      </w:r>
      <w:r>
        <w:t>因</w:t>
      </w:r>
      <w:r>
        <w:rPr>
          <w:rFonts w:hint="eastAsia"/>
          <w:bCs/>
          <w:iCs/>
        </w:rPr>
        <w:t>电</w:t>
      </w:r>
      <w:r>
        <w:rPr>
          <w:rFonts w:hint="eastAsia"/>
        </w:rPr>
        <w:t>子招标投标系统（辽宁省工程建设项目数字化开标评标系统）故障</w:t>
      </w:r>
      <w:r>
        <w:t>导致</w:t>
      </w:r>
      <w:r>
        <w:rPr>
          <w:rFonts w:hint="eastAsia"/>
        </w:rPr>
        <w:t>无法投标的，管理部门及时通知招标人，招标人视情况决定是否顺延投标截止时间。</w:t>
      </w:r>
      <w:r>
        <w:t>因投标人自身</w:t>
      </w:r>
      <w:r>
        <w:rPr>
          <w:rFonts w:hint="eastAsia"/>
        </w:rPr>
        <w:t>原因</w:t>
      </w:r>
      <w:r>
        <w:t>导致无法完成投标的，由投标人自行承担后果。</w:t>
      </w:r>
    </w:p>
    <w:p>
      <w:pPr>
        <w:spacing w:line="360" w:lineRule="exact"/>
        <w:ind w:firstLine="420" w:firstLineChars="200"/>
      </w:pPr>
      <w:r>
        <w:rPr>
          <w:rFonts w:hint="eastAsia"/>
        </w:rPr>
        <w:t>5.4.2</w:t>
      </w:r>
      <w:r>
        <w:t>因</w:t>
      </w:r>
      <w:r>
        <w:rPr>
          <w:rFonts w:hint="eastAsia"/>
        </w:rPr>
        <w:t>电子招标投标系统（辽宁省工程建设项目数字化开标评标系统）故障</w:t>
      </w:r>
      <w:r>
        <w:t>导致</w:t>
      </w:r>
      <w:r>
        <w:rPr>
          <w:rFonts w:hint="eastAsia"/>
        </w:rPr>
        <w:t>无法正常开标的，招标人将</w:t>
      </w:r>
      <w:r>
        <w:t>暂停开标</w:t>
      </w:r>
      <w:r>
        <w:rPr>
          <w:rFonts w:hint="eastAsia"/>
        </w:rPr>
        <w:t>，待系统恢复</w:t>
      </w:r>
      <w:r>
        <w:t>正常</w:t>
      </w:r>
      <w:r>
        <w:rPr>
          <w:rFonts w:hint="eastAsia"/>
        </w:rPr>
        <w:t>后继续开标。</w:t>
      </w:r>
    </w:p>
    <w:p>
      <w:pPr>
        <w:spacing w:line="360" w:lineRule="exact"/>
        <w:ind w:firstLine="420" w:firstLineChars="200"/>
      </w:pPr>
      <w:r>
        <w:rPr>
          <w:rFonts w:hint="eastAsia"/>
        </w:rPr>
        <w:t>电子招标投标系统（辽宁省工程建设项目数字化开标评标系统）</w:t>
      </w:r>
      <w:r>
        <w:rPr>
          <w:rFonts w:hint="eastAsia"/>
          <w:bCs/>
        </w:rPr>
        <w:t>技术服务单位将立即启动应急响应机制，积极排查系统故障，解决问题。</w:t>
      </w:r>
    </w:p>
    <w:p>
      <w:pPr>
        <w:spacing w:line="360" w:lineRule="exact"/>
        <w:ind w:firstLine="420" w:firstLineChars="200"/>
      </w:pPr>
      <w:r>
        <w:rPr>
          <w:rFonts w:hint="eastAsia"/>
        </w:rPr>
        <w:t>5.4.3 电子招标投标系统（辽宁省工程建设项目数字化开标评标系统）故障是指下列情形：</w:t>
      </w:r>
    </w:p>
    <w:p>
      <w:pPr>
        <w:spacing w:line="360" w:lineRule="exact"/>
        <w:ind w:firstLine="420" w:firstLineChars="200"/>
      </w:pPr>
      <w:r>
        <w:t>（1）系统服务器发生故障，无法访问或无法使用系统；</w:t>
      </w:r>
    </w:p>
    <w:p>
      <w:pPr>
        <w:spacing w:line="360" w:lineRule="exact"/>
        <w:ind w:firstLine="420" w:firstLineChars="200"/>
      </w:pPr>
      <w:r>
        <w:t>（2）系统的软件或数据库出现错误，不能进行正常操作；</w:t>
      </w:r>
    </w:p>
    <w:p>
      <w:pPr>
        <w:spacing w:line="360" w:lineRule="exact"/>
        <w:ind w:firstLine="420" w:firstLineChars="200"/>
      </w:pPr>
      <w:r>
        <w:t>（3）系统发现有安全漏洞，有潜在的泄密危险；</w:t>
      </w:r>
    </w:p>
    <w:p>
      <w:pPr>
        <w:spacing w:line="360" w:lineRule="exact"/>
        <w:ind w:firstLine="420" w:firstLineChars="200"/>
      </w:pPr>
      <w:r>
        <w:rPr>
          <w:rFonts w:hint="eastAsia"/>
        </w:rPr>
        <w:t>（4）系统出现网络攻击；</w:t>
      </w:r>
    </w:p>
    <w:p>
      <w:pPr>
        <w:spacing w:line="360" w:lineRule="exact"/>
        <w:ind w:firstLine="420" w:firstLineChars="200"/>
      </w:pPr>
      <w:r>
        <w:rPr>
          <w:rFonts w:hint="eastAsia"/>
        </w:rPr>
        <w:t>（</w:t>
      </w:r>
      <w:r>
        <w:t>5</w:t>
      </w:r>
      <w:r>
        <w:rPr>
          <w:rFonts w:hint="eastAsia"/>
        </w:rPr>
        <w:t>）出现断电、断网事故；</w:t>
      </w:r>
    </w:p>
    <w:p>
      <w:pPr>
        <w:spacing w:line="360" w:lineRule="exact"/>
        <w:ind w:firstLine="420" w:firstLineChars="200"/>
      </w:pPr>
      <w:r>
        <w:rPr>
          <w:rFonts w:hint="eastAsia"/>
        </w:rPr>
        <w:t>（6）出现法定不可抗力因素；</w:t>
      </w:r>
    </w:p>
    <w:p>
      <w:pPr>
        <w:spacing w:line="360" w:lineRule="exact"/>
        <w:ind w:firstLine="420" w:firstLineChars="200"/>
      </w:pPr>
      <w:r>
        <w:t>（7）其他无法保证招投标过程</w:t>
      </w:r>
      <w:r>
        <w:rPr>
          <w:rFonts w:hint="eastAsia"/>
        </w:rPr>
        <w:t>正常进行</w:t>
      </w:r>
      <w:r>
        <w:t>的情形。</w:t>
      </w:r>
      <w:bookmarkEnd w:id="285"/>
      <w:bookmarkEnd w:id="286"/>
    </w:p>
    <w:p>
      <w:pPr>
        <w:pStyle w:val="29"/>
        <w:spacing w:line="360" w:lineRule="exact"/>
      </w:pPr>
      <w:bookmarkStart w:id="287" w:name="_Toc152042338"/>
      <w:bookmarkStart w:id="288" w:name="_Toc179632580"/>
      <w:bookmarkStart w:id="289" w:name="_Toc256000041"/>
      <w:bookmarkStart w:id="290" w:name="_Toc144974530"/>
      <w:bookmarkStart w:id="291" w:name="_Toc22446"/>
      <w:bookmarkStart w:id="292" w:name="_Toc152045562"/>
      <w:bookmarkStart w:id="293" w:name="_Toc166326877"/>
      <w:r>
        <w:rPr>
          <w:rFonts w:hint="eastAsia"/>
        </w:rPr>
        <w:t>6. 评标</w:t>
      </w:r>
      <w:bookmarkEnd w:id="287"/>
      <w:bookmarkEnd w:id="288"/>
      <w:bookmarkEnd w:id="289"/>
      <w:bookmarkEnd w:id="290"/>
      <w:bookmarkEnd w:id="291"/>
      <w:bookmarkEnd w:id="292"/>
      <w:bookmarkEnd w:id="293"/>
    </w:p>
    <w:p>
      <w:pPr>
        <w:pStyle w:val="31"/>
        <w:spacing w:line="360" w:lineRule="exact"/>
      </w:pPr>
      <w:bookmarkStart w:id="294" w:name="_Toc256000042"/>
      <w:bookmarkStart w:id="295" w:name="_Toc152042339"/>
      <w:bookmarkStart w:id="296" w:name="_Toc144974531"/>
      <w:bookmarkStart w:id="297" w:name="_Toc152045563"/>
      <w:bookmarkStart w:id="298" w:name="_Toc166326878"/>
      <w:bookmarkStart w:id="299" w:name="_Toc179632581"/>
      <w:bookmarkStart w:id="300" w:name="_Toc31036"/>
      <w:r>
        <w:rPr>
          <w:rFonts w:hint="eastAsia"/>
        </w:rPr>
        <w:t>6.1 评标委员会</w:t>
      </w:r>
      <w:bookmarkEnd w:id="294"/>
      <w:bookmarkEnd w:id="295"/>
      <w:bookmarkEnd w:id="296"/>
      <w:bookmarkEnd w:id="297"/>
      <w:bookmarkEnd w:id="298"/>
      <w:bookmarkEnd w:id="299"/>
      <w:bookmarkEnd w:id="300"/>
    </w:p>
    <w:p>
      <w:pPr>
        <w:spacing w:line="360" w:lineRule="exact"/>
        <w:ind w:firstLine="420" w:firstLineChars="200"/>
      </w:pPr>
      <w:r>
        <w:rPr>
          <w:rFonts w:hint="eastAsia"/>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exact"/>
        <w:ind w:firstLine="420" w:firstLineChars="200"/>
      </w:pPr>
      <w:r>
        <w:rPr>
          <w:rFonts w:hint="eastAsia"/>
        </w:rPr>
        <w:t>6.1.2 评标委员会成员有下列情形之一的，应当回避：</w:t>
      </w:r>
    </w:p>
    <w:p>
      <w:pPr>
        <w:spacing w:line="360" w:lineRule="exact"/>
        <w:ind w:firstLine="420" w:firstLineChars="200"/>
      </w:pPr>
      <w:r>
        <w:rPr>
          <w:rFonts w:hint="eastAsia"/>
        </w:rPr>
        <w:t>（1）投标人或投标人的主要负责人的近亲属；</w:t>
      </w:r>
    </w:p>
    <w:p>
      <w:pPr>
        <w:spacing w:line="360" w:lineRule="exact"/>
        <w:ind w:firstLine="420" w:firstLineChars="200"/>
      </w:pPr>
      <w:r>
        <w:rPr>
          <w:rFonts w:hint="eastAsia"/>
        </w:rPr>
        <w:t>（2）项目主管部门或者行政监督部门的人员；</w:t>
      </w:r>
    </w:p>
    <w:p>
      <w:pPr>
        <w:spacing w:line="360" w:lineRule="exact"/>
        <w:ind w:firstLine="420" w:firstLineChars="200"/>
      </w:pPr>
      <w:r>
        <w:rPr>
          <w:rFonts w:hint="eastAsia"/>
        </w:rPr>
        <w:t>（3）与投标人有经济利益关系或其他利害关系，可能影响对投标公正评审的；</w:t>
      </w:r>
    </w:p>
    <w:p>
      <w:pPr>
        <w:spacing w:line="360" w:lineRule="exact"/>
        <w:ind w:firstLine="420" w:firstLineChars="200"/>
      </w:pPr>
      <w:r>
        <w:rPr>
          <w:rFonts w:hint="eastAsia"/>
        </w:rPr>
        <w:t>（4）曾因在招标、评标以及其他与招标投标有关活动中从事违法行为而受过行政处罚或刑事处罚的。</w:t>
      </w:r>
    </w:p>
    <w:p>
      <w:pPr>
        <w:pStyle w:val="31"/>
        <w:tabs>
          <w:tab w:val="left" w:pos="2620"/>
        </w:tabs>
        <w:spacing w:line="360" w:lineRule="exact"/>
      </w:pPr>
      <w:bookmarkStart w:id="301" w:name="_Toc256000043"/>
      <w:bookmarkStart w:id="302" w:name="_Toc144974532"/>
      <w:bookmarkStart w:id="303" w:name="_Toc152045564"/>
      <w:bookmarkStart w:id="304" w:name="_Toc166326879"/>
      <w:bookmarkStart w:id="305" w:name="_Toc179632582"/>
      <w:bookmarkStart w:id="306" w:name="_Toc152042340"/>
      <w:bookmarkStart w:id="307" w:name="_Toc18332"/>
      <w:r>
        <w:rPr>
          <w:rFonts w:hint="eastAsia"/>
        </w:rPr>
        <w:t>6.2 评标原则</w:t>
      </w:r>
      <w:bookmarkEnd w:id="301"/>
      <w:bookmarkEnd w:id="302"/>
      <w:bookmarkEnd w:id="303"/>
      <w:bookmarkEnd w:id="304"/>
      <w:bookmarkEnd w:id="305"/>
      <w:bookmarkEnd w:id="306"/>
      <w:bookmarkEnd w:id="307"/>
      <w:r>
        <w:tab/>
      </w:r>
    </w:p>
    <w:p>
      <w:pPr>
        <w:spacing w:line="360" w:lineRule="exact"/>
        <w:ind w:firstLine="420" w:firstLineChars="200"/>
      </w:pPr>
      <w:r>
        <w:rPr>
          <w:rFonts w:hint="eastAsia"/>
        </w:rPr>
        <w:t>评标活动遵循公平、公正、科学和择优的原则。</w:t>
      </w:r>
    </w:p>
    <w:p>
      <w:pPr>
        <w:pStyle w:val="31"/>
        <w:spacing w:line="360" w:lineRule="exact"/>
      </w:pPr>
      <w:bookmarkStart w:id="308" w:name="_Toc152045565"/>
      <w:bookmarkStart w:id="309" w:name="_Toc22800"/>
      <w:bookmarkStart w:id="310" w:name="_Toc179632583"/>
      <w:bookmarkStart w:id="311" w:name="_Toc256000044"/>
      <w:bookmarkStart w:id="312" w:name="_Toc144974533"/>
      <w:bookmarkStart w:id="313" w:name="_Toc152042341"/>
      <w:bookmarkStart w:id="314" w:name="_Toc166326880"/>
      <w:r>
        <w:rPr>
          <w:rFonts w:hint="eastAsia"/>
        </w:rPr>
        <w:t>6.3 评标</w:t>
      </w:r>
      <w:bookmarkEnd w:id="308"/>
      <w:bookmarkEnd w:id="309"/>
      <w:bookmarkEnd w:id="310"/>
      <w:bookmarkEnd w:id="311"/>
      <w:bookmarkEnd w:id="312"/>
      <w:bookmarkEnd w:id="313"/>
      <w:bookmarkEnd w:id="314"/>
    </w:p>
    <w:p>
      <w:pPr>
        <w:spacing w:line="360" w:lineRule="exact"/>
        <w:ind w:firstLine="420" w:firstLineChars="200"/>
      </w:pPr>
      <w:r>
        <w:rPr>
          <w:rFonts w:hint="eastAsia"/>
        </w:rPr>
        <w:t>评标委员会按照第三章“评标办法”规定的方法、评审因素、标准和程序对投标文件进行评审。第三章“评标办法”没有规定的方法、评审因素和标准，不作为评标依据。</w:t>
      </w:r>
    </w:p>
    <w:p>
      <w:pPr>
        <w:spacing w:line="360" w:lineRule="exact"/>
        <w:ind w:firstLine="420" w:firstLineChars="200"/>
      </w:pPr>
      <w:r>
        <w:rPr>
          <w:rFonts w:hint="eastAsia"/>
        </w:rPr>
        <w:t>评标采用方式详见投标人须知前附表。</w:t>
      </w:r>
    </w:p>
    <w:p>
      <w:pPr>
        <w:pStyle w:val="31"/>
        <w:spacing w:line="360" w:lineRule="exact"/>
      </w:pPr>
      <w:bookmarkStart w:id="315" w:name="_Toc166326881"/>
      <w:bookmarkStart w:id="316" w:name="_Toc11755"/>
      <w:bookmarkStart w:id="317" w:name="_Toc256000045"/>
      <w:bookmarkStart w:id="318" w:name="_Toc426495249"/>
      <w:r>
        <w:rPr>
          <w:rFonts w:hint="eastAsia"/>
        </w:rPr>
        <w:t>6.4 评标结果公示</w:t>
      </w:r>
      <w:bookmarkEnd w:id="315"/>
      <w:bookmarkEnd w:id="316"/>
      <w:bookmarkEnd w:id="317"/>
      <w:bookmarkEnd w:id="318"/>
    </w:p>
    <w:p>
      <w:pPr>
        <w:spacing w:line="360" w:lineRule="exact"/>
        <w:ind w:firstLine="420" w:firstLineChars="200"/>
      </w:pPr>
      <w:bookmarkStart w:id="319" w:name="_Hlk166315849"/>
      <w:r>
        <w:rPr>
          <w:rFonts w:hint="eastAsia"/>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pPr>
        <w:spacing w:line="360" w:lineRule="exact"/>
        <w:ind w:firstLine="420" w:firstLineChars="200"/>
      </w:pPr>
      <w:r>
        <w:rPr>
          <w:rFonts w:hint="eastAsia"/>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异议与答复应通过电子招标投标系统（辽宁省工程建设项目招标投标异议投诉处理系统）以书面形式进行。</w:t>
      </w:r>
    </w:p>
    <w:bookmarkEnd w:id="319"/>
    <w:p>
      <w:pPr>
        <w:pStyle w:val="31"/>
        <w:spacing w:line="360" w:lineRule="exact"/>
      </w:pPr>
      <w:bookmarkStart w:id="320" w:name="_Toc166326882"/>
      <w:bookmarkStart w:id="321" w:name="_Toc22244"/>
      <w:bookmarkStart w:id="322" w:name="_Toc426495250"/>
      <w:bookmarkStart w:id="323" w:name="_Toc256000046"/>
      <w:bookmarkStart w:id="324" w:name="_Hlk162095977"/>
      <w:r>
        <w:rPr>
          <w:rFonts w:hint="eastAsia"/>
        </w:rPr>
        <w:t>6</w:t>
      </w:r>
      <w:r>
        <w:t>.</w:t>
      </w:r>
      <w:r>
        <w:rPr>
          <w:rFonts w:hint="eastAsia"/>
        </w:rPr>
        <w:t>5</w:t>
      </w:r>
      <w:r>
        <w:t xml:space="preserve"> </w:t>
      </w:r>
      <w:r>
        <w:rPr>
          <w:rFonts w:hint="eastAsia"/>
        </w:rPr>
        <w:t>履约能力的</w:t>
      </w:r>
      <w:bookmarkStart w:id="325" w:name="_Hlk165124918"/>
      <w:r>
        <w:rPr>
          <w:rFonts w:hint="eastAsia"/>
        </w:rPr>
        <w:t>核查</w:t>
      </w:r>
      <w:bookmarkEnd w:id="325"/>
      <w:r>
        <w:rPr>
          <w:rFonts w:hint="eastAsia"/>
        </w:rPr>
        <w:t>（如有）</w:t>
      </w:r>
      <w:bookmarkEnd w:id="320"/>
      <w:bookmarkEnd w:id="321"/>
      <w:bookmarkEnd w:id="322"/>
      <w:bookmarkEnd w:id="323"/>
    </w:p>
    <w:p>
      <w:pPr>
        <w:spacing w:line="360" w:lineRule="exact"/>
        <w:ind w:firstLine="420" w:firstLineChars="200"/>
      </w:pPr>
      <w:r>
        <w:rPr>
          <w:rFonts w:hint="eastAsia"/>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326" w:name="_Hlk164708770"/>
      <w:r>
        <w:rPr>
          <w:rFonts w:hint="eastAsia"/>
        </w:rPr>
        <w:t>核查</w:t>
      </w:r>
      <w:bookmarkEnd w:id="326"/>
      <w:r>
        <w:rPr>
          <w:rFonts w:hint="eastAsia"/>
        </w:rPr>
        <w:t>确认。</w:t>
      </w:r>
    </w:p>
    <w:bookmarkEnd w:id="324"/>
    <w:p>
      <w:pPr>
        <w:pStyle w:val="29"/>
        <w:spacing w:line="360" w:lineRule="exact"/>
      </w:pPr>
      <w:bookmarkStart w:id="327" w:name="_Toc256000047"/>
      <w:bookmarkStart w:id="328" w:name="_Toc152042342"/>
      <w:bookmarkStart w:id="329" w:name="_Toc144974534"/>
      <w:bookmarkStart w:id="330" w:name="_Toc166326883"/>
      <w:bookmarkStart w:id="331" w:name="_Toc23497"/>
      <w:bookmarkStart w:id="332" w:name="_Toc152045566"/>
      <w:bookmarkStart w:id="333" w:name="_Toc179632584"/>
      <w:r>
        <w:rPr>
          <w:rFonts w:hint="eastAsia"/>
        </w:rPr>
        <w:t>7. 合同授予</w:t>
      </w:r>
      <w:bookmarkEnd w:id="327"/>
      <w:bookmarkEnd w:id="328"/>
      <w:bookmarkEnd w:id="329"/>
      <w:bookmarkEnd w:id="330"/>
      <w:bookmarkEnd w:id="331"/>
      <w:bookmarkEnd w:id="332"/>
      <w:bookmarkEnd w:id="333"/>
    </w:p>
    <w:p>
      <w:pPr>
        <w:pStyle w:val="31"/>
        <w:spacing w:line="360" w:lineRule="exact"/>
      </w:pPr>
      <w:bookmarkStart w:id="334" w:name="_Toc152045567"/>
      <w:bookmarkStart w:id="335" w:name="_Toc152042343"/>
      <w:bookmarkStart w:id="336" w:name="_Toc10845"/>
      <w:bookmarkStart w:id="337" w:name="_Toc256000048"/>
      <w:bookmarkStart w:id="338" w:name="_Toc166326884"/>
      <w:bookmarkStart w:id="339" w:name="_Toc179632585"/>
      <w:bookmarkStart w:id="340" w:name="_Toc144974535"/>
      <w:r>
        <w:rPr>
          <w:rFonts w:hint="eastAsia"/>
        </w:rPr>
        <w:t>7.1 定标方式</w:t>
      </w:r>
      <w:bookmarkEnd w:id="334"/>
      <w:bookmarkEnd w:id="335"/>
      <w:bookmarkEnd w:id="336"/>
      <w:bookmarkEnd w:id="337"/>
      <w:bookmarkEnd w:id="338"/>
      <w:bookmarkEnd w:id="339"/>
      <w:bookmarkEnd w:id="340"/>
    </w:p>
    <w:p>
      <w:pPr>
        <w:spacing w:line="360" w:lineRule="exact"/>
        <w:ind w:firstLine="420" w:firstLineChars="200"/>
      </w:pPr>
      <w:bookmarkStart w:id="341" w:name="_Hlk162096279"/>
      <w:r>
        <w:rPr>
          <w:rFonts w:hint="eastAsia"/>
        </w:rPr>
        <w:t>除投标人须知前附表规定评标委员会直接确定中标人外，招标人依据评标委员会推荐的中标候选人确定中标人或从评标委员会推荐的中标候选人范围内自主研究确定中标人，</w:t>
      </w:r>
      <w:bookmarkStart w:id="342" w:name="_Hlk166315975"/>
      <w:r>
        <w:rPr>
          <w:rFonts w:hint="eastAsia"/>
        </w:rPr>
        <w:t>评标委员会推荐中标候选人的人数见投标人须知前附表。</w:t>
      </w:r>
      <w:bookmarkEnd w:id="341"/>
      <w:bookmarkEnd w:id="342"/>
    </w:p>
    <w:p>
      <w:pPr>
        <w:spacing w:line="360" w:lineRule="exact"/>
        <w:ind w:firstLine="420" w:firstLineChars="200"/>
      </w:pPr>
      <w:r>
        <w:rPr>
          <w:rFonts w:hint="eastAsia"/>
        </w:rPr>
        <w:t>招标人从评标委员会推荐的中标候选人范围内自主研究确定中标人的，招标人按照定标办法规定的规则组建定标委员会，</w:t>
      </w:r>
      <w:bookmarkStart w:id="343" w:name="_Hlk157862819"/>
      <w:r>
        <w:rPr>
          <w:rFonts w:hint="eastAsia" w:cs="宋体"/>
          <w:kern w:val="1"/>
          <w:szCs w:val="21"/>
        </w:rPr>
        <w:t>定标委员会按照</w:t>
      </w:r>
      <w:r>
        <w:rPr>
          <w:rFonts w:hint="eastAsia"/>
          <w:szCs w:val="21"/>
        </w:rPr>
        <w:t>定标办法</w:t>
      </w:r>
      <w:r>
        <w:rPr>
          <w:rFonts w:hint="eastAsia" w:cs="宋体"/>
          <w:kern w:val="1"/>
          <w:szCs w:val="21"/>
        </w:rPr>
        <w:t>规定的方法、规则、标准和程序在中标候选人中定标，确定中标人。</w:t>
      </w:r>
      <w:r>
        <w:rPr>
          <w:rFonts w:hint="eastAsia"/>
          <w:szCs w:val="21"/>
        </w:rPr>
        <w:t>定标办法</w:t>
      </w:r>
      <w:r>
        <w:rPr>
          <w:rFonts w:hint="eastAsia" w:cs="宋体"/>
          <w:kern w:val="1"/>
          <w:szCs w:val="21"/>
        </w:rPr>
        <w:t>没有规定的方法、规则、标准，不得作为定标依据。</w:t>
      </w:r>
      <w:bookmarkEnd w:id="343"/>
    </w:p>
    <w:p>
      <w:pPr>
        <w:pStyle w:val="31"/>
        <w:spacing w:line="360" w:lineRule="exact"/>
      </w:pPr>
      <w:bookmarkStart w:id="344" w:name="_Toc152042344"/>
      <w:bookmarkStart w:id="345" w:name="_Toc166326885"/>
      <w:bookmarkStart w:id="346" w:name="_Toc144974536"/>
      <w:bookmarkStart w:id="347" w:name="_Toc179632586"/>
      <w:bookmarkStart w:id="348" w:name="_Toc20683"/>
      <w:bookmarkStart w:id="349" w:name="_Toc152045568"/>
      <w:bookmarkStart w:id="350" w:name="_Toc256000049"/>
      <w:r>
        <w:rPr>
          <w:rFonts w:hint="eastAsia"/>
        </w:rPr>
        <w:t>7.2 中标通知</w:t>
      </w:r>
      <w:bookmarkEnd w:id="344"/>
      <w:bookmarkEnd w:id="345"/>
      <w:bookmarkEnd w:id="346"/>
      <w:bookmarkEnd w:id="347"/>
      <w:bookmarkEnd w:id="348"/>
      <w:bookmarkEnd w:id="349"/>
      <w:bookmarkEnd w:id="350"/>
    </w:p>
    <w:p>
      <w:pPr>
        <w:spacing w:line="360" w:lineRule="exact"/>
        <w:ind w:firstLine="420" w:firstLineChars="200"/>
      </w:pPr>
      <w:r>
        <w:rPr>
          <w:rFonts w:hint="eastAsia"/>
        </w:rPr>
        <w:t>评标结果公示期满后，在本章第3.3款规定的投标有效期内，招标人通过电子交易系统以书面形式向中标人发出经电子监督系统验证备案的中标通知书，同时将中标结果通知未中标的投标人。</w:t>
      </w:r>
    </w:p>
    <w:p>
      <w:pPr>
        <w:spacing w:line="360" w:lineRule="exact"/>
        <w:ind w:firstLine="420" w:firstLineChars="200"/>
      </w:pPr>
      <w:r>
        <w:rPr>
          <w:rFonts w:hint="eastAsia"/>
        </w:rPr>
        <w:t>中标通知书发出的同时，招标人将在投标人须知前附表第6.4款规定的媒介发布中标结果公示。</w:t>
      </w:r>
    </w:p>
    <w:p>
      <w:pPr>
        <w:pStyle w:val="31"/>
        <w:spacing w:line="360" w:lineRule="exact"/>
      </w:pPr>
      <w:bookmarkStart w:id="351" w:name="_Toc179632587"/>
      <w:bookmarkStart w:id="352" w:name="_Toc152042345"/>
      <w:bookmarkStart w:id="353" w:name="_Toc152045569"/>
      <w:bookmarkStart w:id="354" w:name="_Toc144974537"/>
      <w:bookmarkStart w:id="355" w:name="_Toc256000050"/>
      <w:bookmarkStart w:id="356" w:name="_Toc166326886"/>
      <w:bookmarkStart w:id="357" w:name="_Toc26927"/>
      <w:r>
        <w:rPr>
          <w:rFonts w:hint="eastAsia"/>
        </w:rPr>
        <w:t>7.3 履约</w:t>
      </w:r>
      <w:bookmarkEnd w:id="351"/>
      <w:bookmarkEnd w:id="352"/>
      <w:bookmarkEnd w:id="353"/>
      <w:bookmarkEnd w:id="354"/>
      <w:r>
        <w:rPr>
          <w:rFonts w:hint="eastAsia"/>
        </w:rPr>
        <w:t>保证金</w:t>
      </w:r>
      <w:bookmarkEnd w:id="355"/>
      <w:bookmarkEnd w:id="356"/>
      <w:bookmarkEnd w:id="357"/>
    </w:p>
    <w:p>
      <w:pPr>
        <w:spacing w:line="360" w:lineRule="exact"/>
        <w:ind w:firstLine="420" w:firstLineChars="200"/>
      </w:pPr>
      <w:r>
        <w:rPr>
          <w:rFonts w:hint="eastAsia"/>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pPr>
        <w:spacing w:line="360" w:lineRule="exact"/>
        <w:ind w:firstLine="420" w:firstLineChars="200"/>
      </w:pPr>
      <w:r>
        <w:rPr>
          <w:rFonts w:hint="eastAsia"/>
        </w:rPr>
        <w:t>7.3.2 中标人不能按本章第7.3.1项要求提交履约保证金的，视为放弃中标，其投标保证金不予退还，给招标人造成的损失超过投标保证金数额的，中标人还应当对超过部分予以赔偿。</w:t>
      </w:r>
    </w:p>
    <w:p>
      <w:pPr>
        <w:pStyle w:val="31"/>
        <w:spacing w:line="360" w:lineRule="exact"/>
      </w:pPr>
      <w:bookmarkStart w:id="358" w:name="_Toc179632588"/>
      <w:bookmarkStart w:id="359" w:name="_Toc166326887"/>
      <w:bookmarkStart w:id="360" w:name="_Toc256000051"/>
      <w:bookmarkStart w:id="361" w:name="_Toc152045570"/>
      <w:bookmarkStart w:id="362" w:name="_Toc144974538"/>
      <w:bookmarkStart w:id="363" w:name="_Toc30309"/>
      <w:bookmarkStart w:id="364" w:name="_Toc152042346"/>
      <w:r>
        <w:rPr>
          <w:rFonts w:hint="eastAsia"/>
        </w:rPr>
        <w:t>7.4 签订合同</w:t>
      </w:r>
      <w:bookmarkEnd w:id="358"/>
      <w:bookmarkEnd w:id="359"/>
      <w:bookmarkEnd w:id="360"/>
      <w:bookmarkEnd w:id="361"/>
      <w:bookmarkEnd w:id="362"/>
      <w:bookmarkEnd w:id="363"/>
      <w:bookmarkEnd w:id="364"/>
    </w:p>
    <w:p>
      <w:pPr>
        <w:spacing w:line="360" w:lineRule="exact"/>
        <w:ind w:firstLine="420" w:firstLineChars="200"/>
      </w:pPr>
      <w:r>
        <w:rPr>
          <w:rFonts w:hint="eastAsia"/>
        </w:rPr>
        <w:t>7.4.1招标人和中标人应当在投标有效期内并自中标通知书发出之日起30日内，根据招标文件和中标人的投标文件</w:t>
      </w:r>
      <w:r>
        <w:rPr>
          <w:rFonts w:hint="eastAsia" w:ascii="宋体" w:hAnsi="宋体"/>
          <w:szCs w:val="21"/>
        </w:rPr>
        <w:t>（</w:t>
      </w:r>
      <w:r>
        <w:rPr>
          <w:rFonts w:ascii="宋体" w:hAnsi="宋体"/>
          <w:szCs w:val="21"/>
        </w:rPr>
        <w:t>以</w:t>
      </w:r>
      <w:r>
        <w:rPr>
          <w:rFonts w:hint="eastAsia" w:ascii="宋体" w:hAnsi="宋体"/>
          <w:szCs w:val="21"/>
        </w:rPr>
        <w:t>经评标委员会</w:t>
      </w:r>
      <w:r>
        <w:rPr>
          <w:rFonts w:ascii="宋体" w:hAnsi="宋体"/>
          <w:szCs w:val="21"/>
        </w:rPr>
        <w:t>评审的文件</w:t>
      </w:r>
      <w:r>
        <w:rPr>
          <w:rFonts w:hint="eastAsia" w:ascii="宋体" w:hAnsi="宋体"/>
          <w:szCs w:val="21"/>
        </w:rPr>
        <w:t>版本</w:t>
      </w:r>
      <w:r>
        <w:rPr>
          <w:rFonts w:ascii="宋体" w:hAnsi="宋体"/>
          <w:szCs w:val="21"/>
        </w:rPr>
        <w:t>为准）</w:t>
      </w:r>
      <w:r>
        <w:rPr>
          <w:rFonts w:hint="eastAsia"/>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pPr>
        <w:spacing w:line="360" w:lineRule="exact"/>
        <w:ind w:firstLine="420" w:firstLineChars="200"/>
      </w:pPr>
      <w:r>
        <w:rPr>
          <w:rFonts w:hint="eastAsia"/>
        </w:rPr>
        <w:t xml:space="preserve">7.4.2 发出中标通知书后，招标人无正当理由拒签合同的，招标人向中标人退还投标保证金；给中标人造成损失的，还应当赔偿损失。 </w:t>
      </w:r>
    </w:p>
    <w:p>
      <w:pPr>
        <w:spacing w:line="360" w:lineRule="exact"/>
        <w:ind w:firstLine="420" w:firstLineChars="200"/>
      </w:pPr>
      <w:bookmarkStart w:id="365" w:name="_Hlk162096665"/>
      <w:r>
        <w:t>7.</w:t>
      </w:r>
      <w:r>
        <w:rPr>
          <w:rFonts w:hint="eastAsia"/>
        </w:rPr>
        <w:t>4</w:t>
      </w:r>
      <w:r>
        <w:t>.3 联合体中标的，联合体各方应当共同与招标人签订合同，就中标项目向招标人承担连带责任。</w:t>
      </w:r>
    </w:p>
    <w:bookmarkEnd w:id="365"/>
    <w:p>
      <w:pPr>
        <w:spacing w:line="360" w:lineRule="exact"/>
        <w:ind w:firstLine="420" w:firstLineChars="200"/>
      </w:pPr>
      <w:r>
        <w:rPr>
          <w:rFonts w:hint="eastAsia"/>
        </w:rPr>
        <w:t>7.4.4 签约合同价的确定原则如下：</w:t>
      </w:r>
    </w:p>
    <w:p>
      <w:pPr>
        <w:spacing w:line="360" w:lineRule="exact"/>
        <w:ind w:firstLine="420" w:firstLineChars="200"/>
      </w:pPr>
      <w:r>
        <w:rPr>
          <w:rFonts w:hint="eastAsia"/>
        </w:rPr>
        <w:t>开标时投标函中大写投标总价应为签约合同价。按照第三章“评标办法”的规定，如投标报价有算术错误的，修正的价格经投标人书面确认后，以修正后的投标总价为签约合同价。</w:t>
      </w:r>
    </w:p>
    <w:p>
      <w:pPr>
        <w:spacing w:line="360" w:lineRule="exact"/>
        <w:ind w:firstLine="420" w:firstLineChars="200"/>
      </w:pPr>
      <w:r>
        <w:rPr>
          <w:rFonts w:hint="eastAsia"/>
        </w:rPr>
        <w:t>7.4.5 招标人和中标人应当在中标通知书发出之日起30日内，登录辽宁省工程建设项目合同履约管理系统签订合同并向电子监督系统</w:t>
      </w:r>
      <w:r>
        <w:rPr>
          <w:rFonts w:hint="eastAsia"/>
          <w:shd w:val="clear" w:color="auto" w:fill="FFFFFF"/>
        </w:rPr>
        <w:t>提交电子合同文件归档</w:t>
      </w:r>
      <w:r>
        <w:rPr>
          <w:rFonts w:hint="eastAsia"/>
          <w:sz w:val="19"/>
          <w:szCs w:val="19"/>
          <w:shd w:val="clear" w:color="auto" w:fill="FFFFFF"/>
        </w:rPr>
        <w:t>。</w:t>
      </w:r>
      <w:r>
        <w:rPr>
          <w:rFonts w:hint="eastAsia"/>
        </w:rPr>
        <w:t>按照信息公示规定对合同签订等信息进行公示公开，依法应当保护的商业秘密除外。</w:t>
      </w:r>
    </w:p>
    <w:p>
      <w:pPr>
        <w:pStyle w:val="29"/>
        <w:spacing w:line="360" w:lineRule="exact"/>
      </w:pPr>
      <w:bookmarkStart w:id="366" w:name="_Toc144974539"/>
      <w:bookmarkStart w:id="367" w:name="_Toc152042347"/>
      <w:bookmarkStart w:id="368" w:name="_Toc152045571"/>
      <w:bookmarkStart w:id="369" w:name="_Toc179632589"/>
      <w:bookmarkStart w:id="370" w:name="_Toc256000052"/>
      <w:bookmarkStart w:id="371" w:name="_Toc166326888"/>
      <w:bookmarkStart w:id="372" w:name="_Toc8017"/>
      <w:r>
        <w:rPr>
          <w:rFonts w:hint="eastAsia"/>
        </w:rPr>
        <w:t>8. 重新招标、不再招标</w:t>
      </w:r>
      <w:bookmarkEnd w:id="366"/>
      <w:bookmarkEnd w:id="367"/>
      <w:bookmarkEnd w:id="368"/>
      <w:bookmarkEnd w:id="369"/>
      <w:r>
        <w:rPr>
          <w:rFonts w:hint="eastAsia"/>
        </w:rPr>
        <w:t>和终止招标</w:t>
      </w:r>
      <w:bookmarkEnd w:id="370"/>
      <w:bookmarkEnd w:id="371"/>
      <w:bookmarkEnd w:id="372"/>
    </w:p>
    <w:p>
      <w:pPr>
        <w:pStyle w:val="31"/>
        <w:spacing w:line="360" w:lineRule="exact"/>
      </w:pPr>
      <w:bookmarkStart w:id="373" w:name="_Toc166326889"/>
      <w:bookmarkStart w:id="374" w:name="_Toc152042348"/>
      <w:bookmarkStart w:id="375" w:name="_Toc256000053"/>
      <w:bookmarkStart w:id="376" w:name="_Toc179632590"/>
      <w:bookmarkStart w:id="377" w:name="_Toc30679"/>
      <w:bookmarkStart w:id="378" w:name="_Toc144974540"/>
      <w:bookmarkStart w:id="379" w:name="_Toc152045572"/>
      <w:r>
        <w:rPr>
          <w:rFonts w:hint="eastAsia"/>
        </w:rPr>
        <w:t>8.1 重新招标</w:t>
      </w:r>
      <w:bookmarkEnd w:id="373"/>
      <w:bookmarkEnd w:id="374"/>
      <w:bookmarkEnd w:id="375"/>
      <w:bookmarkEnd w:id="376"/>
      <w:bookmarkEnd w:id="377"/>
      <w:bookmarkEnd w:id="378"/>
      <w:bookmarkEnd w:id="379"/>
    </w:p>
    <w:p>
      <w:pPr>
        <w:spacing w:line="360" w:lineRule="exact"/>
        <w:ind w:firstLine="359" w:firstLineChars="171"/>
      </w:pPr>
      <w:r>
        <w:rPr>
          <w:rFonts w:hint="eastAsia"/>
        </w:rPr>
        <w:t>有下列情形之一的，招标人将重新招标：</w:t>
      </w:r>
    </w:p>
    <w:p>
      <w:pPr>
        <w:spacing w:line="360" w:lineRule="exact"/>
        <w:ind w:firstLine="359" w:firstLineChars="171"/>
      </w:pPr>
      <w:r>
        <w:rPr>
          <w:rFonts w:hint="eastAsia"/>
        </w:rPr>
        <w:t>（1）投标截止时间止，投标人少于3个的；</w:t>
      </w:r>
    </w:p>
    <w:p>
      <w:pPr>
        <w:spacing w:line="360" w:lineRule="exact"/>
        <w:ind w:firstLine="359" w:firstLineChars="171"/>
      </w:pPr>
      <w:r>
        <w:rPr>
          <w:rFonts w:hint="eastAsia"/>
        </w:rPr>
        <w:t>（2）经评标委员会评审后否决所有投标的；</w:t>
      </w:r>
    </w:p>
    <w:p>
      <w:pPr>
        <w:spacing w:line="360" w:lineRule="exact"/>
        <w:ind w:firstLine="359" w:firstLineChars="171"/>
      </w:pPr>
      <w:r>
        <w:rPr>
          <w:rFonts w:hint="eastAsia"/>
        </w:rPr>
        <w:t>（3）第一中标候选人或所有中标候选人存在不同程度的问题，不能签订合同的；</w:t>
      </w:r>
    </w:p>
    <w:p>
      <w:pPr>
        <w:spacing w:line="360" w:lineRule="exact"/>
        <w:ind w:firstLine="359" w:firstLineChars="171"/>
      </w:pPr>
      <w:r>
        <w:rPr>
          <w:rFonts w:hint="eastAsia"/>
        </w:rPr>
        <w:t>（</w:t>
      </w:r>
      <w:r>
        <w:t>4</w:t>
      </w:r>
      <w:r>
        <w:rPr>
          <w:rFonts w:hint="eastAsia"/>
        </w:rPr>
        <w:t>）在投标有效期内同意延长投标有效期的投标人少于三个的；</w:t>
      </w:r>
    </w:p>
    <w:p>
      <w:pPr>
        <w:spacing w:line="360" w:lineRule="exact"/>
        <w:ind w:firstLine="359" w:firstLineChars="171"/>
      </w:pPr>
      <w:r>
        <w:rPr>
          <w:rFonts w:hint="eastAsia"/>
        </w:rPr>
        <w:t>（</w:t>
      </w:r>
      <w:r>
        <w:t>5</w:t>
      </w:r>
      <w:r>
        <w:rPr>
          <w:rFonts w:hint="eastAsia"/>
        </w:rPr>
        <w:t>）法律、法规规定的其他情形。</w:t>
      </w:r>
    </w:p>
    <w:p>
      <w:pPr>
        <w:pStyle w:val="31"/>
        <w:spacing w:line="360" w:lineRule="exact"/>
      </w:pPr>
      <w:bookmarkStart w:id="380" w:name="_Toc166326890"/>
      <w:bookmarkStart w:id="381" w:name="_Toc179632591"/>
      <w:bookmarkStart w:id="382" w:name="_Toc152042349"/>
      <w:bookmarkStart w:id="383" w:name="_Toc152045573"/>
      <w:bookmarkStart w:id="384" w:name="_Toc256000054"/>
      <w:bookmarkStart w:id="385" w:name="_Toc144974541"/>
      <w:bookmarkStart w:id="386" w:name="_Toc26006"/>
      <w:r>
        <w:rPr>
          <w:rFonts w:hint="eastAsia"/>
        </w:rPr>
        <w:t>8.2 不再招标</w:t>
      </w:r>
      <w:bookmarkEnd w:id="380"/>
      <w:bookmarkEnd w:id="381"/>
      <w:bookmarkEnd w:id="382"/>
      <w:bookmarkEnd w:id="383"/>
      <w:bookmarkEnd w:id="384"/>
      <w:bookmarkEnd w:id="385"/>
      <w:bookmarkEnd w:id="386"/>
    </w:p>
    <w:p>
      <w:pPr>
        <w:spacing w:line="360" w:lineRule="exact"/>
        <w:ind w:firstLine="420" w:firstLineChars="200"/>
      </w:pPr>
      <w:r>
        <w:rPr>
          <w:rFonts w:hint="eastAsia"/>
        </w:rPr>
        <w:t>重新招标后投标人仍少于3个或者所有投标被否决的，属于必须审批或核准的工程建设项目，经原审批或核准部门批准后不再进行招标。</w:t>
      </w:r>
    </w:p>
    <w:p>
      <w:pPr>
        <w:pStyle w:val="31"/>
        <w:spacing w:line="360" w:lineRule="exact"/>
      </w:pPr>
      <w:bookmarkStart w:id="387" w:name="_Toc256000055"/>
      <w:bookmarkStart w:id="388" w:name="_Toc166326891"/>
      <w:bookmarkStart w:id="389" w:name="_Toc8918"/>
      <w:r>
        <w:rPr>
          <w:rFonts w:hint="eastAsia"/>
        </w:rPr>
        <w:t>8.3 终止招标</w:t>
      </w:r>
      <w:bookmarkEnd w:id="387"/>
      <w:bookmarkEnd w:id="388"/>
      <w:bookmarkEnd w:id="389"/>
    </w:p>
    <w:p>
      <w:pPr>
        <w:spacing w:line="360" w:lineRule="exact"/>
        <w:ind w:firstLine="420" w:firstLineChars="200"/>
      </w:pPr>
      <w:r>
        <w:rPr>
          <w:rFonts w:hint="eastAsia"/>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pPr>
        <w:pStyle w:val="29"/>
        <w:spacing w:line="360" w:lineRule="exact"/>
      </w:pPr>
      <w:bookmarkStart w:id="390" w:name="_Toc179632592"/>
      <w:bookmarkStart w:id="391" w:name="_Toc152042350"/>
      <w:bookmarkStart w:id="392" w:name="_Toc144974542"/>
      <w:bookmarkStart w:id="393" w:name="_Toc166326892"/>
      <w:bookmarkStart w:id="394" w:name="_Toc256000056"/>
      <w:bookmarkStart w:id="395" w:name="_Toc152045574"/>
      <w:bookmarkStart w:id="396" w:name="_Toc21067"/>
      <w:r>
        <w:rPr>
          <w:rFonts w:hint="eastAsia"/>
        </w:rPr>
        <w:t>9. 纪律和监督</w:t>
      </w:r>
      <w:bookmarkEnd w:id="390"/>
      <w:bookmarkEnd w:id="391"/>
      <w:bookmarkEnd w:id="392"/>
      <w:bookmarkEnd w:id="393"/>
      <w:bookmarkEnd w:id="394"/>
      <w:bookmarkEnd w:id="395"/>
      <w:bookmarkEnd w:id="396"/>
    </w:p>
    <w:p>
      <w:pPr>
        <w:pStyle w:val="31"/>
        <w:spacing w:line="360" w:lineRule="exact"/>
      </w:pPr>
      <w:bookmarkStart w:id="397" w:name="_Toc152042351"/>
      <w:bookmarkStart w:id="398" w:name="_Toc152045575"/>
      <w:bookmarkStart w:id="399" w:name="_Toc256000057"/>
      <w:bookmarkStart w:id="400" w:name="_Toc144974543"/>
      <w:bookmarkStart w:id="401" w:name="_Toc179632593"/>
      <w:bookmarkStart w:id="402" w:name="_Toc166326893"/>
      <w:bookmarkStart w:id="403" w:name="_Toc24130"/>
      <w:r>
        <w:rPr>
          <w:rFonts w:hint="eastAsia"/>
        </w:rPr>
        <w:t>9.1 对招标人的纪律要求</w:t>
      </w:r>
      <w:bookmarkEnd w:id="397"/>
      <w:bookmarkEnd w:id="398"/>
      <w:bookmarkEnd w:id="399"/>
      <w:bookmarkEnd w:id="400"/>
      <w:bookmarkEnd w:id="401"/>
      <w:bookmarkEnd w:id="402"/>
      <w:bookmarkEnd w:id="403"/>
    </w:p>
    <w:p>
      <w:pPr>
        <w:spacing w:line="360" w:lineRule="exact"/>
        <w:ind w:firstLine="420" w:firstLineChars="200"/>
      </w:pPr>
      <w:r>
        <w:rPr>
          <w:rFonts w:hint="eastAsia"/>
        </w:rPr>
        <w:t>招标人不得泄漏招标投标活动中应当保密的情况和资料，不得与投标人串通损害国家利益、社会公共利益或者他人合法权益。</w:t>
      </w:r>
    </w:p>
    <w:p>
      <w:pPr>
        <w:pStyle w:val="31"/>
        <w:spacing w:line="360" w:lineRule="exact"/>
      </w:pPr>
      <w:bookmarkStart w:id="404" w:name="_Toc152042352"/>
      <w:bookmarkStart w:id="405" w:name="_Toc152045576"/>
      <w:bookmarkStart w:id="406" w:name="_Toc144974544"/>
      <w:bookmarkStart w:id="407" w:name="_Toc179632594"/>
      <w:bookmarkStart w:id="408" w:name="_Toc166326894"/>
      <w:bookmarkStart w:id="409" w:name="_Toc15242"/>
      <w:bookmarkStart w:id="410" w:name="_Toc256000058"/>
      <w:r>
        <w:rPr>
          <w:rFonts w:hint="eastAsia"/>
        </w:rPr>
        <w:t>9.2 对投标人的纪律要求</w:t>
      </w:r>
      <w:bookmarkEnd w:id="404"/>
      <w:bookmarkEnd w:id="405"/>
      <w:bookmarkEnd w:id="406"/>
      <w:bookmarkEnd w:id="407"/>
      <w:bookmarkEnd w:id="408"/>
      <w:bookmarkEnd w:id="409"/>
      <w:bookmarkEnd w:id="410"/>
    </w:p>
    <w:p>
      <w:pPr>
        <w:spacing w:line="360" w:lineRule="exact"/>
        <w:ind w:firstLine="420" w:firstLineChars="200"/>
      </w:pPr>
      <w:r>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31"/>
        <w:spacing w:line="360" w:lineRule="exact"/>
      </w:pPr>
      <w:bookmarkStart w:id="411" w:name="_Toc179632595"/>
      <w:bookmarkStart w:id="412" w:name="_Toc152045577"/>
      <w:bookmarkStart w:id="413" w:name="_Toc166326895"/>
      <w:bookmarkStart w:id="414" w:name="_Toc152042353"/>
      <w:bookmarkStart w:id="415" w:name="_Toc256000059"/>
      <w:bookmarkStart w:id="416" w:name="_Toc144974545"/>
      <w:bookmarkStart w:id="417" w:name="_Toc28569"/>
      <w:r>
        <w:rPr>
          <w:rFonts w:hint="eastAsia"/>
        </w:rPr>
        <w:t>9.3 对评标委员会成员的纪律要求</w:t>
      </w:r>
      <w:bookmarkEnd w:id="411"/>
      <w:bookmarkEnd w:id="412"/>
      <w:bookmarkEnd w:id="413"/>
      <w:bookmarkEnd w:id="414"/>
      <w:bookmarkEnd w:id="415"/>
      <w:bookmarkEnd w:id="416"/>
      <w:bookmarkEnd w:id="417"/>
    </w:p>
    <w:p>
      <w:pPr>
        <w:spacing w:line="360" w:lineRule="exact"/>
        <w:ind w:firstLine="420" w:firstLineChars="200"/>
      </w:pPr>
      <w:r>
        <w:rPr>
          <w:rFonts w:hint="eastAsia"/>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pPr>
        <w:pStyle w:val="31"/>
        <w:spacing w:line="360" w:lineRule="exact"/>
      </w:pPr>
      <w:bookmarkStart w:id="418" w:name="_Toc152042354"/>
      <w:bookmarkStart w:id="419" w:name="_Toc152045578"/>
      <w:bookmarkStart w:id="420" w:name="_Toc166326896"/>
      <w:bookmarkStart w:id="421" w:name="_Toc16739"/>
      <w:bookmarkStart w:id="422" w:name="_Toc179632596"/>
      <w:bookmarkStart w:id="423" w:name="_Toc256000060"/>
      <w:bookmarkStart w:id="424" w:name="_Toc144974546"/>
      <w:r>
        <w:rPr>
          <w:rFonts w:hint="eastAsia"/>
        </w:rPr>
        <w:t>9.4 对与评标活动有关的工作人员的纪律要求</w:t>
      </w:r>
      <w:bookmarkEnd w:id="418"/>
      <w:bookmarkEnd w:id="419"/>
      <w:bookmarkEnd w:id="420"/>
      <w:bookmarkEnd w:id="421"/>
      <w:bookmarkEnd w:id="422"/>
      <w:bookmarkEnd w:id="423"/>
    </w:p>
    <w:p>
      <w:pPr>
        <w:spacing w:line="360" w:lineRule="exact"/>
        <w:ind w:firstLine="420" w:firstLineChars="200"/>
      </w:pPr>
      <w:bookmarkStart w:id="425" w:name="_Toc152042355"/>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425"/>
    </w:p>
    <w:p>
      <w:pPr>
        <w:pStyle w:val="31"/>
        <w:spacing w:line="360" w:lineRule="exact"/>
      </w:pPr>
      <w:bookmarkStart w:id="426" w:name="_Toc256000061"/>
      <w:bookmarkStart w:id="427" w:name="_Toc179632597"/>
      <w:bookmarkStart w:id="428" w:name="_Toc19731"/>
      <w:bookmarkStart w:id="429" w:name="_Toc152042356"/>
      <w:bookmarkStart w:id="430" w:name="_Toc152045579"/>
      <w:bookmarkStart w:id="431" w:name="_Toc166326897"/>
      <w:r>
        <w:rPr>
          <w:rFonts w:hint="eastAsia"/>
        </w:rPr>
        <w:t>9.5 投诉</w:t>
      </w:r>
      <w:bookmarkEnd w:id="424"/>
      <w:bookmarkEnd w:id="426"/>
      <w:bookmarkEnd w:id="427"/>
      <w:bookmarkEnd w:id="428"/>
      <w:bookmarkEnd w:id="429"/>
      <w:bookmarkEnd w:id="430"/>
      <w:bookmarkEnd w:id="431"/>
    </w:p>
    <w:p>
      <w:pPr>
        <w:spacing w:line="360" w:lineRule="exact"/>
        <w:ind w:firstLine="420" w:firstLineChars="200"/>
        <w:rPr>
          <w:bdr w:val="single" w:color="auto" w:sz="4" w:space="0"/>
        </w:rPr>
      </w:pPr>
      <w:r>
        <w:rPr>
          <w:rFonts w:hint="eastAsia"/>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t>投诉时效</w:t>
      </w:r>
      <w:r>
        <w:rPr>
          <w:rFonts w:hint="eastAsia"/>
        </w:rPr>
        <w:t>期限内。</w:t>
      </w:r>
    </w:p>
    <w:p>
      <w:pPr>
        <w:spacing w:line="360" w:lineRule="exact"/>
        <w:ind w:firstLine="420" w:firstLineChars="200"/>
      </w:pPr>
      <w:r>
        <w:rPr>
          <w:rFonts w:hint="eastAsia"/>
        </w:rPr>
        <w:t>投标人和其他利害关系人的投诉应按照《工程建设项目招标投标活动投诉处理办法》的规定进行。</w:t>
      </w:r>
    </w:p>
    <w:p>
      <w:pPr>
        <w:spacing w:line="360" w:lineRule="exact"/>
        <w:ind w:firstLine="420" w:firstLineChars="200"/>
      </w:pPr>
      <w:r>
        <w:rPr>
          <w:rFonts w:hint="eastAsia"/>
        </w:rPr>
        <w:t>有关行政监督部门的联系方式见投标人须知前附表。</w:t>
      </w:r>
    </w:p>
    <w:p>
      <w:pPr>
        <w:pStyle w:val="29"/>
        <w:spacing w:line="360" w:lineRule="exact"/>
      </w:pPr>
      <w:bookmarkStart w:id="432" w:name="_Toc152042357"/>
      <w:bookmarkStart w:id="433" w:name="_Toc166326898"/>
      <w:bookmarkStart w:id="434" w:name="_Toc152045580"/>
      <w:bookmarkStart w:id="435" w:name="_Toc256000062"/>
      <w:bookmarkStart w:id="436" w:name="_Toc144974547"/>
      <w:bookmarkStart w:id="437" w:name="_Toc179632598"/>
      <w:bookmarkStart w:id="438" w:name="_Toc1545"/>
      <w:r>
        <w:rPr>
          <w:rFonts w:hint="eastAsia"/>
        </w:rPr>
        <w:t>10. 需要补充的其他内容</w:t>
      </w:r>
      <w:bookmarkEnd w:id="432"/>
      <w:bookmarkEnd w:id="433"/>
      <w:bookmarkEnd w:id="434"/>
      <w:bookmarkEnd w:id="435"/>
      <w:bookmarkEnd w:id="436"/>
      <w:bookmarkEnd w:id="437"/>
      <w:bookmarkEnd w:id="438"/>
    </w:p>
    <w:p>
      <w:pPr>
        <w:pStyle w:val="31"/>
        <w:spacing w:line="360" w:lineRule="exact"/>
      </w:pPr>
      <w:bookmarkStart w:id="439" w:name="_Toc256000063"/>
      <w:bookmarkStart w:id="440" w:name="_Toc27015"/>
      <w:bookmarkStart w:id="441" w:name="_Toc166326899"/>
      <w:bookmarkStart w:id="442" w:name="_Toc426495265"/>
      <w:r>
        <w:rPr>
          <w:rFonts w:hint="eastAsia"/>
        </w:rPr>
        <w:t xml:space="preserve">10.1 </w:t>
      </w:r>
      <w:r>
        <w:rPr>
          <w:rFonts w:hint="eastAsia"/>
          <w:szCs w:val="21"/>
        </w:rPr>
        <w:t>词语定义</w:t>
      </w:r>
      <w:bookmarkEnd w:id="439"/>
      <w:bookmarkEnd w:id="440"/>
      <w:bookmarkEnd w:id="441"/>
    </w:p>
    <w:p>
      <w:pPr>
        <w:spacing w:line="360" w:lineRule="exact"/>
        <w:ind w:firstLine="420" w:firstLineChars="200"/>
      </w:pPr>
      <w:r>
        <w:rPr>
          <w:rFonts w:hint="eastAsia"/>
        </w:rPr>
        <w:t>词语定义规定：见投标人须知前附表。</w:t>
      </w:r>
    </w:p>
    <w:bookmarkEnd w:id="442"/>
    <w:p>
      <w:pPr>
        <w:pStyle w:val="31"/>
        <w:spacing w:line="360" w:lineRule="exact"/>
      </w:pPr>
      <w:bookmarkStart w:id="443" w:name="_Toc166326900"/>
      <w:bookmarkStart w:id="444" w:name="_Toc27808"/>
      <w:bookmarkStart w:id="445" w:name="_Toc387753565"/>
      <w:bookmarkStart w:id="446" w:name="_Toc456173253"/>
      <w:bookmarkStart w:id="447" w:name="_Toc256000064"/>
      <w:r>
        <w:rPr>
          <w:rFonts w:hint="eastAsia"/>
        </w:rPr>
        <w:t>10.</w:t>
      </w:r>
      <w:r>
        <w:t>2</w:t>
      </w:r>
      <w:r>
        <w:rPr>
          <w:rFonts w:hint="eastAsia"/>
        </w:rPr>
        <w:t xml:space="preserve"> 中标人的投标文件</w:t>
      </w:r>
      <w:bookmarkEnd w:id="443"/>
      <w:bookmarkEnd w:id="444"/>
      <w:bookmarkEnd w:id="445"/>
      <w:bookmarkEnd w:id="446"/>
      <w:bookmarkEnd w:id="447"/>
    </w:p>
    <w:p>
      <w:pPr>
        <w:spacing w:line="360" w:lineRule="exact"/>
        <w:ind w:firstLine="420" w:firstLineChars="200"/>
        <w:rPr>
          <w:rFonts w:hint="eastAsia" w:ascii="宋体" w:hAnsi="宋体"/>
          <w:szCs w:val="21"/>
        </w:rPr>
      </w:pPr>
      <w:r>
        <w:rPr>
          <w:rFonts w:hint="eastAsia" w:ascii="宋体" w:hAnsi="宋体"/>
          <w:szCs w:val="21"/>
        </w:rPr>
        <w:t>中标人在签订合同前须向招标人另行提交的纸质投标文件份数：见投标人须知前附表。</w:t>
      </w:r>
    </w:p>
    <w:p>
      <w:pPr>
        <w:pStyle w:val="31"/>
        <w:spacing w:line="360" w:lineRule="exact"/>
      </w:pPr>
      <w:bookmarkStart w:id="448" w:name="_Toc256000065"/>
      <w:bookmarkStart w:id="449" w:name="_Toc426495266"/>
      <w:bookmarkStart w:id="450" w:name="_Toc166326901"/>
      <w:bookmarkStart w:id="451" w:name="_Toc4231"/>
      <w:r>
        <w:rPr>
          <w:rFonts w:hint="eastAsia"/>
        </w:rPr>
        <w:t>10.</w:t>
      </w:r>
      <w:r>
        <w:t xml:space="preserve">3 </w:t>
      </w:r>
      <w:r>
        <w:rPr>
          <w:rFonts w:hint="eastAsia"/>
        </w:rPr>
        <w:t>知识产权</w:t>
      </w:r>
      <w:bookmarkEnd w:id="448"/>
      <w:bookmarkEnd w:id="449"/>
      <w:bookmarkEnd w:id="450"/>
      <w:bookmarkEnd w:id="451"/>
    </w:p>
    <w:p>
      <w:pPr>
        <w:spacing w:line="360" w:lineRule="exact"/>
        <w:ind w:firstLine="420" w:firstLineChars="200"/>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pPr>
        <w:pStyle w:val="31"/>
        <w:spacing w:line="360" w:lineRule="exact"/>
      </w:pPr>
      <w:bookmarkStart w:id="452" w:name="_Toc166326902"/>
      <w:bookmarkStart w:id="453" w:name="_Toc15214"/>
      <w:bookmarkStart w:id="454" w:name="_Toc256000066"/>
      <w:bookmarkStart w:id="455" w:name="_Toc426495267"/>
      <w:r>
        <w:rPr>
          <w:rFonts w:hint="eastAsia"/>
        </w:rPr>
        <w:t>10.</w:t>
      </w:r>
      <w:r>
        <w:t xml:space="preserve">4 </w:t>
      </w:r>
      <w:r>
        <w:rPr>
          <w:rFonts w:hint="eastAsia"/>
        </w:rPr>
        <w:t>同义词语</w:t>
      </w:r>
      <w:bookmarkEnd w:id="452"/>
      <w:bookmarkEnd w:id="453"/>
      <w:bookmarkEnd w:id="454"/>
      <w:bookmarkEnd w:id="455"/>
    </w:p>
    <w:p>
      <w:pPr>
        <w:spacing w:line="360" w:lineRule="exact"/>
        <w:ind w:firstLine="420" w:firstLineChars="200"/>
      </w:pPr>
      <w:r>
        <w:rPr>
          <w:rFonts w:hint="eastAsia"/>
        </w:rPr>
        <w:t>构成招标文件组成部分的“通用合同条款”、“专用合同条款”、“技术标准和要求”和“工程量清单”等章节中出现的措辞“发包人”和“承包人”，在招标投标阶段应当分别按“招标人”和“投标人”进行理解。</w:t>
      </w:r>
    </w:p>
    <w:p>
      <w:pPr>
        <w:pStyle w:val="31"/>
        <w:spacing w:line="360" w:lineRule="exact"/>
      </w:pPr>
      <w:bookmarkStart w:id="456" w:name="_Toc256000067"/>
      <w:bookmarkStart w:id="457" w:name="_Toc23639"/>
      <w:bookmarkStart w:id="458" w:name="_Toc426495268"/>
      <w:bookmarkStart w:id="459" w:name="_Toc166326903"/>
      <w:r>
        <w:rPr>
          <w:rFonts w:hint="eastAsia"/>
        </w:rPr>
        <w:t>10.</w:t>
      </w:r>
      <w:r>
        <w:t>5</w:t>
      </w:r>
      <w:r>
        <w:rPr>
          <w:rFonts w:hint="eastAsia"/>
        </w:rPr>
        <w:t xml:space="preserve"> 解释权</w:t>
      </w:r>
      <w:bookmarkEnd w:id="456"/>
      <w:bookmarkEnd w:id="457"/>
      <w:bookmarkEnd w:id="458"/>
      <w:bookmarkEnd w:id="459"/>
    </w:p>
    <w:p>
      <w:pPr>
        <w:spacing w:line="360" w:lineRule="exact"/>
        <w:ind w:firstLine="420" w:firstLineChars="200"/>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pPr>
        <w:pStyle w:val="31"/>
        <w:spacing w:line="360" w:lineRule="exact"/>
      </w:pPr>
      <w:bookmarkStart w:id="460" w:name="_Toc426495269"/>
      <w:bookmarkStart w:id="461" w:name="_Toc256000068"/>
      <w:bookmarkStart w:id="462" w:name="_Toc9324"/>
      <w:bookmarkStart w:id="463" w:name="_Toc166326904"/>
      <w:r>
        <w:rPr>
          <w:rFonts w:hint="eastAsia"/>
        </w:rPr>
        <w:t>10.6 招标人补充的其他内容</w:t>
      </w:r>
      <w:bookmarkEnd w:id="460"/>
      <w:bookmarkEnd w:id="461"/>
      <w:bookmarkEnd w:id="462"/>
      <w:bookmarkEnd w:id="463"/>
    </w:p>
    <w:p>
      <w:pPr>
        <w:spacing w:line="360" w:lineRule="exact"/>
        <w:ind w:firstLine="420" w:firstLineChars="200"/>
      </w:pPr>
      <w:r>
        <w:rPr>
          <w:rFonts w:hint="eastAsia"/>
        </w:rPr>
        <w:t>招标人补充的其他内容：见投标人须知前附表。</w:t>
      </w:r>
    </w:p>
    <w:p>
      <w:pPr>
        <w:spacing w:line="400" w:lineRule="exact"/>
        <w:ind w:firstLine="420" w:firstLineChars="200"/>
      </w:pPr>
    </w:p>
    <w:p>
      <w:pPr>
        <w:spacing w:line="400" w:lineRule="exact"/>
      </w:pPr>
      <w:r>
        <w:br w:type="page"/>
      </w:r>
    </w:p>
    <w:p>
      <w:pPr>
        <w:pStyle w:val="5"/>
        <w:rPr>
          <w:rFonts w:hint="eastAsia" w:ascii="仿宋_GB2312" w:hAnsi="黑体" w:eastAsia="仿宋_GB2312"/>
          <w:b w:val="0"/>
          <w:bCs w:val="0"/>
          <w:spacing w:val="12"/>
          <w:sz w:val="24"/>
        </w:rPr>
      </w:pPr>
      <w:bookmarkStart w:id="464" w:name="_Toc23728"/>
      <w:bookmarkStart w:id="465" w:name="_Toc165804340"/>
      <w:bookmarkStart w:id="466" w:name="_Toc256000069"/>
      <w:bookmarkStart w:id="467" w:name="_Toc353544000"/>
      <w:r>
        <w:rPr>
          <w:rFonts w:hint="eastAsia"/>
          <w:b w:val="0"/>
          <w:sz w:val="24"/>
          <w:szCs w:val="24"/>
        </w:rPr>
        <w:t>附表一：招标文件澄清申请函</w:t>
      </w:r>
      <w:bookmarkEnd w:id="464"/>
      <w:bookmarkEnd w:id="465"/>
      <w:bookmarkEnd w:id="466"/>
      <w:bookmarkEnd w:id="467"/>
    </w:p>
    <w:p>
      <w:pPr>
        <w:rPr>
          <w:rFonts w:ascii="仿宋_GB2312" w:eastAsia="仿宋_GB2312"/>
        </w:rPr>
      </w:pPr>
    </w:p>
    <w:p>
      <w:pPr>
        <w:spacing w:before="120" w:beforeLines="50" w:after="120" w:afterLines="50"/>
        <w:jc w:val="center"/>
        <w:rPr>
          <w:rFonts w:ascii="仿宋_GB2312" w:eastAsia="仿宋_GB2312"/>
          <w:sz w:val="28"/>
          <w:szCs w:val="28"/>
        </w:rPr>
      </w:pPr>
    </w:p>
    <w:p>
      <w:pPr>
        <w:spacing w:before="240" w:beforeLines="100" w:after="240" w:afterLines="100" w:line="480" w:lineRule="exact"/>
        <w:jc w:val="center"/>
        <w:rPr>
          <w:rFonts w:ascii="黑体" w:eastAsia="黑体"/>
          <w:sz w:val="28"/>
          <w:szCs w:val="28"/>
        </w:rPr>
      </w:pPr>
      <w:r>
        <w:rPr>
          <w:rFonts w:hint="eastAsia" w:ascii="黑体" w:eastAsia="黑体"/>
          <w:sz w:val="28"/>
          <w:szCs w:val="28"/>
        </w:rPr>
        <w:t>招标文件澄清申请函</w:t>
      </w:r>
    </w:p>
    <w:p>
      <w:pPr>
        <w:rPr>
          <w:rFonts w:hint="eastAsia" w:ascii="宋体" w:hAnsi="宋体"/>
        </w:rPr>
      </w:pPr>
    </w:p>
    <w:p>
      <w:pPr>
        <w:ind w:firstLine="6195" w:firstLineChars="2950"/>
        <w:rPr>
          <w:rFonts w:hint="eastAsia" w:ascii="宋体" w:hAnsi="宋体"/>
          <w:szCs w:val="21"/>
        </w:rPr>
      </w:pPr>
      <w:r>
        <w:rPr>
          <w:rFonts w:hint="eastAsia" w:ascii="宋体" w:hAnsi="宋体"/>
          <w:szCs w:val="21"/>
        </w:rPr>
        <w:t>编号：</w:t>
      </w:r>
      <w:r>
        <w:rPr>
          <w:rFonts w:hint="eastAsia" w:ascii="宋体" w:hAnsi="宋体"/>
          <w:szCs w:val="21"/>
          <w:u w:val="single"/>
        </w:rPr>
        <w:t xml:space="preserve">　　       </w:t>
      </w:r>
      <w:r>
        <w:rPr>
          <w:rFonts w:hint="eastAsia" w:ascii="宋体" w:hAnsi="宋体"/>
          <w:szCs w:val="21"/>
        </w:rPr>
        <w:t xml:space="preserve"> </w:t>
      </w:r>
    </w:p>
    <w:p>
      <w:pPr>
        <w:spacing w:line="560" w:lineRule="exact"/>
        <w:ind w:firstLine="420" w:firstLineChars="200"/>
        <w:rPr>
          <w:rFonts w:hint="eastAsia" w:ascii="宋体" w:hAnsi="宋体"/>
          <w:szCs w:val="21"/>
          <w:u w:val="single"/>
        </w:rPr>
      </w:pPr>
    </w:p>
    <w:p>
      <w:pPr>
        <w:spacing w:line="560" w:lineRule="exact"/>
        <w:rPr>
          <w:rFonts w:hint="eastAsia" w:ascii="宋体" w:hAnsi="宋体"/>
          <w:szCs w:val="21"/>
        </w:rPr>
      </w:pPr>
      <w:r>
        <w:rPr>
          <w:rFonts w:hint="eastAsia" w:ascii="宋体" w:hAnsi="宋体"/>
          <w:szCs w:val="21"/>
          <w:u w:val="single"/>
        </w:rPr>
        <w:t>　　　　　　　     　      　　</w:t>
      </w:r>
      <w:r>
        <w:rPr>
          <w:rFonts w:hint="eastAsia" w:ascii="宋体" w:hAnsi="宋体"/>
          <w:szCs w:val="21"/>
        </w:rPr>
        <w:t>（招标人名称）：</w:t>
      </w:r>
    </w:p>
    <w:p>
      <w:pPr>
        <w:spacing w:line="560" w:lineRule="exact"/>
        <w:ind w:firstLine="420" w:firstLineChars="200"/>
        <w:rPr>
          <w:rFonts w:hint="eastAsia" w:ascii="宋体" w:hAnsi="宋体"/>
          <w:szCs w:val="21"/>
        </w:rPr>
      </w:pPr>
      <w:r>
        <w:rPr>
          <w:rFonts w:hint="eastAsia" w:ascii="宋体" w:hAnsi="宋体"/>
          <w:szCs w:val="21"/>
        </w:rPr>
        <w:t>经过仔细阅读</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（标段名称）</w:t>
      </w:r>
      <w:r>
        <w:rPr>
          <w:rFonts w:hint="eastAsia"/>
        </w:rPr>
        <w:t>项目（标段唯一标识码：</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rFonts w:hint="eastAsia"/>
        </w:rPr>
        <w:t>）</w:t>
      </w:r>
      <w:r>
        <w:rPr>
          <w:rFonts w:hint="eastAsia" w:ascii="宋体" w:hAnsi="宋体"/>
          <w:szCs w:val="21"/>
        </w:rPr>
        <w:t>招标文件后，我方申请对以下问题予以澄清：</w:t>
      </w:r>
    </w:p>
    <w:p>
      <w:pPr>
        <w:spacing w:line="560" w:lineRule="exact"/>
        <w:ind w:firstLine="105" w:firstLineChars="50"/>
        <w:rPr>
          <w:rFonts w:hint="eastAsia" w:ascii="宋体" w:hAnsi="宋体"/>
          <w:szCs w:val="21"/>
        </w:rPr>
      </w:pPr>
      <w:bookmarkStart w:id="468" w:name="_Hlt269064826"/>
      <w:r>
        <w:rPr>
          <w:rFonts w:hint="eastAsia" w:ascii="宋体" w:hAnsi="宋体"/>
          <w:szCs w:val="21"/>
        </w:rPr>
        <w:t>　1.……</w:t>
      </w:r>
    </w:p>
    <w:p>
      <w:pPr>
        <w:spacing w:line="560" w:lineRule="exact"/>
        <w:ind w:firstLine="315" w:firstLineChars="150"/>
        <w:rPr>
          <w:rFonts w:hint="eastAsia" w:ascii="宋体" w:hAnsi="宋体"/>
          <w:szCs w:val="21"/>
        </w:rPr>
      </w:pPr>
      <w:r>
        <w:rPr>
          <w:rFonts w:hint="eastAsia" w:ascii="宋体" w:hAnsi="宋体"/>
          <w:szCs w:val="21"/>
        </w:rPr>
        <w:t>2.……</w:t>
      </w:r>
    </w:p>
    <w:p>
      <w:pPr>
        <w:spacing w:line="560" w:lineRule="exact"/>
        <w:ind w:firstLine="420" w:firstLineChars="200"/>
        <w:rPr>
          <w:rFonts w:hint="eastAsia" w:ascii="宋体" w:hAnsi="宋体"/>
          <w:szCs w:val="21"/>
        </w:rPr>
      </w:pPr>
      <w:r>
        <w:rPr>
          <w:rFonts w:hint="eastAsia" w:ascii="宋体" w:hAnsi="宋体"/>
          <w:szCs w:val="21"/>
        </w:rPr>
        <w:t>……</w:t>
      </w:r>
    </w:p>
    <w:p>
      <w:pPr>
        <w:spacing w:line="560" w:lineRule="exact"/>
        <w:ind w:firstLine="420" w:firstLineChars="200"/>
        <w:rPr>
          <w:rFonts w:hint="eastAsia" w:ascii="宋体" w:hAnsi="宋体"/>
          <w:szCs w:val="21"/>
        </w:rPr>
      </w:pPr>
    </w:p>
    <w:bookmarkEnd w:id="468"/>
    <w:p>
      <w:pPr>
        <w:spacing w:line="560" w:lineRule="exact"/>
        <w:ind w:firstLine="420" w:firstLineChars="200"/>
        <w:rPr>
          <w:rFonts w:hint="eastAsia" w:ascii="宋体" w:hAnsi="宋体"/>
          <w:szCs w:val="21"/>
        </w:rPr>
      </w:pPr>
    </w:p>
    <w:p>
      <w:pPr>
        <w:wordWrap w:val="0"/>
        <w:jc w:val="right"/>
        <w:rPr>
          <w:rFonts w:hint="eastAsia" w:ascii="宋体" w:hAnsi="宋体"/>
        </w:rPr>
      </w:pPr>
      <w:r>
        <w:rPr>
          <w:rFonts w:hint="eastAsia" w:ascii="宋体" w:hAnsi="宋体"/>
          <w:szCs w:val="21"/>
        </w:rPr>
        <w:t xml:space="preserve">　　　　　　　　　　　　　　　  </w:t>
      </w:r>
      <w:r>
        <w:rPr>
          <w:rFonts w:hint="eastAsia" w:ascii="宋体" w:hAnsi="宋体"/>
        </w:rPr>
        <w:t>投标人：</w:t>
      </w:r>
      <w:r>
        <w:rPr>
          <w:rFonts w:hint="eastAsia" w:ascii="宋体" w:hAnsi="宋体"/>
          <w:u w:val="single"/>
        </w:rPr>
        <w:t xml:space="preserve">                </w:t>
      </w:r>
      <w:r>
        <w:rPr>
          <w:rFonts w:hint="eastAsia" w:ascii="宋体" w:hAnsi="宋体"/>
        </w:rPr>
        <w:t xml:space="preserve"> （盖单位章）</w:t>
      </w:r>
    </w:p>
    <w:p>
      <w:pPr>
        <w:jc w:val="right"/>
        <w:rPr>
          <w:rFonts w:hint="eastAsia" w:ascii="宋体" w:hAnsi="宋体"/>
        </w:rPr>
      </w:pPr>
    </w:p>
    <w:p>
      <w:pPr>
        <w:spacing w:line="560" w:lineRule="exact"/>
        <w:ind w:firstLine="420" w:firstLineChars="200"/>
        <w:rPr>
          <w:rFonts w:hint="eastAsia" w:ascii="宋体" w:hAnsi="宋体"/>
          <w:szCs w:val="21"/>
        </w:rPr>
      </w:pPr>
      <w:r>
        <w:rPr>
          <w:rFonts w:hint="eastAsia" w:ascii="宋体" w:hAnsi="宋体"/>
        </w:rPr>
        <w:t xml:space="preserve">                                                    </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560" w:lineRule="exact"/>
        <w:ind w:firstLine="420" w:firstLineChars="200"/>
        <w:rPr>
          <w:rFonts w:hint="eastAsia" w:ascii="宋体" w:hAnsi="宋体"/>
          <w:szCs w:val="21"/>
        </w:rPr>
      </w:pPr>
    </w:p>
    <w:p>
      <w:pPr>
        <w:spacing w:line="560" w:lineRule="exact"/>
        <w:ind w:firstLine="420" w:firstLineChars="200"/>
        <w:rPr>
          <w:rFonts w:hint="eastAsia" w:ascii="宋体" w:hAnsi="宋体"/>
          <w:szCs w:val="21"/>
        </w:rPr>
      </w:pPr>
    </w:p>
    <w:p>
      <w:pPr>
        <w:spacing w:line="560" w:lineRule="exact"/>
        <w:ind w:firstLine="420" w:firstLineChars="200"/>
        <w:rPr>
          <w:rFonts w:hint="eastAsia" w:ascii="宋体" w:hAnsi="宋体"/>
          <w:szCs w:val="21"/>
        </w:rPr>
      </w:pPr>
    </w:p>
    <w:p>
      <w:pPr>
        <w:spacing w:line="560" w:lineRule="exact"/>
        <w:ind w:firstLine="420" w:firstLineChars="200"/>
        <w:rPr>
          <w:rFonts w:hint="eastAsia" w:ascii="宋体" w:hAnsi="宋体"/>
          <w:szCs w:val="21"/>
        </w:rPr>
      </w:pPr>
    </w:p>
    <w:p>
      <w:pPr>
        <w:spacing w:line="560" w:lineRule="exact"/>
        <w:rPr>
          <w:rFonts w:hint="eastAsia" w:ascii="宋体" w:hAnsi="宋体"/>
          <w:szCs w:val="21"/>
        </w:rPr>
      </w:pPr>
    </w:p>
    <w:p>
      <w:pPr>
        <w:spacing w:line="560" w:lineRule="exact"/>
        <w:ind w:right="840" w:rightChars="400"/>
        <w:rPr>
          <w:rFonts w:hint="eastAsia" w:ascii="宋体" w:hAnsi="宋体"/>
          <w:sz w:val="24"/>
        </w:rPr>
      </w:pPr>
      <w:r>
        <w:rPr>
          <w:rFonts w:ascii="宋体" w:hAnsi="宋体"/>
          <w:sz w:val="24"/>
        </w:rPr>
        <w:br w:type="page"/>
      </w:r>
    </w:p>
    <w:p>
      <w:pPr>
        <w:pStyle w:val="5"/>
        <w:rPr>
          <w:b w:val="0"/>
          <w:sz w:val="24"/>
          <w:szCs w:val="24"/>
        </w:rPr>
      </w:pPr>
      <w:bookmarkStart w:id="469" w:name="_Toc165804341"/>
      <w:bookmarkStart w:id="470" w:name="_Toc353544001"/>
      <w:bookmarkStart w:id="471" w:name="_Toc3981"/>
      <w:bookmarkStart w:id="472" w:name="_Toc256000070"/>
      <w:r>
        <w:rPr>
          <w:rFonts w:hint="eastAsia"/>
          <w:b w:val="0"/>
          <w:sz w:val="24"/>
          <w:szCs w:val="24"/>
        </w:rPr>
        <w:t>附表二：招标文件澄清通知</w:t>
      </w:r>
      <w:bookmarkEnd w:id="469"/>
      <w:bookmarkEnd w:id="470"/>
      <w:bookmarkEnd w:id="471"/>
      <w:bookmarkEnd w:id="472"/>
    </w:p>
    <w:p>
      <w:pPr>
        <w:spacing w:line="560" w:lineRule="exact"/>
        <w:ind w:right="840" w:rightChars="400"/>
        <w:rPr>
          <w:rFonts w:ascii="仿宋_GB2312" w:eastAsia="仿宋_GB2312"/>
          <w:sz w:val="24"/>
        </w:rPr>
      </w:pPr>
    </w:p>
    <w:p>
      <w:pPr>
        <w:rPr>
          <w:rFonts w:ascii="仿宋_GB2312" w:eastAsia="仿宋_GB2312"/>
        </w:rPr>
      </w:pPr>
    </w:p>
    <w:p>
      <w:pPr>
        <w:spacing w:before="240" w:beforeLines="100" w:after="240" w:afterLines="100" w:line="480" w:lineRule="exact"/>
        <w:jc w:val="center"/>
        <w:rPr>
          <w:rFonts w:ascii="黑体" w:eastAsia="黑体"/>
          <w:sz w:val="28"/>
          <w:szCs w:val="28"/>
        </w:rPr>
      </w:pPr>
      <w:r>
        <w:rPr>
          <w:rFonts w:hint="eastAsia" w:ascii="黑体" w:eastAsia="黑体"/>
          <w:sz w:val="28"/>
          <w:szCs w:val="28"/>
        </w:rPr>
        <w:t>招标文件澄清通知</w:t>
      </w:r>
    </w:p>
    <w:p>
      <w:pPr>
        <w:rPr>
          <w:rFonts w:hint="eastAsia" w:ascii="宋体" w:hAnsi="宋体"/>
        </w:rPr>
      </w:pPr>
    </w:p>
    <w:p>
      <w:pPr>
        <w:ind w:firstLine="5985" w:firstLineChars="2850"/>
        <w:rPr>
          <w:rFonts w:hint="eastAsia" w:ascii="宋体" w:hAnsi="宋体"/>
        </w:rPr>
      </w:pPr>
      <w:r>
        <w:rPr>
          <w:rFonts w:hint="eastAsia" w:ascii="宋体" w:hAnsi="宋体"/>
        </w:rPr>
        <w:t>编号：</w:t>
      </w:r>
      <w:r>
        <w:rPr>
          <w:rFonts w:hint="eastAsia" w:ascii="宋体" w:hAnsi="宋体"/>
          <w:u w:val="single"/>
        </w:rPr>
        <w:t>　        　</w:t>
      </w:r>
    </w:p>
    <w:p>
      <w:pPr>
        <w:rPr>
          <w:rFonts w:hint="eastAsia" w:ascii="宋体" w:hAnsi="宋体"/>
        </w:rPr>
      </w:pPr>
    </w:p>
    <w:p>
      <w:pPr>
        <w:spacing w:line="560" w:lineRule="exact"/>
        <w:rPr>
          <w:rFonts w:hint="eastAsia" w:ascii="宋体" w:hAnsi="宋体"/>
          <w:szCs w:val="21"/>
        </w:rPr>
      </w:pPr>
      <w:r>
        <w:rPr>
          <w:rFonts w:hint="eastAsia" w:ascii="宋体" w:hAnsi="宋体"/>
        </w:rPr>
        <w:t>各</w:t>
      </w:r>
      <w:r>
        <w:rPr>
          <w:rFonts w:hint="eastAsia" w:ascii="宋体" w:hAnsi="宋体"/>
          <w:szCs w:val="21"/>
        </w:rPr>
        <w:t>投标人：</w:t>
      </w:r>
    </w:p>
    <w:p>
      <w:pPr>
        <w:spacing w:line="560" w:lineRule="exact"/>
        <w:ind w:firstLine="420" w:firstLineChars="200"/>
        <w:rPr>
          <w:rFonts w:hint="eastAsia" w:ascii="宋体" w:hAnsi="宋体"/>
          <w:szCs w:val="21"/>
        </w:rPr>
      </w:pPr>
      <w:r>
        <w:rPr>
          <w:rFonts w:hint="eastAsia" w:ascii="宋体" w:hAnsi="宋体"/>
          <w:szCs w:val="21"/>
        </w:rPr>
        <w:t>经研究，对</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（标段名称）</w:t>
      </w:r>
      <w:r>
        <w:rPr>
          <w:rFonts w:hint="eastAsia"/>
        </w:rPr>
        <w:t>项目（标段唯一标识码：</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rFonts w:hint="eastAsia"/>
        </w:rPr>
        <w:t>）</w:t>
      </w:r>
      <w:r>
        <w:rPr>
          <w:rFonts w:hint="eastAsia" w:ascii="宋体" w:hAnsi="宋体"/>
          <w:szCs w:val="21"/>
        </w:rPr>
        <w:t>招标文件，作如下澄清：</w:t>
      </w:r>
    </w:p>
    <w:p>
      <w:pPr>
        <w:spacing w:line="560" w:lineRule="exact"/>
        <w:ind w:firstLine="420" w:firstLineChars="200"/>
        <w:rPr>
          <w:rFonts w:hint="eastAsia" w:ascii="宋体" w:hAnsi="宋体"/>
          <w:szCs w:val="21"/>
        </w:rPr>
      </w:pPr>
      <w:r>
        <w:rPr>
          <w:rFonts w:hint="eastAsia" w:ascii="宋体" w:hAnsi="宋体"/>
          <w:szCs w:val="21"/>
        </w:rPr>
        <w:t>1.……</w:t>
      </w:r>
    </w:p>
    <w:p>
      <w:pPr>
        <w:spacing w:line="560" w:lineRule="exact"/>
        <w:ind w:firstLine="420" w:firstLineChars="200"/>
        <w:rPr>
          <w:rFonts w:hint="eastAsia" w:ascii="宋体" w:hAnsi="宋体"/>
          <w:szCs w:val="21"/>
        </w:rPr>
      </w:pPr>
      <w:r>
        <w:rPr>
          <w:rFonts w:hint="eastAsia" w:ascii="宋体" w:hAnsi="宋体"/>
          <w:szCs w:val="21"/>
        </w:rPr>
        <w:t>2.……</w:t>
      </w:r>
    </w:p>
    <w:p>
      <w:pPr>
        <w:spacing w:line="560" w:lineRule="exact"/>
        <w:ind w:firstLine="420" w:firstLineChars="200"/>
        <w:rPr>
          <w:rFonts w:hint="eastAsia" w:ascii="宋体" w:hAnsi="宋体"/>
          <w:szCs w:val="21"/>
        </w:rPr>
      </w:pPr>
      <w:r>
        <w:rPr>
          <w:rFonts w:hint="eastAsia" w:ascii="宋体" w:hAnsi="宋体"/>
          <w:szCs w:val="21"/>
        </w:rPr>
        <w:t>……</w:t>
      </w:r>
    </w:p>
    <w:p>
      <w:pPr>
        <w:spacing w:line="560" w:lineRule="exact"/>
        <w:rPr>
          <w:rFonts w:hint="eastAsia" w:ascii="宋体" w:hAnsi="宋体"/>
          <w:szCs w:val="21"/>
        </w:rPr>
      </w:pPr>
    </w:p>
    <w:p>
      <w:pPr>
        <w:spacing w:line="560" w:lineRule="exact"/>
        <w:ind w:firstLine="420" w:firstLineChars="200"/>
        <w:rPr>
          <w:rFonts w:hint="eastAsia" w:ascii="宋体" w:hAnsi="宋体"/>
          <w:szCs w:val="21"/>
        </w:rPr>
      </w:pPr>
    </w:p>
    <w:p>
      <w:pPr>
        <w:spacing w:line="560" w:lineRule="exact"/>
        <w:ind w:firstLine="420" w:firstLineChars="200"/>
        <w:rPr>
          <w:rFonts w:hint="eastAsia" w:ascii="宋体" w:hAnsi="宋体"/>
          <w:szCs w:val="21"/>
        </w:rPr>
      </w:pPr>
    </w:p>
    <w:p>
      <w:pPr>
        <w:spacing w:line="560" w:lineRule="exact"/>
        <w:ind w:firstLine="420" w:firstLineChars="200"/>
        <w:rPr>
          <w:rFonts w:hint="eastAsia" w:ascii="宋体" w:hAnsi="宋体"/>
          <w:szCs w:val="21"/>
        </w:rPr>
      </w:pPr>
    </w:p>
    <w:p>
      <w:pPr>
        <w:wordWrap w:val="0"/>
        <w:jc w:val="right"/>
        <w:rPr>
          <w:rFonts w:hint="eastAsia" w:ascii="宋体" w:hAnsi="宋体"/>
        </w:rPr>
      </w:pPr>
      <w:r>
        <w:rPr>
          <w:rFonts w:hint="eastAsia" w:ascii="宋体" w:hAnsi="宋体"/>
          <w:szCs w:val="21"/>
        </w:rPr>
        <w:t>　　　　　　　　　　　　　　　　</w:t>
      </w:r>
      <w:r>
        <w:rPr>
          <w:rFonts w:hint="eastAsia" w:ascii="宋体" w:hAnsi="宋体"/>
        </w:rPr>
        <w:t>招标人：</w:t>
      </w:r>
      <w:r>
        <w:rPr>
          <w:rFonts w:hint="eastAsia" w:ascii="宋体" w:hAnsi="宋体"/>
          <w:u w:val="single"/>
        </w:rPr>
        <w:t xml:space="preserve">                  </w:t>
      </w:r>
      <w:r>
        <w:rPr>
          <w:rFonts w:hint="eastAsia" w:ascii="宋体" w:hAnsi="宋体"/>
        </w:rPr>
        <w:t xml:space="preserve"> （盖单位章）</w:t>
      </w:r>
    </w:p>
    <w:p>
      <w:pPr>
        <w:spacing w:line="560" w:lineRule="exact"/>
        <w:ind w:firstLine="420" w:firstLineChars="200"/>
        <w:rPr>
          <w:rFonts w:hint="eastAsia" w:ascii="宋体" w:hAnsi="宋体"/>
        </w:rPr>
      </w:pPr>
    </w:p>
    <w:p>
      <w:pPr>
        <w:spacing w:line="560" w:lineRule="exact"/>
        <w:ind w:firstLine="420" w:firstLineChars="200"/>
        <w:rPr>
          <w:rFonts w:hint="eastAsia" w:ascii="宋体" w:hAnsi="宋体"/>
          <w:szCs w:val="21"/>
        </w:rPr>
      </w:pPr>
      <w:r>
        <w:rPr>
          <w:rFonts w:hint="eastAsia" w:ascii="宋体" w:hAnsi="宋体"/>
        </w:rPr>
        <w:t xml:space="preserve">                                                    </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560" w:lineRule="exact"/>
        <w:rPr>
          <w:rFonts w:hint="eastAsia" w:ascii="宋体" w:hAnsi="宋体"/>
          <w:szCs w:val="21"/>
        </w:rPr>
      </w:pPr>
    </w:p>
    <w:p>
      <w:pPr>
        <w:spacing w:line="560" w:lineRule="exact"/>
        <w:rPr>
          <w:rFonts w:hint="eastAsia" w:ascii="宋体" w:hAnsi="宋体"/>
          <w:szCs w:val="21"/>
        </w:rPr>
      </w:pPr>
    </w:p>
    <w:p>
      <w:pPr>
        <w:spacing w:line="560" w:lineRule="exact"/>
        <w:ind w:firstLine="420" w:firstLineChars="200"/>
        <w:rPr>
          <w:rFonts w:ascii="仿宋_GB2312" w:eastAsia="仿宋_GB2312"/>
          <w:szCs w:val="21"/>
        </w:rPr>
      </w:pPr>
      <w:r>
        <w:rPr>
          <w:rFonts w:ascii="仿宋_GB2312" w:eastAsia="仿宋_GB2312"/>
          <w:szCs w:val="21"/>
        </w:rPr>
        <w:br w:type="page"/>
      </w:r>
    </w:p>
    <w:p>
      <w:pPr>
        <w:pStyle w:val="5"/>
        <w:rPr>
          <w:b w:val="0"/>
          <w:sz w:val="24"/>
          <w:szCs w:val="24"/>
        </w:rPr>
      </w:pPr>
      <w:bookmarkStart w:id="473" w:name="_Toc353544002"/>
      <w:bookmarkStart w:id="474" w:name="_Toc31845"/>
      <w:bookmarkStart w:id="475" w:name="_Toc165804342"/>
      <w:bookmarkStart w:id="476" w:name="_Toc256000071"/>
      <w:r>
        <w:rPr>
          <w:rFonts w:hint="eastAsia"/>
          <w:b w:val="0"/>
          <w:sz w:val="24"/>
          <w:szCs w:val="24"/>
        </w:rPr>
        <w:t>附表三：招标文件修改通知</w:t>
      </w:r>
      <w:bookmarkEnd w:id="473"/>
      <w:bookmarkEnd w:id="474"/>
      <w:bookmarkEnd w:id="475"/>
      <w:bookmarkEnd w:id="476"/>
    </w:p>
    <w:p>
      <w:pPr>
        <w:spacing w:line="560" w:lineRule="exact"/>
        <w:ind w:right="840" w:rightChars="400"/>
        <w:rPr>
          <w:rFonts w:ascii="仿宋_GB2312" w:eastAsia="仿宋_GB2312"/>
          <w:sz w:val="24"/>
        </w:rPr>
      </w:pPr>
    </w:p>
    <w:p>
      <w:pPr>
        <w:rPr>
          <w:rFonts w:ascii="仿宋_GB2312" w:eastAsia="仿宋_GB2312"/>
        </w:rPr>
      </w:pPr>
    </w:p>
    <w:p>
      <w:pPr>
        <w:spacing w:before="240" w:beforeLines="100" w:after="240" w:afterLines="100" w:line="480" w:lineRule="exact"/>
        <w:jc w:val="center"/>
        <w:rPr>
          <w:rFonts w:ascii="黑体" w:eastAsia="黑体"/>
          <w:sz w:val="28"/>
          <w:szCs w:val="28"/>
        </w:rPr>
      </w:pPr>
      <w:r>
        <w:rPr>
          <w:rFonts w:hint="eastAsia" w:ascii="黑体" w:eastAsia="黑体"/>
          <w:sz w:val="28"/>
          <w:szCs w:val="28"/>
        </w:rPr>
        <w:t>招标文件修改通知</w:t>
      </w:r>
    </w:p>
    <w:p>
      <w:pPr>
        <w:rPr>
          <w:rFonts w:hint="eastAsia" w:ascii="宋体" w:hAnsi="宋体"/>
        </w:rPr>
      </w:pPr>
    </w:p>
    <w:p>
      <w:pPr>
        <w:ind w:left="5985" w:leftChars="2850"/>
        <w:rPr>
          <w:rFonts w:hint="eastAsia" w:ascii="宋体" w:hAnsi="宋体"/>
        </w:rPr>
      </w:pPr>
      <w:r>
        <w:rPr>
          <w:rFonts w:hint="eastAsia" w:ascii="宋体" w:hAnsi="宋体"/>
        </w:rPr>
        <w:t xml:space="preserve">                                   编号：</w:t>
      </w:r>
      <w:r>
        <w:rPr>
          <w:rFonts w:hint="eastAsia" w:ascii="宋体" w:hAnsi="宋体"/>
          <w:u w:val="single"/>
        </w:rPr>
        <w:t>　        　</w:t>
      </w:r>
    </w:p>
    <w:p>
      <w:pPr>
        <w:rPr>
          <w:rFonts w:hint="eastAsia" w:ascii="宋体" w:hAnsi="宋体"/>
        </w:rPr>
      </w:pPr>
    </w:p>
    <w:p>
      <w:pPr>
        <w:spacing w:line="560" w:lineRule="exact"/>
        <w:rPr>
          <w:rFonts w:hint="eastAsia" w:ascii="宋体" w:hAnsi="宋体"/>
          <w:szCs w:val="21"/>
        </w:rPr>
      </w:pPr>
      <w:r>
        <w:rPr>
          <w:rFonts w:hint="eastAsia" w:ascii="宋体" w:hAnsi="宋体"/>
        </w:rPr>
        <w:t>各</w:t>
      </w:r>
      <w:r>
        <w:rPr>
          <w:rFonts w:hint="eastAsia" w:ascii="宋体" w:hAnsi="宋体"/>
          <w:szCs w:val="21"/>
        </w:rPr>
        <w:t>投标人：</w:t>
      </w:r>
    </w:p>
    <w:p>
      <w:pPr>
        <w:spacing w:line="560" w:lineRule="exact"/>
        <w:ind w:firstLine="420" w:firstLineChars="200"/>
        <w:rPr>
          <w:rFonts w:hint="eastAsia" w:ascii="宋体" w:hAnsi="宋体"/>
          <w:szCs w:val="21"/>
        </w:rPr>
      </w:pPr>
      <w:r>
        <w:rPr>
          <w:rFonts w:hint="eastAsia" w:ascii="宋体" w:hAnsi="宋体"/>
          <w:szCs w:val="21"/>
        </w:rPr>
        <w:t>经研究，对</w:t>
      </w:r>
      <w:r>
        <w:rPr>
          <w:rFonts w:ascii="宋体" w:hAnsi="宋体"/>
          <w:szCs w:val="21"/>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w:t>
      </w:r>
      <w:r>
        <w:rPr>
          <w:rFonts w:hint="eastAsia" w:ascii="宋体" w:hAnsi="宋体"/>
          <w:szCs w:val="21"/>
        </w:rPr>
        <w:t xml:space="preserve"> （标段名称）</w:t>
      </w:r>
      <w:r>
        <w:rPr>
          <w:rFonts w:hint="eastAsia"/>
        </w:rPr>
        <w:t>项目（标段唯一标识码：</w:t>
      </w:r>
      <w:r>
        <w:rPr>
          <w:rFonts w:hint="eastAsia"/>
          <w:u w:val="single"/>
        </w:rPr>
        <w:t xml:space="preserve"> </w:t>
      </w:r>
      <w:r>
        <w:rPr>
          <w:u w:val="single"/>
        </w:rPr>
        <w:t xml:space="preserve">          </w:t>
      </w:r>
      <w:r>
        <w:t xml:space="preserve"> </w:t>
      </w:r>
      <w:r>
        <w:rPr>
          <w:rFonts w:hint="eastAsia"/>
        </w:rPr>
        <w:t>）</w:t>
      </w:r>
      <w:r>
        <w:rPr>
          <w:rFonts w:hint="eastAsia" w:ascii="宋体" w:hAnsi="宋体"/>
          <w:szCs w:val="21"/>
        </w:rPr>
        <w:t>招标文件，作如下修改：</w:t>
      </w:r>
    </w:p>
    <w:p>
      <w:pPr>
        <w:spacing w:line="560" w:lineRule="exact"/>
        <w:ind w:firstLine="420" w:firstLineChars="200"/>
        <w:rPr>
          <w:rFonts w:hint="eastAsia" w:ascii="宋体" w:hAnsi="宋体"/>
          <w:szCs w:val="21"/>
        </w:rPr>
      </w:pPr>
      <w:r>
        <w:rPr>
          <w:rFonts w:hint="eastAsia" w:ascii="宋体" w:hAnsi="宋体"/>
          <w:szCs w:val="21"/>
        </w:rPr>
        <w:t>1.……</w:t>
      </w:r>
    </w:p>
    <w:p>
      <w:pPr>
        <w:spacing w:line="560" w:lineRule="exact"/>
        <w:ind w:firstLine="420" w:firstLineChars="200"/>
        <w:rPr>
          <w:rFonts w:hint="eastAsia" w:ascii="宋体" w:hAnsi="宋体"/>
          <w:szCs w:val="21"/>
        </w:rPr>
      </w:pPr>
      <w:r>
        <w:rPr>
          <w:rFonts w:hint="eastAsia" w:ascii="宋体" w:hAnsi="宋体"/>
          <w:szCs w:val="21"/>
        </w:rPr>
        <w:t>2.……</w:t>
      </w:r>
    </w:p>
    <w:p>
      <w:pPr>
        <w:spacing w:line="560" w:lineRule="exact"/>
        <w:ind w:firstLine="420" w:firstLineChars="200"/>
        <w:rPr>
          <w:rFonts w:hint="eastAsia" w:ascii="宋体" w:hAnsi="宋体"/>
          <w:szCs w:val="21"/>
        </w:rPr>
      </w:pPr>
      <w:r>
        <w:rPr>
          <w:rFonts w:hint="eastAsia" w:ascii="宋体" w:hAnsi="宋体"/>
          <w:szCs w:val="21"/>
        </w:rPr>
        <w:t>……</w:t>
      </w:r>
    </w:p>
    <w:p>
      <w:pPr>
        <w:spacing w:line="560" w:lineRule="exact"/>
        <w:rPr>
          <w:rFonts w:hint="eastAsia" w:ascii="宋体" w:hAnsi="宋体"/>
          <w:szCs w:val="21"/>
        </w:rPr>
      </w:pPr>
    </w:p>
    <w:p>
      <w:pPr>
        <w:spacing w:line="560" w:lineRule="exact"/>
        <w:ind w:firstLine="420" w:firstLineChars="200"/>
        <w:rPr>
          <w:rFonts w:hint="eastAsia" w:ascii="宋体" w:hAnsi="宋体"/>
          <w:szCs w:val="21"/>
          <w:bdr w:val="single" w:color="auto" w:sz="4" w:space="0"/>
        </w:rPr>
      </w:pPr>
    </w:p>
    <w:p>
      <w:pPr>
        <w:spacing w:line="560" w:lineRule="exact"/>
        <w:ind w:firstLine="420" w:firstLineChars="200"/>
        <w:rPr>
          <w:rFonts w:hint="eastAsia" w:ascii="宋体" w:hAnsi="宋体"/>
          <w:szCs w:val="21"/>
        </w:rPr>
      </w:pPr>
    </w:p>
    <w:p>
      <w:pPr>
        <w:spacing w:line="560" w:lineRule="exact"/>
        <w:ind w:firstLine="420" w:firstLineChars="200"/>
        <w:rPr>
          <w:rFonts w:hint="eastAsia" w:ascii="宋体" w:hAnsi="宋体"/>
          <w:szCs w:val="21"/>
        </w:rPr>
      </w:pPr>
    </w:p>
    <w:p>
      <w:pPr>
        <w:wordWrap w:val="0"/>
        <w:jc w:val="right"/>
        <w:rPr>
          <w:rFonts w:hint="eastAsia" w:ascii="宋体" w:hAnsi="宋体"/>
        </w:rPr>
      </w:pPr>
      <w:r>
        <w:rPr>
          <w:rFonts w:hint="eastAsia" w:ascii="宋体" w:hAnsi="宋体"/>
          <w:szCs w:val="21"/>
        </w:rPr>
        <w:t>　　　　　　　　　　　　　　　　</w:t>
      </w:r>
      <w:r>
        <w:rPr>
          <w:rFonts w:hint="eastAsia" w:ascii="宋体" w:hAnsi="宋体"/>
        </w:rPr>
        <w:t>招标人：</w:t>
      </w:r>
      <w:r>
        <w:rPr>
          <w:rFonts w:hint="eastAsia" w:ascii="宋体" w:hAnsi="宋体"/>
          <w:u w:val="single"/>
        </w:rPr>
        <w:t xml:space="preserve">                  </w:t>
      </w:r>
      <w:r>
        <w:rPr>
          <w:rFonts w:hint="eastAsia" w:ascii="宋体" w:hAnsi="宋体"/>
        </w:rPr>
        <w:t xml:space="preserve"> （盖单位章）</w:t>
      </w:r>
    </w:p>
    <w:p>
      <w:pPr>
        <w:spacing w:line="560" w:lineRule="exact"/>
        <w:ind w:firstLine="420" w:firstLineChars="200"/>
        <w:rPr>
          <w:rFonts w:hint="eastAsia" w:ascii="宋体" w:hAnsi="宋体"/>
        </w:rPr>
      </w:pPr>
    </w:p>
    <w:p>
      <w:pPr>
        <w:spacing w:line="560" w:lineRule="exact"/>
        <w:ind w:firstLine="420" w:firstLineChars="200"/>
        <w:rPr>
          <w:rFonts w:hint="eastAsia" w:ascii="宋体" w:hAnsi="宋体"/>
          <w:szCs w:val="21"/>
        </w:rPr>
      </w:pPr>
      <w:r>
        <w:rPr>
          <w:rFonts w:hint="eastAsia" w:ascii="宋体" w:hAnsi="宋体"/>
        </w:rPr>
        <w:t xml:space="preserve">                                                   </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560" w:lineRule="exact"/>
        <w:rPr>
          <w:rFonts w:hint="eastAsia" w:ascii="宋体" w:hAnsi="宋体"/>
          <w:szCs w:val="21"/>
        </w:rPr>
      </w:pPr>
    </w:p>
    <w:p>
      <w:pPr>
        <w:spacing w:line="560" w:lineRule="exact"/>
        <w:rPr>
          <w:rFonts w:hint="eastAsia" w:ascii="宋体" w:hAnsi="宋体"/>
          <w:szCs w:val="21"/>
        </w:rPr>
      </w:pPr>
    </w:p>
    <w:p>
      <w:pPr>
        <w:spacing w:after="360" w:afterLines="150"/>
        <w:rPr>
          <w:rFonts w:ascii="仿宋_GB2312" w:eastAsia="仿宋_GB2312"/>
          <w:sz w:val="24"/>
        </w:rPr>
      </w:pPr>
      <w:r>
        <w:rPr>
          <w:rFonts w:ascii="仿宋_GB2312" w:eastAsia="仿宋_GB2312"/>
          <w:sz w:val="24"/>
        </w:rPr>
        <w:br w:type="page"/>
      </w:r>
    </w:p>
    <w:p>
      <w:pPr>
        <w:pStyle w:val="5"/>
        <w:rPr>
          <w:b w:val="0"/>
          <w:sz w:val="24"/>
          <w:szCs w:val="24"/>
        </w:rPr>
      </w:pPr>
      <w:bookmarkStart w:id="477" w:name="_Toc256000072"/>
      <w:bookmarkStart w:id="478" w:name="_Toc7236"/>
      <w:bookmarkStart w:id="479" w:name="_Toc165804343"/>
      <w:bookmarkStart w:id="480" w:name="_Toc353544004"/>
      <w:r>
        <w:rPr>
          <w:rFonts w:hint="eastAsia"/>
          <w:b w:val="0"/>
          <w:sz w:val="24"/>
          <w:szCs w:val="24"/>
        </w:rPr>
        <w:t>附表四：投标文件递交电子签收凭证</w:t>
      </w:r>
      <w:bookmarkEnd w:id="477"/>
      <w:bookmarkEnd w:id="478"/>
      <w:bookmarkEnd w:id="479"/>
      <w:bookmarkEnd w:id="480"/>
    </w:p>
    <w:p>
      <w:pPr>
        <w:spacing w:before="240" w:beforeLines="100" w:after="240" w:afterLines="100" w:line="480" w:lineRule="exact"/>
        <w:jc w:val="center"/>
        <w:rPr>
          <w:rFonts w:ascii="黑体" w:eastAsia="黑体"/>
          <w:sz w:val="28"/>
          <w:szCs w:val="28"/>
        </w:rPr>
      </w:pPr>
    </w:p>
    <w:p>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投标文件递交电子签收凭证</w:t>
      </w:r>
    </w:p>
    <w:p>
      <w:pPr>
        <w:spacing w:before="72" w:beforeLines="30"/>
        <w:jc w:val="right"/>
        <w:rPr>
          <w:rFonts w:hint="eastAsia" w:ascii="宋体" w:hAnsi="宋体" w:cs="宋体"/>
          <w:kern w:val="0"/>
          <w:szCs w:val="21"/>
        </w:rPr>
      </w:pPr>
      <w:bookmarkStart w:id="481" w:name="_Hlk152086657"/>
    </w:p>
    <w:p>
      <w:pPr>
        <w:spacing w:before="72" w:beforeLines="30"/>
        <w:jc w:val="right"/>
        <w:rPr>
          <w:rFonts w:hint="eastAsia" w:ascii="宋体" w:hAnsi="宋体" w:cs="宋体"/>
          <w:kern w:val="0"/>
          <w:szCs w:val="21"/>
        </w:rPr>
      </w:pPr>
    </w:p>
    <w:p>
      <w:pPr>
        <w:pStyle w:val="13"/>
        <w:spacing w:line="480" w:lineRule="auto"/>
        <w:ind w:firstLine="0"/>
        <w:rPr>
          <w:rFonts w:hint="eastAsia" w:hAnsi="宋体" w:cs="仿宋_GB2312"/>
        </w:rPr>
      </w:pPr>
      <w:r>
        <w:rPr>
          <w:rFonts w:hint="eastAsia" w:hAnsi="宋体" w:cs="仿宋_GB2312"/>
          <w:u w:val="single"/>
        </w:rPr>
        <w:t xml:space="preserve"> </w:t>
      </w:r>
      <w:r>
        <w:rPr>
          <w:rFonts w:hAnsi="宋体" w:cs="仿宋_GB2312"/>
          <w:u w:val="single"/>
        </w:rPr>
        <w:t xml:space="preserve">                </w:t>
      </w:r>
      <w:r>
        <w:rPr>
          <w:rFonts w:hint="eastAsia" w:hAnsi="宋体" w:cs="仿宋_GB2312"/>
        </w:rPr>
        <w:t>（投标人名称）：</w:t>
      </w:r>
    </w:p>
    <w:p>
      <w:pPr>
        <w:spacing w:line="360" w:lineRule="auto"/>
        <w:ind w:firstLine="420" w:firstLineChars="200"/>
        <w:jc w:val="left"/>
        <w:rPr>
          <w:rFonts w:hint="eastAsia" w:ascii="宋体" w:hAnsi="宋体" w:cs="仿宋_GB2312"/>
          <w:szCs w:val="21"/>
          <w:u w:val="single"/>
        </w:rPr>
      </w:pPr>
      <w:r>
        <w:rPr>
          <w:rFonts w:hint="eastAsia" w:ascii="宋体" w:hAnsi="宋体" w:cs="仿宋_GB2312"/>
          <w:szCs w:val="21"/>
        </w:rPr>
        <w:t>您单位参与的</w:t>
      </w:r>
      <w:r>
        <w:rPr>
          <w:rFonts w:hint="eastAsia"/>
          <w:u w:val="single"/>
        </w:rPr>
        <w:t xml:space="preserve">         </w:t>
      </w:r>
      <w:r>
        <w:rPr>
          <w:u w:val="single"/>
        </w:rPr>
        <w:t xml:space="preserve">            </w:t>
      </w:r>
      <w:r>
        <w:rPr>
          <w:rFonts w:hint="eastAsia"/>
          <w:u w:val="single"/>
        </w:rPr>
        <w:t xml:space="preserve">  </w:t>
      </w:r>
      <w:r>
        <w:rPr>
          <w:rFonts w:hint="eastAsia"/>
        </w:rPr>
        <w:t>（标段名称）项目（标段唯一标识码：</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rFonts w:hint="eastAsia"/>
        </w:rPr>
        <w:t>）</w:t>
      </w:r>
      <w:r>
        <w:rPr>
          <w:rFonts w:hint="eastAsia" w:ascii="宋体" w:hAnsi="宋体" w:cs="仿宋_GB2312"/>
          <w:szCs w:val="21"/>
        </w:rPr>
        <w:t>，投标文件于</w:t>
      </w:r>
      <w:r>
        <w:rPr>
          <w:rFonts w:hint="eastAsia" w:ascii="宋体" w:hAnsi="宋体" w:cs="仿宋_GB2312"/>
          <w:szCs w:val="21"/>
          <w:u w:val="single"/>
        </w:rPr>
        <w:t xml:space="preserve">    </w:t>
      </w:r>
      <w:r>
        <w:rPr>
          <w:rFonts w:hint="eastAsia" w:ascii="宋体" w:hAnsi="宋体" w:cs="仿宋_GB2312"/>
          <w:szCs w:val="21"/>
        </w:rPr>
        <w:t>年</w:t>
      </w:r>
      <w:r>
        <w:rPr>
          <w:rFonts w:hint="eastAsia" w:ascii="宋体" w:hAnsi="宋体" w:cs="仿宋_GB2312"/>
          <w:szCs w:val="21"/>
          <w:u w:val="single"/>
        </w:rPr>
        <w:t xml:space="preserve">    </w:t>
      </w:r>
      <w:r>
        <w:rPr>
          <w:rFonts w:hint="eastAsia" w:ascii="宋体" w:hAnsi="宋体" w:cs="仿宋_GB2312"/>
          <w:szCs w:val="21"/>
        </w:rPr>
        <w:t>月</w:t>
      </w:r>
      <w:r>
        <w:rPr>
          <w:rFonts w:hint="eastAsia" w:ascii="宋体" w:hAnsi="宋体" w:cs="仿宋_GB2312"/>
          <w:szCs w:val="21"/>
          <w:u w:val="single"/>
        </w:rPr>
        <w:t xml:space="preserve">    </w:t>
      </w:r>
      <w:r>
        <w:rPr>
          <w:rFonts w:hint="eastAsia" w:ascii="宋体" w:hAnsi="宋体" w:cs="仿宋_GB2312"/>
          <w:szCs w:val="21"/>
        </w:rPr>
        <w:t>日</w:t>
      </w:r>
      <w:r>
        <w:rPr>
          <w:rFonts w:hint="eastAsia" w:ascii="宋体" w:hAnsi="宋体" w:cs="仿宋_GB2312"/>
          <w:szCs w:val="21"/>
          <w:u w:val="single"/>
        </w:rPr>
        <w:t xml:space="preserve">    </w:t>
      </w:r>
      <w:r>
        <w:rPr>
          <w:rFonts w:hint="eastAsia" w:ascii="宋体" w:hAnsi="宋体" w:cs="仿宋_GB2312"/>
          <w:szCs w:val="21"/>
        </w:rPr>
        <w:t>时</w:t>
      </w:r>
      <w:r>
        <w:rPr>
          <w:rFonts w:hint="eastAsia" w:ascii="宋体" w:hAnsi="宋体" w:cs="仿宋_GB2312"/>
          <w:szCs w:val="21"/>
          <w:u w:val="single"/>
        </w:rPr>
        <w:t xml:space="preserve">    </w:t>
      </w:r>
      <w:r>
        <w:rPr>
          <w:rFonts w:hint="eastAsia" w:ascii="宋体" w:hAnsi="宋体" w:cs="仿宋_GB2312"/>
          <w:szCs w:val="21"/>
        </w:rPr>
        <w:t>分</w:t>
      </w:r>
      <w:r>
        <w:rPr>
          <w:rFonts w:hint="eastAsia" w:ascii="宋体" w:hAnsi="宋体" w:cs="仿宋_GB2312"/>
          <w:szCs w:val="21"/>
          <w:u w:val="single"/>
        </w:rPr>
        <w:t xml:space="preserve">    </w:t>
      </w:r>
      <w:r>
        <w:rPr>
          <w:rFonts w:hint="eastAsia" w:ascii="宋体" w:hAnsi="宋体" w:cs="仿宋_GB2312"/>
          <w:szCs w:val="21"/>
        </w:rPr>
        <w:t>秒上传成功。</w:t>
      </w:r>
    </w:p>
    <w:p>
      <w:pPr>
        <w:spacing w:line="360" w:lineRule="auto"/>
        <w:ind w:firstLine="420" w:firstLineChars="200"/>
        <w:jc w:val="left"/>
        <w:rPr>
          <w:rFonts w:hint="eastAsia" w:ascii="宋体" w:hAnsi="宋体" w:cs="仿宋_GB2312"/>
          <w:szCs w:val="21"/>
        </w:rPr>
      </w:pPr>
    </w:p>
    <w:p>
      <w:pPr>
        <w:spacing w:line="360" w:lineRule="auto"/>
        <w:ind w:firstLine="420" w:firstLineChars="200"/>
        <w:jc w:val="left"/>
        <w:rPr>
          <w:rFonts w:hint="eastAsia" w:ascii="宋体" w:hAnsi="宋体" w:cs="仿宋_GB2312"/>
          <w:szCs w:val="21"/>
        </w:rPr>
      </w:pPr>
      <w:r>
        <w:rPr>
          <w:rFonts w:hint="eastAsia" w:ascii="宋体" w:hAnsi="宋体" w:cs="仿宋_GB2312"/>
          <w:szCs w:val="21"/>
        </w:rPr>
        <w:t>项目经理：</w:t>
      </w:r>
      <w:r>
        <w:rPr>
          <w:rFonts w:hint="eastAsia" w:ascii="宋体" w:hAnsi="宋体" w:cs="仿宋_GB2312"/>
          <w:szCs w:val="21"/>
          <w:u w:val="single"/>
        </w:rPr>
        <w:t xml:space="preserve">  </w:t>
      </w:r>
      <w:r>
        <w:rPr>
          <w:rFonts w:ascii="宋体" w:hAnsi="宋体" w:cs="仿宋_GB2312"/>
          <w:szCs w:val="21"/>
          <w:u w:val="single"/>
        </w:rPr>
        <w:t xml:space="preserve">                           </w:t>
      </w:r>
      <w:r>
        <w:rPr>
          <w:rFonts w:hint="eastAsia" w:ascii="宋体" w:hAnsi="宋体" w:cs="仿宋_GB2312"/>
          <w:szCs w:val="21"/>
          <w:u w:val="single"/>
        </w:rPr>
        <w:t xml:space="preserve">  </w:t>
      </w:r>
    </w:p>
    <w:p>
      <w:pPr>
        <w:spacing w:before="72" w:beforeLines="30" w:line="360" w:lineRule="auto"/>
        <w:ind w:firstLine="420" w:firstLineChars="200"/>
        <w:rPr>
          <w:rFonts w:hint="eastAsia" w:ascii="宋体" w:hAnsi="宋体" w:cs="宋体"/>
          <w:kern w:val="0"/>
          <w:szCs w:val="21"/>
        </w:rPr>
      </w:pPr>
      <w:r>
        <w:rPr>
          <w:rFonts w:hint="eastAsia" w:ascii="宋体" w:hAnsi="宋体" w:cs="仿宋_GB2312"/>
          <w:szCs w:val="21"/>
        </w:rPr>
        <w:t>回执码：</w:t>
      </w:r>
      <w:r>
        <w:rPr>
          <w:rFonts w:hint="eastAsia" w:ascii="宋体" w:hAnsi="宋体" w:cs="仿宋_GB2312"/>
          <w:szCs w:val="21"/>
          <w:u w:val="single"/>
        </w:rPr>
        <w:t xml:space="preserve">  </w:t>
      </w:r>
      <w:r>
        <w:rPr>
          <w:rFonts w:ascii="宋体" w:hAnsi="宋体" w:cs="仿宋_GB2312"/>
          <w:szCs w:val="21"/>
          <w:u w:val="single"/>
        </w:rPr>
        <w:t xml:space="preserve">                             </w:t>
      </w:r>
      <w:r>
        <w:rPr>
          <w:rFonts w:hint="eastAsia" w:ascii="宋体" w:hAnsi="宋体" w:cs="仿宋_GB2312"/>
          <w:szCs w:val="21"/>
          <w:u w:val="single"/>
        </w:rPr>
        <w:t xml:space="preserve">  </w:t>
      </w:r>
    </w:p>
    <w:bookmarkEnd w:id="481"/>
    <w:p>
      <w:pPr>
        <w:spacing w:before="72" w:beforeLines="30"/>
        <w:ind w:firstLine="4305" w:firstLineChars="2050"/>
        <w:rPr>
          <w:rFonts w:hint="eastAsia" w:ascii="宋体" w:hAnsi="宋体"/>
        </w:rPr>
      </w:pPr>
    </w:p>
    <w:p>
      <w:pPr>
        <w:spacing w:line="400" w:lineRule="exact"/>
        <w:rPr>
          <w:rFonts w:hint="eastAsia" w:ascii="宋体" w:hAnsi="宋体"/>
        </w:rPr>
      </w:pPr>
    </w:p>
    <w:p>
      <w:pPr>
        <w:spacing w:line="400" w:lineRule="exact"/>
        <w:rPr>
          <w:sz w:val="24"/>
        </w:rPr>
      </w:pPr>
    </w:p>
    <w:p>
      <w:pPr>
        <w:pStyle w:val="5"/>
        <w:rPr>
          <w:b w:val="0"/>
          <w:sz w:val="24"/>
          <w:szCs w:val="24"/>
        </w:rPr>
        <w:sectPr>
          <w:pgSz w:w="11906" w:h="16838"/>
          <w:pgMar w:top="1440" w:right="1797" w:bottom="1440" w:left="1797" w:header="851" w:footer="851" w:gutter="0"/>
          <w:cols w:space="720" w:num="1"/>
          <w:docGrid w:linePitch="312" w:charSpace="0"/>
        </w:sectPr>
      </w:pPr>
    </w:p>
    <w:p>
      <w:pPr>
        <w:pStyle w:val="5"/>
        <w:rPr>
          <w:b w:val="0"/>
          <w:sz w:val="24"/>
          <w:szCs w:val="24"/>
        </w:rPr>
      </w:pPr>
      <w:bookmarkStart w:id="482" w:name="_Toc25955"/>
      <w:bookmarkStart w:id="483" w:name="_Toc165804344"/>
      <w:bookmarkStart w:id="484" w:name="_Toc256000073"/>
      <w:r>
        <w:rPr>
          <w:rFonts w:hint="eastAsia"/>
          <w:b w:val="0"/>
          <w:sz w:val="24"/>
          <w:szCs w:val="24"/>
        </w:rPr>
        <w:t>附表五：开标记录表</w:t>
      </w:r>
      <w:bookmarkEnd w:id="482"/>
      <w:bookmarkEnd w:id="483"/>
      <w:bookmarkEnd w:id="484"/>
    </w:p>
    <w:p>
      <w:pPr>
        <w:spacing w:before="240" w:beforeLines="100" w:after="240" w:afterLines="100" w:line="400" w:lineRule="exact"/>
        <w:ind w:firstLine="4620" w:firstLineChars="1650"/>
        <w:rPr>
          <w:rFonts w:ascii="黑体" w:eastAsia="黑体"/>
          <w:sz w:val="28"/>
          <w:szCs w:val="28"/>
        </w:rPr>
      </w:pP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（标段名称）项目开标记录表</w:t>
      </w:r>
    </w:p>
    <w:p>
      <w:pPr>
        <w:spacing w:line="400" w:lineRule="exact"/>
        <w:ind w:firstLine="105" w:firstLineChars="50"/>
        <w:rPr>
          <w:rFonts w:hint="eastAsia" w:ascii="宋体" w:hAnsi="宋体"/>
        </w:rPr>
      </w:pPr>
      <w:r>
        <w:rPr>
          <w:rFonts w:hint="eastAsia" w:ascii="宋体" w:hAnsi="宋体"/>
        </w:rPr>
        <w:t>开标时间：</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     开标地点：</w:t>
      </w:r>
      <w:r>
        <w:rPr>
          <w:rFonts w:hint="eastAsia" w:ascii="宋体" w:hAnsi="宋体"/>
          <w:u w:val="single"/>
        </w:rPr>
        <w:t xml:space="preserve">                            </w:t>
      </w:r>
      <w:r>
        <w:rPr>
          <w:rFonts w:hint="eastAsia" w:ascii="宋体" w:hAnsi="宋体"/>
        </w:rPr>
        <w:t xml:space="preserve">    </w:t>
      </w:r>
      <w:r>
        <w:rPr>
          <w:rFonts w:ascii="宋体" w:hAnsi="宋体"/>
        </w:rPr>
        <w:t xml:space="preserve">   </w:t>
      </w:r>
      <w:r>
        <w:rPr>
          <w:rFonts w:hint="eastAsia" w:ascii="宋体" w:hAnsi="宋体"/>
        </w:rPr>
        <w:t>开标方式：</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p>
    <w:tbl>
      <w:tblPr>
        <w:tblStyle w:val="22"/>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restart"/>
            <w:tcMar>
              <w:left w:w="28" w:type="dxa"/>
              <w:right w:w="28" w:type="dxa"/>
            </w:tcMar>
            <w:vAlign w:val="center"/>
          </w:tcPr>
          <w:p>
            <w:pPr>
              <w:jc w:val="center"/>
              <w:rPr>
                <w:rFonts w:hint="eastAsia" w:ascii="宋体" w:hAnsi="宋体"/>
              </w:rPr>
            </w:pPr>
            <w:r>
              <w:rPr>
                <w:rFonts w:hint="eastAsia" w:ascii="宋体" w:hAnsi="宋体"/>
              </w:rPr>
              <w:t>序号</w:t>
            </w:r>
          </w:p>
        </w:tc>
        <w:tc>
          <w:tcPr>
            <w:tcW w:w="2481" w:type="dxa"/>
            <w:vMerge w:val="restart"/>
            <w:tcMar>
              <w:left w:w="28" w:type="dxa"/>
              <w:right w:w="28" w:type="dxa"/>
            </w:tcMar>
            <w:vAlign w:val="center"/>
          </w:tcPr>
          <w:p>
            <w:pPr>
              <w:jc w:val="center"/>
              <w:rPr>
                <w:rFonts w:hint="eastAsia" w:ascii="宋体" w:hAnsi="宋体"/>
              </w:rPr>
            </w:pPr>
            <w:r>
              <w:rPr>
                <w:rFonts w:hint="eastAsia" w:ascii="宋体" w:hAnsi="宋体"/>
              </w:rPr>
              <w:t>投标人名称</w:t>
            </w:r>
          </w:p>
        </w:tc>
        <w:tc>
          <w:tcPr>
            <w:tcW w:w="992" w:type="dxa"/>
            <w:vMerge w:val="restart"/>
            <w:tcMar>
              <w:left w:w="28" w:type="dxa"/>
              <w:right w:w="28" w:type="dxa"/>
            </w:tcMar>
            <w:vAlign w:val="center"/>
          </w:tcPr>
          <w:p>
            <w:pPr>
              <w:jc w:val="center"/>
              <w:rPr>
                <w:rFonts w:hint="eastAsia" w:ascii="宋体" w:hAnsi="宋体"/>
              </w:rPr>
            </w:pPr>
            <w:r>
              <w:rPr>
                <w:rFonts w:hint="eastAsia" w:ascii="宋体" w:hAnsi="宋体"/>
              </w:rPr>
              <w:t>投标报价（元）</w:t>
            </w:r>
          </w:p>
        </w:tc>
        <w:tc>
          <w:tcPr>
            <w:tcW w:w="1134" w:type="dxa"/>
            <w:vMerge w:val="restart"/>
            <w:tcMar>
              <w:left w:w="28" w:type="dxa"/>
              <w:right w:w="28" w:type="dxa"/>
            </w:tcMar>
            <w:vAlign w:val="center"/>
          </w:tcPr>
          <w:p>
            <w:pPr>
              <w:jc w:val="center"/>
              <w:rPr>
                <w:rFonts w:hint="eastAsia" w:ascii="宋体" w:hAnsi="宋体"/>
              </w:rPr>
            </w:pPr>
            <w:r>
              <w:rPr>
                <w:rFonts w:hint="eastAsia" w:ascii="宋体" w:hAnsi="宋体"/>
              </w:rPr>
              <w:t>工期</w:t>
            </w:r>
          </w:p>
          <w:p>
            <w:pPr>
              <w:jc w:val="center"/>
              <w:rPr>
                <w:rFonts w:hint="eastAsia" w:ascii="宋体" w:hAnsi="宋体"/>
              </w:rPr>
            </w:pPr>
            <w:r>
              <w:rPr>
                <w:rFonts w:hint="eastAsia" w:ascii="宋体" w:hAnsi="宋体"/>
              </w:rPr>
              <w:t>（日历天）</w:t>
            </w:r>
          </w:p>
        </w:tc>
        <w:tc>
          <w:tcPr>
            <w:tcW w:w="1134" w:type="dxa"/>
            <w:vMerge w:val="restart"/>
            <w:tcMar>
              <w:left w:w="28" w:type="dxa"/>
              <w:right w:w="28" w:type="dxa"/>
            </w:tcMar>
            <w:vAlign w:val="center"/>
          </w:tcPr>
          <w:p>
            <w:pPr>
              <w:jc w:val="center"/>
              <w:rPr>
                <w:rFonts w:hint="eastAsia" w:ascii="宋体" w:hAnsi="宋体"/>
              </w:rPr>
            </w:pPr>
            <w:r>
              <w:rPr>
                <w:rFonts w:hint="eastAsia" w:ascii="宋体" w:hAnsi="宋体"/>
              </w:rPr>
              <w:t>质量目标</w:t>
            </w:r>
          </w:p>
        </w:tc>
        <w:tc>
          <w:tcPr>
            <w:tcW w:w="1134" w:type="dxa"/>
            <w:vMerge w:val="restart"/>
            <w:vAlign w:val="center"/>
          </w:tcPr>
          <w:p>
            <w:pPr>
              <w:jc w:val="center"/>
              <w:rPr>
                <w:rFonts w:hint="eastAsia" w:ascii="宋体" w:hAnsi="宋体"/>
              </w:rPr>
            </w:pPr>
            <w:r>
              <w:rPr>
                <w:rFonts w:hint="eastAsia" w:ascii="宋体" w:hAnsi="宋体"/>
              </w:rPr>
              <w:t>投标有效期（天）</w:t>
            </w:r>
          </w:p>
        </w:tc>
        <w:tc>
          <w:tcPr>
            <w:tcW w:w="1134" w:type="dxa"/>
            <w:vMerge w:val="restart"/>
            <w:tcMar>
              <w:left w:w="28" w:type="dxa"/>
              <w:right w:w="28" w:type="dxa"/>
            </w:tcMar>
            <w:vAlign w:val="center"/>
          </w:tcPr>
          <w:p>
            <w:pPr>
              <w:jc w:val="center"/>
              <w:rPr>
                <w:rFonts w:hint="eastAsia" w:ascii="宋体" w:hAnsi="宋体"/>
              </w:rPr>
            </w:pPr>
            <w:r>
              <w:rPr>
                <w:rFonts w:hint="eastAsia" w:ascii="宋体" w:hAnsi="宋体"/>
              </w:rPr>
              <w:t>项目经理</w:t>
            </w:r>
          </w:p>
          <w:p>
            <w:pPr>
              <w:jc w:val="center"/>
              <w:rPr>
                <w:rFonts w:hint="eastAsia" w:ascii="宋体" w:hAnsi="宋体"/>
              </w:rPr>
            </w:pPr>
            <w:r>
              <w:rPr>
                <w:rFonts w:hint="eastAsia" w:ascii="宋体" w:hAnsi="宋体"/>
              </w:rPr>
              <w:t>姓名</w:t>
            </w:r>
          </w:p>
        </w:tc>
        <w:tc>
          <w:tcPr>
            <w:tcW w:w="2410" w:type="dxa"/>
            <w:gridSpan w:val="2"/>
          </w:tcPr>
          <w:p>
            <w:pPr>
              <w:jc w:val="center"/>
              <w:rPr>
                <w:rFonts w:hint="eastAsia" w:ascii="宋体" w:hAnsi="宋体"/>
              </w:rPr>
            </w:pPr>
            <w:r>
              <w:rPr>
                <w:rFonts w:hint="eastAsia" w:ascii="宋体" w:hAnsi="宋体"/>
              </w:rPr>
              <w:t>投标保证金</w:t>
            </w:r>
          </w:p>
        </w:tc>
        <w:tc>
          <w:tcPr>
            <w:tcW w:w="1701" w:type="dxa"/>
            <w:vMerge w:val="restart"/>
            <w:tcMar>
              <w:left w:w="28" w:type="dxa"/>
              <w:right w:w="28" w:type="dxa"/>
            </w:tcMar>
            <w:vAlign w:val="center"/>
          </w:tcPr>
          <w:p>
            <w:pPr>
              <w:jc w:val="center"/>
              <w:rPr>
                <w:rFonts w:hint="eastAsia" w:ascii="宋体" w:hAnsi="宋体"/>
              </w:rPr>
            </w:pPr>
            <w:r>
              <w:rPr>
                <w:rFonts w:hint="eastAsia" w:ascii="宋体" w:hAnsi="宋体"/>
              </w:rPr>
              <w:t>法定代表人或授权委托人确认</w:t>
            </w:r>
          </w:p>
        </w:tc>
        <w:tc>
          <w:tcPr>
            <w:tcW w:w="1276" w:type="dxa"/>
            <w:vMerge w:val="restart"/>
            <w:vAlign w:val="center"/>
          </w:tcPr>
          <w:p>
            <w:pPr>
              <w:jc w:val="center"/>
              <w:rPr>
                <w:rFonts w:hint="eastAsia" w:ascii="宋体" w:hAnsi="宋体"/>
              </w:rPr>
            </w:pPr>
            <w:r>
              <w:rPr>
                <w:rFonts w:hint="eastAsia" w:ascii="宋体" w:hAnsi="宋体"/>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pPr>
              <w:jc w:val="center"/>
              <w:rPr>
                <w:rFonts w:hint="eastAsia" w:ascii="宋体" w:hAnsi="宋体"/>
              </w:rPr>
            </w:pPr>
          </w:p>
        </w:tc>
        <w:tc>
          <w:tcPr>
            <w:tcW w:w="2481" w:type="dxa"/>
            <w:vMerge w:val="continue"/>
            <w:tcMar>
              <w:left w:w="28" w:type="dxa"/>
              <w:right w:w="28" w:type="dxa"/>
            </w:tcMar>
            <w:vAlign w:val="center"/>
          </w:tcPr>
          <w:p>
            <w:pPr>
              <w:jc w:val="center"/>
              <w:rPr>
                <w:rFonts w:hint="eastAsia" w:ascii="宋体" w:hAnsi="宋体"/>
              </w:rPr>
            </w:pPr>
          </w:p>
        </w:tc>
        <w:tc>
          <w:tcPr>
            <w:tcW w:w="992" w:type="dxa"/>
            <w:vMerge w:val="continue"/>
            <w:tcMar>
              <w:left w:w="28" w:type="dxa"/>
              <w:right w:w="28" w:type="dxa"/>
            </w:tcMar>
            <w:vAlign w:val="center"/>
          </w:tcPr>
          <w:p>
            <w:pPr>
              <w:jc w:val="center"/>
              <w:rPr>
                <w:rFonts w:hint="eastAsia" w:ascii="宋体" w:hAnsi="宋体"/>
              </w:rPr>
            </w:pPr>
          </w:p>
        </w:tc>
        <w:tc>
          <w:tcPr>
            <w:tcW w:w="1134" w:type="dxa"/>
            <w:vMerge w:val="continue"/>
            <w:tcMar>
              <w:left w:w="28" w:type="dxa"/>
              <w:right w:w="28" w:type="dxa"/>
            </w:tcMar>
            <w:vAlign w:val="center"/>
          </w:tcPr>
          <w:p>
            <w:pPr>
              <w:jc w:val="center"/>
              <w:rPr>
                <w:rFonts w:hint="eastAsia" w:ascii="宋体" w:hAnsi="宋体"/>
              </w:rPr>
            </w:pPr>
          </w:p>
        </w:tc>
        <w:tc>
          <w:tcPr>
            <w:tcW w:w="1134" w:type="dxa"/>
            <w:vMerge w:val="continue"/>
            <w:tcMar>
              <w:left w:w="28" w:type="dxa"/>
              <w:right w:w="28" w:type="dxa"/>
            </w:tcMar>
            <w:vAlign w:val="center"/>
          </w:tcPr>
          <w:p>
            <w:pPr>
              <w:jc w:val="center"/>
              <w:rPr>
                <w:rFonts w:hint="eastAsia" w:ascii="宋体" w:hAnsi="宋体"/>
              </w:rPr>
            </w:pPr>
          </w:p>
        </w:tc>
        <w:tc>
          <w:tcPr>
            <w:tcW w:w="1134" w:type="dxa"/>
            <w:vMerge w:val="continue"/>
            <w:vAlign w:val="center"/>
          </w:tcPr>
          <w:p>
            <w:pPr>
              <w:jc w:val="center"/>
              <w:rPr>
                <w:rFonts w:hint="eastAsia" w:ascii="宋体" w:hAnsi="宋体"/>
              </w:rPr>
            </w:pPr>
          </w:p>
        </w:tc>
        <w:tc>
          <w:tcPr>
            <w:tcW w:w="1134" w:type="dxa"/>
            <w:vMerge w:val="continue"/>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r>
              <w:rPr>
                <w:rFonts w:hint="eastAsia" w:ascii="宋体" w:hAnsi="宋体"/>
              </w:rPr>
              <w:t>金额（元）</w:t>
            </w:r>
          </w:p>
        </w:tc>
        <w:tc>
          <w:tcPr>
            <w:tcW w:w="1276" w:type="dxa"/>
            <w:tcMar>
              <w:left w:w="28" w:type="dxa"/>
              <w:right w:w="28" w:type="dxa"/>
            </w:tcMar>
            <w:vAlign w:val="center"/>
          </w:tcPr>
          <w:p>
            <w:pPr>
              <w:jc w:val="center"/>
              <w:rPr>
                <w:rFonts w:hint="eastAsia" w:ascii="宋体" w:hAnsi="宋体"/>
              </w:rPr>
            </w:pPr>
            <w:r>
              <w:rPr>
                <w:rFonts w:hint="eastAsia" w:ascii="宋体" w:hAnsi="宋体"/>
              </w:rPr>
              <w:t>缴纳方式</w:t>
            </w:r>
          </w:p>
        </w:tc>
        <w:tc>
          <w:tcPr>
            <w:tcW w:w="1701" w:type="dxa"/>
            <w:vMerge w:val="continue"/>
            <w:tcMar>
              <w:left w:w="28" w:type="dxa"/>
              <w:right w:w="28" w:type="dxa"/>
            </w:tcMar>
            <w:vAlign w:val="center"/>
          </w:tcPr>
          <w:p>
            <w:pPr>
              <w:jc w:val="center"/>
              <w:rPr>
                <w:rFonts w:hint="eastAsia" w:ascii="宋体" w:hAnsi="宋体"/>
              </w:rPr>
            </w:pPr>
          </w:p>
        </w:tc>
        <w:tc>
          <w:tcPr>
            <w:tcW w:w="1276" w:type="dxa"/>
            <w:vMerge w:val="continue"/>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rPr>
            </w:pPr>
          </w:p>
        </w:tc>
        <w:tc>
          <w:tcPr>
            <w:tcW w:w="2481" w:type="dxa"/>
            <w:tcMar>
              <w:left w:w="28" w:type="dxa"/>
              <w:right w:w="28" w:type="dxa"/>
            </w:tcMar>
            <w:vAlign w:val="center"/>
          </w:tcPr>
          <w:p>
            <w:pPr>
              <w:jc w:val="center"/>
              <w:rPr>
                <w:rFonts w:hint="eastAsia" w:ascii="宋体" w:hAnsi="宋体"/>
              </w:rPr>
            </w:pPr>
          </w:p>
        </w:tc>
        <w:tc>
          <w:tcPr>
            <w:tcW w:w="992"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vAlign w:val="center"/>
          </w:tcPr>
          <w:p>
            <w:pPr>
              <w:jc w:val="center"/>
              <w:rPr>
                <w:rFonts w:hint="eastAsia" w:ascii="宋体" w:hAnsi="宋体"/>
              </w:rPr>
            </w:pPr>
          </w:p>
        </w:tc>
        <w:tc>
          <w:tcPr>
            <w:tcW w:w="1134" w:type="dxa"/>
            <w:tcMar>
              <w:left w:w="28" w:type="dxa"/>
              <w:right w:w="28" w:type="dxa"/>
            </w:tcMar>
            <w:vAlign w:val="center"/>
          </w:tcPr>
          <w:p>
            <w:pPr>
              <w:jc w:val="center"/>
              <w:rPr>
                <w:rFonts w:hint="eastAsia" w:ascii="宋体" w:hAnsi="宋体"/>
              </w:rPr>
            </w:pPr>
          </w:p>
        </w:tc>
        <w:tc>
          <w:tcPr>
            <w:tcW w:w="1134" w:type="dxa"/>
          </w:tcPr>
          <w:p>
            <w:pPr>
              <w:jc w:val="center"/>
              <w:rPr>
                <w:rFonts w:hint="eastAsia" w:ascii="宋体" w:hAnsi="宋体"/>
              </w:rPr>
            </w:pPr>
          </w:p>
        </w:tc>
        <w:tc>
          <w:tcPr>
            <w:tcW w:w="1276" w:type="dxa"/>
            <w:tcMar>
              <w:left w:w="28" w:type="dxa"/>
              <w:right w:w="28" w:type="dxa"/>
            </w:tcMar>
            <w:vAlign w:val="center"/>
          </w:tcPr>
          <w:p>
            <w:pPr>
              <w:jc w:val="center"/>
              <w:rPr>
                <w:rFonts w:hint="eastAsia" w:ascii="宋体" w:hAnsi="宋体"/>
              </w:rPr>
            </w:pPr>
          </w:p>
        </w:tc>
        <w:tc>
          <w:tcPr>
            <w:tcW w:w="1701" w:type="dxa"/>
            <w:tcMar>
              <w:left w:w="28" w:type="dxa"/>
              <w:right w:w="28" w:type="dxa"/>
            </w:tcMar>
            <w:vAlign w:val="center"/>
          </w:tcPr>
          <w:p>
            <w:pPr>
              <w:jc w:val="center"/>
              <w:rPr>
                <w:rFonts w:hint="eastAsia" w:ascii="宋体" w:hAnsi="宋体"/>
              </w:rPr>
            </w:pPr>
          </w:p>
        </w:tc>
        <w:tc>
          <w:tcPr>
            <w:tcW w:w="1276"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pPr>
              <w:spacing w:line="400" w:lineRule="exact"/>
              <w:jc w:val="center"/>
              <w:rPr>
                <w:rFonts w:hint="eastAsia" w:ascii="宋体" w:hAnsi="宋体"/>
              </w:rPr>
            </w:pPr>
          </w:p>
        </w:tc>
        <w:tc>
          <w:tcPr>
            <w:tcW w:w="2481" w:type="dxa"/>
            <w:tcMar>
              <w:left w:w="28" w:type="dxa"/>
              <w:right w:w="28" w:type="dxa"/>
            </w:tcMar>
            <w:vAlign w:val="center"/>
          </w:tcPr>
          <w:p>
            <w:pPr>
              <w:spacing w:line="400" w:lineRule="exact"/>
              <w:jc w:val="center"/>
              <w:rPr>
                <w:rFonts w:hint="eastAsia" w:ascii="宋体" w:hAnsi="宋体"/>
              </w:rPr>
            </w:pPr>
          </w:p>
        </w:tc>
        <w:tc>
          <w:tcPr>
            <w:tcW w:w="992" w:type="dxa"/>
            <w:tcMar>
              <w:left w:w="28" w:type="dxa"/>
              <w:right w:w="28" w:type="dxa"/>
            </w:tcMar>
            <w:vAlign w:val="center"/>
          </w:tcPr>
          <w:p>
            <w:pPr>
              <w:spacing w:line="400" w:lineRule="exact"/>
              <w:jc w:val="center"/>
              <w:rPr>
                <w:rFonts w:hint="eastAsia" w:ascii="宋体" w:hAnsi="宋体"/>
              </w:rPr>
            </w:pPr>
          </w:p>
        </w:tc>
        <w:tc>
          <w:tcPr>
            <w:tcW w:w="1134" w:type="dxa"/>
            <w:tcMar>
              <w:left w:w="28" w:type="dxa"/>
              <w:right w:w="28" w:type="dxa"/>
            </w:tcMar>
            <w:vAlign w:val="center"/>
          </w:tcPr>
          <w:p>
            <w:pPr>
              <w:spacing w:line="400" w:lineRule="exact"/>
              <w:jc w:val="center"/>
              <w:rPr>
                <w:rFonts w:hint="eastAsia" w:ascii="宋体" w:hAnsi="宋体"/>
              </w:rPr>
            </w:pPr>
          </w:p>
        </w:tc>
        <w:tc>
          <w:tcPr>
            <w:tcW w:w="1134" w:type="dxa"/>
            <w:tcMar>
              <w:left w:w="28" w:type="dxa"/>
              <w:right w:w="28" w:type="dxa"/>
            </w:tcMar>
            <w:vAlign w:val="center"/>
          </w:tcPr>
          <w:p>
            <w:pPr>
              <w:spacing w:line="400" w:lineRule="exact"/>
              <w:jc w:val="center"/>
              <w:rPr>
                <w:rFonts w:hint="eastAsia" w:ascii="宋体" w:hAnsi="宋体"/>
              </w:rPr>
            </w:pPr>
          </w:p>
        </w:tc>
        <w:tc>
          <w:tcPr>
            <w:tcW w:w="1134" w:type="dxa"/>
            <w:vAlign w:val="center"/>
          </w:tcPr>
          <w:p>
            <w:pPr>
              <w:spacing w:line="400" w:lineRule="exact"/>
              <w:jc w:val="center"/>
              <w:rPr>
                <w:rFonts w:hint="eastAsia" w:ascii="宋体" w:hAnsi="宋体"/>
              </w:rPr>
            </w:pPr>
          </w:p>
        </w:tc>
        <w:tc>
          <w:tcPr>
            <w:tcW w:w="1134" w:type="dxa"/>
            <w:tcMar>
              <w:left w:w="28" w:type="dxa"/>
              <w:right w:w="28" w:type="dxa"/>
            </w:tcMar>
            <w:vAlign w:val="center"/>
          </w:tcPr>
          <w:p>
            <w:pPr>
              <w:spacing w:line="400" w:lineRule="exact"/>
              <w:jc w:val="center"/>
              <w:rPr>
                <w:rFonts w:hint="eastAsia" w:ascii="宋体" w:hAnsi="宋体"/>
              </w:rPr>
            </w:pPr>
          </w:p>
        </w:tc>
        <w:tc>
          <w:tcPr>
            <w:tcW w:w="1134" w:type="dxa"/>
          </w:tcPr>
          <w:p>
            <w:pPr>
              <w:spacing w:line="400" w:lineRule="exact"/>
              <w:jc w:val="center"/>
              <w:rPr>
                <w:rFonts w:hint="eastAsia" w:ascii="宋体" w:hAnsi="宋体"/>
              </w:rPr>
            </w:pPr>
          </w:p>
        </w:tc>
        <w:tc>
          <w:tcPr>
            <w:tcW w:w="1276" w:type="dxa"/>
            <w:tcMar>
              <w:left w:w="28" w:type="dxa"/>
              <w:right w:w="28" w:type="dxa"/>
            </w:tcMar>
            <w:vAlign w:val="center"/>
          </w:tcPr>
          <w:p>
            <w:pPr>
              <w:spacing w:line="400" w:lineRule="exact"/>
              <w:jc w:val="center"/>
              <w:rPr>
                <w:rFonts w:hint="eastAsia" w:ascii="宋体" w:hAnsi="宋体"/>
              </w:rPr>
            </w:pPr>
          </w:p>
        </w:tc>
        <w:tc>
          <w:tcPr>
            <w:tcW w:w="1701" w:type="dxa"/>
            <w:tcMar>
              <w:left w:w="28" w:type="dxa"/>
              <w:right w:w="28" w:type="dxa"/>
            </w:tcMar>
            <w:vAlign w:val="center"/>
          </w:tcPr>
          <w:p>
            <w:pPr>
              <w:spacing w:line="400" w:lineRule="exact"/>
              <w:jc w:val="center"/>
              <w:rPr>
                <w:rFonts w:hint="eastAsia" w:ascii="宋体" w:hAnsi="宋体"/>
              </w:rPr>
            </w:pPr>
          </w:p>
        </w:tc>
        <w:tc>
          <w:tcPr>
            <w:tcW w:w="1276" w:type="dxa"/>
            <w:vAlign w:val="center"/>
          </w:tcPr>
          <w:p>
            <w:pPr>
              <w:spacing w:line="400" w:lineRule="exact"/>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spacing w:line="400" w:lineRule="exact"/>
              <w:jc w:val="center"/>
              <w:rPr>
                <w:rFonts w:hint="eastAsia" w:ascii="宋体" w:hAnsi="宋体"/>
              </w:rPr>
            </w:pPr>
            <w:r>
              <w:rPr>
                <w:rFonts w:hint="eastAsia" w:ascii="宋体" w:hAnsi="宋体"/>
              </w:rPr>
              <w:t>最高投标限价（元）</w:t>
            </w:r>
          </w:p>
        </w:tc>
        <w:tc>
          <w:tcPr>
            <w:tcW w:w="10915" w:type="dxa"/>
            <w:gridSpan w:val="9"/>
          </w:tcPr>
          <w:p>
            <w:pPr>
              <w:spacing w:line="40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spacing w:line="400" w:lineRule="exact"/>
              <w:jc w:val="center"/>
              <w:rPr>
                <w:rFonts w:hint="eastAsia" w:ascii="宋体" w:hAnsi="宋体"/>
              </w:rPr>
            </w:pPr>
            <w:r>
              <w:rPr>
                <w:rFonts w:hint="eastAsia"/>
                <w:szCs w:val="21"/>
              </w:rPr>
              <w:t>开标过程需记录的其他事项</w:t>
            </w:r>
          </w:p>
        </w:tc>
        <w:tc>
          <w:tcPr>
            <w:tcW w:w="10915" w:type="dxa"/>
            <w:gridSpan w:val="9"/>
          </w:tcPr>
          <w:p>
            <w:pPr>
              <w:spacing w:line="400" w:lineRule="exact"/>
              <w:rPr>
                <w:rFonts w:hint="eastAsia" w:ascii="宋体" w:hAnsi="宋体"/>
              </w:rPr>
            </w:pPr>
          </w:p>
        </w:tc>
      </w:tr>
    </w:tbl>
    <w:p>
      <w:pPr>
        <w:spacing w:line="400" w:lineRule="exact"/>
        <w:jc w:val="left"/>
        <w:rPr>
          <w:rFonts w:hint="eastAsia" w:ascii="宋体" w:hAnsi="宋体"/>
        </w:rPr>
        <w:sectPr>
          <w:pgSz w:w="16838" w:h="11906" w:orient="landscape"/>
          <w:pgMar w:top="1797" w:right="1440" w:bottom="1797" w:left="1440" w:header="851" w:footer="851" w:gutter="0"/>
          <w:cols w:space="720" w:num="1"/>
          <w:docGrid w:linePitch="312" w:charSpace="0"/>
        </w:sectPr>
      </w:pPr>
      <w:r>
        <w:rPr>
          <w:rFonts w:hint="eastAsia" w:ascii="宋体" w:hAnsi="宋体"/>
        </w:rPr>
        <w:t xml:space="preserve">                                       </w:t>
      </w:r>
      <w:r>
        <w:rPr>
          <w:rFonts w:ascii="宋体" w:hAnsi="宋体"/>
        </w:rPr>
        <w:t xml:space="preserve">                              </w:t>
      </w:r>
      <w:r>
        <w:rPr>
          <w:rFonts w:hint="eastAsia" w:ascii="宋体" w:hAnsi="宋体"/>
        </w:rPr>
        <w:t xml:space="preserve"> </w:t>
      </w:r>
      <w:r>
        <w:rPr>
          <w:rFonts w:hint="eastAsia"/>
        </w:rPr>
        <w:t>主持人</w:t>
      </w:r>
      <w:r>
        <w:rPr>
          <w:rFonts w:hint="eastAsia" w:ascii="宋体" w:hAnsi="宋体"/>
        </w:rPr>
        <w:t>：</w:t>
      </w:r>
      <w:r>
        <w:rPr>
          <w:rFonts w:hint="eastAsia" w:ascii="宋体" w:hAnsi="宋体"/>
          <w:u w:val="single"/>
        </w:rPr>
        <w:t xml:space="preserve">        </w:t>
      </w:r>
      <w:r>
        <w:rPr>
          <w:rFonts w:hint="eastAsia" w:ascii="宋体" w:hAnsi="宋体"/>
        </w:rPr>
        <w:t>招标人代表：</w:t>
      </w:r>
      <w:r>
        <w:rPr>
          <w:rFonts w:hint="eastAsia" w:ascii="宋体" w:hAnsi="宋体"/>
          <w:u w:val="single"/>
        </w:rPr>
        <w:t xml:space="preserve">      </w:t>
      </w:r>
      <w:r>
        <w:rPr>
          <w:rFonts w:hint="eastAsia" w:ascii="宋体" w:hAnsi="宋体"/>
        </w:rPr>
        <w:t>监标人：</w:t>
      </w:r>
      <w:r>
        <w:rPr>
          <w:rFonts w:hint="eastAsia" w:ascii="宋体" w:hAnsi="宋体"/>
          <w:u w:val="single"/>
        </w:rPr>
        <w:t xml:space="preserve">                </w:t>
      </w:r>
    </w:p>
    <w:p>
      <w:pPr>
        <w:pStyle w:val="5"/>
        <w:rPr>
          <w:b w:val="0"/>
          <w:sz w:val="24"/>
          <w:szCs w:val="24"/>
        </w:rPr>
      </w:pPr>
      <w:bookmarkStart w:id="485" w:name="_Toc165804345"/>
      <w:bookmarkStart w:id="486" w:name="_Toc256000074"/>
      <w:bookmarkStart w:id="487" w:name="_Toc15359"/>
      <w:r>
        <w:rPr>
          <w:rFonts w:hint="eastAsia"/>
          <w:b w:val="0"/>
          <w:sz w:val="24"/>
          <w:szCs w:val="24"/>
        </w:rPr>
        <w:t>附表六：投标文件问题澄清通知</w:t>
      </w:r>
      <w:bookmarkEnd w:id="485"/>
      <w:bookmarkEnd w:id="486"/>
      <w:bookmarkEnd w:id="487"/>
    </w:p>
    <w:p/>
    <w:p>
      <w:pPr>
        <w:spacing w:before="240" w:beforeLines="100" w:after="240" w:afterLines="100" w:line="400" w:lineRule="exact"/>
        <w:jc w:val="center"/>
        <w:rPr>
          <w:rFonts w:ascii="黑体" w:eastAsia="黑体"/>
          <w:sz w:val="28"/>
          <w:szCs w:val="28"/>
        </w:rPr>
      </w:pPr>
      <w:r>
        <w:rPr>
          <w:rFonts w:hint="eastAsia" w:ascii="黑体" w:eastAsia="黑体"/>
          <w:sz w:val="28"/>
          <w:szCs w:val="28"/>
        </w:rPr>
        <w:t>投标文件问题澄清通知</w:t>
      </w:r>
    </w:p>
    <w:p>
      <w:pPr>
        <w:spacing w:line="400" w:lineRule="exact"/>
        <w:ind w:firstLine="5355" w:firstLineChars="2550"/>
        <w:rPr>
          <w:u w:val="single"/>
        </w:rPr>
      </w:pPr>
      <w:r>
        <w:rPr>
          <w:rFonts w:hint="eastAsia"/>
        </w:rPr>
        <w:t>编号：</w:t>
      </w:r>
      <w:r>
        <w:rPr>
          <w:rFonts w:hint="eastAsia"/>
          <w:u w:val="single"/>
        </w:rPr>
        <w:t xml:space="preserve">                  </w:t>
      </w:r>
    </w:p>
    <w:p>
      <w:pPr>
        <w:spacing w:line="480" w:lineRule="exact"/>
      </w:pPr>
      <w:r>
        <w:rPr>
          <w:rFonts w:hint="eastAsia"/>
          <w:u w:val="single"/>
        </w:rPr>
        <w:t xml:space="preserve"> </w:t>
      </w:r>
      <w:bookmarkStart w:id="488" w:name="_Hlk144988011"/>
      <w:r>
        <w:rPr>
          <w:rFonts w:hint="eastAsia"/>
          <w:u w:val="single"/>
        </w:rPr>
        <w:t xml:space="preserve">           </w:t>
      </w:r>
      <w:r>
        <w:rPr>
          <w:rFonts w:hint="eastAsia" w:ascii="宋体" w:hAnsi="宋体"/>
          <w:u w:val="single"/>
        </w:rPr>
        <w:t xml:space="preserve">         </w:t>
      </w:r>
      <w:r>
        <w:rPr>
          <w:rFonts w:hint="eastAsia"/>
          <w:u w:val="single"/>
        </w:rPr>
        <w:t xml:space="preserve">      </w:t>
      </w:r>
      <w:bookmarkEnd w:id="488"/>
      <w:r>
        <w:rPr>
          <w:rFonts w:hint="eastAsia"/>
        </w:rPr>
        <w:t>（投标人名称）：</w:t>
      </w:r>
    </w:p>
    <w:p>
      <w:pPr>
        <w:spacing w:line="480" w:lineRule="exact"/>
        <w:ind w:firstLine="420" w:firstLineChars="200"/>
        <w:rPr>
          <w:u w:val="single"/>
        </w:rPr>
      </w:pPr>
    </w:p>
    <w:p>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（标段名称）</w:t>
      </w:r>
      <w:bookmarkStart w:id="489" w:name="_Hlk120872985"/>
      <w:r>
        <w:rPr>
          <w:rFonts w:hint="eastAsia"/>
        </w:rPr>
        <w:t>项目</w:t>
      </w:r>
      <w:bookmarkEnd w:id="489"/>
      <w:r>
        <w:rPr>
          <w:rFonts w:hint="eastAsia"/>
        </w:rPr>
        <w:t>（标段唯一标识码：</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rFonts w:hint="eastAsia"/>
        </w:rPr>
        <w:t>）招标的评标委员会，对你方的投标文件进行了仔细的审查，现需你方对下列问题以书面形式予以澄清、说明或者补正，并将投标文件的澄清、说明或者补正于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u w:val="single"/>
        </w:rPr>
        <w:t xml:space="preserve">  </w:t>
      </w:r>
      <w:r>
        <w:rPr>
          <w:rFonts w:hint="eastAsia"/>
          <w:u w:val="single"/>
        </w:rPr>
        <w:t xml:space="preserve">   </w:t>
      </w:r>
      <w:r>
        <w:rPr>
          <w:rFonts w:hint="eastAsia"/>
        </w:rPr>
        <w:t>年</w:t>
      </w:r>
      <w:r>
        <w:rPr>
          <w:rFonts w:hint="eastAsia"/>
          <w:u w:val="single"/>
        </w:rPr>
        <w:t xml:space="preserve">  </w:t>
      </w:r>
      <w:r>
        <w:rPr>
          <w:u w:val="single"/>
        </w:rPr>
        <w:t xml:space="preserve">    </w:t>
      </w:r>
      <w:r>
        <w:rPr>
          <w:rFonts w:hint="eastAsia"/>
          <w:u w:val="single"/>
        </w:rPr>
        <w:t xml:space="preserve"> </w:t>
      </w:r>
      <w:r>
        <w:rPr>
          <w:rFonts w:hint="eastAsia"/>
        </w:rPr>
        <w:t>月</w:t>
      </w:r>
      <w:r>
        <w:rPr>
          <w:rFonts w:hint="eastAsia"/>
          <w:u w:val="single"/>
        </w:rPr>
        <w:t xml:space="preserve"> </w:t>
      </w:r>
      <w:r>
        <w:rPr>
          <w:u w:val="single"/>
        </w:rPr>
        <w:t xml:space="preserve">    </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u w:val="single"/>
        </w:rPr>
        <w:t xml:space="preserve">    </w:t>
      </w:r>
      <w:r>
        <w:rPr>
          <w:rFonts w:hint="eastAsia"/>
          <w:u w:val="single"/>
        </w:rPr>
        <w:t xml:space="preserve"> </w:t>
      </w:r>
      <w:r>
        <w:rPr>
          <w:rFonts w:hint="eastAsia"/>
        </w:rPr>
        <w:t>分前，通过电子招标投标系统（</w:t>
      </w:r>
      <w:r>
        <w:rPr>
          <w:rFonts w:hint="eastAsia"/>
          <w:bCs/>
        </w:rPr>
        <w:t>辽宁省工程建设项目数字化开标评标系统</w:t>
      </w:r>
      <w:r>
        <w:rPr>
          <w:rFonts w:hint="eastAsia"/>
        </w:rPr>
        <w:t>）提交给本评标委员会。</w:t>
      </w:r>
    </w:p>
    <w:p>
      <w:pPr>
        <w:spacing w:line="440" w:lineRule="exact"/>
        <w:ind w:firstLine="420" w:firstLineChars="200"/>
      </w:pPr>
      <w:r>
        <w:t>1</w:t>
      </w:r>
      <w:r>
        <w:rPr>
          <w:rFonts w:hint="eastAsia"/>
        </w:rPr>
        <w:t>.</w:t>
      </w:r>
      <w:r>
        <w:rPr>
          <w:rFonts w:hint="eastAsia" w:ascii="宋体" w:hAnsi="宋体"/>
          <w:szCs w:val="21"/>
        </w:rPr>
        <w:t>……</w:t>
      </w:r>
    </w:p>
    <w:p>
      <w:pPr>
        <w:spacing w:line="440" w:lineRule="exact"/>
      </w:pPr>
      <w:r>
        <w:t xml:space="preserve">   </w:t>
      </w:r>
      <w:r>
        <w:rPr>
          <w:rFonts w:hint="eastAsia"/>
        </w:rPr>
        <w:t xml:space="preserve"> </w:t>
      </w:r>
      <w:r>
        <w:t>2</w:t>
      </w:r>
      <w:r>
        <w:rPr>
          <w:rFonts w:hint="eastAsia"/>
        </w:rPr>
        <w:t>.</w:t>
      </w:r>
      <w:r>
        <w:rPr>
          <w:rFonts w:hint="eastAsia" w:ascii="宋体" w:hAnsi="宋体"/>
          <w:szCs w:val="21"/>
        </w:rPr>
        <w:t>……</w:t>
      </w:r>
    </w:p>
    <w:p>
      <w:pPr>
        <w:spacing w:line="440" w:lineRule="exact"/>
      </w:pPr>
      <w:r>
        <w:t xml:space="preserve">    </w:t>
      </w:r>
      <w:r>
        <w:rPr>
          <w:rFonts w:hint="eastAsia" w:ascii="宋体" w:hAnsi="宋体"/>
          <w:szCs w:val="21"/>
        </w:rPr>
        <w:t>……</w:t>
      </w:r>
    </w:p>
    <w:p>
      <w:pPr>
        <w:spacing w:line="480" w:lineRule="exact"/>
      </w:pPr>
    </w:p>
    <w:p>
      <w:pPr>
        <w:spacing w:line="480" w:lineRule="exact"/>
        <w:jc w:val="right"/>
        <w:rPr>
          <w:rFonts w:hint="eastAsia" w:ascii="宋体" w:hAnsi="宋体"/>
        </w:rPr>
      </w:pPr>
      <w:r>
        <w:rPr>
          <w:rFonts w:hint="eastAsia" w:ascii="宋体" w:hAnsi="宋体"/>
          <w:u w:val="single"/>
        </w:rPr>
        <w:t xml:space="preserve">            </w:t>
      </w:r>
      <w:r>
        <w:rPr>
          <w:rFonts w:hint="eastAsia"/>
        </w:rPr>
        <w:t>（标段名称）</w:t>
      </w:r>
      <w:r>
        <w:rPr>
          <w:rFonts w:hint="eastAsia" w:ascii="宋体" w:hAnsi="宋体"/>
        </w:rPr>
        <w:t>项目招标评标委员会</w:t>
      </w:r>
    </w:p>
    <w:p>
      <w:pPr>
        <w:spacing w:line="480" w:lineRule="exact"/>
        <w:jc w:val="right"/>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r>
        <w:rPr>
          <w:rFonts w:hint="eastAsia"/>
        </w:rPr>
        <w:br w:type="page"/>
      </w:r>
    </w:p>
    <w:p>
      <w:pPr>
        <w:spacing w:line="480" w:lineRule="exact"/>
        <w:jc w:val="right"/>
      </w:pPr>
    </w:p>
    <w:p>
      <w:pPr>
        <w:pStyle w:val="5"/>
        <w:rPr>
          <w:rFonts w:ascii="黑体"/>
          <w:sz w:val="24"/>
        </w:rPr>
      </w:pPr>
      <w:bookmarkStart w:id="490" w:name="_Toc23985"/>
      <w:bookmarkStart w:id="491" w:name="_Toc165804346"/>
      <w:bookmarkStart w:id="492" w:name="_Toc256000075"/>
      <w:r>
        <w:rPr>
          <w:rFonts w:hint="eastAsia"/>
          <w:b w:val="0"/>
          <w:sz w:val="24"/>
          <w:szCs w:val="24"/>
        </w:rPr>
        <w:t>附表七：投标文件问题的澄清</w:t>
      </w:r>
      <w:bookmarkEnd w:id="490"/>
      <w:bookmarkEnd w:id="491"/>
      <w:bookmarkEnd w:id="492"/>
    </w:p>
    <w:p>
      <w:pPr>
        <w:spacing w:line="480" w:lineRule="exact"/>
        <w:rPr>
          <w:rFonts w:ascii="黑体" w:eastAsia="黑体"/>
          <w:sz w:val="24"/>
        </w:rPr>
      </w:pPr>
    </w:p>
    <w:p>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投标文件问题的澄清、说明或补正</w:t>
      </w:r>
    </w:p>
    <w:p>
      <w:pPr>
        <w:spacing w:line="400" w:lineRule="exact"/>
        <w:ind w:firstLine="5355" w:firstLineChars="2550"/>
        <w:rPr>
          <w:u w:val="single"/>
        </w:rPr>
      </w:pPr>
      <w:r>
        <w:rPr>
          <w:rFonts w:hint="eastAsia"/>
        </w:rPr>
        <w:t>编号：</w:t>
      </w:r>
      <w:r>
        <w:rPr>
          <w:rFonts w:hint="eastAsia"/>
          <w:u w:val="single"/>
        </w:rPr>
        <w:t xml:space="preserve">                  </w:t>
      </w:r>
    </w:p>
    <w:p>
      <w:pPr>
        <w:spacing w:line="480" w:lineRule="exact"/>
      </w:pPr>
      <w:r>
        <w:rPr>
          <w:rFonts w:hint="eastAsia"/>
        </w:rPr>
        <w:t xml:space="preserve">  </w:t>
      </w:r>
      <w:r>
        <w:rPr>
          <w:rFonts w:hint="eastAsia"/>
          <w:u w:val="single"/>
        </w:rPr>
        <w:t xml:space="preserve">                </w:t>
      </w:r>
      <w:r>
        <w:rPr>
          <w:rFonts w:hint="eastAsia"/>
        </w:rPr>
        <w:t>（标段名称）项目招标评标委员会：</w:t>
      </w:r>
    </w:p>
    <w:p>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pPr>
        <w:spacing w:line="480" w:lineRule="exact"/>
        <w:ind w:firstLine="420" w:firstLineChars="200"/>
      </w:pPr>
      <w:r>
        <w:rPr>
          <w:rFonts w:hint="eastAsia"/>
        </w:rPr>
        <w:t>1.</w:t>
      </w:r>
      <w:r>
        <w:rPr>
          <w:rFonts w:hint="eastAsia" w:ascii="宋体" w:hAnsi="宋体"/>
          <w:szCs w:val="21"/>
        </w:rPr>
        <w:t>……</w:t>
      </w:r>
    </w:p>
    <w:p>
      <w:pPr>
        <w:spacing w:line="480" w:lineRule="exact"/>
        <w:ind w:firstLine="420" w:firstLineChars="200"/>
      </w:pPr>
      <w:r>
        <w:rPr>
          <w:rFonts w:hint="eastAsia"/>
        </w:rPr>
        <w:t>2.</w:t>
      </w:r>
      <w:r>
        <w:rPr>
          <w:rFonts w:hint="eastAsia" w:ascii="宋体" w:hAnsi="宋体"/>
          <w:szCs w:val="21"/>
        </w:rPr>
        <w:t>……</w:t>
      </w:r>
    </w:p>
    <w:p>
      <w:pPr>
        <w:spacing w:line="480" w:lineRule="exact"/>
        <w:ind w:firstLine="420" w:firstLineChars="200"/>
      </w:pPr>
    </w:p>
    <w:p>
      <w:pPr>
        <w:spacing w:line="480" w:lineRule="exact"/>
        <w:ind w:firstLine="420" w:firstLineChars="200"/>
      </w:pPr>
      <w:r>
        <w:rPr>
          <w:rFonts w:hint="eastAsia"/>
        </w:rPr>
        <w:t>……</w:t>
      </w:r>
    </w:p>
    <w:p>
      <w:pPr>
        <w:spacing w:line="480" w:lineRule="exact"/>
        <w:ind w:firstLine="420" w:firstLineChars="200"/>
      </w:pPr>
    </w:p>
    <w:p>
      <w:pPr>
        <w:spacing w:line="480" w:lineRule="exact"/>
        <w:ind w:firstLine="420" w:firstLineChars="200"/>
      </w:pPr>
    </w:p>
    <w:p>
      <w:pPr>
        <w:spacing w:line="480" w:lineRule="exact"/>
        <w:ind w:firstLine="420" w:firstLineChars="200"/>
      </w:pPr>
    </w:p>
    <w:p>
      <w:pPr>
        <w:spacing w:line="480" w:lineRule="exact"/>
        <w:ind w:firstLine="420" w:firstLineChars="200"/>
      </w:pPr>
    </w:p>
    <w:p>
      <w:pPr>
        <w:spacing w:line="480" w:lineRule="exact"/>
        <w:ind w:firstLine="420" w:firstLineChars="200"/>
      </w:pPr>
    </w:p>
    <w:p>
      <w:pPr>
        <w:spacing w:line="480" w:lineRule="exact"/>
        <w:ind w:firstLine="420" w:firstLineChars="200"/>
      </w:pPr>
    </w:p>
    <w:p>
      <w:pPr>
        <w:wordWrap w:val="0"/>
        <w:spacing w:line="480" w:lineRule="exact"/>
        <w:ind w:right="105" w:firstLine="420" w:firstLineChars="200"/>
        <w:jc w:val="right"/>
        <w:rPr>
          <w:rFonts w:hint="eastAsia"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pPr>
        <w:wordWrap w:val="0"/>
        <w:spacing w:before="120" w:beforeLines="50" w:after="120" w:afterLines="50" w:line="480" w:lineRule="exact"/>
        <w:ind w:right="105"/>
        <w:jc w:val="right"/>
        <w:rPr>
          <w:rFonts w:hint="eastAsia"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（签章）</w:t>
      </w:r>
    </w:p>
    <w:p>
      <w:pPr>
        <w:spacing w:line="480" w:lineRule="exact"/>
        <w:ind w:firstLine="5775" w:firstLineChars="2750"/>
        <w:rPr>
          <w:rFonts w:hint="eastAsia"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480" w:lineRule="exact"/>
        <w:ind w:firstLine="5775" w:firstLineChars="2750"/>
      </w:pPr>
    </w:p>
    <w:p>
      <w:pPr>
        <w:spacing w:line="480" w:lineRule="exact"/>
        <w:ind w:firstLine="5775" w:firstLineChars="2750"/>
      </w:pPr>
    </w:p>
    <w:p>
      <w:pPr>
        <w:spacing w:line="480" w:lineRule="exact"/>
        <w:ind w:firstLine="5775" w:firstLineChars="2750"/>
      </w:pPr>
    </w:p>
    <w:p>
      <w:pPr>
        <w:spacing w:line="480" w:lineRule="exact"/>
        <w:ind w:firstLine="5775" w:firstLineChars="2750"/>
      </w:pPr>
    </w:p>
    <w:p>
      <w:pPr>
        <w:spacing w:line="480" w:lineRule="exact"/>
        <w:ind w:firstLine="5775" w:firstLineChars="2750"/>
      </w:pPr>
    </w:p>
    <w:p>
      <w:pPr>
        <w:spacing w:line="480" w:lineRule="exact"/>
        <w:ind w:firstLine="5145" w:firstLineChars="2450"/>
      </w:pPr>
    </w:p>
    <w:p>
      <w:pPr>
        <w:spacing w:line="480" w:lineRule="exact"/>
        <w:jc w:val="left"/>
        <w:sectPr>
          <w:footerReference r:id="rId7" w:type="default"/>
          <w:footerReference r:id="rId8" w:type="even"/>
          <w:pgSz w:w="11906" w:h="16838"/>
          <w:pgMar w:top="1440" w:right="1797" w:bottom="1440" w:left="1797" w:header="851" w:footer="851" w:gutter="0"/>
          <w:cols w:space="720" w:num="1"/>
          <w:docGrid w:linePitch="312" w:charSpace="0"/>
        </w:sectPr>
      </w:pPr>
    </w:p>
    <w:p>
      <w:pPr>
        <w:pStyle w:val="5"/>
        <w:spacing w:before="60" w:after="60" w:line="415" w:lineRule="auto"/>
        <w:rPr>
          <w:b w:val="0"/>
          <w:sz w:val="24"/>
          <w:szCs w:val="24"/>
        </w:rPr>
      </w:pPr>
      <w:bookmarkStart w:id="493" w:name="_Toc256000076"/>
      <w:bookmarkStart w:id="494" w:name="_Toc5556"/>
      <w:bookmarkStart w:id="495" w:name="_Toc165804347"/>
      <w:r>
        <w:rPr>
          <w:rFonts w:hint="eastAsia"/>
          <w:b w:val="0"/>
          <w:sz w:val="24"/>
          <w:szCs w:val="24"/>
        </w:rPr>
        <w:t>附表八：中标通知书</w:t>
      </w:r>
      <w:bookmarkEnd w:id="493"/>
      <w:bookmarkEnd w:id="494"/>
      <w:bookmarkEnd w:id="495"/>
    </w:p>
    <w:p>
      <w:pPr>
        <w:spacing w:line="360" w:lineRule="auto"/>
        <w:jc w:val="center"/>
        <w:rPr>
          <w:rFonts w:hint="eastAsia" w:ascii="黑体" w:hAnsi="黑体" w:eastAsia="黑体"/>
          <w:b/>
          <w:sz w:val="32"/>
        </w:rPr>
      </w:pPr>
      <w:r>
        <w:rPr>
          <w:rFonts w:hint="eastAsia" w:ascii="黑体" w:hAnsi="黑体" w:eastAsia="黑体"/>
          <w:b/>
          <w:sz w:val="32"/>
        </w:rPr>
        <w:t>中标通知书（工程类）</w:t>
      </w:r>
    </w:p>
    <w:tbl>
      <w:tblPr>
        <w:tblStyle w:val="2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shd w:val="clear" w:color="auto" w:fill="auto"/>
          </w:tcPr>
          <w:p>
            <w:pPr>
              <w:spacing w:line="360" w:lineRule="auto"/>
              <w:jc w:val="left"/>
              <w:rPr>
                <w:rFonts w:hint="eastAsia" w:ascii="宋体" w:hAnsi="宋体"/>
                <w:szCs w:val="21"/>
              </w:rPr>
            </w:pPr>
            <w:r>
              <w:rPr>
                <w:rFonts w:hint="eastAsia" w:ascii="宋体" w:hAnsi="宋体"/>
                <w:szCs w:val="21"/>
              </w:rPr>
              <w:t>_</w:t>
            </w:r>
            <w:r>
              <w:rPr>
                <w:rFonts w:ascii="宋体" w:hAnsi="宋体"/>
                <w:szCs w:val="21"/>
              </w:rPr>
              <w:t>___________</w:t>
            </w:r>
            <w:r>
              <w:rPr>
                <w:rFonts w:hint="eastAsia" w:ascii="宋体" w:hAnsi="宋体"/>
                <w:szCs w:val="21"/>
              </w:rPr>
              <w:t>：</w:t>
            </w:r>
          </w:p>
        </w:tc>
        <w:tc>
          <w:tcPr>
            <w:tcW w:w="7087" w:type="dxa"/>
            <w:tcBorders>
              <w:top w:val="nil"/>
              <w:left w:val="nil"/>
              <w:bottom w:val="nil"/>
              <w:right w:val="nil"/>
            </w:tcBorders>
            <w:shd w:val="clear" w:color="auto" w:fill="auto"/>
          </w:tcPr>
          <w:p>
            <w:pPr>
              <w:spacing w:line="360" w:lineRule="auto"/>
              <w:ind w:right="210"/>
              <w:jc w:val="right"/>
              <w:rPr>
                <w:rFonts w:hint="eastAsia" w:ascii="宋体" w:hAnsi="宋体"/>
                <w:szCs w:val="21"/>
              </w:rPr>
            </w:pPr>
            <w:r>
              <w:rPr>
                <w:rFonts w:hint="eastAsia" w:ascii="宋体" w:hAnsi="宋体"/>
                <w:szCs w:val="21"/>
              </w:rPr>
              <w:t>编号：_</w:t>
            </w:r>
            <w:r>
              <w:rPr>
                <w:rFonts w:ascii="宋体" w:hAnsi="宋体"/>
                <w:szCs w:val="21"/>
              </w:rPr>
              <w:t>___________</w:t>
            </w:r>
          </w:p>
        </w:tc>
      </w:tr>
    </w:tbl>
    <w:p>
      <w:pPr>
        <w:spacing w:line="360" w:lineRule="auto"/>
        <w:ind w:firstLine="420"/>
        <w:rPr>
          <w:rFonts w:hint="eastAsia" w:ascii="宋体" w:hAnsi="宋体"/>
          <w:szCs w:val="21"/>
        </w:rPr>
      </w:pPr>
      <w:r>
        <w:rPr>
          <w:rFonts w:hint="eastAsia" w:ascii="宋体" w:hAnsi="宋体"/>
          <w:szCs w:val="21"/>
        </w:rPr>
        <w:t>你方于_</w:t>
      </w:r>
      <w:r>
        <w:rPr>
          <w:rFonts w:ascii="宋体" w:hAnsi="宋体"/>
          <w:szCs w:val="21"/>
        </w:rPr>
        <w:t>____</w:t>
      </w:r>
      <w:r>
        <w:rPr>
          <w:rFonts w:hint="eastAsia" w:ascii="宋体" w:hAnsi="宋体"/>
          <w:szCs w:val="21"/>
        </w:rPr>
        <w:t>年</w:t>
      </w:r>
      <w:r>
        <w:rPr>
          <w:rFonts w:ascii="宋体" w:hAnsi="宋体"/>
          <w:szCs w:val="21"/>
        </w:rPr>
        <w:t>____</w:t>
      </w:r>
      <w:r>
        <w:rPr>
          <w:rFonts w:hint="eastAsia" w:ascii="宋体" w:hAnsi="宋体"/>
          <w:szCs w:val="21"/>
        </w:rPr>
        <w:t>月</w:t>
      </w:r>
      <w:r>
        <w:rPr>
          <w:rFonts w:ascii="宋体" w:hAnsi="宋体"/>
          <w:szCs w:val="21"/>
        </w:rPr>
        <w:t>____</w:t>
      </w:r>
      <w:r>
        <w:rPr>
          <w:rFonts w:hint="eastAsia" w:ascii="宋体" w:hAnsi="宋体"/>
          <w:szCs w:val="21"/>
        </w:rPr>
        <w:t>日所递交的</w:t>
      </w:r>
      <w:r>
        <w:rPr>
          <w:rFonts w:hint="eastAsia" w:ascii="宋体" w:hAnsi="宋体"/>
          <w:szCs w:val="21"/>
          <w:u w:val="single"/>
        </w:rPr>
        <w:t xml:space="preserve"> </w:t>
      </w:r>
      <w:r>
        <w:rPr>
          <w:rFonts w:ascii="宋体" w:hAnsi="宋体"/>
          <w:szCs w:val="21"/>
          <w:u w:val="single"/>
        </w:rPr>
        <w:t xml:space="preserve">   </w:t>
      </w:r>
      <w:r>
        <w:rPr>
          <w:rFonts w:hint="eastAsia" w:ascii="宋体" w:hAnsi="宋体" w:cs="宋体"/>
          <w:szCs w:val="21"/>
          <w:u w:val="single"/>
        </w:rPr>
        <w:t xml:space="preserve">（标段名称） </w:t>
      </w:r>
      <w:r>
        <w:rPr>
          <w:rFonts w:ascii="宋体" w:hAnsi="宋体" w:cs="宋体"/>
          <w:szCs w:val="21"/>
          <w:u w:val="single"/>
        </w:rPr>
        <w:t xml:space="preserve">  </w:t>
      </w:r>
      <w:r>
        <w:rPr>
          <w:rFonts w:hint="eastAsia" w:ascii="宋体" w:hAnsi="宋体"/>
          <w:szCs w:val="21"/>
          <w:u w:val="single"/>
        </w:rPr>
        <w:t xml:space="preserve"> </w:t>
      </w:r>
      <w:r>
        <w:rPr>
          <w:rFonts w:hint="eastAsia" w:ascii="宋体" w:hAnsi="宋体"/>
          <w:szCs w:val="21"/>
        </w:rPr>
        <w:t>的投标文件已被我方接受，被确定为中标人，请你单位派代表持本通知书及相关资料在接到本通知书后30日内到</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与我方签订承包合同。在此之前按照招标文件规定向我方提交履约担保。</w:t>
      </w:r>
    </w:p>
    <w:p>
      <w:pPr>
        <w:spacing w:line="360" w:lineRule="auto"/>
        <w:jc w:val="center"/>
        <w:rPr>
          <w:rFonts w:hint="eastAsia" w:ascii="宋体" w:hAnsi="宋体"/>
          <w:b/>
          <w:szCs w:val="21"/>
        </w:rPr>
      </w:pPr>
      <w:r>
        <w:rPr>
          <w:rFonts w:hint="eastAsia" w:ascii="宋体" w:hAnsi="宋体"/>
          <w:b/>
          <w:szCs w:val="21"/>
        </w:rPr>
        <w:t>工程概况及中标内容</w:t>
      </w:r>
    </w:p>
    <w:tbl>
      <w:tblPr>
        <w:tblStyle w:val="22"/>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项目名称</w:t>
            </w:r>
          </w:p>
        </w:tc>
        <w:tc>
          <w:tcPr>
            <w:tcW w:w="12191" w:type="dxa"/>
            <w:gridSpan w:val="6"/>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标段名称</w:t>
            </w:r>
          </w:p>
        </w:tc>
        <w:tc>
          <w:tcPr>
            <w:tcW w:w="12191" w:type="dxa"/>
            <w:gridSpan w:val="6"/>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工程性质</w:t>
            </w:r>
          </w:p>
        </w:tc>
        <w:tc>
          <w:tcPr>
            <w:tcW w:w="5070" w:type="dxa"/>
            <w:gridSpan w:val="2"/>
            <w:shd w:val="clear" w:color="auto" w:fill="auto"/>
            <w:vAlign w:val="center"/>
          </w:tcPr>
          <w:p>
            <w:pPr>
              <w:jc w:val="center"/>
              <w:rPr>
                <w:rFonts w:hint="eastAsia" w:ascii="宋体" w:hAnsi="宋体"/>
                <w:szCs w:val="21"/>
              </w:rPr>
            </w:pPr>
          </w:p>
        </w:tc>
        <w:tc>
          <w:tcPr>
            <w:tcW w:w="2359" w:type="dxa"/>
            <w:gridSpan w:val="2"/>
            <w:shd w:val="clear" w:color="auto" w:fill="auto"/>
            <w:vAlign w:val="center"/>
          </w:tcPr>
          <w:p>
            <w:pPr>
              <w:jc w:val="center"/>
              <w:rPr>
                <w:rFonts w:hint="eastAsia" w:ascii="宋体" w:hAnsi="宋体"/>
                <w:szCs w:val="21"/>
              </w:rPr>
            </w:pPr>
            <w:r>
              <w:rPr>
                <w:rFonts w:hint="eastAsia" w:ascii="宋体" w:hAnsi="宋体"/>
                <w:szCs w:val="21"/>
              </w:rPr>
              <w:t>资金来源及比例</w:t>
            </w:r>
          </w:p>
        </w:tc>
        <w:tc>
          <w:tcPr>
            <w:tcW w:w="4760" w:type="dxa"/>
            <w:gridSpan w:val="2"/>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建设地址</w:t>
            </w:r>
          </w:p>
        </w:tc>
        <w:tc>
          <w:tcPr>
            <w:tcW w:w="12191" w:type="dxa"/>
            <w:gridSpan w:val="6"/>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中标内容</w:t>
            </w:r>
          </w:p>
        </w:tc>
        <w:tc>
          <w:tcPr>
            <w:tcW w:w="12191" w:type="dxa"/>
            <w:gridSpan w:val="6"/>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计划工期</w:t>
            </w:r>
          </w:p>
        </w:tc>
        <w:tc>
          <w:tcPr>
            <w:tcW w:w="5120" w:type="dxa"/>
            <w:gridSpan w:val="3"/>
            <w:shd w:val="clear" w:color="auto" w:fill="auto"/>
            <w:vAlign w:val="center"/>
          </w:tcPr>
          <w:p>
            <w:pPr>
              <w:jc w:val="center"/>
              <w:rPr>
                <w:rFonts w:hint="eastAsia" w:ascii="宋体" w:hAnsi="宋体"/>
                <w:szCs w:val="21"/>
              </w:rPr>
            </w:pPr>
          </w:p>
        </w:tc>
        <w:tc>
          <w:tcPr>
            <w:tcW w:w="2356" w:type="dxa"/>
            <w:gridSpan w:val="2"/>
            <w:shd w:val="clear" w:color="auto" w:fill="auto"/>
            <w:vAlign w:val="center"/>
          </w:tcPr>
          <w:p>
            <w:pPr>
              <w:jc w:val="center"/>
              <w:rPr>
                <w:rFonts w:hint="eastAsia" w:ascii="宋体" w:hAnsi="宋体"/>
                <w:szCs w:val="21"/>
              </w:rPr>
            </w:pPr>
            <w:r>
              <w:rPr>
                <w:rFonts w:hint="eastAsia" w:ascii="宋体" w:hAnsi="宋体"/>
                <w:szCs w:val="21"/>
              </w:rPr>
              <w:t>总工期（日历天）</w:t>
            </w:r>
          </w:p>
        </w:tc>
        <w:tc>
          <w:tcPr>
            <w:tcW w:w="4714" w:type="dxa"/>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资质等级</w:t>
            </w:r>
          </w:p>
        </w:tc>
        <w:tc>
          <w:tcPr>
            <w:tcW w:w="5120" w:type="dxa"/>
            <w:gridSpan w:val="3"/>
            <w:shd w:val="clear" w:color="auto" w:fill="auto"/>
            <w:vAlign w:val="center"/>
          </w:tcPr>
          <w:p>
            <w:pPr>
              <w:jc w:val="center"/>
              <w:rPr>
                <w:rFonts w:hint="eastAsia" w:ascii="宋体" w:hAnsi="宋体"/>
                <w:szCs w:val="21"/>
              </w:rPr>
            </w:pPr>
          </w:p>
        </w:tc>
        <w:tc>
          <w:tcPr>
            <w:tcW w:w="2356" w:type="dxa"/>
            <w:gridSpan w:val="2"/>
            <w:shd w:val="clear" w:color="auto" w:fill="auto"/>
            <w:vAlign w:val="center"/>
          </w:tcPr>
          <w:p>
            <w:pPr>
              <w:jc w:val="center"/>
              <w:rPr>
                <w:rFonts w:hint="eastAsia" w:ascii="宋体" w:hAnsi="宋体"/>
                <w:szCs w:val="21"/>
              </w:rPr>
            </w:pPr>
            <w:r>
              <w:rPr>
                <w:rFonts w:hint="eastAsia" w:ascii="宋体" w:hAnsi="宋体"/>
                <w:szCs w:val="21"/>
              </w:rPr>
              <w:t>质量标准</w:t>
            </w:r>
          </w:p>
        </w:tc>
        <w:tc>
          <w:tcPr>
            <w:tcW w:w="4714" w:type="dxa"/>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项目经理</w:t>
            </w:r>
          </w:p>
        </w:tc>
        <w:tc>
          <w:tcPr>
            <w:tcW w:w="2765" w:type="dxa"/>
            <w:shd w:val="clear" w:color="auto" w:fill="auto"/>
            <w:vAlign w:val="center"/>
          </w:tcPr>
          <w:p>
            <w:pPr>
              <w:jc w:val="center"/>
              <w:rPr>
                <w:rFonts w:hint="eastAsia" w:ascii="宋体" w:hAnsi="宋体"/>
                <w:szCs w:val="21"/>
              </w:rPr>
            </w:pPr>
          </w:p>
        </w:tc>
        <w:tc>
          <w:tcPr>
            <w:tcW w:w="2355" w:type="dxa"/>
            <w:gridSpan w:val="2"/>
            <w:shd w:val="clear" w:color="auto" w:fill="auto"/>
            <w:vAlign w:val="center"/>
          </w:tcPr>
          <w:p>
            <w:pPr>
              <w:jc w:val="center"/>
              <w:rPr>
                <w:rFonts w:hint="eastAsia" w:ascii="宋体" w:hAnsi="宋体"/>
                <w:szCs w:val="21"/>
              </w:rPr>
            </w:pPr>
            <w:r>
              <w:rPr>
                <w:rFonts w:hint="eastAsia" w:ascii="宋体" w:hAnsi="宋体"/>
                <w:szCs w:val="21"/>
              </w:rPr>
              <w:t>资格证书及编号</w:t>
            </w:r>
          </w:p>
        </w:tc>
        <w:tc>
          <w:tcPr>
            <w:tcW w:w="7070" w:type="dxa"/>
            <w:gridSpan w:val="3"/>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shd w:val="clear" w:color="auto" w:fill="auto"/>
            <w:vAlign w:val="center"/>
          </w:tcPr>
          <w:p>
            <w:pPr>
              <w:jc w:val="center"/>
              <w:rPr>
                <w:rFonts w:hint="eastAsia" w:ascii="宋体" w:hAnsi="宋体"/>
                <w:szCs w:val="21"/>
              </w:rPr>
            </w:pPr>
            <w:r>
              <w:rPr>
                <w:rFonts w:hint="eastAsia" w:ascii="宋体" w:hAnsi="宋体"/>
                <w:szCs w:val="21"/>
              </w:rPr>
              <w:t>中标金额</w:t>
            </w:r>
          </w:p>
        </w:tc>
        <w:tc>
          <w:tcPr>
            <w:tcW w:w="12191" w:type="dxa"/>
            <w:gridSpan w:val="6"/>
            <w:shd w:val="clear" w:color="auto" w:fill="auto"/>
            <w:vAlign w:val="center"/>
          </w:tcPr>
          <w:p>
            <w:pPr>
              <w:jc w:val="left"/>
              <w:rPr>
                <w:rFonts w:hint="eastAsia" w:ascii="宋体" w:hAnsi="宋体" w:cs="微软雅黑"/>
                <w:szCs w:val="21"/>
              </w:rPr>
            </w:pPr>
            <w:r>
              <w:rPr>
                <w:rFonts w:hint="eastAsia" w:ascii="宋体" w:hAnsi="宋体" w:cs="微软雅黑"/>
                <w:szCs w:val="21"/>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shd w:val="clear" w:color="auto" w:fill="auto"/>
            <w:vAlign w:val="center"/>
          </w:tcPr>
          <w:p>
            <w:pPr>
              <w:jc w:val="center"/>
              <w:rPr>
                <w:rFonts w:hint="eastAsia" w:ascii="宋体" w:hAnsi="宋体"/>
                <w:szCs w:val="21"/>
              </w:rPr>
            </w:pPr>
          </w:p>
        </w:tc>
        <w:tc>
          <w:tcPr>
            <w:tcW w:w="12191" w:type="dxa"/>
            <w:gridSpan w:val="6"/>
            <w:shd w:val="clear" w:color="auto" w:fill="auto"/>
            <w:vAlign w:val="center"/>
          </w:tcPr>
          <w:p>
            <w:pPr>
              <w:jc w:val="left"/>
              <w:rPr>
                <w:rFonts w:hint="eastAsia" w:ascii="宋体" w:hAnsi="宋体" w:cs="微软雅黑"/>
                <w:szCs w:val="21"/>
              </w:rPr>
            </w:pPr>
            <w:r>
              <w:rPr>
                <w:rFonts w:hint="eastAsia" w:ascii="宋体" w:hAnsi="宋体" w:cs="微软雅黑"/>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jc w:val="center"/>
              <w:rPr>
                <w:rFonts w:hint="eastAsia" w:ascii="宋体" w:hAnsi="宋体"/>
                <w:szCs w:val="21"/>
              </w:rPr>
            </w:pPr>
            <w:r>
              <w:rPr>
                <w:rFonts w:hint="eastAsia" w:ascii="宋体" w:hAnsi="宋体"/>
                <w:szCs w:val="21"/>
              </w:rPr>
              <w:t>需要说明的事项</w:t>
            </w:r>
          </w:p>
        </w:tc>
        <w:tc>
          <w:tcPr>
            <w:tcW w:w="12191" w:type="dxa"/>
            <w:gridSpan w:val="6"/>
            <w:shd w:val="clear" w:color="auto" w:fill="auto"/>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shd w:val="clear" w:color="auto" w:fill="auto"/>
            <w:vAlign w:val="center"/>
          </w:tcPr>
          <w:p>
            <w:pPr>
              <w:spacing w:line="400" w:lineRule="exact"/>
              <w:ind w:firstLine="630" w:firstLineChars="300"/>
              <w:rPr>
                <w:rFonts w:hint="eastAsia" w:ascii="宋体" w:hAnsi="宋体"/>
                <w:szCs w:val="21"/>
              </w:rPr>
            </w:pPr>
          </w:p>
          <w:p>
            <w:pPr>
              <w:spacing w:line="400" w:lineRule="exact"/>
              <w:ind w:firstLine="630" w:firstLineChars="300"/>
              <w:rPr>
                <w:rFonts w:hint="eastAsia" w:ascii="宋体" w:hAnsi="宋体"/>
                <w:szCs w:val="21"/>
              </w:rPr>
            </w:pPr>
            <w:r>
              <w:rPr>
                <w:rFonts w:hint="eastAsia" w:ascii="宋体" w:hAnsi="宋体"/>
                <w:szCs w:val="21"/>
              </w:rPr>
              <w:t>招标人（盖章）</w:t>
            </w:r>
          </w:p>
          <w:p>
            <w:pPr>
              <w:spacing w:line="400" w:lineRule="exact"/>
              <w:ind w:firstLine="630" w:firstLineChars="300"/>
              <w:rPr>
                <w:rFonts w:hint="eastAsia" w:ascii="宋体" w:hAnsi="宋体"/>
                <w:szCs w:val="21"/>
              </w:rPr>
            </w:pPr>
            <w:r>
              <w:rPr>
                <w:rFonts w:hint="eastAsia" w:ascii="宋体" w:hAnsi="宋体"/>
                <w:szCs w:val="21"/>
              </w:rPr>
              <w:t>法定代表人（签章）</w:t>
            </w:r>
          </w:p>
          <w:p>
            <w:pPr>
              <w:spacing w:line="400" w:lineRule="exact"/>
              <w:jc w:val="center"/>
              <w:rPr>
                <w:rFonts w:hint="eastAsia" w:ascii="宋体" w:hAnsi="宋体"/>
                <w:szCs w:val="21"/>
              </w:rPr>
            </w:pPr>
            <w:r>
              <w:rPr>
                <w:rFonts w:hint="eastAsia" w:ascii="宋体" w:hAnsi="宋体"/>
                <w:szCs w:val="21"/>
              </w:rPr>
              <w:t xml:space="preserve">                 年  月  日</w:t>
            </w:r>
          </w:p>
        </w:tc>
        <w:tc>
          <w:tcPr>
            <w:tcW w:w="4711" w:type="dxa"/>
            <w:gridSpan w:val="4"/>
            <w:shd w:val="clear" w:color="auto" w:fill="auto"/>
            <w:vAlign w:val="center"/>
          </w:tcPr>
          <w:p>
            <w:pPr>
              <w:spacing w:line="400" w:lineRule="exact"/>
              <w:ind w:firstLine="630" w:firstLineChars="300"/>
              <w:rPr>
                <w:rFonts w:hint="eastAsia" w:ascii="宋体" w:hAnsi="宋体"/>
                <w:szCs w:val="21"/>
              </w:rPr>
            </w:pPr>
          </w:p>
          <w:p>
            <w:pPr>
              <w:spacing w:line="400" w:lineRule="exact"/>
              <w:ind w:firstLine="630" w:firstLineChars="300"/>
              <w:rPr>
                <w:rFonts w:hint="eastAsia" w:ascii="宋体" w:hAnsi="宋体"/>
                <w:szCs w:val="21"/>
              </w:rPr>
            </w:pPr>
            <w:r>
              <w:rPr>
                <w:rFonts w:hint="eastAsia" w:ascii="宋体" w:hAnsi="宋体"/>
                <w:szCs w:val="21"/>
              </w:rPr>
              <w:t>招标代理（盖章）</w:t>
            </w:r>
          </w:p>
          <w:p>
            <w:pPr>
              <w:spacing w:line="400" w:lineRule="exact"/>
              <w:ind w:firstLine="630" w:firstLineChars="300"/>
              <w:rPr>
                <w:rFonts w:hint="eastAsia" w:ascii="宋体" w:hAnsi="宋体"/>
                <w:szCs w:val="21"/>
              </w:rPr>
            </w:pPr>
            <w:r>
              <w:rPr>
                <w:rFonts w:hint="eastAsia" w:ascii="宋体" w:hAnsi="宋体"/>
                <w:szCs w:val="21"/>
              </w:rPr>
              <w:t>法定代表人（签章）</w:t>
            </w:r>
          </w:p>
          <w:p>
            <w:pPr>
              <w:spacing w:line="400" w:lineRule="exact"/>
              <w:jc w:val="center"/>
              <w:rPr>
                <w:rFonts w:hint="eastAsia" w:ascii="宋体" w:hAnsi="宋体"/>
                <w:szCs w:val="21"/>
              </w:rPr>
            </w:pPr>
            <w:r>
              <w:rPr>
                <w:rFonts w:hint="eastAsia" w:ascii="宋体" w:hAnsi="宋体"/>
                <w:szCs w:val="21"/>
              </w:rPr>
              <w:t xml:space="preserve">                  年  月  日</w:t>
            </w:r>
          </w:p>
        </w:tc>
        <w:tc>
          <w:tcPr>
            <w:tcW w:w="4714" w:type="dxa"/>
            <w:shd w:val="clear" w:color="auto" w:fill="auto"/>
            <w:vAlign w:val="center"/>
          </w:tcPr>
          <w:p>
            <w:pPr>
              <w:spacing w:line="400" w:lineRule="exact"/>
              <w:jc w:val="center"/>
              <w:rPr>
                <w:rFonts w:hint="eastAsia" w:ascii="宋体" w:hAnsi="宋体"/>
                <w:szCs w:val="21"/>
              </w:rPr>
            </w:pPr>
          </w:p>
          <w:p>
            <w:pPr>
              <w:spacing w:line="400" w:lineRule="exact"/>
              <w:ind w:firstLine="525" w:firstLineChars="250"/>
              <w:rPr>
                <w:rFonts w:hint="eastAsia" w:ascii="宋体" w:hAnsi="宋体"/>
                <w:szCs w:val="21"/>
              </w:rPr>
            </w:pPr>
            <w:r>
              <w:rPr>
                <w:rFonts w:hint="eastAsia" w:ascii="宋体" w:hAnsi="宋体"/>
                <w:szCs w:val="21"/>
              </w:rPr>
              <w:t>监管部门（盖章）</w:t>
            </w:r>
          </w:p>
          <w:p>
            <w:pPr>
              <w:spacing w:line="400" w:lineRule="exact"/>
              <w:ind w:firstLine="525" w:firstLineChars="250"/>
              <w:rPr>
                <w:rFonts w:hint="eastAsia" w:ascii="宋体" w:hAnsi="宋体"/>
                <w:szCs w:val="21"/>
              </w:rPr>
            </w:pPr>
            <w:r>
              <w:rPr>
                <w:rFonts w:hint="eastAsia" w:ascii="宋体" w:hAnsi="宋体"/>
                <w:szCs w:val="21"/>
              </w:rPr>
              <w:t>经办人（签章）</w:t>
            </w:r>
          </w:p>
          <w:p>
            <w:pPr>
              <w:spacing w:line="400" w:lineRule="exact"/>
              <w:jc w:val="center"/>
              <w:rPr>
                <w:rFonts w:hint="eastAsia" w:ascii="宋体" w:hAnsi="宋体"/>
                <w:szCs w:val="21"/>
              </w:rPr>
            </w:pPr>
            <w:r>
              <w:rPr>
                <w:rFonts w:hint="eastAsia" w:ascii="宋体" w:hAnsi="宋体"/>
                <w:szCs w:val="21"/>
              </w:rPr>
              <w:t xml:space="preserve">               年  月  日</w:t>
            </w:r>
          </w:p>
        </w:tc>
      </w:tr>
    </w:tbl>
    <w:p>
      <w:pPr>
        <w:widowControl/>
        <w:jc w:val="left"/>
        <w:sectPr>
          <w:pgSz w:w="16838" w:h="11906" w:orient="landscape"/>
          <w:pgMar w:top="1276" w:right="1440" w:bottom="1134" w:left="1440" w:header="851" w:footer="851" w:gutter="0"/>
          <w:cols w:space="720" w:num="1"/>
          <w:docGrid w:linePitch="312" w:charSpace="0"/>
        </w:sectPr>
      </w:pPr>
      <w:r>
        <w:br w:type="page"/>
      </w:r>
    </w:p>
    <w:p>
      <w:pPr>
        <w:widowControl/>
        <w:jc w:val="left"/>
      </w:pPr>
    </w:p>
    <w:p>
      <w:pPr>
        <w:pStyle w:val="5"/>
        <w:rPr>
          <w:rFonts w:ascii="黑体"/>
          <w:sz w:val="24"/>
        </w:rPr>
      </w:pPr>
      <w:bookmarkStart w:id="496" w:name="_Toc256000077"/>
      <w:bookmarkStart w:id="497" w:name="_Toc11601"/>
      <w:bookmarkStart w:id="498" w:name="_Toc165804348"/>
      <w:r>
        <w:rPr>
          <w:rFonts w:hint="eastAsia"/>
          <w:b w:val="0"/>
          <w:sz w:val="24"/>
          <w:szCs w:val="24"/>
        </w:rPr>
        <w:t>附表九：中标结果通知书</w:t>
      </w:r>
      <w:bookmarkEnd w:id="496"/>
      <w:bookmarkEnd w:id="497"/>
      <w:bookmarkEnd w:id="498"/>
    </w:p>
    <w:p>
      <w:pPr>
        <w:spacing w:before="240" w:beforeLines="100" w:after="240" w:afterLines="100" w:line="480" w:lineRule="exact"/>
        <w:jc w:val="center"/>
        <w:rPr>
          <w:rFonts w:ascii="黑体" w:eastAsia="黑体"/>
          <w:sz w:val="28"/>
          <w:szCs w:val="28"/>
        </w:rPr>
      </w:pPr>
      <w:r>
        <w:rPr>
          <w:rFonts w:hint="eastAsia" w:ascii="黑体" w:eastAsia="黑体"/>
          <w:sz w:val="28"/>
          <w:szCs w:val="28"/>
        </w:rPr>
        <w:t>中标结果通知书</w:t>
      </w:r>
    </w:p>
    <w:p>
      <w:pPr>
        <w:spacing w:line="480" w:lineRule="exact"/>
      </w:pPr>
      <w:r>
        <w:rPr>
          <w:rFonts w:hint="eastAsia"/>
          <w:u w:val="single"/>
        </w:rPr>
        <w:t xml:space="preserve">                      </w:t>
      </w:r>
      <w:r>
        <w:rPr>
          <w:rFonts w:hint="eastAsia"/>
        </w:rPr>
        <w:t>（未中标人名称）：</w:t>
      </w:r>
    </w:p>
    <w:p>
      <w:pPr>
        <w:spacing w:line="480" w:lineRule="exact"/>
      </w:pPr>
    </w:p>
    <w:p>
      <w:pPr>
        <w:spacing w:line="480" w:lineRule="exact"/>
        <w:ind w:firstLine="420" w:firstLineChars="200"/>
      </w:pPr>
      <w:r>
        <w:rPr>
          <w:rFonts w:hint="eastAsia"/>
        </w:rPr>
        <w:t>我方已接受</w:t>
      </w:r>
      <w:r>
        <w:rPr>
          <w:rFonts w:hint="eastAsia"/>
          <w:u w:val="single"/>
        </w:rPr>
        <w:t xml:space="preserve">                   </w:t>
      </w:r>
      <w:r>
        <w:rPr>
          <w:rFonts w:hint="eastAsia"/>
        </w:rPr>
        <w:t>（中标人名称）于</w:t>
      </w:r>
      <w:r>
        <w:rPr>
          <w:rFonts w:hint="eastAsia"/>
          <w:u w:val="single"/>
        </w:rPr>
        <w:t xml:space="preserve">                       </w:t>
      </w:r>
      <w:r>
        <w:rPr>
          <w:rFonts w:hint="eastAsia"/>
        </w:rPr>
        <w:t>（投标日期）所递交的</w:t>
      </w:r>
      <w:r>
        <w:rPr>
          <w:rFonts w:hint="eastAsia"/>
          <w:u w:val="single"/>
        </w:rPr>
        <w:t xml:space="preserve">             </w:t>
      </w:r>
      <w:r>
        <w:rPr>
          <w:rFonts w:hint="eastAsia"/>
        </w:rPr>
        <w:t>（标段名称）项目（标段唯一标识码：</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rFonts w:hint="eastAsia"/>
        </w:rPr>
        <w:t>）投标文件，确定</w:t>
      </w:r>
      <w:r>
        <w:rPr>
          <w:rFonts w:hint="eastAsia"/>
          <w:u w:val="single"/>
        </w:rPr>
        <w:t xml:space="preserve">         </w:t>
      </w:r>
      <w:r>
        <w:rPr>
          <w:rFonts w:hint="eastAsia"/>
        </w:rPr>
        <w:t>（中标人名称）为中标人。</w:t>
      </w:r>
    </w:p>
    <w:p>
      <w:pPr>
        <w:spacing w:line="480" w:lineRule="exact"/>
        <w:ind w:firstLine="420" w:firstLineChars="200"/>
      </w:pPr>
    </w:p>
    <w:p>
      <w:pPr>
        <w:spacing w:line="480" w:lineRule="exact"/>
        <w:ind w:firstLine="420" w:firstLineChars="200"/>
      </w:pPr>
      <w:r>
        <w:rPr>
          <w:rFonts w:hint="eastAsia"/>
        </w:rPr>
        <w:t>感谢你单位对我方工作的大力支持!</w:t>
      </w:r>
    </w:p>
    <w:p>
      <w:pPr>
        <w:spacing w:line="480" w:lineRule="exact"/>
        <w:ind w:firstLine="420" w:firstLineChars="200"/>
      </w:pPr>
    </w:p>
    <w:p>
      <w:pPr>
        <w:spacing w:line="480" w:lineRule="exact"/>
        <w:ind w:firstLine="420" w:firstLineChars="200"/>
      </w:pPr>
    </w:p>
    <w:p>
      <w:pPr>
        <w:spacing w:line="480" w:lineRule="exact"/>
        <w:ind w:firstLine="420" w:firstLineChars="200"/>
      </w:pPr>
    </w:p>
    <w:p>
      <w:pPr>
        <w:spacing w:line="480" w:lineRule="exact"/>
        <w:ind w:firstLine="420" w:firstLineChars="200"/>
      </w:pPr>
    </w:p>
    <w:p>
      <w:pPr>
        <w:wordWrap w:val="0"/>
        <w:spacing w:line="480" w:lineRule="exact"/>
        <w:ind w:firstLine="420" w:firstLineChars="200"/>
        <w:jc w:val="right"/>
        <w:rPr>
          <w:rFonts w:hint="eastAsia"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pPr>
        <w:wordWrap w:val="0"/>
        <w:spacing w:line="480" w:lineRule="exact"/>
        <w:ind w:firstLine="420" w:firstLineChars="200"/>
        <w:jc w:val="right"/>
        <w:rPr>
          <w:rFonts w:hint="eastAsia"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 xml:space="preserve"> （</w:t>
      </w:r>
      <w:bookmarkStart w:id="499" w:name="_Hlk152171080"/>
      <w:r>
        <w:rPr>
          <w:rFonts w:hint="eastAsia" w:ascii="宋体" w:hAnsi="宋体"/>
        </w:rPr>
        <w:t>签章</w:t>
      </w:r>
      <w:bookmarkEnd w:id="499"/>
      <w:r>
        <w:rPr>
          <w:rFonts w:hint="eastAsia" w:ascii="宋体" w:hAnsi="宋体"/>
        </w:rPr>
        <w:t xml:space="preserve">） </w:t>
      </w:r>
    </w:p>
    <w:p>
      <w:pPr>
        <w:wordWrap w:val="0"/>
        <w:spacing w:line="480" w:lineRule="exact"/>
        <w:ind w:firstLine="4689" w:firstLineChars="2233"/>
        <w:jc w:val="right"/>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 xml:space="preserve">日  </w:t>
      </w:r>
    </w:p>
    <w:p>
      <w:pPr>
        <w:spacing w:line="480" w:lineRule="exact"/>
        <w:ind w:firstLine="4689" w:firstLineChars="2233"/>
        <w:jc w:val="right"/>
      </w:pPr>
    </w:p>
    <w:p>
      <w:pPr>
        <w:spacing w:line="480" w:lineRule="exact"/>
        <w:ind w:firstLine="4689" w:firstLineChars="2233"/>
        <w:jc w:val="right"/>
      </w:pPr>
    </w:p>
    <w:p>
      <w:pPr>
        <w:spacing w:line="480" w:lineRule="exact"/>
        <w:ind w:firstLine="4689" w:firstLineChars="2233"/>
        <w:jc w:val="right"/>
      </w:pPr>
    </w:p>
    <w:p>
      <w:pPr>
        <w:spacing w:line="480" w:lineRule="exact"/>
        <w:ind w:firstLine="4689" w:firstLineChars="2233"/>
        <w:jc w:val="right"/>
      </w:pPr>
    </w:p>
    <w:p>
      <w:pPr>
        <w:spacing w:line="480" w:lineRule="exact"/>
      </w:pPr>
    </w:p>
    <w:p>
      <w:pPr>
        <w:spacing w:line="480" w:lineRule="exact"/>
      </w:pPr>
    </w:p>
    <w:p>
      <w:pPr>
        <w:spacing w:line="480" w:lineRule="exact"/>
      </w:pPr>
      <w:r>
        <w:br w:type="page"/>
      </w:r>
    </w:p>
    <w:p>
      <w:pPr>
        <w:pStyle w:val="5"/>
        <w:rPr>
          <w:rFonts w:hint="eastAsia" w:ascii="仿宋_GB2312" w:hAnsi="黑体" w:eastAsia="仿宋_GB2312"/>
          <w:b w:val="0"/>
          <w:bCs w:val="0"/>
          <w:spacing w:val="12"/>
          <w:sz w:val="24"/>
        </w:rPr>
      </w:pPr>
      <w:bookmarkStart w:id="500" w:name="_Toc165804349"/>
      <w:bookmarkStart w:id="501" w:name="_Toc256000078"/>
      <w:bookmarkStart w:id="502" w:name="_Toc8891"/>
      <w:r>
        <w:rPr>
          <w:rFonts w:hint="eastAsia"/>
          <w:b w:val="0"/>
          <w:sz w:val="24"/>
          <w:szCs w:val="24"/>
        </w:rPr>
        <w:t>附表十：异议书</w:t>
      </w:r>
      <w:bookmarkEnd w:id="500"/>
      <w:bookmarkEnd w:id="501"/>
      <w:bookmarkEnd w:id="502"/>
    </w:p>
    <w:p>
      <w:pPr>
        <w:spacing w:before="240" w:beforeLines="100" w:after="240" w:afterLines="100" w:line="480" w:lineRule="exact"/>
        <w:jc w:val="center"/>
        <w:rPr>
          <w:rFonts w:ascii="黑体" w:eastAsia="黑体"/>
          <w:sz w:val="28"/>
          <w:szCs w:val="28"/>
        </w:rPr>
      </w:pPr>
      <w:r>
        <w:rPr>
          <w:rFonts w:hint="eastAsia" w:ascii="黑体" w:eastAsia="黑体"/>
          <w:sz w:val="28"/>
          <w:szCs w:val="28"/>
        </w:rPr>
        <w:t>异议书</w:t>
      </w:r>
    </w:p>
    <w:p>
      <w:pPr>
        <w:widowControl/>
        <w:adjustRightInd w:val="0"/>
        <w:snapToGrid w:val="0"/>
        <w:spacing w:line="500" w:lineRule="exact"/>
        <w:jc w:val="left"/>
        <w:rPr>
          <w:rFonts w:hint="eastAsia" w:ascii="宋体" w:hAnsi="宋体" w:cs="黑体"/>
          <w:b/>
          <w:bCs/>
          <w:kern w:val="0"/>
          <w:szCs w:val="21"/>
        </w:rPr>
      </w:pPr>
      <w:r>
        <w:rPr>
          <w:rFonts w:hint="eastAsia" w:ascii="宋体" w:hAnsi="宋体" w:cs="黑体"/>
          <w:b/>
          <w:bCs/>
          <w:kern w:val="0"/>
          <w:szCs w:val="21"/>
        </w:rPr>
        <w:t>一、异议项目基本情况</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标段名称：</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adjustRightInd w:val="0"/>
        <w:snapToGrid w:val="0"/>
        <w:spacing w:line="500" w:lineRule="exact"/>
        <w:ind w:firstLine="420" w:firstLineChars="200"/>
        <w:rPr>
          <w:rFonts w:hint="eastAsia" w:ascii="宋体" w:hAnsi="宋体" w:cs="仿宋_GB2312"/>
          <w:kern w:val="0"/>
          <w:szCs w:val="21"/>
          <w:u w:val="single"/>
        </w:rPr>
      </w:pPr>
      <w:r>
        <w:rPr>
          <w:rFonts w:hint="eastAsia"/>
        </w:rPr>
        <w:t>标段唯一标识码：</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widowControl/>
        <w:adjustRightInd w:val="0"/>
        <w:snapToGrid w:val="0"/>
        <w:spacing w:line="500" w:lineRule="exact"/>
        <w:ind w:firstLine="420" w:firstLineChars="200"/>
        <w:jc w:val="left"/>
        <w:rPr>
          <w:rFonts w:hint="eastAsia" w:ascii="宋体" w:hAnsi="宋体" w:cs="仿宋_GB2312"/>
          <w:kern w:val="0"/>
          <w:szCs w:val="21"/>
          <w:u w:val="single"/>
        </w:rPr>
      </w:pPr>
      <w:r>
        <w:rPr>
          <w:rFonts w:hint="eastAsia" w:ascii="宋体" w:hAnsi="宋体" w:cs="仿宋_GB2312"/>
          <w:kern w:val="0"/>
          <w:szCs w:val="21"/>
        </w:rPr>
        <w:t>招标人名称：</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widowControl/>
        <w:adjustRightInd w:val="0"/>
        <w:snapToGrid w:val="0"/>
        <w:spacing w:line="500" w:lineRule="exact"/>
        <w:ind w:firstLine="420" w:firstLineChars="200"/>
        <w:jc w:val="left"/>
        <w:rPr>
          <w:rFonts w:hint="eastAsia" w:ascii="宋体" w:hAnsi="宋体" w:cs="仿宋_GB2312"/>
          <w:kern w:val="0"/>
          <w:szCs w:val="21"/>
          <w:u w:val="single"/>
        </w:rPr>
      </w:pPr>
      <w:r>
        <w:rPr>
          <w:rFonts w:hint="eastAsia" w:ascii="宋体" w:hAnsi="宋体" w:cs="仿宋_GB2312"/>
          <w:kern w:val="0"/>
          <w:szCs w:val="21"/>
        </w:rPr>
        <w:t>招标代理机构名称：</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widowControl/>
        <w:adjustRightInd w:val="0"/>
        <w:snapToGrid w:val="0"/>
        <w:spacing w:line="500" w:lineRule="exact"/>
        <w:jc w:val="left"/>
        <w:rPr>
          <w:rFonts w:hint="eastAsia" w:ascii="宋体" w:hAnsi="宋体" w:cs="黑体"/>
          <w:b/>
          <w:bCs/>
          <w:kern w:val="0"/>
          <w:szCs w:val="21"/>
        </w:rPr>
      </w:pPr>
      <w:r>
        <w:rPr>
          <w:rFonts w:hint="eastAsia" w:ascii="宋体" w:hAnsi="宋体" w:cs="黑体"/>
          <w:b/>
          <w:bCs/>
          <w:kern w:val="0"/>
          <w:szCs w:val="21"/>
        </w:rPr>
        <w:t>二、异议人基本情况</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单位名称：</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adjustRightInd w:val="0"/>
        <w:snapToGrid w:val="0"/>
        <w:spacing w:line="500" w:lineRule="exact"/>
        <w:ind w:firstLine="420" w:firstLineChars="200"/>
        <w:rPr>
          <w:rFonts w:hint="eastAsia" w:ascii="宋体" w:hAnsi="宋体" w:cs="仿宋_GB2312"/>
          <w:b/>
          <w:bCs/>
          <w:kern w:val="0"/>
          <w:szCs w:val="21"/>
          <w:u w:val="single"/>
        </w:rPr>
      </w:pPr>
      <w:r>
        <w:rPr>
          <w:rFonts w:ascii="宋体" w:hAnsi="宋体"/>
          <w:kern w:val="0"/>
          <w:szCs w:val="21"/>
        </w:rPr>
        <w:t>住所地：</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ascii="宋体" w:hAnsi="宋体"/>
          <w:kern w:val="0"/>
          <w:szCs w:val="21"/>
        </w:rPr>
        <w:t>邮编</w:t>
      </w:r>
      <w:r>
        <w:rPr>
          <w:rFonts w:hint="eastAsia" w:ascii="宋体" w:hAnsi="宋体"/>
          <w:kern w:val="0"/>
          <w:szCs w:val="21"/>
        </w:rPr>
        <w:t>：</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adjustRightInd w:val="0"/>
        <w:snapToGrid w:val="0"/>
        <w:spacing w:line="500" w:lineRule="exact"/>
        <w:ind w:firstLine="420" w:firstLineChars="200"/>
        <w:rPr>
          <w:rFonts w:hint="eastAsia" w:ascii="宋体" w:hAnsi="宋体"/>
          <w:kern w:val="0"/>
          <w:szCs w:val="21"/>
        </w:rPr>
      </w:pPr>
      <w:r>
        <w:rPr>
          <w:rFonts w:ascii="宋体" w:hAnsi="宋体"/>
          <w:kern w:val="0"/>
          <w:szCs w:val="21"/>
        </w:rPr>
        <w:t>法定代表人：</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ascii="宋体" w:hAnsi="宋体"/>
          <w:kern w:val="0"/>
          <w:szCs w:val="21"/>
        </w:rPr>
        <w:t>联系电话：</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p>
    <w:p>
      <w:pPr>
        <w:adjustRightInd w:val="0"/>
        <w:snapToGrid w:val="0"/>
        <w:spacing w:line="500" w:lineRule="exact"/>
        <w:ind w:firstLine="420" w:firstLineChars="200"/>
        <w:rPr>
          <w:rFonts w:hint="eastAsia" w:ascii="宋体" w:hAnsi="宋体"/>
          <w:kern w:val="0"/>
          <w:szCs w:val="21"/>
        </w:rPr>
      </w:pPr>
      <w:r>
        <w:rPr>
          <w:rFonts w:ascii="宋体" w:hAnsi="宋体"/>
          <w:kern w:val="0"/>
          <w:szCs w:val="21"/>
        </w:rPr>
        <w:t>异议人授权代表：</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ascii="宋体" w:hAnsi="宋体"/>
          <w:kern w:val="0"/>
          <w:szCs w:val="21"/>
        </w:rPr>
        <w:t>性别：</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p>
    <w:p>
      <w:pPr>
        <w:adjustRightInd w:val="0"/>
        <w:snapToGrid w:val="0"/>
        <w:spacing w:line="500" w:lineRule="exact"/>
        <w:ind w:firstLine="420" w:firstLineChars="200"/>
        <w:rPr>
          <w:rFonts w:hint="eastAsia" w:ascii="宋体" w:hAnsi="宋体"/>
          <w:kern w:val="0"/>
          <w:szCs w:val="21"/>
        </w:rPr>
      </w:pPr>
      <w:r>
        <w:rPr>
          <w:rFonts w:ascii="宋体" w:hAnsi="宋体"/>
          <w:kern w:val="0"/>
          <w:szCs w:val="21"/>
        </w:rPr>
        <w:t>地址：</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ascii="宋体" w:hAnsi="宋体"/>
          <w:kern w:val="0"/>
          <w:szCs w:val="21"/>
        </w:rPr>
        <w:t xml:space="preserve"> 联系电话：</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p>
    <w:p>
      <w:pPr>
        <w:widowControl/>
        <w:adjustRightInd w:val="0"/>
        <w:snapToGrid w:val="0"/>
        <w:spacing w:line="500" w:lineRule="exact"/>
        <w:jc w:val="left"/>
        <w:rPr>
          <w:rFonts w:hint="eastAsia" w:ascii="宋体" w:hAnsi="宋体" w:cs="黑体"/>
          <w:b/>
          <w:bCs/>
          <w:kern w:val="0"/>
          <w:szCs w:val="21"/>
        </w:rPr>
      </w:pPr>
      <w:r>
        <w:rPr>
          <w:rFonts w:hint="eastAsia" w:ascii="宋体" w:hAnsi="宋体" w:cs="黑体"/>
          <w:b/>
          <w:bCs/>
          <w:kern w:val="0"/>
          <w:szCs w:val="21"/>
        </w:rPr>
        <w:t>三、异议事项基本事实</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异议事项1：</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kern w:val="0"/>
          <w:szCs w:val="21"/>
        </w:rPr>
        <w:t xml:space="preserve">； </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异议事项2：</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kern w:val="0"/>
          <w:szCs w:val="21"/>
        </w:rPr>
        <w:t xml:space="preserve">； </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异议事项3：</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kern w:val="0"/>
          <w:szCs w:val="21"/>
        </w:rPr>
        <w:t xml:space="preserve">。 </w:t>
      </w:r>
    </w:p>
    <w:p>
      <w:pPr>
        <w:widowControl/>
        <w:adjustRightInd w:val="0"/>
        <w:snapToGrid w:val="0"/>
        <w:spacing w:line="500" w:lineRule="exact"/>
        <w:jc w:val="left"/>
        <w:rPr>
          <w:rFonts w:hint="eastAsia" w:ascii="宋体" w:hAnsi="宋体" w:cs="黑体"/>
          <w:b/>
          <w:bCs/>
          <w:kern w:val="0"/>
          <w:szCs w:val="21"/>
        </w:rPr>
      </w:pPr>
      <w:r>
        <w:rPr>
          <w:rFonts w:hint="eastAsia" w:ascii="宋体" w:hAnsi="宋体" w:cs="黑体"/>
          <w:b/>
          <w:bCs/>
          <w:kern w:val="0"/>
          <w:szCs w:val="21"/>
        </w:rPr>
        <w:t>四、有效线索和相关证明材料：见附件</w:t>
      </w:r>
    </w:p>
    <w:p>
      <w:pPr>
        <w:widowControl/>
        <w:adjustRightInd w:val="0"/>
        <w:snapToGrid w:val="0"/>
        <w:spacing w:line="500" w:lineRule="exact"/>
        <w:jc w:val="left"/>
        <w:rPr>
          <w:rFonts w:hint="eastAsia" w:ascii="宋体" w:hAnsi="宋体" w:cs="黑体"/>
          <w:b/>
          <w:bCs/>
          <w:kern w:val="0"/>
          <w:szCs w:val="21"/>
        </w:rPr>
      </w:pPr>
      <w:r>
        <w:rPr>
          <w:rFonts w:hint="eastAsia" w:ascii="宋体" w:hAnsi="宋体" w:cs="黑体"/>
          <w:b/>
          <w:bCs/>
          <w:kern w:val="0"/>
          <w:szCs w:val="21"/>
        </w:rPr>
        <w:t>五、相关请求及主张：</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 xml:space="preserve">（一） </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kern w:val="0"/>
          <w:szCs w:val="21"/>
        </w:rPr>
        <w:t>；</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（二）</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kern w:val="0"/>
          <w:szCs w:val="21"/>
        </w:rPr>
        <w:t>；</w:t>
      </w:r>
    </w:p>
    <w:p>
      <w:pPr>
        <w:adjustRightInd w:val="0"/>
        <w:snapToGrid w:val="0"/>
        <w:spacing w:line="500" w:lineRule="exact"/>
        <w:ind w:firstLine="420" w:firstLineChars="200"/>
        <w:rPr>
          <w:rFonts w:hint="eastAsia" w:ascii="宋体" w:hAnsi="宋体"/>
          <w:kern w:val="0"/>
          <w:szCs w:val="21"/>
        </w:rPr>
      </w:pPr>
      <w:r>
        <w:rPr>
          <w:rFonts w:hint="eastAsia" w:ascii="宋体" w:hAnsi="宋体"/>
          <w:kern w:val="0"/>
          <w:szCs w:val="21"/>
        </w:rPr>
        <w:t>（三）</w:t>
      </w:r>
      <w:r>
        <w:rPr>
          <w:rFonts w:hint="eastAsia" w:ascii="宋体" w:hAnsi="宋体" w:cs="仿宋_GB2312"/>
          <w:b/>
          <w:bCs/>
          <w:kern w:val="0"/>
          <w:szCs w:val="21"/>
          <w:u w:val="single"/>
        </w:rPr>
        <w:t xml:space="preserve">   </w:t>
      </w:r>
      <w:r>
        <w:rPr>
          <w:rFonts w:ascii="宋体" w:hAnsi="宋体" w:cs="仿宋_GB2312"/>
          <w:b/>
          <w:bCs/>
          <w:kern w:val="0"/>
          <w:szCs w:val="21"/>
          <w:u w:val="single"/>
        </w:rPr>
        <w:t xml:space="preserve">                                                               </w:t>
      </w:r>
      <w:r>
        <w:rPr>
          <w:rFonts w:hint="eastAsia" w:ascii="宋体" w:hAnsi="宋体"/>
          <w:kern w:val="0"/>
          <w:szCs w:val="21"/>
        </w:rPr>
        <w:t>。</w:t>
      </w:r>
    </w:p>
    <w:p>
      <w:pPr>
        <w:widowControl/>
        <w:adjustRightInd w:val="0"/>
        <w:snapToGrid w:val="0"/>
        <w:spacing w:line="500" w:lineRule="exact"/>
        <w:jc w:val="left"/>
        <w:rPr>
          <w:rFonts w:hint="eastAsia" w:ascii="宋体" w:hAnsi="宋体" w:cs="宋体"/>
          <w:kern w:val="0"/>
          <w:szCs w:val="21"/>
        </w:rPr>
      </w:pPr>
    </w:p>
    <w:p>
      <w:pPr>
        <w:widowControl/>
        <w:spacing w:line="360" w:lineRule="auto"/>
        <w:ind w:left="99" w:leftChars="47" w:firstLine="4200" w:firstLineChars="2000"/>
        <w:jc w:val="left"/>
        <w:rPr>
          <w:rFonts w:hint="eastAsia" w:ascii="宋体" w:hAnsi="宋体" w:cs="宋体"/>
          <w:kern w:val="0"/>
          <w:szCs w:val="21"/>
        </w:rPr>
      </w:pPr>
      <w:r>
        <w:rPr>
          <w:rFonts w:hint="eastAsia" w:ascii="宋体" w:hAnsi="宋体" w:cs="仿宋_GB2312"/>
          <w:kern w:val="0"/>
          <w:szCs w:val="21"/>
        </w:rPr>
        <w:t>异议人（公章）：</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p>
    <w:p>
      <w:pPr>
        <w:widowControl/>
        <w:spacing w:line="360" w:lineRule="auto"/>
        <w:ind w:left="99" w:leftChars="47" w:firstLine="2520" w:firstLineChars="1200"/>
        <w:jc w:val="left"/>
        <w:rPr>
          <w:rFonts w:hint="eastAsia" w:ascii="宋体" w:hAnsi="宋体" w:cs="仿宋_GB2312"/>
          <w:kern w:val="0"/>
          <w:szCs w:val="21"/>
          <w:u w:val="single"/>
        </w:rPr>
      </w:pPr>
      <w:r>
        <w:rPr>
          <w:rFonts w:hint="eastAsia" w:ascii="宋体" w:hAnsi="宋体" w:cs="仿宋_GB2312"/>
          <w:kern w:val="0"/>
          <w:szCs w:val="21"/>
        </w:rPr>
        <w:t>法定代表人或授权代表（签字或盖章）</w:t>
      </w:r>
      <w:r>
        <w:rPr>
          <w:rFonts w:hint="eastAsia" w:ascii="宋体" w:hAnsi="宋体" w:cs="仿宋_GB2312"/>
          <w:kern w:val="0"/>
          <w:szCs w:val="21"/>
          <w:u w:val="single"/>
        </w:rPr>
        <w:t xml:space="preserve">                   </w:t>
      </w:r>
    </w:p>
    <w:p>
      <w:pPr>
        <w:ind w:firstLine="420"/>
        <w:rPr>
          <w:szCs w:val="21"/>
        </w:rPr>
      </w:pPr>
      <w:r>
        <w:rPr>
          <w:rFonts w:hint="eastAsia" w:ascii="宋体" w:hAnsi="宋体" w:cs="仿宋_GB2312"/>
          <w:kern w:val="0"/>
          <w:szCs w:val="21"/>
        </w:rPr>
        <w:t xml:space="preserve">                      </w:t>
      </w:r>
      <w:r>
        <w:rPr>
          <w:rFonts w:ascii="宋体" w:hAnsi="宋体" w:cs="仿宋_GB2312"/>
          <w:kern w:val="0"/>
          <w:szCs w:val="21"/>
        </w:rPr>
        <w:t xml:space="preserve">     </w:t>
      </w:r>
      <w:r>
        <w:rPr>
          <w:rFonts w:hint="eastAsia" w:ascii="宋体" w:hAnsi="宋体" w:cs="仿宋_GB2312"/>
          <w:kern w:val="0"/>
          <w:szCs w:val="21"/>
        </w:rPr>
        <w:t xml:space="preserve">         日 </w:t>
      </w:r>
      <w:r>
        <w:rPr>
          <w:rFonts w:ascii="宋体" w:hAnsi="宋体" w:cs="仿宋_GB2312"/>
          <w:kern w:val="0"/>
          <w:szCs w:val="21"/>
        </w:rPr>
        <w:t xml:space="preserve">   </w:t>
      </w:r>
      <w:r>
        <w:rPr>
          <w:rFonts w:hint="eastAsia" w:ascii="宋体" w:hAnsi="宋体" w:cs="仿宋_GB2312"/>
          <w:kern w:val="0"/>
          <w:szCs w:val="21"/>
        </w:rPr>
        <w:t xml:space="preserve">期： </w:t>
      </w:r>
      <w:r>
        <w:rPr>
          <w:rFonts w:ascii="宋体" w:hAnsi="宋体" w:cs="仿宋_GB2312"/>
          <w:kern w:val="0"/>
          <w:szCs w:val="21"/>
        </w:rPr>
        <w:t xml:space="preserve">   </w:t>
      </w:r>
      <w:r>
        <w:rPr>
          <w:rFonts w:hint="eastAsia" w:ascii="宋体" w:hAnsi="宋体" w:cs="仿宋_GB2312"/>
          <w:kern w:val="0"/>
          <w:szCs w:val="21"/>
        </w:rPr>
        <w:t xml:space="preserve">  年    月   日</w:t>
      </w:r>
    </w:p>
    <w:p>
      <w:pPr>
        <w:ind w:firstLine="420"/>
        <w:rPr>
          <w:rFonts w:ascii="仿宋_GB2312" w:eastAsia="仿宋_GB2312"/>
          <w:szCs w:val="21"/>
        </w:rPr>
      </w:pPr>
      <w:r>
        <w:rPr>
          <w:rFonts w:ascii="仿宋_GB2312" w:eastAsia="仿宋_GB2312"/>
          <w:szCs w:val="21"/>
        </w:rPr>
        <w:br w:type="page"/>
      </w:r>
    </w:p>
    <w:p>
      <w:pPr>
        <w:ind w:firstLine="420"/>
        <w:jc w:val="right"/>
        <w:rPr>
          <w:rFonts w:ascii="仿宋_GB2312" w:eastAsia="仿宋_GB2312"/>
          <w:szCs w:val="21"/>
        </w:rPr>
      </w:pPr>
    </w:p>
    <w:p>
      <w:pPr>
        <w:pStyle w:val="5"/>
        <w:rPr>
          <w:b w:val="0"/>
          <w:sz w:val="24"/>
          <w:szCs w:val="24"/>
        </w:rPr>
      </w:pPr>
      <w:bookmarkStart w:id="503" w:name="_Toc23595"/>
      <w:bookmarkStart w:id="504" w:name="_Toc353544011"/>
      <w:bookmarkStart w:id="505" w:name="_Toc165804350"/>
      <w:bookmarkStart w:id="506" w:name="_Toc256000079"/>
      <w:r>
        <w:rPr>
          <w:rFonts w:hint="eastAsia"/>
          <w:b w:val="0"/>
          <w:sz w:val="24"/>
          <w:szCs w:val="24"/>
        </w:rPr>
        <w:t>附表十一：异议答复函</w:t>
      </w:r>
      <w:bookmarkEnd w:id="503"/>
      <w:bookmarkEnd w:id="504"/>
      <w:bookmarkEnd w:id="505"/>
      <w:bookmarkEnd w:id="506"/>
    </w:p>
    <w:p>
      <w:pPr>
        <w:spacing w:before="240" w:beforeLines="100" w:after="240" w:afterLines="100" w:line="480" w:lineRule="exact"/>
        <w:jc w:val="center"/>
        <w:rPr>
          <w:rFonts w:ascii="黑体" w:eastAsia="黑体"/>
          <w:sz w:val="28"/>
          <w:szCs w:val="28"/>
        </w:rPr>
      </w:pPr>
      <w:r>
        <w:rPr>
          <w:rFonts w:hint="eastAsia" w:ascii="黑体" w:eastAsia="黑体"/>
          <w:sz w:val="28"/>
          <w:szCs w:val="28"/>
        </w:rPr>
        <w:t>异议答复函</w:t>
      </w:r>
    </w:p>
    <w:p>
      <w:pPr>
        <w:rPr>
          <w:rFonts w:hint="eastAsia" w:ascii="宋体" w:hAnsi="宋体" w:cs="宋体"/>
          <w:kern w:val="0"/>
          <w:szCs w:val="21"/>
        </w:rPr>
      </w:pPr>
      <w:r>
        <w:rPr>
          <w:rFonts w:hint="eastAsia" w:ascii="宋体" w:hAnsi="宋体" w:cs="宋体"/>
          <w:kern w:val="0"/>
          <w:szCs w:val="21"/>
          <w:u w:val="single"/>
        </w:rPr>
        <w:t>（</w:t>
      </w:r>
      <w:r>
        <w:rPr>
          <w:rFonts w:hint="eastAsia" w:ascii="宋体" w:hAnsi="宋体" w:cs="宋体"/>
          <w:i/>
          <w:iCs/>
          <w:kern w:val="0"/>
          <w:szCs w:val="21"/>
          <w:u w:val="single"/>
        </w:rPr>
        <w:t>异议人名称</w:t>
      </w:r>
      <w:r>
        <w:rPr>
          <w:rFonts w:hint="eastAsia" w:ascii="宋体" w:hAnsi="宋体" w:cs="宋体"/>
          <w:kern w:val="0"/>
          <w:szCs w:val="21"/>
          <w:u w:val="single"/>
        </w:rPr>
        <w:t>）</w:t>
      </w:r>
      <w:r>
        <w:rPr>
          <w:rFonts w:hint="eastAsia" w:ascii="宋体" w:hAnsi="宋体" w:cs="宋体"/>
          <w:kern w:val="0"/>
          <w:szCs w:val="21"/>
        </w:rPr>
        <w:t>：</w:t>
      </w:r>
    </w:p>
    <w:p>
      <w:pPr>
        <w:spacing w:line="360" w:lineRule="auto"/>
        <w:ind w:firstLine="420" w:firstLineChars="200"/>
        <w:rPr>
          <w:rFonts w:hint="eastAsia" w:ascii="宋体" w:hAnsi="宋体" w:cs="宋体"/>
          <w:kern w:val="0"/>
          <w:szCs w:val="21"/>
        </w:rPr>
      </w:pPr>
    </w:p>
    <w:p>
      <w:pPr>
        <w:spacing w:line="360" w:lineRule="auto"/>
        <w:ind w:firstLine="420" w:firstLineChars="200"/>
        <w:rPr>
          <w:rFonts w:hint="eastAsia" w:ascii="宋体" w:hAnsi="宋体"/>
          <w:szCs w:val="21"/>
        </w:rPr>
      </w:pPr>
      <w:r>
        <w:rPr>
          <w:rFonts w:hint="eastAsia" w:ascii="宋体" w:hAnsi="宋体" w:cs="宋体"/>
          <w:kern w:val="0"/>
          <w:szCs w:val="21"/>
        </w:rPr>
        <w:t>您单位对</w:t>
      </w:r>
      <w:r>
        <w:rPr>
          <w:rFonts w:hint="eastAsia"/>
          <w:u w:val="single"/>
        </w:rPr>
        <w:t xml:space="preserve">             </w:t>
      </w:r>
      <w:r>
        <w:rPr>
          <w:rFonts w:hint="eastAsia"/>
        </w:rPr>
        <w:t>（标段名称）项目（标段唯一标识码：</w:t>
      </w:r>
      <w:r>
        <w:rPr>
          <w:rFonts w:hint="eastAsia"/>
          <w:u w:val="single"/>
        </w:rPr>
        <w:t xml:space="preserve"> </w:t>
      </w:r>
      <w:r>
        <w:rPr>
          <w:u w:val="single"/>
        </w:rPr>
        <w:t xml:space="preserve">         </w:t>
      </w:r>
      <w:r>
        <w:rPr>
          <w:rFonts w:hint="eastAsia"/>
        </w:rPr>
        <w:t>）</w:t>
      </w:r>
      <w:r>
        <w:rPr>
          <w:rFonts w:hint="eastAsia" w:ascii="宋体" w:hAnsi="宋体" w:cs="宋体"/>
          <w:kern w:val="0"/>
          <w:szCs w:val="21"/>
        </w:rPr>
        <w:t>的异议书于</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日收悉。经查，针对异议内容，现答复如下：</w:t>
      </w:r>
    </w:p>
    <w:p>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异议事项1：</w:t>
      </w:r>
      <w:r>
        <w:rPr>
          <w:rFonts w:hint="eastAsia" w:ascii="宋体" w:hAnsi="宋体" w:cs="仿宋_GB2312"/>
          <w:kern w:val="0"/>
          <w:szCs w:val="21"/>
          <w:u w:val="single"/>
        </w:rPr>
        <w:t xml:space="preserve">    </w:t>
      </w:r>
      <w:r>
        <w:rPr>
          <w:rFonts w:hint="eastAsia" w:ascii="宋体" w:hAnsi="宋体" w:cs="仿宋_GB2312"/>
          <w:i/>
          <w:iCs/>
          <w:kern w:val="0"/>
          <w:szCs w:val="21"/>
          <w:u w:val="single"/>
        </w:rPr>
        <w:t xml:space="preserve"> </w:t>
      </w:r>
      <w:r>
        <w:rPr>
          <w:rFonts w:ascii="宋体" w:hAnsi="宋体" w:cs="仿宋_GB2312"/>
          <w:i/>
          <w:iCs/>
          <w:kern w:val="0"/>
          <w:szCs w:val="21"/>
          <w:u w:val="single"/>
        </w:rPr>
        <w:t xml:space="preserve">      </w:t>
      </w:r>
      <w:r>
        <w:rPr>
          <w:rFonts w:hint="eastAsia" w:ascii="宋体" w:hAnsi="宋体" w:cs="仿宋_GB2312"/>
          <w:b/>
          <w:bCs/>
          <w:i/>
          <w:iCs/>
          <w:kern w:val="0"/>
          <w:szCs w:val="21"/>
          <w:u w:val="single"/>
        </w:rPr>
        <w:t xml:space="preserve"> </w:t>
      </w:r>
      <w:r>
        <w:rPr>
          <w:rFonts w:ascii="宋体" w:hAnsi="宋体" w:cs="仿宋_GB2312"/>
          <w:b/>
          <w:bCs/>
          <w:i/>
          <w:iCs/>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p>
    <w:p>
      <w:pPr>
        <w:spacing w:line="360" w:lineRule="auto"/>
        <w:ind w:firstLine="420" w:firstLineChars="200"/>
        <w:rPr>
          <w:rFonts w:hint="eastAsia" w:ascii="宋体" w:hAnsi="宋体" w:cs="仿宋_GB2312"/>
          <w:kern w:val="0"/>
          <w:szCs w:val="21"/>
        </w:rPr>
      </w:pPr>
    </w:p>
    <w:p>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答复1：</w:t>
      </w:r>
      <w:r>
        <w:rPr>
          <w:rFonts w:hint="eastAsia" w:ascii="宋体" w:hAnsi="宋体" w:cs="仿宋_GB2312"/>
          <w:kern w:val="0"/>
          <w:szCs w:val="21"/>
          <w:u w:val="single"/>
        </w:rPr>
        <w:t xml:space="preserve">    </w:t>
      </w:r>
      <w:r>
        <w:rPr>
          <w:rFonts w:hint="eastAsia" w:ascii="宋体" w:hAnsi="宋体" w:cs="仿宋_GB2312"/>
          <w:i/>
          <w:iCs/>
          <w:kern w:val="0"/>
          <w:szCs w:val="21"/>
          <w:u w:val="single"/>
        </w:rPr>
        <w:t xml:space="preserve"> </w:t>
      </w:r>
      <w:r>
        <w:rPr>
          <w:rFonts w:ascii="宋体" w:hAnsi="宋体" w:cs="仿宋_GB2312"/>
          <w:i/>
          <w:iCs/>
          <w:kern w:val="0"/>
          <w:szCs w:val="21"/>
          <w:u w:val="single"/>
        </w:rPr>
        <w:t xml:space="preserve">      </w:t>
      </w:r>
      <w:r>
        <w:rPr>
          <w:rFonts w:hint="eastAsia" w:ascii="宋体" w:hAnsi="宋体" w:cs="仿宋_GB2312"/>
          <w:b/>
          <w:bCs/>
          <w:i/>
          <w:iCs/>
          <w:kern w:val="0"/>
          <w:szCs w:val="21"/>
          <w:u w:val="single"/>
        </w:rPr>
        <w:t xml:space="preserve"> </w:t>
      </w:r>
      <w:r>
        <w:rPr>
          <w:rFonts w:ascii="宋体" w:hAnsi="宋体" w:cs="仿宋_GB2312"/>
          <w:b/>
          <w:bCs/>
          <w:i/>
          <w:iCs/>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p>
    <w:p>
      <w:pPr>
        <w:spacing w:line="360" w:lineRule="auto"/>
        <w:ind w:firstLine="420" w:firstLineChars="200"/>
        <w:rPr>
          <w:rFonts w:hint="eastAsia" w:ascii="宋体" w:hAnsi="宋体" w:cs="仿宋_GB2312"/>
          <w:kern w:val="0"/>
          <w:szCs w:val="21"/>
        </w:rPr>
      </w:pPr>
    </w:p>
    <w:p>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异议事项2：</w:t>
      </w:r>
      <w:r>
        <w:rPr>
          <w:rFonts w:hint="eastAsia" w:ascii="宋体" w:hAnsi="宋体" w:cs="仿宋_GB2312"/>
          <w:kern w:val="0"/>
          <w:szCs w:val="21"/>
          <w:u w:val="single"/>
        </w:rPr>
        <w:t xml:space="preserve">    </w:t>
      </w:r>
      <w:r>
        <w:rPr>
          <w:rFonts w:hint="eastAsia" w:ascii="宋体" w:hAnsi="宋体" w:cs="仿宋_GB2312"/>
          <w:i/>
          <w:iCs/>
          <w:kern w:val="0"/>
          <w:szCs w:val="21"/>
          <w:u w:val="single"/>
        </w:rPr>
        <w:t xml:space="preserve"> </w:t>
      </w:r>
      <w:r>
        <w:rPr>
          <w:rFonts w:ascii="宋体" w:hAnsi="宋体" w:cs="仿宋_GB2312"/>
          <w:i/>
          <w:iCs/>
          <w:kern w:val="0"/>
          <w:szCs w:val="21"/>
          <w:u w:val="single"/>
        </w:rPr>
        <w:t xml:space="preserve">      </w:t>
      </w:r>
      <w:r>
        <w:rPr>
          <w:rFonts w:hint="eastAsia" w:ascii="宋体" w:hAnsi="宋体" w:cs="仿宋_GB2312"/>
          <w:b/>
          <w:bCs/>
          <w:i/>
          <w:iCs/>
          <w:kern w:val="0"/>
          <w:szCs w:val="21"/>
          <w:u w:val="single"/>
        </w:rPr>
        <w:t xml:space="preserve"> </w:t>
      </w:r>
      <w:r>
        <w:rPr>
          <w:rFonts w:ascii="宋体" w:hAnsi="宋体" w:cs="仿宋_GB2312"/>
          <w:b/>
          <w:bCs/>
          <w:i/>
          <w:iCs/>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p>
    <w:p>
      <w:pPr>
        <w:spacing w:line="360" w:lineRule="auto"/>
        <w:ind w:firstLine="420" w:firstLineChars="200"/>
        <w:rPr>
          <w:rFonts w:hint="eastAsia" w:ascii="宋体" w:hAnsi="宋体" w:cs="仿宋_GB2312"/>
          <w:bCs/>
          <w:kern w:val="0"/>
          <w:szCs w:val="21"/>
          <w:u w:val="single"/>
        </w:rPr>
      </w:pPr>
    </w:p>
    <w:p>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答复2：</w:t>
      </w:r>
      <w:r>
        <w:rPr>
          <w:rFonts w:hint="eastAsia" w:ascii="宋体" w:hAnsi="宋体" w:cs="仿宋_GB2312"/>
          <w:kern w:val="0"/>
          <w:szCs w:val="21"/>
          <w:u w:val="single"/>
        </w:rPr>
        <w:t xml:space="preserve">    </w:t>
      </w:r>
      <w:r>
        <w:rPr>
          <w:rFonts w:hint="eastAsia" w:ascii="宋体" w:hAnsi="宋体" w:cs="仿宋_GB2312"/>
          <w:i/>
          <w:iCs/>
          <w:kern w:val="0"/>
          <w:szCs w:val="21"/>
          <w:u w:val="single"/>
        </w:rPr>
        <w:t xml:space="preserve"> </w:t>
      </w:r>
      <w:r>
        <w:rPr>
          <w:rFonts w:ascii="宋体" w:hAnsi="宋体" w:cs="仿宋_GB2312"/>
          <w:i/>
          <w:iCs/>
          <w:kern w:val="0"/>
          <w:szCs w:val="21"/>
          <w:u w:val="single"/>
        </w:rPr>
        <w:t xml:space="preserve">      </w:t>
      </w:r>
      <w:r>
        <w:rPr>
          <w:rFonts w:hint="eastAsia" w:ascii="宋体" w:hAnsi="宋体" w:cs="仿宋_GB2312"/>
          <w:b/>
          <w:bCs/>
          <w:i/>
          <w:iCs/>
          <w:kern w:val="0"/>
          <w:szCs w:val="21"/>
          <w:u w:val="single"/>
        </w:rPr>
        <w:t xml:space="preserve"> </w:t>
      </w:r>
      <w:r>
        <w:rPr>
          <w:rFonts w:ascii="宋体" w:hAnsi="宋体" w:cs="仿宋_GB2312"/>
          <w:b/>
          <w:bCs/>
          <w:i/>
          <w:iCs/>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p>
    <w:p>
      <w:pPr>
        <w:spacing w:line="360" w:lineRule="auto"/>
        <w:ind w:firstLine="420" w:firstLineChars="200"/>
        <w:rPr>
          <w:rFonts w:hint="eastAsia" w:ascii="宋体" w:hAnsi="宋体" w:cs="仿宋_GB2312"/>
          <w:bCs/>
          <w:kern w:val="0"/>
          <w:szCs w:val="21"/>
          <w:u w:val="single"/>
        </w:rPr>
      </w:pPr>
    </w:p>
    <w:p>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异议事项3：</w:t>
      </w:r>
      <w:r>
        <w:rPr>
          <w:rFonts w:hint="eastAsia" w:ascii="宋体" w:hAnsi="宋体" w:cs="仿宋_GB2312"/>
          <w:kern w:val="0"/>
          <w:szCs w:val="21"/>
          <w:u w:val="single"/>
        </w:rPr>
        <w:t xml:space="preserve">    </w:t>
      </w:r>
      <w:r>
        <w:rPr>
          <w:rFonts w:hint="eastAsia" w:ascii="宋体" w:hAnsi="宋体" w:cs="仿宋_GB2312"/>
          <w:i/>
          <w:iCs/>
          <w:kern w:val="0"/>
          <w:szCs w:val="21"/>
          <w:u w:val="single"/>
        </w:rPr>
        <w:t xml:space="preserve"> </w:t>
      </w:r>
      <w:r>
        <w:rPr>
          <w:rFonts w:ascii="宋体" w:hAnsi="宋体" w:cs="仿宋_GB2312"/>
          <w:i/>
          <w:iCs/>
          <w:kern w:val="0"/>
          <w:szCs w:val="21"/>
          <w:u w:val="single"/>
        </w:rPr>
        <w:t xml:space="preserve">      </w:t>
      </w:r>
      <w:r>
        <w:rPr>
          <w:rFonts w:hint="eastAsia" w:ascii="宋体" w:hAnsi="宋体" w:cs="仿宋_GB2312"/>
          <w:b/>
          <w:bCs/>
          <w:i/>
          <w:iCs/>
          <w:kern w:val="0"/>
          <w:szCs w:val="21"/>
          <w:u w:val="single"/>
        </w:rPr>
        <w:t xml:space="preserve"> </w:t>
      </w:r>
      <w:r>
        <w:rPr>
          <w:rFonts w:ascii="宋体" w:hAnsi="宋体" w:cs="仿宋_GB2312"/>
          <w:b/>
          <w:bCs/>
          <w:i/>
          <w:iCs/>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p>
    <w:p>
      <w:pPr>
        <w:spacing w:line="360" w:lineRule="auto"/>
        <w:ind w:firstLine="420" w:firstLineChars="200"/>
        <w:rPr>
          <w:rFonts w:hint="eastAsia" w:ascii="宋体" w:hAnsi="宋体" w:cs="仿宋_GB2312"/>
          <w:bCs/>
          <w:kern w:val="0"/>
          <w:szCs w:val="21"/>
          <w:u w:val="single"/>
        </w:rPr>
      </w:pPr>
    </w:p>
    <w:p>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答复3：</w:t>
      </w:r>
      <w:r>
        <w:rPr>
          <w:rFonts w:hint="eastAsia" w:ascii="宋体" w:hAnsi="宋体" w:cs="仿宋_GB2312"/>
          <w:kern w:val="0"/>
          <w:szCs w:val="21"/>
          <w:u w:val="single"/>
        </w:rPr>
        <w:t xml:space="preserve">    </w:t>
      </w:r>
      <w:r>
        <w:rPr>
          <w:rFonts w:hint="eastAsia" w:ascii="宋体" w:hAnsi="宋体" w:cs="仿宋_GB2312"/>
          <w:i/>
          <w:iCs/>
          <w:kern w:val="0"/>
          <w:szCs w:val="21"/>
          <w:u w:val="single"/>
        </w:rPr>
        <w:t xml:space="preserve"> </w:t>
      </w:r>
      <w:r>
        <w:rPr>
          <w:rFonts w:ascii="宋体" w:hAnsi="宋体" w:cs="仿宋_GB2312"/>
          <w:i/>
          <w:iCs/>
          <w:kern w:val="0"/>
          <w:szCs w:val="21"/>
          <w:u w:val="single"/>
        </w:rPr>
        <w:t xml:space="preserve">      </w:t>
      </w:r>
      <w:r>
        <w:rPr>
          <w:rFonts w:hint="eastAsia" w:ascii="宋体" w:hAnsi="宋体" w:cs="仿宋_GB2312"/>
          <w:b/>
          <w:bCs/>
          <w:i/>
          <w:iCs/>
          <w:kern w:val="0"/>
          <w:szCs w:val="21"/>
          <w:u w:val="single"/>
        </w:rPr>
        <w:t xml:space="preserve"> </w:t>
      </w:r>
      <w:r>
        <w:rPr>
          <w:rFonts w:ascii="宋体" w:hAnsi="宋体" w:cs="仿宋_GB2312"/>
          <w:b/>
          <w:bCs/>
          <w:i/>
          <w:iCs/>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r>
        <w:rPr>
          <w:rFonts w:hint="eastAsia" w:ascii="宋体" w:hAnsi="宋体" w:cs="仿宋_GB2312"/>
          <w:kern w:val="0"/>
          <w:szCs w:val="21"/>
          <w:u w:val="single"/>
        </w:rPr>
        <w:t xml:space="preserve">         </w:t>
      </w:r>
      <w:r>
        <w:rPr>
          <w:rFonts w:ascii="宋体" w:hAnsi="宋体" w:cs="仿宋_GB2312"/>
          <w:kern w:val="0"/>
          <w:szCs w:val="21"/>
          <w:u w:val="single"/>
        </w:rPr>
        <w:t xml:space="preserve">   </w:t>
      </w:r>
    </w:p>
    <w:p>
      <w:pPr>
        <w:adjustRightInd w:val="0"/>
        <w:snapToGrid w:val="0"/>
        <w:spacing w:line="360" w:lineRule="auto"/>
        <w:ind w:firstLine="422" w:firstLineChars="200"/>
        <w:rPr>
          <w:rFonts w:hint="eastAsia" w:ascii="宋体" w:hAnsi="宋体" w:cs="黑体"/>
          <w:b/>
          <w:bCs/>
          <w:kern w:val="0"/>
          <w:szCs w:val="21"/>
        </w:rPr>
      </w:pPr>
      <w:r>
        <w:rPr>
          <w:rFonts w:hint="eastAsia" w:ascii="宋体" w:hAnsi="宋体" w:cs="黑体"/>
          <w:b/>
          <w:bCs/>
          <w:kern w:val="0"/>
          <w:szCs w:val="21"/>
        </w:rPr>
        <w:t>相关证明材料：见附件（如有）</w:t>
      </w:r>
    </w:p>
    <w:p>
      <w:pPr>
        <w:adjustRightInd w:val="0"/>
        <w:snapToGrid w:val="0"/>
        <w:rPr>
          <w:rFonts w:hint="eastAsia" w:ascii="宋体" w:hAnsi="宋体" w:cs="黑体"/>
          <w:kern w:val="0"/>
          <w:szCs w:val="21"/>
        </w:rPr>
      </w:pPr>
    </w:p>
    <w:p>
      <w:pPr>
        <w:snapToGrid w:val="0"/>
        <w:spacing w:line="360" w:lineRule="auto"/>
        <w:ind w:firstLine="420" w:firstLineChars="200"/>
        <w:rPr>
          <w:rFonts w:hint="eastAsia" w:ascii="宋体" w:hAnsi="宋体"/>
          <w:szCs w:val="21"/>
        </w:rPr>
      </w:pPr>
      <w:r>
        <w:rPr>
          <w:rFonts w:ascii="宋体" w:hAnsi="宋体"/>
          <w:bCs/>
          <w:szCs w:val="21"/>
        </w:rPr>
        <w:t>如</w:t>
      </w:r>
      <w:r>
        <w:rPr>
          <w:rFonts w:hint="eastAsia" w:ascii="宋体" w:hAnsi="宋体"/>
          <w:bCs/>
          <w:szCs w:val="21"/>
        </w:rPr>
        <w:t>您单位</w:t>
      </w:r>
      <w:r>
        <w:rPr>
          <w:rFonts w:ascii="宋体" w:hAnsi="宋体"/>
          <w:bCs/>
          <w:szCs w:val="21"/>
        </w:rPr>
        <w:t>对本</w:t>
      </w:r>
      <w:r>
        <w:rPr>
          <w:rFonts w:hint="eastAsia" w:ascii="宋体" w:hAnsi="宋体"/>
          <w:bCs/>
          <w:szCs w:val="21"/>
        </w:rPr>
        <w:t>答</w:t>
      </w:r>
      <w:r>
        <w:rPr>
          <w:rFonts w:ascii="宋体" w:hAnsi="宋体"/>
          <w:bCs/>
          <w:szCs w:val="21"/>
        </w:rPr>
        <w:t>复不满意，可以在</w:t>
      </w:r>
      <w:r>
        <w:rPr>
          <w:rFonts w:hint="eastAsia" w:ascii="宋体" w:hAnsi="宋体"/>
          <w:bCs/>
          <w:szCs w:val="21"/>
        </w:rPr>
        <w:t>异议</w:t>
      </w:r>
      <w:r>
        <w:rPr>
          <w:rFonts w:ascii="宋体" w:hAnsi="宋体"/>
          <w:bCs/>
          <w:szCs w:val="21"/>
        </w:rPr>
        <w:t>答复期满十日内向</w:t>
      </w:r>
      <w:r>
        <w:rPr>
          <w:rFonts w:hint="eastAsia" w:ascii="宋体" w:hAnsi="宋体"/>
          <w:bCs/>
          <w:szCs w:val="21"/>
        </w:rPr>
        <w:t>有关行政监督部门</w:t>
      </w:r>
      <w:r>
        <w:rPr>
          <w:rFonts w:ascii="宋体" w:hAnsi="宋体"/>
          <w:bCs/>
          <w:szCs w:val="21"/>
        </w:rPr>
        <w:t>依法提起投诉。感谢您对我们工作的监督和支持。</w:t>
      </w:r>
    </w:p>
    <w:p>
      <w:pPr>
        <w:widowControl/>
        <w:spacing w:line="360" w:lineRule="auto"/>
        <w:ind w:firstLine="4200" w:firstLineChars="2000"/>
        <w:jc w:val="left"/>
        <w:rPr>
          <w:rFonts w:hint="eastAsia" w:ascii="宋体" w:hAnsi="宋体" w:cs="仿宋_GB2312"/>
          <w:kern w:val="0"/>
          <w:szCs w:val="21"/>
        </w:rPr>
      </w:pPr>
    </w:p>
    <w:p>
      <w:pPr>
        <w:widowControl/>
        <w:spacing w:line="360" w:lineRule="auto"/>
        <w:ind w:firstLine="4200" w:firstLineChars="2000"/>
        <w:jc w:val="left"/>
        <w:rPr>
          <w:rFonts w:hint="eastAsia" w:ascii="宋体" w:hAnsi="宋体" w:cs="仿宋_GB2312"/>
          <w:kern w:val="0"/>
          <w:szCs w:val="21"/>
        </w:rPr>
      </w:pPr>
    </w:p>
    <w:p>
      <w:pPr>
        <w:widowControl/>
        <w:spacing w:line="360" w:lineRule="auto"/>
        <w:ind w:firstLine="4200" w:firstLineChars="2000"/>
        <w:jc w:val="left"/>
        <w:rPr>
          <w:rFonts w:hint="eastAsia" w:ascii="宋体" w:hAnsi="宋体" w:cs="仿宋_GB2312"/>
          <w:kern w:val="0"/>
          <w:szCs w:val="21"/>
        </w:rPr>
      </w:pPr>
    </w:p>
    <w:p>
      <w:pPr>
        <w:widowControl/>
        <w:spacing w:line="360" w:lineRule="auto"/>
        <w:ind w:firstLine="4200" w:firstLineChars="2000"/>
        <w:jc w:val="left"/>
        <w:rPr>
          <w:rFonts w:hint="eastAsia" w:ascii="宋体" w:hAnsi="宋体" w:cs="宋体"/>
          <w:kern w:val="0"/>
          <w:szCs w:val="21"/>
        </w:rPr>
      </w:pPr>
      <w:r>
        <w:rPr>
          <w:rFonts w:hint="eastAsia" w:ascii="宋体" w:hAnsi="宋体" w:cs="仿宋_GB2312"/>
          <w:kern w:val="0"/>
          <w:szCs w:val="21"/>
        </w:rPr>
        <w:t>招标人或招标代理机构（公章）：</w:t>
      </w:r>
      <w:r>
        <w:rPr>
          <w:rFonts w:hint="eastAsia" w:ascii="宋体" w:hAnsi="宋体" w:cs="仿宋_GB2312"/>
          <w:kern w:val="0"/>
          <w:szCs w:val="21"/>
          <w:u w:val="single"/>
        </w:rPr>
        <w:t xml:space="preserve">         </w:t>
      </w:r>
    </w:p>
    <w:p>
      <w:pPr>
        <w:widowControl/>
        <w:spacing w:line="360" w:lineRule="auto"/>
        <w:ind w:left="99" w:leftChars="47" w:firstLine="3780" w:firstLineChars="1800"/>
        <w:jc w:val="left"/>
        <w:rPr>
          <w:rFonts w:hint="eastAsia" w:ascii="宋体" w:hAnsi="宋体" w:cs="仿宋_GB2312"/>
          <w:kern w:val="0"/>
          <w:szCs w:val="21"/>
          <w:u w:val="single"/>
        </w:rPr>
      </w:pPr>
      <w:r>
        <w:rPr>
          <w:rFonts w:hint="eastAsia" w:ascii="宋体" w:hAnsi="宋体" w:cs="仿宋_GB2312"/>
          <w:kern w:val="0"/>
          <w:szCs w:val="21"/>
        </w:rPr>
        <w:t>法定代表人或授权代表（签字或盖章）</w:t>
      </w:r>
      <w:r>
        <w:rPr>
          <w:rFonts w:hint="eastAsia" w:ascii="宋体" w:hAnsi="宋体" w:cs="仿宋_GB2312"/>
          <w:kern w:val="0"/>
          <w:szCs w:val="21"/>
          <w:u w:val="single"/>
        </w:rPr>
        <w:t xml:space="preserve">    </w:t>
      </w:r>
    </w:p>
    <w:p>
      <w:pPr>
        <w:spacing w:line="360" w:lineRule="auto"/>
      </w:pPr>
      <w:r>
        <w:rPr>
          <w:rFonts w:hint="eastAsia" w:ascii="宋体" w:hAnsi="宋体" w:cs="仿宋_GB2312"/>
          <w:kern w:val="0"/>
          <w:szCs w:val="21"/>
        </w:rPr>
        <w:t xml:space="preserve">          </w:t>
      </w:r>
      <w:r>
        <w:rPr>
          <w:rFonts w:ascii="宋体" w:hAnsi="宋体" w:cs="仿宋_GB2312"/>
          <w:kern w:val="0"/>
          <w:szCs w:val="21"/>
        </w:rPr>
        <w:t xml:space="preserve">                             </w:t>
      </w:r>
      <w:r>
        <w:rPr>
          <w:rFonts w:hint="eastAsia" w:ascii="宋体" w:hAnsi="宋体" w:cs="仿宋_GB2312"/>
          <w:kern w:val="0"/>
          <w:szCs w:val="21"/>
        </w:rPr>
        <w:t xml:space="preserve"> 日 </w:t>
      </w:r>
      <w:r>
        <w:rPr>
          <w:rFonts w:ascii="宋体" w:hAnsi="宋体" w:cs="仿宋_GB2312"/>
          <w:kern w:val="0"/>
          <w:szCs w:val="21"/>
        </w:rPr>
        <w:t xml:space="preserve">   </w:t>
      </w:r>
      <w:r>
        <w:rPr>
          <w:rFonts w:hint="eastAsia" w:ascii="宋体" w:hAnsi="宋体" w:cs="仿宋_GB2312"/>
          <w:kern w:val="0"/>
          <w:szCs w:val="21"/>
        </w:rPr>
        <w:t xml:space="preserve">期： </w:t>
      </w:r>
      <w:r>
        <w:rPr>
          <w:rFonts w:ascii="宋体" w:hAnsi="宋体" w:cs="仿宋_GB2312"/>
          <w:kern w:val="0"/>
          <w:szCs w:val="21"/>
        </w:rPr>
        <w:t xml:space="preserve">    </w:t>
      </w:r>
      <w:r>
        <w:rPr>
          <w:rFonts w:hint="eastAsia" w:ascii="宋体" w:hAnsi="宋体" w:cs="仿宋_GB2312"/>
          <w:kern w:val="0"/>
          <w:szCs w:val="21"/>
        </w:rPr>
        <w:t>年    月   日</w:t>
      </w:r>
    </w:p>
    <w:p>
      <w:pPr>
        <w:ind w:left="630" w:hanging="630" w:hangingChars="300"/>
        <w:rPr>
          <w:rFonts w:hint="eastAsia" w:ascii="宋体" w:hAnsi="宋体"/>
          <w:szCs w:val="21"/>
        </w:rPr>
      </w:pPr>
      <w:r>
        <w:rPr>
          <w:rFonts w:hint="eastAsia" w:ascii="宋体" w:hAnsi="宋体"/>
          <w:szCs w:val="21"/>
        </w:rPr>
        <w:t xml:space="preserve">                      </w:t>
      </w:r>
    </w:p>
    <w:p>
      <w:pPr>
        <w:sectPr>
          <w:headerReference r:id="rId9" w:type="default"/>
          <w:footerReference r:id="rId10" w:type="default"/>
          <w:pgSz w:w="11906" w:h="16838"/>
          <w:pgMar w:top="1440" w:right="1797" w:bottom="1440" w:left="1797" w:header="851" w:footer="851" w:gutter="0"/>
          <w:cols w:space="720" w:num="1"/>
          <w:docGrid w:linePitch="312" w:charSpace="0"/>
        </w:sectPr>
      </w:pPr>
    </w:p>
    <w:p>
      <w:bookmarkStart w:id="507" w:name="_Toc152265814_0"/>
    </w:p>
    <w:p/>
    <w:p/>
    <w:p/>
    <w:p/>
    <w:p/>
    <w:p/>
    <w:p/>
    <w:p/>
    <w:p/>
    <w:p/>
    <w:p/>
    <w:p/>
    <w:p/>
    <w:p/>
    <w:p/>
    <w:p/>
    <w:p/>
    <w:p/>
    <w:p>
      <w:pPr>
        <w:pStyle w:val="4"/>
        <w:spacing w:before="120" w:after="120" w:line="400" w:lineRule="exact"/>
        <w:jc w:val="center"/>
        <w:sectPr>
          <w:footerReference r:id="rId11" w:type="default"/>
          <w:pgSz w:w="11906" w:h="16838"/>
          <w:pgMar w:top="1440" w:right="1800" w:bottom="1440" w:left="1800" w:header="851" w:footer="992" w:gutter="0"/>
          <w:cols w:space="425" w:num="1"/>
          <w:docGrid w:type="lines" w:linePitch="312" w:charSpace="0"/>
        </w:sectPr>
      </w:pPr>
      <w:bookmarkStart w:id="508" w:name="_Toc256000080"/>
      <w:bookmarkStart w:id="509" w:name="_Toc14211"/>
      <w:r>
        <w:rPr>
          <w:rFonts w:ascii="黑体" w:hAnsi="黑体" w:eastAsia="黑体"/>
          <w:b w:val="0"/>
          <w:bCs w:val="0"/>
          <w:sz w:val="32"/>
        </w:rPr>
        <w:t>第三章</w:t>
      </w:r>
      <w:r>
        <w:rPr>
          <w:rFonts w:hint="eastAsia" w:ascii="黑体" w:hAnsi="黑体" w:eastAsia="黑体"/>
          <w:b w:val="0"/>
          <w:bCs w:val="0"/>
          <w:sz w:val="32"/>
        </w:rPr>
        <w:t xml:space="preserve">  </w:t>
      </w:r>
      <w:r>
        <w:rPr>
          <w:rFonts w:ascii="黑体" w:hAnsi="黑体" w:eastAsia="黑体"/>
          <w:b w:val="0"/>
          <w:bCs w:val="0"/>
          <w:sz w:val="32"/>
        </w:rPr>
        <w:t>评标办法</w:t>
      </w:r>
      <w:bookmarkEnd w:id="507"/>
      <w:bookmarkEnd w:id="508"/>
      <w:bookmarkEnd w:id="509"/>
    </w:p>
    <w:p>
      <w:pPr>
        <w:pStyle w:val="29"/>
        <w:jc w:val="center"/>
      </w:pPr>
      <w:bookmarkStart w:id="510" w:name="_Toc155889699"/>
      <w:bookmarkStart w:id="511" w:name="_Toc256000081"/>
      <w:bookmarkStart w:id="512" w:name="_Toc20596"/>
      <w:r>
        <w:rPr>
          <w:rFonts w:hint="eastAsia"/>
        </w:rPr>
        <w:t>评标办法前附表</w:t>
      </w:r>
      <w:bookmarkEnd w:id="510"/>
      <w:r>
        <w:rPr>
          <w:rFonts w:hint="eastAsia"/>
        </w:rPr>
        <w:t>（综合评估法）</w:t>
      </w:r>
      <w:bookmarkEnd w:id="511"/>
      <w:bookmarkEnd w:id="512"/>
    </w:p>
    <w:p>
      <w:pPr>
        <w:rPr>
          <w:rFonts w:hint="eastAsia" w:ascii="黑体" w:hAnsi="宋体" w:eastAsia="黑体"/>
          <w:sz w:val="28"/>
          <w:szCs w:val="28"/>
        </w:rPr>
      </w:pPr>
    </w:p>
    <w:tbl>
      <w:tblPr>
        <w:tblStyle w:val="22"/>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pPr>
              <w:spacing w:line="420" w:lineRule="exact"/>
              <w:jc w:val="center"/>
              <w:rPr>
                <w:rFonts w:hint="eastAsia" w:ascii="宋体" w:hAnsi="宋体"/>
                <w:b/>
                <w:szCs w:val="21"/>
              </w:rPr>
            </w:pPr>
            <w:bookmarkStart w:id="513" w:name="_Hlk154665296"/>
            <w:bookmarkStart w:id="514" w:name="_Hlk121668541"/>
            <w:r>
              <w:rPr>
                <w:rFonts w:hint="eastAsia" w:ascii="宋体" w:hAnsi="宋体"/>
                <w:b/>
                <w:szCs w:val="21"/>
              </w:rPr>
              <w:t>条款号</w:t>
            </w:r>
          </w:p>
        </w:tc>
        <w:tc>
          <w:tcPr>
            <w:tcW w:w="2340" w:type="dxa"/>
            <w:gridSpan w:val="2"/>
            <w:vAlign w:val="center"/>
          </w:tcPr>
          <w:p>
            <w:pPr>
              <w:spacing w:line="420" w:lineRule="exact"/>
              <w:jc w:val="center"/>
              <w:rPr>
                <w:rFonts w:hint="eastAsia" w:ascii="宋体" w:hAnsi="宋体"/>
                <w:b/>
                <w:szCs w:val="21"/>
              </w:rPr>
            </w:pPr>
            <w:r>
              <w:rPr>
                <w:rFonts w:hint="eastAsia" w:ascii="宋体" w:hAnsi="宋体"/>
                <w:b/>
                <w:szCs w:val="21"/>
              </w:rPr>
              <w:t>评审因素</w:t>
            </w:r>
          </w:p>
        </w:tc>
        <w:tc>
          <w:tcPr>
            <w:tcW w:w="4791" w:type="dxa"/>
            <w:gridSpan w:val="2"/>
            <w:vAlign w:val="center"/>
          </w:tcPr>
          <w:p>
            <w:pPr>
              <w:spacing w:line="420" w:lineRule="exact"/>
              <w:jc w:val="center"/>
              <w:rPr>
                <w:rFonts w:hint="eastAsia" w:ascii="宋体" w:hAnsi="宋体"/>
                <w:b/>
                <w:szCs w:val="21"/>
              </w:rPr>
            </w:pPr>
            <w:r>
              <w:rPr>
                <w:rFonts w:hint="eastAsia" w:ascii="宋体" w:hAnsi="宋体"/>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投标人名称</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投标文件签字盖章</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符合第二章“投标人须知”第3.7.3（4）目规定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投标文件格式、内容</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符合第八章“投标文件格式”的要求且实质性内容齐全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报价唯一</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投标报价文件（包括投标函）中的任何单价、合价或总价只能有一个有效报价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报价表格的完整性</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应按招标文件的要求完整报送投标报价应有表格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项目经理实名认证</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项目经理通过二次刷卡实名认证（无在建工程和不良行为）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法定代表人或授权委托人实名认证</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法定代表人或授权委托人完成实名认证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模块化暗标</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符合第二章“投标人须知”第3.7.4项规定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形式评审标准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行为雷同分析</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不存在投标行为雷同情形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营业执照</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安全生产许可证</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资质等级</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信誉</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项目经理资格</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业绩</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项目管理机构主要人员要求</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其他要求</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资格评审标准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不存在禁止投标的情形</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不存在第二章“投标人须知”第1.4.3项规定的任何一种情形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投标内容</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计划工期</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工程质量</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投标有效期</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投标保证金</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权利义务</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分包计划</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符合第二章“投标人须知”第1.11款规定（如有）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算术错误修正</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投标人接受算术错误修正后的报价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pPr>
              <w:spacing w:line="420" w:lineRule="exact"/>
              <w:jc w:val="center"/>
              <w:rPr>
                <w:szCs w:val="21"/>
              </w:rPr>
            </w:pPr>
            <w:r>
              <w:rPr>
                <w:rFonts w:hint="eastAsia" w:ascii="宋体" w:hAnsi="宋体" w:cs="宋体"/>
                <w:szCs w:val="21"/>
              </w:rPr>
              <w:t>2.1.3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响应性评审标准</w:t>
            </w:r>
          </w:p>
        </w:tc>
        <w:tc>
          <w:tcPr>
            <w:tcW w:w="2340" w:type="dxa"/>
            <w:gridSpan w:val="2"/>
            <w:vAlign w:val="center"/>
          </w:tcPr>
          <w:p>
            <w:pPr>
              <w:spacing w:line="420" w:lineRule="exact"/>
              <w:jc w:val="center"/>
              <w:rPr>
                <w:rFonts w:hint="eastAsia" w:ascii="宋体" w:hAnsi="宋体"/>
                <w:szCs w:val="21"/>
              </w:rPr>
            </w:pPr>
            <w:r>
              <w:rPr>
                <w:rFonts w:hint="eastAsia" w:ascii="宋体" w:hAnsi="宋体" w:cs="宋体"/>
                <w:szCs w:val="21"/>
              </w:rPr>
              <w:t>投标价格</w:t>
            </w:r>
          </w:p>
        </w:tc>
        <w:tc>
          <w:tcPr>
            <w:tcW w:w="4791" w:type="dxa"/>
            <w:gridSpan w:val="2"/>
            <w:vAlign w:val="center"/>
          </w:tcPr>
          <w:p>
            <w:pPr>
              <w:spacing w:line="420" w:lineRule="exact"/>
              <w:rPr>
                <w:rFonts w:hint="eastAsia" w:ascii="宋体" w:hAnsi="宋体"/>
                <w:szCs w:val="21"/>
              </w:rPr>
            </w:pPr>
            <w:r>
              <w:rPr>
                <w:rFonts w:hint="eastAsia" w:ascii="宋体" w:hAnsi="宋体" w:cs="宋体"/>
                <w:szCs w:val="21"/>
              </w:rPr>
              <w:t>投标报价（含修正后）不大于本标段最高投标限价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pPr>
            <w:r>
              <w:rPr>
                <w:rFonts w:hint="eastAsia"/>
                <w:szCs w:val="21"/>
              </w:rPr>
              <w:t>3.</w:t>
            </w:r>
            <w:r>
              <w:rPr>
                <w:szCs w:val="21"/>
              </w:rPr>
              <w:t>1</w:t>
            </w:r>
            <w:r>
              <w:rPr>
                <w:rFonts w:hint="eastAsia"/>
                <w:szCs w:val="21"/>
              </w:rPr>
              <w:t>.2</w:t>
            </w:r>
          </w:p>
        </w:tc>
        <w:tc>
          <w:tcPr>
            <w:tcW w:w="7131" w:type="dxa"/>
            <w:gridSpan w:val="4"/>
            <w:vAlign w:val="center"/>
          </w:tcPr>
          <w:p>
            <w:pPr>
              <w:spacing w:line="420" w:lineRule="exact"/>
              <w:rPr>
                <w:rFonts w:hint="eastAsia" w:ascii="宋体" w:hAnsi="宋体"/>
                <w:szCs w:val="21"/>
              </w:rPr>
            </w:pPr>
            <w:r>
              <w:rPr>
                <w:rFonts w:hint="eastAsia" w:ascii="宋体" w:hAnsi="宋体"/>
                <w:szCs w:val="21"/>
              </w:rPr>
              <w:t>投标人不得存在的其他情形：</w:t>
            </w:r>
          </w:p>
          <w:p>
            <w:pPr>
              <w:spacing w:line="420" w:lineRule="exact"/>
              <w:rPr>
                <w:rFonts w:hint="eastAsia" w:ascii="宋体" w:hAnsi="宋体"/>
                <w:szCs w:val="21"/>
              </w:rPr>
            </w:pPr>
            <w:r>
              <w:rPr>
                <w:rFonts w:hint="eastAsia" w:ascii="宋体" w:hAnsi="宋体"/>
                <w:szCs w:val="21"/>
              </w:rPr>
              <w:t>（1）不按评标委员会要求澄清、说明或补正；</w:t>
            </w:r>
          </w:p>
          <w:p>
            <w:pPr>
              <w:spacing w:line="420" w:lineRule="exact"/>
            </w:pPr>
            <w:r>
              <w:rPr>
                <w:rFonts w:hint="eastAsia" w:ascii="宋体" w:hAnsi="宋体"/>
                <w:szCs w:val="21"/>
              </w:rPr>
              <w:t>（2）有串通投标、弄虚作假、行贿或有其他违法行为。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szCs w:val="21"/>
                <w:highlight w:val="yellow"/>
              </w:rPr>
            </w:pPr>
            <w:r>
              <w:rPr>
                <w:rFonts w:hint="eastAsia"/>
                <w:szCs w:val="21"/>
                <w:highlight w:val="yellow"/>
              </w:rPr>
              <w:t>3</w:t>
            </w:r>
            <w:r>
              <w:rPr>
                <w:szCs w:val="21"/>
                <w:highlight w:val="yellow"/>
              </w:rPr>
              <w:t>.1.4</w:t>
            </w:r>
          </w:p>
        </w:tc>
        <w:tc>
          <w:tcPr>
            <w:tcW w:w="7131" w:type="dxa"/>
            <w:gridSpan w:val="4"/>
            <w:vAlign w:val="center"/>
          </w:tcPr>
          <w:p>
            <w:pPr>
              <w:spacing w:line="420" w:lineRule="exact"/>
              <w:jc w:val="left"/>
            </w:pPr>
            <w:r>
              <w:rPr>
                <w:rFonts w:hint="eastAsia" w:ascii="宋体" w:hAnsi="宋体"/>
                <w:szCs w:val="21"/>
              </w:rPr>
              <w:t>合理最低价：</w:t>
            </w:r>
            <w:r>
              <w:rPr>
                <w:rFonts w:hint="eastAsia" w:ascii="宋体" w:hAnsi="宋体"/>
                <w:szCs w:val="21"/>
              </w:rPr>
              <w:br w:type="textWrapping"/>
            </w:r>
            <w:r>
              <w:rPr>
                <w:rFonts w:hint="eastAsia" w:ascii="宋体" w:hAnsi="宋体"/>
                <w:szCs w:val="21"/>
              </w:rPr>
              <w:t>（1）合同方式：固定总价合同</w:t>
            </w:r>
            <w:r>
              <w:rPr>
                <w:rFonts w:hint="eastAsia" w:ascii="宋体" w:hAnsi="宋体"/>
                <w:szCs w:val="21"/>
              </w:rPr>
              <w:br w:type="textWrapping"/>
            </w:r>
            <w:r>
              <w:rPr>
                <w:rFonts w:hint="eastAsia" w:ascii="宋体" w:hAnsi="宋体"/>
                <w:szCs w:val="21"/>
              </w:rPr>
              <w:t>（2）计算方法：依据辽住建发【2020】4号文件第十七条</w:t>
            </w:r>
            <w:r>
              <w:rPr>
                <w:rFonts w:hint="eastAsia"/>
              </w:rPr>
              <w:t>。</w:t>
            </w:r>
          </w:p>
          <w:p>
            <w:pPr>
              <w:pStyle w:val="2"/>
              <w:ind w:firstLine="0" w:firstLineChars="0"/>
            </w:pPr>
            <w:r>
              <w:rPr>
                <w:rFonts w:hint="eastAsia"/>
              </w:rPr>
              <w:t>采用固定总价合同的建设工程施工项目合理最低价的确定方式：当通过初步评审的投标人大于5家时，先对投标人的投标报价由低到高依次排序，去掉投标报价最高的20%家和最低的20%家（小数点后不保留有效数字，个位数向下取整），然后进行算术平均，计算得出一个平均价，招标人应设置下浮比例（各市可根据本地情况设定并应在招标文件中明确下浮比例或下浮比例的产生规则），得出合理最低价。当通过初步评审的投标人小于等于5家时，则全部投标报价均进入算术平均值计算。</w:t>
            </w:r>
          </w:p>
          <w:p>
            <w:pPr>
              <w:pStyle w:val="2"/>
              <w:ind w:firstLine="0" w:firstLineChars="0"/>
            </w:pPr>
            <w:r>
              <w:rPr>
                <w:rFonts w:hint="eastAsia"/>
              </w:rPr>
              <w:t>（3）下浮率：20%</w:t>
            </w:r>
          </w:p>
          <w:p>
            <w:pPr>
              <w:pStyle w:val="3"/>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szCs w:val="21"/>
              </w:rPr>
            </w:pPr>
            <w:r>
              <w:rPr>
                <w:rFonts w:hint="eastAsia"/>
                <w:szCs w:val="21"/>
              </w:rPr>
              <w:t>3</w:t>
            </w:r>
            <w:r>
              <w:rPr>
                <w:szCs w:val="21"/>
              </w:rPr>
              <w:t>.2.1</w:t>
            </w:r>
          </w:p>
        </w:tc>
        <w:tc>
          <w:tcPr>
            <w:tcW w:w="7131" w:type="dxa"/>
            <w:gridSpan w:val="4"/>
            <w:vAlign w:val="center"/>
          </w:tcPr>
          <w:p>
            <w:pPr>
              <w:spacing w:line="420" w:lineRule="exact"/>
              <w:jc w:val="left"/>
              <w:rPr>
                <w:rFonts w:hint="eastAsia" w:ascii="宋体" w:hAnsi="宋体"/>
                <w:szCs w:val="21"/>
              </w:rPr>
            </w:pPr>
            <w:r>
              <w:rPr>
                <w:rFonts w:hint="eastAsia" w:ascii="宋体" w:hAnsi="宋体"/>
                <w:szCs w:val="21"/>
              </w:rPr>
              <w:t>（1）是否采用入围：否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szCs w:val="21"/>
              </w:rPr>
            </w:pPr>
            <w:r>
              <w:rPr>
                <w:rFonts w:hint="eastAsia"/>
                <w:szCs w:val="21"/>
              </w:rPr>
              <w:t>3.3</w:t>
            </w:r>
          </w:p>
        </w:tc>
        <w:tc>
          <w:tcPr>
            <w:tcW w:w="7131" w:type="dxa"/>
            <w:gridSpan w:val="4"/>
            <w:vAlign w:val="center"/>
          </w:tcPr>
          <w:p>
            <w:pPr>
              <w:spacing w:line="360" w:lineRule="auto"/>
              <w:ind w:firstLine="420" w:firstLineChars="200"/>
              <w:jc w:val="left"/>
              <w:rPr>
                <w:rFonts w:hint="eastAsia" w:ascii="宋体" w:hAnsi="宋体" w:cs="微软雅黑"/>
                <w:szCs w:val="21"/>
              </w:rPr>
            </w:pPr>
            <w:r>
              <w:rPr>
                <w:rFonts w:hint="eastAsia" w:ascii="宋体" w:hAnsi="宋体" w:cs="微软雅黑"/>
                <w:szCs w:val="21"/>
              </w:rPr>
              <w:t>评标委员会在评标过程中，如要求投标人澄清或说明的，评标委员会要求投标人在线澄清或说明的时间距投标人收到评标委员会通知的时间不得少于</w:t>
            </w:r>
            <w:r>
              <w:rPr>
                <w:rFonts w:hint="eastAsia" w:ascii="宋体" w:hAnsi="宋体"/>
                <w:szCs w:val="21"/>
                <w:u w:val="single"/>
              </w:rPr>
              <w:t>30</w:t>
            </w:r>
            <w:r>
              <w:rPr>
                <w:rFonts w:hint="eastAsia" w:ascii="宋体" w:hAnsi="宋体" w:cs="微软雅黑"/>
                <w:szCs w:val="21"/>
              </w:rPr>
              <w:t>分钟。</w:t>
            </w:r>
          </w:p>
          <w:p>
            <w:pPr>
              <w:spacing w:line="360" w:lineRule="auto"/>
              <w:ind w:firstLine="420" w:firstLineChars="200"/>
              <w:jc w:val="left"/>
              <w:rPr>
                <w:rFonts w:hint="eastAsia" w:ascii="宋体" w:hAnsi="宋体" w:cs="微软雅黑"/>
                <w:szCs w:val="21"/>
              </w:rPr>
            </w:pPr>
            <w:r>
              <w:rPr>
                <w:rFonts w:hint="eastAsia" w:ascii="宋体" w:hAnsi="宋体" w:cs="微软雅黑"/>
                <w:szCs w:val="21"/>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szCs w:val="21"/>
                <w:u w:val="single"/>
              </w:rPr>
              <w:t>30</w:t>
            </w:r>
            <w:r>
              <w:rPr>
                <w:rFonts w:hint="eastAsia" w:ascii="宋体" w:hAnsi="宋体" w:cs="微软雅黑"/>
                <w:szCs w:val="21"/>
              </w:rPr>
              <w:t>分钟。</w:t>
            </w:r>
          </w:p>
          <w:p>
            <w:pPr>
              <w:spacing w:line="360" w:lineRule="auto"/>
              <w:ind w:firstLine="420" w:firstLineChars="200"/>
              <w:jc w:val="left"/>
              <w:rPr>
                <w:rFonts w:hint="eastAsia" w:ascii="宋体" w:hAnsi="宋体"/>
                <w:szCs w:val="21"/>
              </w:rPr>
            </w:pPr>
            <w:r>
              <w:rPr>
                <w:rFonts w:hint="eastAsia" w:ascii="宋体" w:hAnsi="宋体" w:cs="微软雅黑"/>
                <w:szCs w:val="21"/>
              </w:rPr>
              <w:t>投标人未在规定时间内作出澄清或说明的，或者评标委员会成员认为该投标人的澄清或说明始终都不符合评标委员会要求的，作否决投标处理。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pPr>
              <w:spacing w:line="420" w:lineRule="exact"/>
              <w:jc w:val="center"/>
              <w:rPr>
                <w:rFonts w:hint="eastAsia" w:ascii="宋体" w:hAnsi="宋体"/>
                <w:b/>
                <w:szCs w:val="21"/>
              </w:rPr>
            </w:pPr>
            <w:r>
              <w:rPr>
                <w:rFonts w:hint="eastAsia" w:ascii="宋体" w:hAnsi="宋体"/>
                <w:b/>
                <w:szCs w:val="21"/>
              </w:rPr>
              <w:t>条款号</w:t>
            </w:r>
          </w:p>
        </w:tc>
        <w:tc>
          <w:tcPr>
            <w:tcW w:w="2085" w:type="dxa"/>
            <w:vAlign w:val="center"/>
          </w:tcPr>
          <w:p>
            <w:pPr>
              <w:spacing w:line="420" w:lineRule="exact"/>
              <w:jc w:val="center"/>
              <w:rPr>
                <w:rFonts w:hint="eastAsia" w:ascii="宋体" w:hAnsi="宋体"/>
                <w:b/>
                <w:szCs w:val="21"/>
              </w:rPr>
            </w:pPr>
            <w:r>
              <w:rPr>
                <w:rFonts w:hint="eastAsia" w:ascii="宋体" w:hAnsi="宋体"/>
                <w:b/>
                <w:szCs w:val="21"/>
              </w:rPr>
              <w:t>条款内容</w:t>
            </w:r>
          </w:p>
        </w:tc>
        <w:tc>
          <w:tcPr>
            <w:tcW w:w="5046" w:type="dxa"/>
            <w:gridSpan w:val="3"/>
            <w:vAlign w:val="center"/>
          </w:tcPr>
          <w:p>
            <w:pPr>
              <w:spacing w:line="420" w:lineRule="exact"/>
              <w:jc w:val="center"/>
              <w:rPr>
                <w:rFonts w:hint="eastAsia" w:ascii="宋体" w:hAnsi="宋体"/>
                <w:b/>
                <w:szCs w:val="21"/>
              </w:rPr>
            </w:pPr>
            <w:r>
              <w:rPr>
                <w:rFonts w:hint="eastAsia"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pPr>
              <w:spacing w:line="420" w:lineRule="exact"/>
              <w:jc w:val="center"/>
              <w:rPr>
                <w:rFonts w:hint="eastAsia" w:ascii="宋体" w:hAnsi="宋体"/>
                <w:szCs w:val="21"/>
              </w:rPr>
            </w:pPr>
            <w:r>
              <w:rPr>
                <w:rFonts w:hint="eastAsia"/>
                <w:szCs w:val="21"/>
              </w:rPr>
              <w:t>2.2.1</w:t>
            </w:r>
          </w:p>
        </w:tc>
        <w:tc>
          <w:tcPr>
            <w:tcW w:w="2085" w:type="dxa"/>
            <w:vAlign w:val="center"/>
          </w:tcPr>
          <w:p>
            <w:pPr>
              <w:spacing w:line="420" w:lineRule="exact"/>
              <w:jc w:val="center"/>
              <w:rPr>
                <w:rFonts w:hint="eastAsia" w:ascii="宋体" w:hAnsi="宋体"/>
                <w:szCs w:val="21"/>
              </w:rPr>
            </w:pPr>
            <w:r>
              <w:rPr>
                <w:rFonts w:hint="eastAsia" w:ascii="宋体" w:hAnsi="宋体"/>
                <w:szCs w:val="21"/>
              </w:rPr>
              <w:t>分值构成</w:t>
            </w:r>
          </w:p>
          <w:p>
            <w:pPr>
              <w:spacing w:line="420" w:lineRule="exact"/>
              <w:jc w:val="center"/>
              <w:rPr>
                <w:rFonts w:hint="eastAsia" w:ascii="宋体" w:hAnsi="宋体"/>
                <w:szCs w:val="21"/>
              </w:rPr>
            </w:pPr>
            <w:r>
              <w:rPr>
                <w:rFonts w:hint="eastAsia" w:ascii="宋体" w:hAnsi="宋体"/>
                <w:szCs w:val="21"/>
              </w:rPr>
              <w:t>（总分</w:t>
            </w:r>
            <w:r>
              <w:rPr>
                <w:rFonts w:ascii="宋体" w:hAnsi="宋体"/>
                <w:szCs w:val="21"/>
              </w:rPr>
              <w:t>100</w:t>
            </w:r>
            <w:r>
              <w:rPr>
                <w:rFonts w:hint="eastAsia" w:ascii="宋体" w:hAnsi="宋体"/>
                <w:szCs w:val="21"/>
              </w:rPr>
              <w:t>分）</w:t>
            </w:r>
          </w:p>
        </w:tc>
        <w:tc>
          <w:tcPr>
            <w:tcW w:w="5046" w:type="dxa"/>
            <w:gridSpan w:val="3"/>
            <w:vAlign w:val="center"/>
          </w:tcPr>
          <w:p>
            <w:pPr>
              <w:spacing w:line="420" w:lineRule="exact"/>
              <w:jc w:val="left"/>
              <w:rPr>
                <w:rFonts w:hint="eastAsia" w:ascii="宋体" w:hAnsi="宋体"/>
                <w:szCs w:val="21"/>
              </w:rPr>
            </w:pPr>
            <w:r>
              <w:rPr>
                <w:rFonts w:hint="eastAsia" w:ascii="宋体" w:hAnsi="宋体"/>
                <w:szCs w:val="21"/>
              </w:rPr>
              <w:t>经济标：</w:t>
            </w:r>
            <w:r>
              <w:rPr>
                <w:rFonts w:hint="eastAsia" w:ascii="宋体" w:hAnsi="宋体"/>
                <w:szCs w:val="21"/>
                <w:u w:val="single"/>
              </w:rPr>
              <w:t xml:space="preserve"> 70 </w:t>
            </w:r>
            <w:r>
              <w:rPr>
                <w:rFonts w:hint="eastAsia" w:ascii="宋体" w:hAnsi="宋体"/>
                <w:szCs w:val="21"/>
              </w:rPr>
              <w:t>分；</w:t>
            </w:r>
          </w:p>
          <w:p>
            <w:pPr>
              <w:spacing w:line="420" w:lineRule="exact"/>
              <w:jc w:val="left"/>
              <w:rPr>
                <w:rFonts w:hint="eastAsia" w:ascii="宋体" w:hAnsi="宋体"/>
                <w:szCs w:val="21"/>
              </w:rPr>
            </w:pPr>
            <w:r>
              <w:rPr>
                <w:rFonts w:hint="eastAsia" w:ascii="宋体" w:hAnsi="宋体"/>
                <w:szCs w:val="21"/>
              </w:rPr>
              <w:t>技术标：</w:t>
            </w:r>
            <w:r>
              <w:rPr>
                <w:rFonts w:hint="eastAsia" w:ascii="宋体" w:hAnsi="宋体"/>
                <w:szCs w:val="21"/>
                <w:u w:val="single"/>
              </w:rPr>
              <w:t xml:space="preserve"> 20 </w:t>
            </w:r>
            <w:r>
              <w:rPr>
                <w:rFonts w:hint="eastAsia" w:ascii="宋体" w:hAnsi="宋体"/>
                <w:szCs w:val="21"/>
              </w:rPr>
              <w:t>分；</w:t>
            </w:r>
          </w:p>
          <w:p>
            <w:pPr>
              <w:spacing w:line="420" w:lineRule="exact"/>
              <w:jc w:val="left"/>
              <w:rPr>
                <w:rFonts w:hint="eastAsia" w:ascii="宋体" w:hAnsi="宋体"/>
                <w:szCs w:val="21"/>
              </w:rPr>
            </w:pPr>
            <w:r>
              <w:rPr>
                <w:rFonts w:hint="eastAsia" w:ascii="宋体" w:hAnsi="宋体"/>
                <w:szCs w:val="21"/>
              </w:rPr>
              <w:t>资信标：</w:t>
            </w:r>
            <w:r>
              <w:rPr>
                <w:rFonts w:hint="eastAsia" w:ascii="宋体" w:hAnsi="宋体"/>
                <w:szCs w:val="21"/>
                <w:u w:val="single"/>
              </w:rPr>
              <w:t xml:space="preserve"> 10 </w:t>
            </w:r>
            <w:r>
              <w:rPr>
                <w:rFonts w:hint="eastAsia" w:ascii="宋体" w:hAnsi="宋体"/>
                <w:szCs w:val="21"/>
              </w:rPr>
              <w:t>分；</w:t>
            </w:r>
          </w:p>
          <w:p>
            <w:pPr>
              <w:spacing w:line="420" w:lineRule="exact"/>
              <w:jc w:val="left"/>
              <w:rPr>
                <w:rFonts w:hint="eastAsia" w:ascii="宋体" w:hAnsi="宋体"/>
                <w:szCs w:val="21"/>
              </w:rPr>
            </w:pPr>
            <w:r>
              <w:rPr>
                <w:rFonts w:hint="eastAsia" w:ascii="宋体" w:hAnsi="宋体"/>
                <w:szCs w:val="21"/>
              </w:rPr>
              <w:t>其他评分因素：</w:t>
            </w:r>
            <w:r>
              <w:rPr>
                <w:rFonts w:hint="eastAsia" w:ascii="宋体" w:hAnsi="宋体"/>
                <w:szCs w:val="21"/>
                <w:u w:val="single"/>
              </w:rPr>
              <w:t xml:space="preserve"> 0 </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pPr>
              <w:spacing w:line="420" w:lineRule="exact"/>
              <w:jc w:val="center"/>
              <w:rPr>
                <w:szCs w:val="21"/>
              </w:rPr>
            </w:pPr>
            <w:r>
              <w:rPr>
                <w:szCs w:val="21"/>
              </w:rPr>
              <w:t>2.2.2</w:t>
            </w:r>
          </w:p>
          <w:p>
            <w:pPr>
              <w:spacing w:line="420" w:lineRule="exact"/>
              <w:jc w:val="center"/>
              <w:rPr>
                <w:szCs w:val="21"/>
              </w:rPr>
            </w:pPr>
            <w:r>
              <w:rPr>
                <w:szCs w:val="21"/>
              </w:rPr>
              <w:t>（1）</w:t>
            </w:r>
          </w:p>
        </w:tc>
        <w:tc>
          <w:tcPr>
            <w:tcW w:w="2085" w:type="dxa"/>
            <w:vAlign w:val="center"/>
          </w:tcPr>
          <w:p>
            <w:pPr>
              <w:spacing w:line="420" w:lineRule="exact"/>
              <w:jc w:val="center"/>
              <w:rPr>
                <w:rFonts w:hint="eastAsia" w:ascii="宋体" w:hAnsi="宋体"/>
                <w:szCs w:val="21"/>
              </w:rPr>
            </w:pPr>
            <w:r>
              <w:rPr>
                <w:rFonts w:hint="eastAsia" w:ascii="宋体" w:hAnsi="宋体"/>
                <w:szCs w:val="21"/>
              </w:rPr>
              <w:t>评标价确定方法</w:t>
            </w:r>
          </w:p>
        </w:tc>
        <w:tc>
          <w:tcPr>
            <w:tcW w:w="5046" w:type="dxa"/>
            <w:gridSpan w:val="3"/>
            <w:vAlign w:val="center"/>
          </w:tcPr>
          <w:p>
            <w:pPr>
              <w:spacing w:line="420" w:lineRule="exact"/>
              <w:ind w:right="113"/>
              <w:rPr>
                <w:rFonts w:hint="eastAsia" w:ascii="宋体" w:hAnsi="宋体"/>
                <w:szCs w:val="21"/>
              </w:rPr>
            </w:pPr>
            <w:r>
              <w:rPr>
                <w:rFonts w:hint="eastAsia" w:ascii="宋体" w:hAnsi="宋体"/>
                <w:szCs w:val="21"/>
              </w:rPr>
              <w:t>评标价＝投标函大写</w:t>
            </w:r>
            <w:r>
              <w:rPr>
                <w:rFonts w:hint="eastAsia"/>
              </w:rPr>
              <w:t>投标报价（或经投标人书面确认的算术错误修正后的投标总报价）。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pPr>
              <w:spacing w:line="420" w:lineRule="exact"/>
              <w:jc w:val="center"/>
              <w:rPr>
                <w:szCs w:val="21"/>
              </w:rPr>
            </w:pPr>
            <w:r>
              <w:rPr>
                <w:szCs w:val="21"/>
              </w:rPr>
              <w:t>2.2.2</w:t>
            </w:r>
          </w:p>
          <w:p>
            <w:pPr>
              <w:spacing w:line="420" w:lineRule="exact"/>
              <w:jc w:val="center"/>
              <w:rPr>
                <w:szCs w:val="21"/>
              </w:rPr>
            </w:pPr>
            <w:r>
              <w:rPr>
                <w:szCs w:val="21"/>
              </w:rPr>
              <w:t>（2）</w:t>
            </w:r>
          </w:p>
        </w:tc>
        <w:tc>
          <w:tcPr>
            <w:tcW w:w="2085" w:type="dxa"/>
            <w:vAlign w:val="center"/>
          </w:tcPr>
          <w:p>
            <w:pPr>
              <w:spacing w:line="420" w:lineRule="exact"/>
              <w:jc w:val="center"/>
              <w:rPr>
                <w:rFonts w:hint="eastAsia" w:ascii="宋体" w:hAnsi="宋体"/>
                <w:szCs w:val="21"/>
              </w:rPr>
            </w:pPr>
            <w:r>
              <w:rPr>
                <w:rFonts w:hint="eastAsia" w:ascii="宋体" w:hAnsi="宋体"/>
                <w:szCs w:val="21"/>
              </w:rPr>
              <w:t>评标基准价计算</w:t>
            </w:r>
          </w:p>
          <w:p>
            <w:pPr>
              <w:spacing w:line="420" w:lineRule="exact"/>
              <w:jc w:val="center"/>
              <w:rPr>
                <w:rFonts w:hint="eastAsia" w:ascii="宋体" w:hAnsi="宋体"/>
                <w:szCs w:val="21"/>
              </w:rPr>
            </w:pPr>
            <w:r>
              <w:rPr>
                <w:rFonts w:hint="eastAsia" w:ascii="宋体" w:hAnsi="宋体"/>
                <w:szCs w:val="21"/>
              </w:rPr>
              <w:t>方法</w:t>
            </w:r>
          </w:p>
        </w:tc>
        <w:tc>
          <w:tcPr>
            <w:tcW w:w="5046" w:type="dxa"/>
            <w:gridSpan w:val="3"/>
            <w:vAlign w:val="center"/>
          </w:tcPr>
          <w:p>
            <w:pPr>
              <w:rPr>
                <w:rFonts w:hint="eastAsia" w:ascii="宋体" w:hAnsi="宋体"/>
                <w:szCs w:val="21"/>
              </w:rPr>
            </w:pPr>
            <w:r>
              <w:rPr>
                <w:rFonts w:ascii="宋体" w:hAnsi="宋体"/>
                <w:szCs w:val="21"/>
              </w:rPr>
              <w:t>基准价计算方法：</w:t>
            </w:r>
            <w:r>
              <w:rPr>
                <w:rFonts w:ascii="宋体" w:hAnsi="宋体"/>
                <w:szCs w:val="21"/>
              </w:rPr>
              <w:br w:type="textWrapping"/>
            </w:r>
            <w:r>
              <w:rPr>
                <w:rFonts w:ascii="宋体" w:hAnsi="宋体"/>
                <w:szCs w:val="21"/>
              </w:rPr>
              <w:t>（1）最高投标限价是否参与基准价计算：</w:t>
            </w:r>
            <w:r>
              <w:rPr>
                <w:rFonts w:hint="eastAsia" w:ascii="宋体" w:hAnsi="宋体"/>
                <w:szCs w:val="21"/>
              </w:rPr>
              <w:t>否</w:t>
            </w:r>
            <w:r>
              <w:rPr>
                <w:rFonts w:ascii="宋体" w:hAnsi="宋体"/>
                <w:szCs w:val="21"/>
              </w:rPr>
              <w:br w:type="textWrapping"/>
            </w:r>
            <w:r>
              <w:rPr>
                <w:rFonts w:ascii="宋体" w:hAnsi="宋体"/>
                <w:szCs w:val="21"/>
              </w:rPr>
              <w:t>（2）参与基准价计算范围：</w:t>
            </w:r>
            <w:r>
              <w:rPr>
                <w:rFonts w:ascii="宋体" w:hAnsi="宋体"/>
                <w:szCs w:val="21"/>
              </w:rPr>
              <w:br w:type="textWrapping"/>
            </w:r>
            <w:r>
              <w:rPr>
                <w:rFonts w:ascii="宋体" w:hAnsi="宋体"/>
                <w:szCs w:val="21"/>
              </w:rPr>
              <w:t xml:space="preserve">    通过初步评审且投标报价不低于合理最低价的投标人投标报价参与基准价得分计算。</w:t>
            </w:r>
            <w:r>
              <w:rPr>
                <w:rFonts w:ascii="宋体" w:hAnsi="宋体"/>
                <w:szCs w:val="21"/>
              </w:rPr>
              <w:br w:type="textWrapping"/>
            </w:r>
            <w:r>
              <w:rPr>
                <w:rFonts w:ascii="宋体" w:hAnsi="宋体"/>
                <w:szCs w:val="21"/>
              </w:rPr>
              <w:t>（3）基准价计算规则：</w:t>
            </w:r>
            <w:r>
              <w:rPr>
                <w:rFonts w:ascii="宋体" w:hAnsi="宋体"/>
                <w:szCs w:val="21"/>
              </w:rPr>
              <w:br w:type="textWrapping"/>
            </w:r>
            <w:r>
              <w:rPr>
                <w:rFonts w:ascii="宋体" w:hAnsi="宋体"/>
                <w:szCs w:val="21"/>
              </w:rPr>
              <w:t xml:space="preserve">    通过初步评审且投标报价不低于合理最低价的投标人超过5家（包含5家），</w:t>
            </w:r>
            <w:r>
              <w:rPr>
                <w:rFonts w:hint="eastAsia"/>
              </w:rPr>
              <w:t>去掉投标报价最高的20%家和最低的20%家（小数点后不保留有效数字，个位数向下取整），</w:t>
            </w:r>
            <w:r>
              <w:rPr>
                <w:rFonts w:ascii="宋体" w:hAnsi="宋体"/>
                <w:szCs w:val="21"/>
              </w:rPr>
              <w:t>；若小于5家，则不去；将其投标报价取算术平均值</w:t>
            </w:r>
            <w:r>
              <w:rPr>
                <w:rFonts w:hint="eastAsia" w:ascii="宋体" w:hAnsi="宋体"/>
                <w:szCs w:val="21"/>
              </w:rPr>
              <w:t>下浮20%</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pPr>
              <w:spacing w:line="420" w:lineRule="exact"/>
              <w:jc w:val="center"/>
              <w:rPr>
                <w:rFonts w:hint="eastAsia" w:ascii="宋体" w:hAnsi="宋体"/>
                <w:szCs w:val="21"/>
              </w:rPr>
            </w:pPr>
            <w:r>
              <w:rPr>
                <w:rFonts w:hint="eastAsia"/>
                <w:szCs w:val="21"/>
              </w:rPr>
              <w:t>2.2.3</w:t>
            </w:r>
          </w:p>
        </w:tc>
        <w:tc>
          <w:tcPr>
            <w:tcW w:w="2085" w:type="dxa"/>
            <w:vAlign w:val="center"/>
          </w:tcPr>
          <w:p>
            <w:pPr>
              <w:spacing w:line="420" w:lineRule="exact"/>
              <w:rPr>
                <w:rFonts w:hint="eastAsia" w:ascii="宋体" w:hAnsi="宋体"/>
                <w:szCs w:val="21"/>
              </w:rPr>
            </w:pPr>
            <w:r>
              <w:rPr>
                <w:rFonts w:hint="eastAsia" w:ascii="宋体" w:hAnsi="宋体"/>
                <w:szCs w:val="21"/>
              </w:rPr>
              <w:t>投标报价的偏差率</w:t>
            </w:r>
          </w:p>
          <w:p>
            <w:pPr>
              <w:spacing w:line="420" w:lineRule="exact"/>
              <w:jc w:val="center"/>
              <w:rPr>
                <w:rFonts w:hint="eastAsia" w:ascii="宋体" w:hAnsi="宋体"/>
                <w:szCs w:val="21"/>
              </w:rPr>
            </w:pPr>
            <w:r>
              <w:rPr>
                <w:rFonts w:hint="eastAsia" w:ascii="宋体" w:hAnsi="宋体"/>
                <w:szCs w:val="21"/>
              </w:rPr>
              <w:t>计算公式</w:t>
            </w:r>
          </w:p>
        </w:tc>
        <w:tc>
          <w:tcPr>
            <w:tcW w:w="5046" w:type="dxa"/>
            <w:gridSpan w:val="3"/>
            <w:vAlign w:val="center"/>
          </w:tcPr>
          <w:p>
            <w:pPr>
              <w:spacing w:line="42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pPr>
              <w:spacing w:line="420" w:lineRule="exact"/>
              <w:jc w:val="center"/>
              <w:rPr>
                <w:rFonts w:hint="eastAsia" w:ascii="宋体" w:hAnsi="宋体"/>
                <w:b/>
                <w:szCs w:val="21"/>
              </w:rPr>
            </w:pPr>
            <w:r>
              <w:rPr>
                <w:rFonts w:hint="eastAsia" w:ascii="宋体" w:hAnsi="宋体"/>
                <w:b/>
                <w:szCs w:val="21"/>
              </w:rPr>
              <w:t>条款号</w:t>
            </w:r>
          </w:p>
        </w:tc>
        <w:tc>
          <w:tcPr>
            <w:tcW w:w="2085" w:type="dxa"/>
            <w:vAlign w:val="center"/>
          </w:tcPr>
          <w:p>
            <w:pPr>
              <w:spacing w:line="420" w:lineRule="exact"/>
              <w:jc w:val="center"/>
              <w:rPr>
                <w:rFonts w:hint="eastAsia" w:ascii="宋体" w:hAnsi="宋体"/>
                <w:b/>
                <w:szCs w:val="21"/>
              </w:rPr>
            </w:pPr>
            <w:r>
              <w:rPr>
                <w:rFonts w:hint="eastAsia" w:ascii="宋体" w:hAnsi="宋体"/>
                <w:b/>
                <w:szCs w:val="21"/>
              </w:rPr>
              <w:t>评分因素</w:t>
            </w:r>
          </w:p>
        </w:tc>
        <w:tc>
          <w:tcPr>
            <w:tcW w:w="935" w:type="dxa"/>
            <w:gridSpan w:val="2"/>
            <w:vAlign w:val="center"/>
          </w:tcPr>
          <w:p>
            <w:pPr>
              <w:spacing w:line="420" w:lineRule="exact"/>
              <w:jc w:val="center"/>
              <w:rPr>
                <w:rFonts w:hint="eastAsia" w:ascii="宋体" w:hAnsi="宋体"/>
                <w:b/>
                <w:szCs w:val="21"/>
              </w:rPr>
            </w:pPr>
            <w:r>
              <w:rPr>
                <w:rFonts w:hint="eastAsia" w:ascii="宋体" w:hAnsi="宋体"/>
                <w:b/>
                <w:szCs w:val="21"/>
              </w:rPr>
              <w:t>标准分</w:t>
            </w:r>
          </w:p>
        </w:tc>
        <w:tc>
          <w:tcPr>
            <w:tcW w:w="4111" w:type="dxa"/>
            <w:vAlign w:val="center"/>
          </w:tcPr>
          <w:p>
            <w:pPr>
              <w:spacing w:line="420" w:lineRule="exact"/>
              <w:jc w:val="center"/>
              <w:rPr>
                <w:rFonts w:hint="eastAsia" w:ascii="宋体" w:hAnsi="宋体"/>
                <w:b/>
                <w:szCs w:val="21"/>
              </w:rPr>
            </w:pPr>
            <w:r>
              <w:rPr>
                <w:rFonts w:hint="eastAsia" w:ascii="宋体" w:hAnsi="宋体"/>
                <w:b/>
                <w:szCs w:val="21"/>
              </w:rPr>
              <w:t>评分标准</w:t>
            </w:r>
          </w:p>
        </w:tc>
      </w:tr>
      <w:bookmarkEnd w:id="513"/>
      <w:bookmarkEnd w:id="5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2.2.4（1）</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经济标评分标准</w:t>
            </w:r>
          </w:p>
        </w:tc>
        <w:tc>
          <w:tcPr>
            <w:tcW w:w="2085" w:type="dxa"/>
            <w:vAlign w:val="center"/>
          </w:tcPr>
          <w:p>
            <w:pPr>
              <w:spacing w:line="420" w:lineRule="exact"/>
              <w:jc w:val="center"/>
              <w:rPr>
                <w:rFonts w:hint="eastAsia" w:ascii="宋体" w:hAnsi="宋体"/>
                <w:szCs w:val="21"/>
                <w:highlight w:val="yellow"/>
              </w:rPr>
            </w:pPr>
            <w:r>
              <w:rPr>
                <w:rFonts w:hint="eastAsia" w:ascii="宋体" w:hAnsi="宋体" w:cs="宋体"/>
                <w:highlight w:val="yellow"/>
              </w:rPr>
              <w:t>投标报价</w:t>
            </w:r>
          </w:p>
        </w:tc>
        <w:tc>
          <w:tcPr>
            <w:tcW w:w="935" w:type="dxa"/>
            <w:gridSpan w:val="2"/>
            <w:vAlign w:val="center"/>
          </w:tcPr>
          <w:p>
            <w:pPr>
              <w:spacing w:line="420" w:lineRule="exact"/>
              <w:jc w:val="center"/>
              <w:rPr>
                <w:rFonts w:hint="eastAsia" w:ascii="宋体" w:hAnsi="宋体"/>
                <w:szCs w:val="44"/>
                <w:highlight w:val="yellow"/>
              </w:rPr>
            </w:pPr>
            <w:r>
              <w:rPr>
                <w:rFonts w:hint="eastAsia" w:ascii="宋体" w:hAnsi="宋体" w:cs="宋体"/>
                <w:bCs/>
                <w:szCs w:val="21"/>
                <w:highlight w:val="yellow"/>
              </w:rPr>
              <w:t>70</w:t>
            </w:r>
          </w:p>
        </w:tc>
        <w:tc>
          <w:tcPr>
            <w:tcW w:w="4111" w:type="dxa"/>
            <w:vAlign w:val="center"/>
          </w:tcPr>
          <w:p>
            <w:pPr>
              <w:spacing w:line="420" w:lineRule="exact"/>
              <w:jc w:val="left"/>
              <w:rPr>
                <w:highlight w:val="yellow"/>
              </w:rPr>
            </w:pPr>
            <w:r>
              <w:rPr>
                <w:rFonts w:hint="eastAsia" w:ascii="宋体" w:hAnsi="宋体" w:cs="宋体"/>
                <w:bCs/>
                <w:szCs w:val="21"/>
              </w:rPr>
              <w:t>F＝70-（投标人评标价-评标基准价）÷评标基准价×100×</w:t>
            </w:r>
            <w:r>
              <w:rPr>
                <w:rFonts w:hint="eastAsia" w:ascii="宋体" w:hAnsi="宋体" w:cs="宋体"/>
                <w:bCs/>
                <w:szCs w:val="21"/>
                <w:highlight w:val="yellow"/>
              </w:rPr>
              <w:t>1.5</w:t>
            </w:r>
            <w:r>
              <w:rPr>
                <w:rFonts w:hint="eastAsia" w:ascii="宋体" w:hAnsi="宋体" w:cs="宋体"/>
                <w:bCs/>
                <w:szCs w:val="21"/>
              </w:rPr>
              <w:t>（评标价＞基准价时）</w:t>
            </w:r>
            <w:r>
              <w:rPr>
                <w:rFonts w:hint="eastAsia" w:ascii="宋体" w:hAnsi="宋体" w:cs="宋体"/>
                <w:bCs/>
                <w:szCs w:val="21"/>
              </w:rPr>
              <w:br w:type="textWrapping"/>
            </w:r>
            <w:r>
              <w:rPr>
                <w:rFonts w:hint="eastAsia" w:ascii="宋体" w:hAnsi="宋体" w:cs="宋体"/>
                <w:bCs/>
                <w:szCs w:val="21"/>
              </w:rPr>
              <w:t>F＝70-（评标基准价-投标人评标价）÷评标基准价×100×</w:t>
            </w:r>
            <w:r>
              <w:rPr>
                <w:rFonts w:hint="eastAsia" w:ascii="宋体" w:hAnsi="宋体" w:cs="宋体"/>
                <w:bCs/>
                <w:szCs w:val="21"/>
                <w:highlight w:val="yellow"/>
              </w:rPr>
              <w:t>1</w:t>
            </w:r>
            <w:r>
              <w:rPr>
                <w:rFonts w:hint="eastAsia" w:ascii="宋体" w:hAnsi="宋体" w:cs="宋体"/>
                <w:bCs/>
                <w:szCs w:val="21"/>
              </w:rPr>
              <w:t>（评标价≤基准价时）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项目总体概述</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概述全面、逻辑清晰，与工程实际高度契合得2分；内容简单或存在遗漏得1分；未提供得0分。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机械、办公、检测设备投入、进场计划及保证措施</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设备配置齐全、计划合理且保障措施完善得2分；配置不足或计划可行性低得1分；未提供得0分。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劳动力投入计划、工人持证上岗及保证措施</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计划科学、保障措施完善得2分；计划模糊得1分；未提供得0分。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材料投入、进场计划及保证措施</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材料种类、数量、进场时间与工程需求匹配，措施可靠得2分；存在明显缺口或措施不足得1分；未提供得0分。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施工技术方案</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方案科学合理，关键技术明确，可操作性强得2分；方案笼统或存在缺陷得1分；未提供得0分。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对工程施工重点、难点关键技术、工艺的分析及解决方案</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分析透彻，解决方案针对性强且有创新性得2分；分析不足或方案可行性低得1分；未提供得0分。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防尘治理方案</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方案符合环保要求，措施具体且有监测机制得2分；</w:t>
            </w:r>
            <w:r>
              <w:rPr>
                <w:rFonts w:hint="eastAsia"/>
              </w:rPr>
              <w:t>措施一般且有监测机制得1分，</w:t>
            </w:r>
            <w:r>
              <w:rPr>
                <w:rFonts w:hint="eastAsia"/>
                <w:color w:val="FF0000"/>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施工进度计划和各阶段进度保证及违约承诺</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进度计划合理，关键节点明确，保障措施完善且有违约承诺得2分；计划与工程实际脱节得1分；未提供得0分。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工程质量保证措施及违约承诺</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质量目标明确，措施全面且有检测体系，违约承诺具体得2分；措施简单或缺乏承诺得1分；未提供得0分。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2.2.2（2）</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技术标（施工组织设计）评分标准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安全文明施工及安全文明施工承诺</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2</w:t>
            </w:r>
          </w:p>
        </w:tc>
        <w:tc>
          <w:tcPr>
            <w:tcW w:w="4111" w:type="dxa"/>
            <w:vAlign w:val="center"/>
          </w:tcPr>
          <w:p>
            <w:pPr>
              <w:spacing w:line="420" w:lineRule="exact"/>
              <w:jc w:val="left"/>
            </w:pPr>
            <w:r>
              <w:rPr>
                <w:rFonts w:hint="eastAsia"/>
                <w:color w:val="FF0000"/>
              </w:rPr>
              <w:t>制度完善、责任明确，承诺具体且符合规范得2分；承诺简单笼统得1分，未提供得0分。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资信业绩评分标准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企业业绩</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6</w:t>
            </w:r>
          </w:p>
        </w:tc>
        <w:tc>
          <w:tcPr>
            <w:tcW w:w="4111" w:type="dxa"/>
            <w:vAlign w:val="center"/>
          </w:tcPr>
          <w:p>
            <w:pPr>
              <w:pStyle w:val="33"/>
              <w:spacing w:before="154" w:line="356" w:lineRule="auto"/>
              <w:ind w:left="115" w:right="111" w:hanging="4"/>
              <w:rPr>
                <w:rFonts w:hint="eastAsia"/>
                <w:lang w:eastAsia="zh-CN"/>
              </w:rPr>
            </w:pPr>
            <w:r>
              <w:rPr>
                <w:spacing w:val="-6"/>
                <w:lang w:eastAsia="zh-CN"/>
              </w:rPr>
              <w:t>业绩类别及专业：【</w:t>
            </w:r>
            <w:r>
              <w:rPr>
                <w:rFonts w:hint="eastAsia"/>
                <w:spacing w:val="-6"/>
                <w:lang w:eastAsia="zh-CN"/>
              </w:rPr>
              <w:t>施工</w:t>
            </w:r>
            <w:r>
              <w:rPr>
                <w:spacing w:val="-6"/>
                <w:lang w:eastAsia="zh-CN"/>
              </w:rPr>
              <w:t>类-</w:t>
            </w:r>
            <w:r>
              <w:rPr>
                <w:rFonts w:hint="eastAsia"/>
                <w:b/>
                <w:bCs/>
                <w:color w:val="FF0000"/>
                <w:spacing w:val="-6"/>
                <w:highlight w:val="yellow"/>
                <w:lang w:eastAsia="zh-CN"/>
              </w:rPr>
              <w:t>建筑工程或市政公用工程</w:t>
            </w:r>
            <w:r>
              <w:rPr>
                <w:spacing w:val="-6"/>
                <w:lang w:eastAsia="zh-CN"/>
              </w:rPr>
              <w:t>-</w:t>
            </w:r>
            <w:r>
              <w:rPr>
                <w:spacing w:val="6"/>
                <w:lang w:eastAsia="zh-CN"/>
              </w:rPr>
              <w:t xml:space="preserve"> </w:t>
            </w:r>
            <w:r>
              <w:rPr>
                <w:spacing w:val="-10"/>
                <w:lang w:eastAsia="zh-CN"/>
              </w:rPr>
              <w:t>不限专业】（新建或改造工程）</w:t>
            </w:r>
          </w:p>
          <w:p>
            <w:pPr>
              <w:pStyle w:val="33"/>
              <w:spacing w:before="30" w:line="220" w:lineRule="auto"/>
              <w:ind w:left="113"/>
              <w:rPr>
                <w:rFonts w:hint="eastAsia"/>
                <w:color w:val="FF0000"/>
                <w:highlight w:val="yellow"/>
                <w:lang w:eastAsia="zh-CN"/>
              </w:rPr>
            </w:pPr>
            <w:r>
              <w:rPr>
                <w:spacing w:val="-7"/>
                <w:lang w:eastAsia="zh-CN"/>
              </w:rPr>
              <w:t>年份：</w:t>
            </w:r>
            <w:r>
              <w:rPr>
                <w:rFonts w:hint="eastAsia"/>
                <w:color w:val="FF0000"/>
                <w:spacing w:val="-7"/>
                <w:highlight w:val="yellow"/>
                <w:lang w:eastAsia="zh-CN"/>
              </w:rPr>
              <w:t>2022</w:t>
            </w:r>
            <w:r>
              <w:rPr>
                <w:rFonts w:hint="eastAsia"/>
                <w:color w:val="FF0000"/>
                <w:spacing w:val="-31"/>
                <w:highlight w:val="yellow"/>
                <w:lang w:eastAsia="zh-CN"/>
              </w:rPr>
              <w:t xml:space="preserve"> </w:t>
            </w:r>
            <w:r>
              <w:rPr>
                <w:rFonts w:hint="eastAsia"/>
                <w:color w:val="FF0000"/>
                <w:spacing w:val="-7"/>
                <w:highlight w:val="yellow"/>
                <w:lang w:eastAsia="zh-CN"/>
              </w:rPr>
              <w:t>年</w:t>
            </w:r>
            <w:r>
              <w:rPr>
                <w:rFonts w:hint="eastAsia"/>
                <w:color w:val="FF0000"/>
                <w:spacing w:val="-28"/>
                <w:highlight w:val="yellow"/>
                <w:lang w:eastAsia="zh-CN"/>
              </w:rPr>
              <w:t xml:space="preserve"> </w:t>
            </w:r>
            <w:r>
              <w:rPr>
                <w:rFonts w:hint="eastAsia"/>
                <w:color w:val="FF0000"/>
                <w:spacing w:val="-7"/>
                <w:highlight w:val="yellow"/>
                <w:lang w:eastAsia="zh-CN"/>
              </w:rPr>
              <w:t>1</w:t>
            </w:r>
            <w:r>
              <w:rPr>
                <w:rFonts w:hint="eastAsia"/>
                <w:color w:val="FF0000"/>
                <w:spacing w:val="-40"/>
                <w:highlight w:val="yellow"/>
                <w:lang w:eastAsia="zh-CN"/>
              </w:rPr>
              <w:t xml:space="preserve"> </w:t>
            </w:r>
            <w:r>
              <w:rPr>
                <w:rFonts w:hint="eastAsia"/>
                <w:color w:val="FF0000"/>
                <w:spacing w:val="-7"/>
                <w:highlight w:val="yellow"/>
                <w:lang w:eastAsia="zh-CN"/>
              </w:rPr>
              <w:t>月</w:t>
            </w:r>
            <w:r>
              <w:rPr>
                <w:rFonts w:hint="eastAsia"/>
                <w:color w:val="FF0000"/>
                <w:spacing w:val="-28"/>
                <w:highlight w:val="yellow"/>
                <w:lang w:eastAsia="zh-CN"/>
              </w:rPr>
              <w:t xml:space="preserve"> </w:t>
            </w:r>
            <w:r>
              <w:rPr>
                <w:rFonts w:hint="eastAsia"/>
                <w:color w:val="FF0000"/>
                <w:spacing w:val="-7"/>
                <w:highlight w:val="yellow"/>
                <w:lang w:eastAsia="zh-CN"/>
              </w:rPr>
              <w:t>1 日至投标截止时间</w:t>
            </w:r>
          </w:p>
          <w:p>
            <w:pPr>
              <w:pStyle w:val="33"/>
              <w:spacing w:before="169" w:line="220" w:lineRule="auto"/>
              <w:ind w:left="113"/>
              <w:rPr>
                <w:rFonts w:hint="eastAsia"/>
                <w:color w:val="FF0000"/>
                <w:highlight w:val="yellow"/>
                <w:lang w:eastAsia="zh-CN"/>
              </w:rPr>
            </w:pPr>
            <w:r>
              <w:rPr>
                <w:rFonts w:hint="eastAsia"/>
                <w:color w:val="FF0000"/>
                <w:spacing w:val="-2"/>
                <w:highlight w:val="yellow"/>
                <w:lang w:eastAsia="zh-CN"/>
              </w:rPr>
              <w:t>金额：2000万元（含）以上</w:t>
            </w:r>
          </w:p>
          <w:p>
            <w:pPr>
              <w:pStyle w:val="33"/>
              <w:spacing w:before="169" w:line="220" w:lineRule="auto"/>
              <w:ind w:left="114"/>
              <w:rPr>
                <w:rFonts w:hint="eastAsia"/>
                <w:color w:val="FF0000"/>
                <w:highlight w:val="yellow"/>
                <w:lang w:eastAsia="zh-CN"/>
              </w:rPr>
            </w:pPr>
            <w:r>
              <w:rPr>
                <w:rFonts w:hint="eastAsia"/>
                <w:color w:val="FF0000"/>
                <w:spacing w:val="-3"/>
                <w:highlight w:val="yellow"/>
                <w:lang w:eastAsia="zh-CN"/>
              </w:rPr>
              <w:t>分值：2分/个，满分：6分。</w:t>
            </w:r>
          </w:p>
          <w:p>
            <w:pPr>
              <w:spacing w:line="420" w:lineRule="exact"/>
              <w:jc w:val="left"/>
            </w:pPr>
            <w:r>
              <w:rPr>
                <w:spacing w:val="-6"/>
              </w:rPr>
              <w:t>注：</w:t>
            </w:r>
            <w:r>
              <w:rPr>
                <w:rFonts w:hint="eastAsia" w:ascii="宋体" w:hAnsi="宋体" w:cs="宋体"/>
              </w:rPr>
              <w:t>在满足资格条件的基础上，最多提供3个业绩，</w:t>
            </w:r>
            <w:r>
              <w:rPr>
                <w:spacing w:val="-6"/>
              </w:rPr>
              <w:t>业绩以住建领域主体信息库入库信息为</w:t>
            </w:r>
            <w:r>
              <w:rPr>
                <w:spacing w:val="-3"/>
              </w:rPr>
              <w:t>准，时间以竣工验收时间为准。</w:t>
            </w:r>
            <w:r>
              <w:rPr>
                <w:rFonts w:hint="eastAsia"/>
                <w:spacing w:val="-3"/>
              </w:rPr>
              <w:t>提供中标通知书（如有）、合同及对应发票等业绩证明材料复印件加盖公章附在投标文件中为评审依据，否则不得分。(在合同首页加盖公章或加盖骑缝章均可，证明材料以签署日期为准，证明材料中必须包含关键内容和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资信业绩评分标准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企业认证</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1</w:t>
            </w:r>
          </w:p>
        </w:tc>
        <w:tc>
          <w:tcPr>
            <w:tcW w:w="4111" w:type="dxa"/>
            <w:vAlign w:val="center"/>
          </w:tcPr>
          <w:p>
            <w:pPr>
              <w:pStyle w:val="33"/>
              <w:spacing w:before="156" w:line="220" w:lineRule="auto"/>
              <w:ind w:left="111"/>
              <w:rPr>
                <w:rFonts w:hint="eastAsia"/>
                <w:lang w:eastAsia="zh-CN"/>
              </w:rPr>
            </w:pPr>
            <w:r>
              <w:rPr>
                <w:spacing w:val="-9"/>
                <w:lang w:eastAsia="zh-CN"/>
              </w:rPr>
              <w:t>评审内容：</w:t>
            </w:r>
          </w:p>
          <w:p>
            <w:pPr>
              <w:pStyle w:val="33"/>
              <w:numPr>
                <w:ilvl w:val="0"/>
                <w:numId w:val="4"/>
              </w:numPr>
              <w:spacing w:before="167" w:line="363" w:lineRule="auto"/>
              <w:ind w:left="112" w:right="217" w:firstLine="5"/>
              <w:rPr>
                <w:rFonts w:hint="eastAsia"/>
                <w:spacing w:val="-2"/>
                <w:lang w:eastAsia="zh-CN"/>
              </w:rPr>
            </w:pPr>
            <w:r>
              <w:rPr>
                <w:spacing w:val="-2"/>
                <w:lang w:eastAsia="zh-CN"/>
              </w:rPr>
              <w:t xml:space="preserve">质量管理体系认证证书 </w:t>
            </w:r>
          </w:p>
          <w:p>
            <w:pPr>
              <w:pStyle w:val="33"/>
              <w:numPr>
                <w:ilvl w:val="0"/>
                <w:numId w:val="4"/>
              </w:numPr>
              <w:spacing w:before="167" w:line="363" w:lineRule="auto"/>
              <w:ind w:left="112" w:right="217" w:firstLine="5"/>
              <w:rPr>
                <w:rFonts w:hint="eastAsia"/>
                <w:lang w:eastAsia="zh-CN"/>
              </w:rPr>
            </w:pPr>
            <w:r>
              <w:rPr>
                <w:spacing w:val="-1"/>
                <w:lang w:eastAsia="zh-CN"/>
              </w:rPr>
              <w:t xml:space="preserve">环境管理体系认证证书 </w:t>
            </w:r>
          </w:p>
          <w:p>
            <w:pPr>
              <w:pStyle w:val="33"/>
              <w:numPr>
                <w:ilvl w:val="0"/>
                <w:numId w:val="4"/>
              </w:numPr>
              <w:spacing w:before="167" w:line="363" w:lineRule="auto"/>
              <w:ind w:left="112" w:right="217" w:firstLine="5"/>
              <w:rPr>
                <w:rFonts w:hint="eastAsia"/>
                <w:lang w:eastAsia="zh-CN"/>
              </w:rPr>
            </w:pPr>
            <w:r>
              <w:rPr>
                <w:lang w:eastAsia="zh-CN"/>
              </w:rPr>
              <w:t xml:space="preserve"> </w:t>
            </w:r>
            <w:r>
              <w:rPr>
                <w:spacing w:val="-1"/>
                <w:lang w:eastAsia="zh-CN"/>
              </w:rPr>
              <w:t xml:space="preserve">职业健康安全管理体系认证证书 </w:t>
            </w:r>
          </w:p>
          <w:p>
            <w:pPr>
              <w:pStyle w:val="33"/>
              <w:spacing w:before="30" w:line="220" w:lineRule="auto"/>
              <w:ind w:left="112"/>
              <w:rPr>
                <w:rFonts w:hint="eastAsia"/>
                <w:lang w:eastAsia="zh-CN"/>
              </w:rPr>
            </w:pPr>
            <w:r>
              <w:rPr>
                <w:spacing w:val="-5"/>
                <w:lang w:eastAsia="zh-CN"/>
              </w:rPr>
              <w:t>满分：</w:t>
            </w:r>
            <w:r>
              <w:rPr>
                <w:rFonts w:hint="eastAsia"/>
                <w:spacing w:val="-5"/>
                <w:lang w:eastAsia="zh-CN"/>
              </w:rPr>
              <w:t>1</w:t>
            </w:r>
            <w:r>
              <w:rPr>
                <w:spacing w:val="-5"/>
                <w:lang w:eastAsia="zh-CN"/>
              </w:rPr>
              <w:t>分。</w:t>
            </w:r>
          </w:p>
          <w:p>
            <w:pPr>
              <w:spacing w:line="420" w:lineRule="exact"/>
              <w:jc w:val="left"/>
            </w:pPr>
            <w:r>
              <w:rPr>
                <w:spacing w:val="-6"/>
              </w:rPr>
              <w:t>注：以住建领域主体信息库入库的有效的认</w:t>
            </w:r>
            <w:r>
              <w:rPr>
                <w:spacing w:val="9"/>
              </w:rPr>
              <w:t xml:space="preserve"> </w:t>
            </w:r>
            <w:r>
              <w:rPr>
                <w:spacing w:val="-6"/>
              </w:rPr>
              <w:t>证证书为准。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hint="eastAsia" w:ascii="宋体" w:hAnsi="宋体"/>
                <w:szCs w:val="21"/>
              </w:rPr>
            </w:pPr>
            <w:r>
              <w:rPr>
                <w:rFonts w:hint="eastAsia"/>
                <w:szCs w:val="21"/>
              </w:rPr>
              <w:t>2.2.2（3）</w:t>
            </w:r>
          </w:p>
        </w:tc>
        <w:tc>
          <w:tcPr>
            <w:tcW w:w="1059" w:type="dxa"/>
            <w:vAlign w:val="center"/>
          </w:tcPr>
          <w:p>
            <w:pPr>
              <w:spacing w:line="420" w:lineRule="exact"/>
              <w:jc w:val="center"/>
              <w:rPr>
                <w:rFonts w:hint="eastAsia" w:ascii="宋体" w:hAnsi="宋体"/>
                <w:szCs w:val="21"/>
              </w:rPr>
            </w:pPr>
            <w:r>
              <w:rPr>
                <w:rFonts w:hint="eastAsia" w:ascii="宋体" w:hAnsi="宋体" w:cs="宋体"/>
                <w:szCs w:val="21"/>
              </w:rPr>
              <w:t>资信业绩评分标准</w:t>
            </w:r>
          </w:p>
        </w:tc>
        <w:tc>
          <w:tcPr>
            <w:tcW w:w="2085" w:type="dxa"/>
            <w:vAlign w:val="center"/>
          </w:tcPr>
          <w:p>
            <w:pPr>
              <w:spacing w:line="420" w:lineRule="exact"/>
              <w:jc w:val="center"/>
              <w:rPr>
                <w:rFonts w:hint="eastAsia" w:ascii="宋体" w:hAnsi="宋体"/>
                <w:szCs w:val="21"/>
              </w:rPr>
            </w:pPr>
            <w:r>
              <w:rPr>
                <w:rFonts w:hint="eastAsia" w:ascii="宋体" w:hAnsi="宋体" w:cs="宋体"/>
              </w:rPr>
              <w:t>拟派项目管理班子资历（施工现场专业人员职业培训合格证）</w:t>
            </w:r>
          </w:p>
        </w:tc>
        <w:tc>
          <w:tcPr>
            <w:tcW w:w="935" w:type="dxa"/>
            <w:gridSpan w:val="2"/>
            <w:vAlign w:val="center"/>
          </w:tcPr>
          <w:p>
            <w:pPr>
              <w:spacing w:line="420" w:lineRule="exact"/>
              <w:jc w:val="center"/>
              <w:rPr>
                <w:rFonts w:hint="eastAsia" w:ascii="宋体" w:hAnsi="宋体"/>
                <w:szCs w:val="44"/>
              </w:rPr>
            </w:pPr>
            <w:r>
              <w:rPr>
                <w:rFonts w:hint="eastAsia" w:ascii="宋体" w:hAnsi="宋体"/>
                <w:szCs w:val="44"/>
              </w:rPr>
              <w:t>3</w:t>
            </w:r>
          </w:p>
        </w:tc>
        <w:tc>
          <w:tcPr>
            <w:tcW w:w="4111" w:type="dxa"/>
            <w:vAlign w:val="center"/>
          </w:tcPr>
          <w:p>
            <w:pPr>
              <w:pStyle w:val="33"/>
              <w:spacing w:before="154" w:line="356" w:lineRule="auto"/>
              <w:ind w:left="115" w:right="111" w:hanging="4"/>
              <w:rPr>
                <w:rFonts w:hint="eastAsia"/>
                <w:lang w:eastAsia="zh-CN"/>
              </w:rPr>
            </w:pPr>
            <w:r>
              <w:rPr>
                <w:rFonts w:hint="eastAsia"/>
                <w:lang w:eastAsia="zh-CN"/>
              </w:rPr>
              <w:t>项目经理具备</w:t>
            </w:r>
            <w:r>
              <w:rPr>
                <w:spacing w:val="-6"/>
                <w:lang w:eastAsia="zh-CN"/>
              </w:rPr>
              <w:t>【</w:t>
            </w:r>
            <w:r>
              <w:rPr>
                <w:rFonts w:hint="eastAsia"/>
                <w:spacing w:val="-6"/>
                <w:lang w:eastAsia="zh-CN"/>
              </w:rPr>
              <w:t>施工</w:t>
            </w:r>
            <w:r>
              <w:rPr>
                <w:spacing w:val="-6"/>
                <w:lang w:eastAsia="zh-CN"/>
              </w:rPr>
              <w:t>类-</w:t>
            </w:r>
            <w:r>
              <w:rPr>
                <w:rFonts w:hint="eastAsia"/>
                <w:b/>
                <w:bCs/>
                <w:color w:val="FF0000"/>
                <w:spacing w:val="-6"/>
                <w:highlight w:val="yellow"/>
                <w:lang w:eastAsia="zh-CN"/>
              </w:rPr>
              <w:t>建筑</w:t>
            </w:r>
            <w:r>
              <w:rPr>
                <w:b/>
                <w:bCs/>
                <w:color w:val="FF0000"/>
                <w:spacing w:val="-6"/>
                <w:highlight w:val="yellow"/>
                <w:lang w:eastAsia="zh-CN"/>
              </w:rPr>
              <w:t>工程</w:t>
            </w:r>
            <w:r>
              <w:rPr>
                <w:rFonts w:hint="eastAsia"/>
                <w:b/>
                <w:bCs/>
                <w:color w:val="FF0000"/>
                <w:spacing w:val="-6"/>
                <w:highlight w:val="yellow"/>
                <w:lang w:eastAsia="zh-CN"/>
              </w:rPr>
              <w:t>或市政工程</w:t>
            </w:r>
            <w:r>
              <w:rPr>
                <w:spacing w:val="-6"/>
                <w:lang w:eastAsia="zh-CN"/>
              </w:rPr>
              <w:t>-</w:t>
            </w:r>
            <w:r>
              <w:rPr>
                <w:spacing w:val="6"/>
                <w:lang w:eastAsia="zh-CN"/>
              </w:rPr>
              <w:t xml:space="preserve"> </w:t>
            </w:r>
            <w:r>
              <w:rPr>
                <w:spacing w:val="-10"/>
                <w:lang w:eastAsia="zh-CN"/>
              </w:rPr>
              <w:t>不限专业】（新建或改造工程）</w:t>
            </w:r>
          </w:p>
          <w:p>
            <w:pPr>
              <w:pStyle w:val="33"/>
              <w:spacing w:before="30" w:line="220" w:lineRule="auto"/>
              <w:ind w:left="113"/>
              <w:rPr>
                <w:rFonts w:hint="eastAsia"/>
                <w:color w:val="FF0000"/>
                <w:highlight w:val="yellow"/>
                <w:lang w:eastAsia="zh-CN"/>
              </w:rPr>
            </w:pPr>
            <w:r>
              <w:rPr>
                <w:spacing w:val="-7"/>
                <w:lang w:eastAsia="zh-CN"/>
              </w:rPr>
              <w:t>年份：</w:t>
            </w:r>
            <w:r>
              <w:rPr>
                <w:color w:val="FF0000"/>
                <w:spacing w:val="-7"/>
                <w:highlight w:val="yellow"/>
                <w:lang w:eastAsia="zh-CN"/>
              </w:rPr>
              <w:t>202</w:t>
            </w:r>
            <w:r>
              <w:rPr>
                <w:rFonts w:hint="eastAsia"/>
                <w:color w:val="FF0000"/>
                <w:spacing w:val="-7"/>
                <w:highlight w:val="yellow"/>
                <w:lang w:eastAsia="zh-CN"/>
              </w:rPr>
              <w:t>2</w:t>
            </w:r>
            <w:r>
              <w:rPr>
                <w:color w:val="FF0000"/>
                <w:spacing w:val="-31"/>
                <w:highlight w:val="yellow"/>
                <w:lang w:eastAsia="zh-CN"/>
              </w:rPr>
              <w:t xml:space="preserve"> </w:t>
            </w:r>
            <w:r>
              <w:rPr>
                <w:color w:val="FF0000"/>
                <w:spacing w:val="-7"/>
                <w:highlight w:val="yellow"/>
                <w:lang w:eastAsia="zh-CN"/>
              </w:rPr>
              <w:t>年</w:t>
            </w:r>
            <w:r>
              <w:rPr>
                <w:color w:val="FF0000"/>
                <w:spacing w:val="-28"/>
                <w:highlight w:val="yellow"/>
                <w:lang w:eastAsia="zh-CN"/>
              </w:rPr>
              <w:t xml:space="preserve"> </w:t>
            </w:r>
            <w:r>
              <w:rPr>
                <w:color w:val="FF0000"/>
                <w:spacing w:val="-7"/>
                <w:highlight w:val="yellow"/>
                <w:lang w:eastAsia="zh-CN"/>
              </w:rPr>
              <w:t>1</w:t>
            </w:r>
            <w:r>
              <w:rPr>
                <w:color w:val="FF0000"/>
                <w:spacing w:val="-40"/>
                <w:highlight w:val="yellow"/>
                <w:lang w:eastAsia="zh-CN"/>
              </w:rPr>
              <w:t xml:space="preserve"> </w:t>
            </w:r>
            <w:r>
              <w:rPr>
                <w:color w:val="FF0000"/>
                <w:spacing w:val="-7"/>
                <w:highlight w:val="yellow"/>
                <w:lang w:eastAsia="zh-CN"/>
              </w:rPr>
              <w:t>月</w:t>
            </w:r>
            <w:r>
              <w:rPr>
                <w:color w:val="FF0000"/>
                <w:spacing w:val="-28"/>
                <w:highlight w:val="yellow"/>
                <w:lang w:eastAsia="zh-CN"/>
              </w:rPr>
              <w:t xml:space="preserve"> </w:t>
            </w:r>
            <w:r>
              <w:rPr>
                <w:color w:val="FF0000"/>
                <w:spacing w:val="-7"/>
                <w:highlight w:val="yellow"/>
                <w:lang w:eastAsia="zh-CN"/>
              </w:rPr>
              <w:t>1 日至投标截止时间</w:t>
            </w:r>
          </w:p>
          <w:p>
            <w:pPr>
              <w:pStyle w:val="33"/>
              <w:spacing w:before="169" w:line="220" w:lineRule="auto"/>
              <w:ind w:left="113"/>
              <w:rPr>
                <w:rFonts w:hint="eastAsia"/>
                <w:color w:val="FF0000"/>
                <w:highlight w:val="yellow"/>
                <w:lang w:eastAsia="zh-CN"/>
              </w:rPr>
            </w:pPr>
            <w:r>
              <w:rPr>
                <w:color w:val="FF0000"/>
                <w:spacing w:val="-2"/>
                <w:highlight w:val="yellow"/>
                <w:lang w:eastAsia="zh-CN"/>
              </w:rPr>
              <w:t>金额：</w:t>
            </w:r>
            <w:r>
              <w:rPr>
                <w:rFonts w:hint="eastAsia"/>
                <w:color w:val="FF0000"/>
                <w:spacing w:val="-2"/>
                <w:highlight w:val="yellow"/>
                <w:lang w:eastAsia="zh-CN"/>
              </w:rPr>
              <w:t>2000</w:t>
            </w:r>
            <w:r>
              <w:rPr>
                <w:color w:val="FF0000"/>
                <w:spacing w:val="-2"/>
                <w:highlight w:val="yellow"/>
                <w:lang w:eastAsia="zh-CN"/>
              </w:rPr>
              <w:t>万元（含）以上</w:t>
            </w:r>
          </w:p>
          <w:p>
            <w:pPr>
              <w:pStyle w:val="33"/>
              <w:spacing w:before="169" w:line="220" w:lineRule="auto"/>
              <w:ind w:left="114"/>
              <w:rPr>
                <w:rFonts w:hint="eastAsia"/>
                <w:color w:val="FF0000"/>
                <w:spacing w:val="-3"/>
                <w:highlight w:val="yellow"/>
                <w:lang w:eastAsia="zh-CN"/>
              </w:rPr>
            </w:pPr>
            <w:r>
              <w:rPr>
                <w:color w:val="FF0000"/>
                <w:spacing w:val="-3"/>
                <w:highlight w:val="yellow"/>
                <w:lang w:eastAsia="zh-CN"/>
              </w:rPr>
              <w:t>分值：</w:t>
            </w:r>
            <w:r>
              <w:rPr>
                <w:rFonts w:hint="eastAsia"/>
                <w:color w:val="FF0000"/>
                <w:spacing w:val="-3"/>
                <w:highlight w:val="yellow"/>
                <w:lang w:eastAsia="zh-CN"/>
              </w:rPr>
              <w:t>1</w:t>
            </w:r>
            <w:r>
              <w:rPr>
                <w:color w:val="FF0000"/>
                <w:spacing w:val="-3"/>
                <w:highlight w:val="yellow"/>
                <w:lang w:eastAsia="zh-CN"/>
              </w:rPr>
              <w:t>分/个，满分：</w:t>
            </w:r>
            <w:r>
              <w:rPr>
                <w:rFonts w:hint="eastAsia"/>
                <w:color w:val="FF0000"/>
                <w:spacing w:val="-3"/>
                <w:highlight w:val="yellow"/>
                <w:lang w:eastAsia="zh-CN"/>
              </w:rPr>
              <w:t>3</w:t>
            </w:r>
            <w:r>
              <w:rPr>
                <w:color w:val="FF0000"/>
                <w:spacing w:val="-3"/>
                <w:highlight w:val="yellow"/>
                <w:lang w:eastAsia="zh-CN"/>
              </w:rPr>
              <w:t>分。</w:t>
            </w:r>
          </w:p>
          <w:p>
            <w:pPr>
              <w:spacing w:before="169" w:line="320" w:lineRule="exact"/>
              <w:ind w:left="114"/>
              <w:rPr>
                <w:color w:val="FF0000"/>
                <w:spacing w:val="-3"/>
                <w:highlight w:val="yellow"/>
              </w:rPr>
            </w:pPr>
            <w:r>
              <w:rPr>
                <w:rFonts w:hint="eastAsia"/>
                <w:b/>
                <w:color w:val="FF0000"/>
              </w:rPr>
              <w:t>项目经理须至少具有</w:t>
            </w:r>
            <w:r>
              <w:rPr>
                <w:b/>
                <w:color w:val="FF0000"/>
              </w:rPr>
              <w:t>1</w:t>
            </w:r>
            <w:r>
              <w:rPr>
                <w:rFonts w:hint="eastAsia"/>
                <w:b/>
                <w:color w:val="FF0000"/>
              </w:rPr>
              <w:t>个已完工的单项合同金额在2000万元及以上的建筑工程或市政工程施工总承包项目经理经历，投标人须提供能证明项目经理业绩的证明文件（合同、中标通知书（如有）或竣工验收证明书）。</w:t>
            </w:r>
          </w:p>
          <w:p>
            <w:pPr>
              <w:spacing w:line="420" w:lineRule="exact"/>
              <w:jc w:val="left"/>
            </w:pPr>
            <w:r>
              <w:rPr>
                <w:spacing w:val="-6"/>
              </w:rPr>
              <w:t>注：业绩以住建领域主体信息库入库信息为</w:t>
            </w:r>
            <w:r>
              <w:rPr>
                <w:spacing w:val="9"/>
              </w:rPr>
              <w:t xml:space="preserve"> </w:t>
            </w:r>
            <w:r>
              <w:rPr>
                <w:spacing w:val="-3"/>
              </w:rPr>
              <w:t>准，时间以竣工验收时间为准。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pPr>
              <w:spacing w:line="420" w:lineRule="exact"/>
              <w:jc w:val="center"/>
              <w:rPr>
                <w:rFonts w:hint="eastAsia" w:ascii="宋体" w:hAnsi="宋体"/>
                <w:b/>
                <w:szCs w:val="21"/>
              </w:rPr>
            </w:pPr>
            <w:r>
              <w:rPr>
                <w:rFonts w:hint="eastAsia" w:ascii="宋体" w:hAnsi="宋体"/>
                <w:b/>
                <w:szCs w:val="21"/>
              </w:rPr>
              <w:t>条款号</w:t>
            </w:r>
          </w:p>
        </w:tc>
        <w:tc>
          <w:tcPr>
            <w:tcW w:w="7131" w:type="dxa"/>
            <w:gridSpan w:val="4"/>
            <w:vAlign w:val="center"/>
          </w:tcPr>
          <w:p>
            <w:pPr>
              <w:spacing w:line="420" w:lineRule="exact"/>
              <w:jc w:val="center"/>
              <w:rPr>
                <w:rFonts w:hint="eastAsia" w:ascii="宋体" w:hAnsi="宋体"/>
                <w:b/>
                <w:szCs w:val="21"/>
              </w:rPr>
            </w:pPr>
            <w:r>
              <w:rPr>
                <w:rFonts w:hint="eastAsia" w:ascii="宋体" w:hAnsi="宋体"/>
                <w:b/>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szCs w:val="21"/>
              </w:rPr>
            </w:pPr>
            <w:r>
              <w:rPr>
                <w:rFonts w:hint="eastAsia"/>
                <w:szCs w:val="21"/>
              </w:rPr>
              <w:t>3.2.5</w:t>
            </w:r>
          </w:p>
        </w:tc>
        <w:tc>
          <w:tcPr>
            <w:tcW w:w="1059" w:type="dxa"/>
            <w:vAlign w:val="center"/>
          </w:tcPr>
          <w:p>
            <w:pPr>
              <w:spacing w:line="420" w:lineRule="exact"/>
              <w:jc w:val="center"/>
              <w:rPr>
                <w:rFonts w:hint="eastAsia" w:ascii="宋体" w:hAnsi="宋体"/>
                <w:szCs w:val="21"/>
              </w:rPr>
            </w:pPr>
            <w:r>
              <w:rPr>
                <w:rFonts w:hint="eastAsia" w:ascii="宋体" w:hAnsi="宋体"/>
                <w:szCs w:val="21"/>
              </w:rPr>
              <w:t>评分结果汇总</w:t>
            </w:r>
          </w:p>
        </w:tc>
        <w:tc>
          <w:tcPr>
            <w:tcW w:w="7131" w:type="dxa"/>
            <w:gridSpan w:val="4"/>
            <w:vAlign w:val="center"/>
          </w:tcPr>
          <w:p>
            <w:pPr>
              <w:spacing w:line="380" w:lineRule="exact"/>
              <w:jc w:val="left"/>
            </w:pPr>
            <w:r>
              <w:rPr>
                <w:rFonts w:hint="eastAsia"/>
              </w:rPr>
              <w:t>最终（含分项）评分结果汇总确定办法：</w:t>
            </w:r>
          </w:p>
          <w:p>
            <w:pPr>
              <w:spacing w:line="380" w:lineRule="exact"/>
              <w:ind w:firstLine="420" w:firstLineChars="200"/>
              <w:jc w:val="left"/>
            </w:pPr>
            <w:r>
              <w:rPr>
                <w:rFonts w:hint="eastAsia"/>
              </w:rPr>
              <w:t>☑所有评标委员会成员评分的算术平均值。</w:t>
            </w:r>
          </w:p>
          <w:p>
            <w:pPr>
              <w:spacing w:line="380" w:lineRule="exact"/>
              <w:ind w:firstLine="420" w:firstLineChars="200"/>
              <w:jc w:val="left"/>
            </w:pPr>
            <w:r>
              <w:rPr>
                <w:rFonts w:hint="eastAsia"/>
              </w:rPr>
              <w:t>□所有评标委员会成员评分去掉一个最高分和一个最低分后计算平均值（分项评审成员3名（含3名）以下时，按照算术平均值进行计算）。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rFonts w:hint="eastAsia" w:ascii="宋体" w:hAnsi="宋体"/>
                <w:b/>
                <w:szCs w:val="21"/>
              </w:rPr>
            </w:pPr>
            <w:r>
              <w:rPr>
                <w:szCs w:val="21"/>
              </w:rPr>
              <w:t>3.</w:t>
            </w:r>
            <w:r>
              <w:rPr>
                <w:rFonts w:hint="eastAsia"/>
                <w:szCs w:val="21"/>
              </w:rPr>
              <w:t>4</w:t>
            </w:r>
            <w:r>
              <w:rPr>
                <w:szCs w:val="21"/>
              </w:rPr>
              <w:t>.1</w:t>
            </w:r>
          </w:p>
        </w:tc>
        <w:tc>
          <w:tcPr>
            <w:tcW w:w="1059" w:type="dxa"/>
            <w:vAlign w:val="center"/>
          </w:tcPr>
          <w:p>
            <w:pPr>
              <w:spacing w:line="420" w:lineRule="exact"/>
              <w:jc w:val="center"/>
              <w:rPr>
                <w:rFonts w:hint="eastAsia" w:ascii="宋体" w:hAnsi="宋体"/>
                <w:b/>
                <w:szCs w:val="21"/>
              </w:rPr>
            </w:pPr>
            <w:r>
              <w:rPr>
                <w:rFonts w:hint="eastAsia" w:ascii="宋体" w:hAnsi="宋体"/>
                <w:szCs w:val="21"/>
              </w:rPr>
              <w:t>推荐中标候选人</w:t>
            </w:r>
          </w:p>
        </w:tc>
        <w:tc>
          <w:tcPr>
            <w:tcW w:w="7131" w:type="dxa"/>
            <w:gridSpan w:val="4"/>
            <w:vAlign w:val="center"/>
          </w:tcPr>
          <w:p>
            <w:pPr>
              <w:spacing w:line="380" w:lineRule="exact"/>
            </w:pPr>
            <w:r>
              <w:rPr>
                <w:rFonts w:hint="eastAsia"/>
              </w:rPr>
              <w:t xml:space="preserve">    （1）评标委员会向招标人推荐不超过3家的合格的中标候选人，且对每个中标候选人的技术咨询建议、优势、不足、风险等情况进行说明，提出推荐意见和建议。</w:t>
            </w:r>
            <w:r>
              <w:rPr>
                <w:rFonts w:hint="eastAsia"/>
              </w:rPr>
              <w:br w:type="textWrapping"/>
            </w:r>
            <w:r>
              <w:rPr>
                <w:rFonts w:hint="eastAsia"/>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pPr>
        <w:spacing w:line="400" w:lineRule="exact"/>
        <w:rPr>
          <w:szCs w:val="21"/>
        </w:rPr>
      </w:pPr>
      <w:r>
        <w:rPr>
          <w:szCs w:val="21"/>
        </w:rPr>
        <w:br w:type="page"/>
      </w:r>
    </w:p>
    <w:p>
      <w:pPr>
        <w:pStyle w:val="29"/>
      </w:pPr>
      <w:bookmarkStart w:id="515" w:name="_Toc256000082"/>
      <w:bookmarkStart w:id="516" w:name="_Toc183107218"/>
      <w:bookmarkStart w:id="517" w:name="_Toc32486"/>
      <w:bookmarkStart w:id="518" w:name="_Hlk176002393"/>
      <w:r>
        <w:rPr>
          <w:rFonts w:hint="eastAsia"/>
        </w:rPr>
        <w:t>评标办法正文部分</w:t>
      </w:r>
      <w:bookmarkEnd w:id="515"/>
      <w:bookmarkEnd w:id="516"/>
      <w:bookmarkEnd w:id="517"/>
    </w:p>
    <w:bookmarkEnd w:id="518"/>
    <w:p>
      <w:pPr>
        <w:pStyle w:val="29"/>
      </w:pPr>
      <w:bookmarkStart w:id="519" w:name="_Toc22830"/>
      <w:bookmarkStart w:id="520" w:name="_Toc183107219"/>
      <w:bookmarkStart w:id="521" w:name="_Toc256000083"/>
      <w:r>
        <w:rPr>
          <w:rFonts w:hint="eastAsia"/>
        </w:rPr>
        <w:t>1. 评标方法</w:t>
      </w:r>
      <w:bookmarkEnd w:id="519"/>
      <w:bookmarkEnd w:id="520"/>
      <w:bookmarkEnd w:id="521"/>
    </w:p>
    <w:p>
      <w:pPr>
        <w:spacing w:line="380" w:lineRule="exact"/>
        <w:ind w:firstLine="420" w:firstLineChars="200"/>
      </w:pPr>
      <w:bookmarkStart w:id="522" w:name="_Hlk174448114"/>
      <w:r>
        <w:rPr>
          <w:rFonts w:hint="eastAsia"/>
        </w:rPr>
        <w:t>本次评标采用综合评估法。评标委员会对满足招标文件实质性要求的投标文件，按照本章第2.2款规定的评分标准进行打分，并按评标办法前附表的规定推荐中标候选人</w:t>
      </w:r>
      <w:bookmarkStart w:id="523" w:name="_Hlk152257834"/>
      <w:r>
        <w:rPr>
          <w:rFonts w:hint="eastAsia" w:ascii="宋体" w:hAnsi="宋体" w:cs="宋体"/>
          <w:szCs w:val="21"/>
        </w:rPr>
        <w:t>。</w:t>
      </w:r>
      <w:bookmarkEnd w:id="523"/>
    </w:p>
    <w:bookmarkEnd w:id="522"/>
    <w:p>
      <w:pPr>
        <w:pStyle w:val="29"/>
      </w:pPr>
      <w:bookmarkStart w:id="524" w:name="_Toc256000084"/>
      <w:bookmarkStart w:id="525" w:name="_Toc25899"/>
      <w:bookmarkStart w:id="526" w:name="_Toc183107220"/>
      <w:r>
        <w:rPr>
          <w:rFonts w:hint="eastAsia"/>
        </w:rPr>
        <w:t>2. 评审标准</w:t>
      </w:r>
      <w:bookmarkEnd w:id="524"/>
      <w:bookmarkEnd w:id="525"/>
      <w:bookmarkEnd w:id="526"/>
    </w:p>
    <w:p>
      <w:pPr>
        <w:pStyle w:val="31"/>
      </w:pPr>
      <w:bookmarkStart w:id="527" w:name="_Toc183107221"/>
      <w:bookmarkStart w:id="528" w:name="_Toc256000085"/>
      <w:bookmarkStart w:id="529" w:name="_Toc19885"/>
      <w:r>
        <w:rPr>
          <w:rFonts w:hint="eastAsia"/>
        </w:rPr>
        <w:t>2.1 初步评审标准</w:t>
      </w:r>
      <w:bookmarkEnd w:id="527"/>
      <w:bookmarkEnd w:id="528"/>
      <w:bookmarkEnd w:id="529"/>
    </w:p>
    <w:p>
      <w:pPr>
        <w:spacing w:line="380" w:lineRule="exact"/>
        <w:ind w:firstLine="420" w:firstLineChars="200"/>
      </w:pPr>
      <w:r>
        <w:rPr>
          <w:rFonts w:hint="eastAsia"/>
        </w:rPr>
        <w:t>2.1.1 形式评审标准：见评标办法前附表。</w:t>
      </w:r>
    </w:p>
    <w:p>
      <w:pPr>
        <w:spacing w:line="380" w:lineRule="exact"/>
        <w:ind w:firstLine="420" w:firstLineChars="200"/>
      </w:pPr>
      <w:r>
        <w:rPr>
          <w:rFonts w:hint="eastAsia"/>
        </w:rPr>
        <w:t>2.1.2 资格评审标准：见评标办法前附表。</w:t>
      </w:r>
    </w:p>
    <w:p>
      <w:pPr>
        <w:spacing w:line="380" w:lineRule="exact"/>
        <w:ind w:firstLine="420" w:firstLineChars="200"/>
      </w:pPr>
      <w:r>
        <w:rPr>
          <w:rFonts w:hint="eastAsia"/>
        </w:rPr>
        <w:t>2.1.3 响应性评审标准：见评标办法前附表。</w:t>
      </w:r>
    </w:p>
    <w:p>
      <w:pPr>
        <w:pStyle w:val="31"/>
      </w:pPr>
      <w:bookmarkStart w:id="530" w:name="_Toc6125"/>
      <w:bookmarkStart w:id="531" w:name="_Toc183107222"/>
      <w:bookmarkStart w:id="532" w:name="_Toc256000086"/>
      <w:r>
        <w:rPr>
          <w:rFonts w:hint="eastAsia"/>
        </w:rPr>
        <w:t>2.2 分值构成与评分标准</w:t>
      </w:r>
      <w:bookmarkEnd w:id="530"/>
      <w:bookmarkEnd w:id="531"/>
      <w:bookmarkEnd w:id="532"/>
    </w:p>
    <w:p>
      <w:pPr>
        <w:spacing w:line="400" w:lineRule="exact"/>
        <w:ind w:firstLine="420" w:firstLineChars="200"/>
      </w:pPr>
      <w:r>
        <w:rPr>
          <w:rFonts w:hint="eastAsia"/>
        </w:rPr>
        <w:t xml:space="preserve">2.2.1 </w:t>
      </w:r>
      <w:r>
        <w:rPr>
          <w:rFonts w:hint="eastAsia" w:ascii="黑体" w:eastAsia="黑体"/>
        </w:rPr>
        <w:t>分值构成</w:t>
      </w:r>
    </w:p>
    <w:p>
      <w:pPr>
        <w:spacing w:line="380" w:lineRule="exact"/>
        <w:ind w:firstLine="420" w:firstLineChars="200"/>
      </w:pPr>
      <w:r>
        <w:rPr>
          <w:rFonts w:hint="eastAsia"/>
        </w:rPr>
        <w:t>（1）投标报价（经济标）：见评标办法前附表；</w:t>
      </w:r>
    </w:p>
    <w:p>
      <w:pPr>
        <w:spacing w:line="380" w:lineRule="exact"/>
        <w:ind w:firstLine="420" w:firstLineChars="200"/>
      </w:pPr>
      <w:r>
        <w:rPr>
          <w:rFonts w:hint="eastAsia"/>
        </w:rPr>
        <w:t>（2）施工组织设计（技术标）：见评标办法前附表；</w:t>
      </w:r>
    </w:p>
    <w:p>
      <w:pPr>
        <w:spacing w:line="380" w:lineRule="exact"/>
        <w:ind w:firstLine="420" w:firstLineChars="200"/>
      </w:pPr>
      <w:r>
        <w:rPr>
          <w:rFonts w:hint="eastAsia"/>
        </w:rPr>
        <w:t>（3）资信业绩：见评标办法前附表；</w:t>
      </w:r>
    </w:p>
    <w:p>
      <w:pPr>
        <w:spacing w:line="380" w:lineRule="exact"/>
        <w:ind w:firstLine="420" w:firstLineChars="200"/>
      </w:pPr>
      <w:r>
        <w:rPr>
          <w:rFonts w:hint="eastAsia"/>
        </w:rPr>
        <w:t>（4）其他因素：见评标办法前附表。</w:t>
      </w:r>
    </w:p>
    <w:p>
      <w:pPr>
        <w:spacing w:line="400" w:lineRule="exact"/>
        <w:ind w:firstLine="420" w:firstLineChars="200"/>
      </w:pPr>
      <w:r>
        <w:rPr>
          <w:rFonts w:hint="eastAsia"/>
        </w:rPr>
        <w:t xml:space="preserve">2.2.2 </w:t>
      </w:r>
      <w:r>
        <w:rPr>
          <w:rFonts w:hint="eastAsia" w:ascii="黑体" w:eastAsia="黑体"/>
        </w:rPr>
        <w:t>评标基准价计算</w:t>
      </w:r>
    </w:p>
    <w:p>
      <w:pPr>
        <w:spacing w:line="380" w:lineRule="exact"/>
        <w:ind w:firstLine="420" w:firstLineChars="200"/>
      </w:pPr>
      <w:r>
        <w:rPr>
          <w:rFonts w:hint="eastAsia"/>
        </w:rPr>
        <w:t>（1）评标价确定方法：见评标办法前附表；</w:t>
      </w:r>
    </w:p>
    <w:p>
      <w:pPr>
        <w:spacing w:line="380" w:lineRule="exact"/>
        <w:ind w:firstLine="420" w:firstLineChars="200"/>
      </w:pPr>
      <w:r>
        <w:rPr>
          <w:rFonts w:hint="eastAsia"/>
        </w:rPr>
        <w:t>（2）评标基准价计算方法：见评标办法前附表。</w:t>
      </w:r>
    </w:p>
    <w:p>
      <w:pPr>
        <w:spacing w:line="400" w:lineRule="exact"/>
        <w:ind w:firstLine="420" w:firstLineChars="200"/>
      </w:pPr>
      <w:r>
        <w:rPr>
          <w:rFonts w:hint="eastAsia"/>
        </w:rPr>
        <w:t xml:space="preserve">2.2.3 </w:t>
      </w:r>
      <w:r>
        <w:rPr>
          <w:rFonts w:hint="eastAsia" w:ascii="黑体" w:eastAsia="黑体"/>
        </w:rPr>
        <w:t>投标报价的偏差率计算</w:t>
      </w:r>
    </w:p>
    <w:p>
      <w:pPr>
        <w:spacing w:line="380" w:lineRule="exact"/>
        <w:ind w:firstLine="420" w:firstLineChars="200"/>
      </w:pPr>
      <w:r>
        <w:rPr>
          <w:rFonts w:hint="eastAsia"/>
        </w:rPr>
        <w:t>投标报价的偏差率计算公式：见评标办法前附表。</w:t>
      </w:r>
    </w:p>
    <w:p>
      <w:pPr>
        <w:spacing w:line="400" w:lineRule="exact"/>
        <w:ind w:firstLine="420" w:firstLineChars="200"/>
      </w:pPr>
      <w:r>
        <w:rPr>
          <w:rFonts w:hint="eastAsia"/>
        </w:rPr>
        <w:t xml:space="preserve">2.2.4 </w:t>
      </w:r>
      <w:r>
        <w:rPr>
          <w:rFonts w:hint="eastAsia" w:ascii="黑体" w:eastAsia="黑体"/>
        </w:rPr>
        <w:t>评分标准</w:t>
      </w:r>
    </w:p>
    <w:p>
      <w:pPr>
        <w:spacing w:line="380" w:lineRule="exact"/>
        <w:ind w:firstLine="420" w:firstLineChars="200"/>
      </w:pPr>
      <w:r>
        <w:rPr>
          <w:rFonts w:hint="eastAsia"/>
        </w:rPr>
        <w:t>（1）经济标评分标准：见评标办法前附表；</w:t>
      </w:r>
    </w:p>
    <w:p>
      <w:pPr>
        <w:spacing w:line="380" w:lineRule="exact"/>
        <w:ind w:firstLine="420" w:firstLineChars="200"/>
      </w:pPr>
      <w:r>
        <w:rPr>
          <w:rFonts w:hint="eastAsia"/>
        </w:rPr>
        <w:t>（2）技术标评分标准：见评标办法前附表；</w:t>
      </w:r>
    </w:p>
    <w:p>
      <w:pPr>
        <w:spacing w:line="380" w:lineRule="exact"/>
        <w:ind w:firstLine="420" w:firstLineChars="200"/>
      </w:pPr>
      <w:r>
        <w:rPr>
          <w:rFonts w:hint="eastAsia"/>
        </w:rPr>
        <w:t>（3）资信标评分标准：见评标办法前附表；</w:t>
      </w:r>
    </w:p>
    <w:p>
      <w:pPr>
        <w:spacing w:line="380" w:lineRule="exact"/>
        <w:ind w:firstLine="420" w:firstLineChars="200"/>
      </w:pPr>
      <w:r>
        <w:rPr>
          <w:rFonts w:hint="eastAsia"/>
        </w:rPr>
        <w:t>（4）其他因素评分标准：见评标办法前附表。</w:t>
      </w:r>
    </w:p>
    <w:p>
      <w:pPr>
        <w:pStyle w:val="29"/>
      </w:pPr>
      <w:bookmarkStart w:id="533" w:name="_Toc29258"/>
      <w:bookmarkStart w:id="534" w:name="_Toc183107223"/>
      <w:bookmarkStart w:id="535" w:name="_Toc256000087"/>
      <w:r>
        <w:rPr>
          <w:rFonts w:hint="eastAsia"/>
        </w:rPr>
        <w:t>3. 评标程序</w:t>
      </w:r>
      <w:bookmarkEnd w:id="533"/>
      <w:bookmarkEnd w:id="534"/>
      <w:bookmarkEnd w:id="535"/>
    </w:p>
    <w:p>
      <w:pPr>
        <w:pStyle w:val="31"/>
      </w:pPr>
      <w:bookmarkStart w:id="536" w:name="_Toc183107224"/>
      <w:bookmarkStart w:id="537" w:name="_Toc256000088"/>
      <w:bookmarkStart w:id="538" w:name="_Toc10891"/>
      <w:r>
        <w:rPr>
          <w:rFonts w:hint="eastAsia"/>
        </w:rPr>
        <w:t>3.1 初步评审</w:t>
      </w:r>
      <w:bookmarkEnd w:id="536"/>
      <w:bookmarkEnd w:id="537"/>
      <w:bookmarkEnd w:id="538"/>
    </w:p>
    <w:p>
      <w:pPr>
        <w:spacing w:line="380" w:lineRule="exact"/>
        <w:ind w:firstLine="420" w:firstLineChars="200"/>
      </w:pPr>
      <w:r>
        <w:rPr>
          <w:rFonts w:hint="eastAsia"/>
        </w:rPr>
        <w:t>3.1.1评标委员会依据本章第2.1款规定的标准对投标文件进行初步评审。有一项不符合评审标准的，评标委员会应当否决其投标。</w:t>
      </w:r>
    </w:p>
    <w:p>
      <w:pPr>
        <w:spacing w:line="380" w:lineRule="exact"/>
        <w:ind w:firstLine="420" w:firstLineChars="200"/>
      </w:pPr>
      <w:r>
        <w:rPr>
          <w:rFonts w:hint="eastAsia"/>
        </w:rPr>
        <w:t>3.1.2 投标人有以下情形之一的，评标委员会应当否决其投标：</w:t>
      </w:r>
    </w:p>
    <w:p>
      <w:pPr>
        <w:spacing w:line="380" w:lineRule="exact"/>
        <w:ind w:firstLine="420" w:firstLineChars="200"/>
      </w:pPr>
      <w:r>
        <w:rPr>
          <w:rFonts w:hint="eastAsia"/>
        </w:rPr>
        <w:t>（1）不按评标委员会要求澄清、说明或补正。</w:t>
      </w:r>
    </w:p>
    <w:p>
      <w:pPr>
        <w:spacing w:line="380" w:lineRule="exact"/>
        <w:ind w:firstLine="420" w:firstLineChars="200"/>
      </w:pPr>
      <w:r>
        <w:rPr>
          <w:rFonts w:hint="eastAsia"/>
        </w:rPr>
        <w:t>（2）有串通投标、弄虚作假、行贿或有其他违法行为；</w:t>
      </w:r>
    </w:p>
    <w:p>
      <w:pPr>
        <w:spacing w:line="380" w:lineRule="exact"/>
        <w:ind w:firstLine="420" w:firstLineChars="200"/>
      </w:pPr>
      <w:r>
        <w:rPr>
          <w:rFonts w:hint="eastAsia"/>
        </w:rPr>
        <w:t>1）有下列情形之一的，视为投标人相互串通投标：</w:t>
      </w:r>
    </w:p>
    <w:p>
      <w:pPr>
        <w:spacing w:line="380" w:lineRule="exact"/>
        <w:ind w:firstLine="420" w:firstLineChars="200"/>
      </w:pPr>
      <w:r>
        <w:rPr>
          <w:rFonts w:hint="eastAsia"/>
        </w:rPr>
        <w:t>① 不同投标人的投标文件由同一单位或者个人编制；</w:t>
      </w:r>
    </w:p>
    <w:p>
      <w:pPr>
        <w:spacing w:line="380" w:lineRule="exact"/>
        <w:ind w:firstLine="420" w:firstLineChars="200"/>
      </w:pPr>
      <w:r>
        <w:rPr>
          <w:rFonts w:hint="eastAsia"/>
        </w:rPr>
        <w:t>② 不同投标人委托同一单位或者个人办理投标事宜；</w:t>
      </w:r>
    </w:p>
    <w:p>
      <w:pPr>
        <w:spacing w:line="380" w:lineRule="exact"/>
        <w:ind w:firstLine="420" w:firstLineChars="200"/>
      </w:pPr>
      <w:r>
        <w:rPr>
          <w:rFonts w:hint="eastAsia"/>
        </w:rPr>
        <w:t>③ 不同投标人使用同一电脑等电子设备办理投标事宜（下载招标文件、上传投标文件、授权委托人或项目经理实名认证等关键环节）；</w:t>
      </w:r>
    </w:p>
    <w:p>
      <w:pPr>
        <w:spacing w:line="380" w:lineRule="exact"/>
        <w:ind w:firstLine="420" w:firstLineChars="200"/>
      </w:pPr>
      <w:r>
        <w:rPr>
          <w:rFonts w:hint="eastAsia"/>
        </w:rPr>
        <w:t>④ 不同投标人的投标文件载明的项目管理成员为同一人；</w:t>
      </w:r>
    </w:p>
    <w:p>
      <w:pPr>
        <w:spacing w:line="380" w:lineRule="exact"/>
        <w:ind w:firstLine="420" w:firstLineChars="200"/>
      </w:pPr>
      <w:r>
        <w:rPr>
          <w:rFonts w:hint="eastAsia"/>
        </w:rPr>
        <w:t>⑤ 不同投标人的投标文件非典型一致或者投标报价呈规律性差异；</w:t>
      </w:r>
    </w:p>
    <w:p>
      <w:pPr>
        <w:spacing w:line="380" w:lineRule="exact"/>
        <w:ind w:firstLine="420" w:firstLineChars="200"/>
      </w:pPr>
      <w:r>
        <w:rPr>
          <w:rFonts w:hint="eastAsia"/>
        </w:rPr>
        <w:t>⑥ 不同投标人的投标文件相互混装；</w:t>
      </w:r>
    </w:p>
    <w:p>
      <w:pPr>
        <w:spacing w:line="380" w:lineRule="exact"/>
        <w:ind w:firstLine="420" w:firstLineChars="20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t xml:space="preserve"> </w:t>
      </w:r>
      <w:r>
        <w:rPr>
          <w:rFonts w:hint="eastAsia"/>
        </w:rPr>
        <w:t>不同投标人的投标保证金或保函（保险）财务费用从同一单位或者个人的账户转出；</w:t>
      </w:r>
    </w:p>
    <w:p>
      <w:pPr>
        <w:spacing w:line="380" w:lineRule="exact"/>
        <w:ind w:firstLine="420" w:firstLineChars="200"/>
      </w:pPr>
      <w:r>
        <w:rPr>
          <w:rFonts w:hint="eastAsia" w:ascii="宋体" w:hAnsi="宋体"/>
        </w:rPr>
        <w:t>⑧</w:t>
      </w:r>
      <w:r>
        <w:t xml:space="preserve"> </w:t>
      </w:r>
      <w:r>
        <w:rPr>
          <w:rFonts w:hint="eastAsia"/>
        </w:rPr>
        <w:t>不同投标人的投标文件存在“MAC地址”、“文件创建标识码”、“文件制作机器码”等唯一性标识一致等情形。</w:t>
      </w:r>
    </w:p>
    <w:p>
      <w:pPr>
        <w:spacing w:line="380" w:lineRule="exact"/>
        <w:ind w:firstLine="420" w:firstLineChars="200"/>
      </w:pPr>
      <w:r>
        <w:rPr>
          <w:rFonts w:hint="eastAsia"/>
        </w:rPr>
        <w:t>2）有下列情形之一的，属于弄虚作假行为：</w:t>
      </w:r>
    </w:p>
    <w:p>
      <w:pPr>
        <w:spacing w:line="380" w:lineRule="exact"/>
        <w:ind w:firstLine="420" w:firstLineChars="200"/>
      </w:pPr>
      <w:r>
        <w:rPr>
          <w:rFonts w:hint="eastAsia"/>
        </w:rPr>
        <w:t>① 使用通过受让或者租借等方式获取的资格、资质证书投标的，即以他人名义投标的。</w:t>
      </w:r>
    </w:p>
    <w:p>
      <w:pPr>
        <w:spacing w:line="380" w:lineRule="exact"/>
        <w:ind w:firstLine="420" w:firstLineChars="200"/>
      </w:pPr>
      <w:r>
        <w:rPr>
          <w:rFonts w:hint="eastAsia"/>
        </w:rPr>
        <w:t>② 使用伪造、变造的许可证件；</w:t>
      </w:r>
    </w:p>
    <w:p>
      <w:pPr>
        <w:spacing w:line="380" w:lineRule="exact"/>
        <w:ind w:firstLine="420" w:firstLineChars="200"/>
      </w:pPr>
      <w:r>
        <w:rPr>
          <w:rFonts w:hint="eastAsia"/>
        </w:rPr>
        <w:t>③ 提供虚假的财务状况或者业绩；</w:t>
      </w:r>
    </w:p>
    <w:p>
      <w:pPr>
        <w:spacing w:line="380" w:lineRule="exact"/>
        <w:ind w:firstLine="420" w:firstLineChars="200"/>
      </w:pPr>
      <w:r>
        <w:rPr>
          <w:rFonts w:hint="eastAsia"/>
        </w:rPr>
        <w:t>④ 提供虚假的项目负责人或者主要技术人员简历、社会保险证明；</w:t>
      </w:r>
    </w:p>
    <w:p>
      <w:pPr>
        <w:spacing w:line="380" w:lineRule="exact"/>
        <w:ind w:firstLine="420" w:firstLineChars="200"/>
      </w:pPr>
      <w:r>
        <w:rPr>
          <w:rFonts w:hint="eastAsia"/>
        </w:rPr>
        <w:t>⑤ 提供虚假的信用状况；</w:t>
      </w:r>
    </w:p>
    <w:p>
      <w:pPr>
        <w:spacing w:line="380" w:lineRule="exact"/>
        <w:ind w:firstLine="420" w:firstLineChars="200"/>
      </w:pPr>
      <w:r>
        <w:rPr>
          <w:rFonts w:hint="eastAsia"/>
        </w:rPr>
        <w:t>⑥ 其他弄虚作假的行为。</w:t>
      </w:r>
    </w:p>
    <w:p>
      <w:pPr>
        <w:spacing w:line="380" w:lineRule="exact"/>
        <w:ind w:firstLine="420" w:firstLineChars="200"/>
      </w:pPr>
      <w:r>
        <w:rPr>
          <w:rFonts w:hint="eastAsia"/>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pPr>
        <w:spacing w:line="380" w:lineRule="exact"/>
        <w:ind w:firstLine="420" w:firstLineChars="200"/>
      </w:pPr>
      <w:r>
        <w:rPr>
          <w:rFonts w:hint="eastAsia"/>
        </w:rPr>
        <w:t>（1）投标文件中的大写金额与小写金额不一致的，以大写金额为准；</w:t>
      </w:r>
    </w:p>
    <w:p>
      <w:pPr>
        <w:spacing w:line="380" w:lineRule="exact"/>
        <w:ind w:firstLine="420" w:firstLineChars="200"/>
      </w:pPr>
      <w:r>
        <w:rPr>
          <w:rFonts w:hint="eastAsia"/>
        </w:rPr>
        <w:t>（2）总价金额与依据单价计算出的结果不一致的，以单价金额为准修正总价，但单价金额小数点有明显错误的除外。</w:t>
      </w:r>
    </w:p>
    <w:p>
      <w:pPr>
        <w:spacing w:line="380" w:lineRule="exact"/>
        <w:ind w:firstLine="420" w:firstLineChars="200"/>
      </w:pPr>
      <w:r>
        <w:rPr>
          <w:rFonts w:hint="eastAsia"/>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pPr>
        <w:spacing w:line="38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pPr>
        <w:pStyle w:val="31"/>
      </w:pPr>
      <w:bookmarkStart w:id="539" w:name="_Toc256000089"/>
      <w:bookmarkStart w:id="540" w:name="_Toc5035"/>
      <w:bookmarkStart w:id="541" w:name="_Toc183107225"/>
      <w:r>
        <w:rPr>
          <w:rFonts w:hint="eastAsia"/>
        </w:rPr>
        <w:t>3.2 详细评审</w:t>
      </w:r>
      <w:bookmarkEnd w:id="539"/>
      <w:bookmarkEnd w:id="540"/>
      <w:bookmarkEnd w:id="541"/>
    </w:p>
    <w:p>
      <w:pPr>
        <w:spacing w:line="380" w:lineRule="exact"/>
        <w:ind w:firstLine="420" w:firstLineChars="200"/>
      </w:pPr>
      <w:r>
        <w:rPr>
          <w:rFonts w:hint="eastAsia"/>
        </w:rPr>
        <w:t>3.2.1 评标委员会对通过了初步评审的投标文件进行详细评审。</w:t>
      </w:r>
      <w:bookmarkStart w:id="542" w:name="_Hlk155258945"/>
      <w:r>
        <w:rPr>
          <w:rFonts w:hint="eastAsia"/>
        </w:rPr>
        <w:t>如采用入围方式的，则按照评标办法前附表规定的方式进行入围。</w:t>
      </w:r>
      <w:bookmarkEnd w:id="542"/>
    </w:p>
    <w:p>
      <w:pPr>
        <w:spacing w:line="380" w:lineRule="exact"/>
        <w:ind w:firstLine="420" w:firstLineChars="200"/>
      </w:pPr>
      <w:r>
        <w:rPr>
          <w:rFonts w:hint="eastAsia"/>
        </w:rPr>
        <w:t>3.2.2 评标委员会按本章第2.2款规定的量化因素和分值进行打分，并计算出综合评估得分。</w:t>
      </w:r>
    </w:p>
    <w:p>
      <w:pPr>
        <w:spacing w:line="380" w:lineRule="exact"/>
        <w:ind w:firstLine="420" w:firstLineChars="200"/>
      </w:pPr>
      <w:r>
        <w:rPr>
          <w:rFonts w:hint="eastAsia"/>
        </w:rPr>
        <w:t>（1）按本章第2.2.4（1）目规定的评审因素和分值对经济标计算出得分A；</w:t>
      </w:r>
    </w:p>
    <w:p>
      <w:pPr>
        <w:spacing w:line="380" w:lineRule="exact"/>
        <w:ind w:firstLine="420" w:firstLineChars="200"/>
      </w:pPr>
      <w:r>
        <w:rPr>
          <w:rFonts w:hint="eastAsia"/>
        </w:rPr>
        <w:t>（2）按本章第2.2.4（2）目规定的评审因素和分值对技术标计算出得分B；</w:t>
      </w:r>
    </w:p>
    <w:p>
      <w:pPr>
        <w:spacing w:line="380" w:lineRule="exact"/>
        <w:ind w:firstLine="420" w:firstLineChars="200"/>
      </w:pPr>
      <w:r>
        <w:rPr>
          <w:rFonts w:hint="eastAsia"/>
        </w:rPr>
        <w:t>（3）按本章第2.2.4（3）目规定的评审因素和分值对资信标计算出得分C；</w:t>
      </w:r>
    </w:p>
    <w:p>
      <w:pPr>
        <w:spacing w:line="380" w:lineRule="exact"/>
        <w:ind w:firstLine="420" w:firstLineChars="200"/>
      </w:pPr>
      <w:r>
        <w:rPr>
          <w:rFonts w:hint="eastAsia"/>
        </w:rPr>
        <w:t>（4）按本章第2.2.4（4）目规定的评审因素和分值对其他因素计算出得分D。</w:t>
      </w:r>
    </w:p>
    <w:p>
      <w:pPr>
        <w:spacing w:line="380" w:lineRule="exact"/>
        <w:ind w:firstLine="420" w:firstLineChars="200"/>
      </w:pPr>
      <w:r>
        <w:rPr>
          <w:rFonts w:hint="eastAsia"/>
        </w:rPr>
        <w:t>3.2.3 评分分值计算保留小数点后两位，小数点后第三位“四舍五入”。</w:t>
      </w:r>
    </w:p>
    <w:p>
      <w:pPr>
        <w:spacing w:line="380" w:lineRule="exact"/>
        <w:ind w:firstLine="420" w:firstLineChars="200"/>
      </w:pPr>
      <w:r>
        <w:rPr>
          <w:rFonts w:hint="eastAsia"/>
        </w:rPr>
        <w:t>3.2.4 投标人得分=A+B+C+D。</w:t>
      </w:r>
    </w:p>
    <w:p>
      <w:pPr>
        <w:spacing w:line="380" w:lineRule="exact"/>
        <w:ind w:firstLine="420" w:firstLineChars="200"/>
      </w:pPr>
      <w:r>
        <w:rPr>
          <w:rFonts w:hint="eastAsia"/>
        </w:rPr>
        <w:t xml:space="preserve">3.2.5 </w:t>
      </w:r>
      <w:bookmarkStart w:id="543" w:name="_Hlk174450796"/>
      <w:r>
        <w:rPr>
          <w:rFonts w:hint="eastAsia"/>
        </w:rPr>
        <w:t>各投标人评分结果汇总确定办法详见评标办法前附表。</w:t>
      </w:r>
      <w:bookmarkEnd w:id="543"/>
    </w:p>
    <w:p>
      <w:pPr>
        <w:pStyle w:val="31"/>
      </w:pPr>
      <w:bookmarkStart w:id="544" w:name="_Toc183107226"/>
      <w:bookmarkStart w:id="545" w:name="_Toc10960"/>
      <w:bookmarkStart w:id="546" w:name="_Toc256000090"/>
      <w:r>
        <w:rPr>
          <w:rFonts w:hint="eastAsia"/>
        </w:rPr>
        <w:t>3.3 投标文件的澄清和补正</w:t>
      </w:r>
      <w:bookmarkEnd w:id="544"/>
      <w:bookmarkEnd w:id="545"/>
      <w:bookmarkEnd w:id="546"/>
    </w:p>
    <w:p>
      <w:pPr>
        <w:spacing w:line="38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8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pPr>
        <w:spacing w:line="380" w:lineRule="exact"/>
        <w:ind w:firstLine="420" w:firstLineChars="200"/>
      </w:pPr>
      <w:r>
        <w:rPr>
          <w:rFonts w:hint="eastAsia"/>
        </w:rPr>
        <w:t>3.3.3 评标委员会对投标人提交的澄清、说明或补正有疑问的，可以要求投标人进一步澄清、说明或补正，直至满足评标委员会的要求。</w:t>
      </w:r>
    </w:p>
    <w:p>
      <w:pPr>
        <w:spacing w:line="380" w:lineRule="exact"/>
        <w:ind w:firstLine="420" w:firstLineChars="200"/>
      </w:pPr>
      <w:bookmarkStart w:id="547" w:name="_Hlk150329621"/>
      <w:r>
        <w:rPr>
          <w:rFonts w:hint="eastAsia"/>
        </w:rPr>
        <w:t>3.3.4</w:t>
      </w:r>
      <w:bookmarkStart w:id="548" w:name="_Hlk174451177"/>
      <w:r>
        <w:rPr>
          <w:rFonts w:hint="eastAsia"/>
        </w:rPr>
        <w:t>评标委员会要求投标人对投标文件问题澄清的通知，以及投标人对投标文件的澄清通过</w:t>
      </w:r>
      <w:bookmarkStart w:id="549" w:name="_Hlk164710198"/>
      <w:r>
        <w:rPr>
          <w:rFonts w:hint="eastAsia"/>
        </w:rPr>
        <w:t>电子招标投标系统（辽宁省工程建设项目数字化开标评标系统）</w:t>
      </w:r>
      <w:bookmarkEnd w:id="549"/>
      <w:r>
        <w:rPr>
          <w:rFonts w:hint="eastAsia"/>
        </w:rPr>
        <w:t>以书面形式进行。</w:t>
      </w:r>
      <w:bookmarkStart w:id="550" w:name="_Hlk161316527"/>
      <w:r>
        <w:rPr>
          <w:rFonts w:hint="eastAsia"/>
        </w:rPr>
        <w:t>投标人的澄清、说明或补正应在评标办法前附表通知规定的</w:t>
      </w:r>
      <w:r>
        <w:rPr>
          <w:rFonts w:hint="eastAsia" w:ascii="宋体" w:hAnsi="宋体" w:cs="微软雅黑"/>
          <w:szCs w:val="21"/>
        </w:rPr>
        <w:t>时间要求内</w:t>
      </w:r>
      <w:r>
        <w:rPr>
          <w:rFonts w:hint="eastAsia"/>
        </w:rPr>
        <w:t>提交，否则评标委员会（电子招标投标系统）将拒绝接收。</w:t>
      </w:r>
      <w:bookmarkEnd w:id="548"/>
      <w:bookmarkEnd w:id="550"/>
    </w:p>
    <w:bookmarkEnd w:id="547"/>
    <w:p>
      <w:pPr>
        <w:pStyle w:val="31"/>
      </w:pPr>
      <w:bookmarkStart w:id="551" w:name="_Toc183107227"/>
      <w:bookmarkStart w:id="552" w:name="_Toc256000091"/>
      <w:bookmarkStart w:id="553" w:name="_Toc5446"/>
      <w:r>
        <w:rPr>
          <w:rFonts w:hint="eastAsia"/>
        </w:rPr>
        <w:t>3.4 评标结果</w:t>
      </w:r>
      <w:bookmarkEnd w:id="551"/>
      <w:bookmarkEnd w:id="552"/>
      <w:bookmarkEnd w:id="553"/>
    </w:p>
    <w:p>
      <w:pPr>
        <w:spacing w:line="380" w:lineRule="exact"/>
        <w:ind w:firstLine="420" w:firstLineChars="200"/>
      </w:pPr>
      <w:r>
        <w:rPr>
          <w:rFonts w:hint="eastAsia"/>
        </w:rPr>
        <w:t>3.4.1</w:t>
      </w:r>
      <w:bookmarkStart w:id="554" w:name="_Hlk174451188"/>
      <w:r>
        <w:rPr>
          <w:rFonts w:hint="eastAsia"/>
        </w:rPr>
        <w:t>评标委员会按照本章评标办法前附表规定的推荐方法和第二章“投标人须知”前附表第7.1款推荐的中标候选人数量推荐中标候选人。</w:t>
      </w:r>
      <w:bookmarkEnd w:id="554"/>
    </w:p>
    <w:p>
      <w:pPr>
        <w:spacing w:line="380" w:lineRule="exact"/>
        <w:ind w:firstLine="420" w:firstLineChars="200"/>
      </w:pPr>
      <w:r>
        <w:rPr>
          <w:rFonts w:hint="eastAsia"/>
        </w:rPr>
        <w:t>3.4.2评标委员会完成评标后，应当向招标人提交书面评标报告。</w:t>
      </w:r>
    </w:p>
    <w:p>
      <w:pPr>
        <w:spacing w:line="380" w:lineRule="exact"/>
        <w:ind w:firstLine="420" w:firstLineChars="200"/>
      </w:pPr>
      <w:bookmarkStart w:id="555" w:name="_Hlk174451199"/>
      <w:r>
        <w:rPr>
          <w:rFonts w:hint="eastAsia"/>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555"/>
    </w:p>
    <w:p>
      <w:pPr>
        <w:spacing w:line="400" w:lineRule="exact"/>
        <w:ind w:firstLine="420" w:firstLineChars="200"/>
      </w:pPr>
      <w:r>
        <w:br w:type="page"/>
      </w:r>
    </w:p>
    <w:p>
      <w:pPr>
        <w:spacing w:line="400" w:lineRule="exact"/>
        <w:ind w:firstLine="420" w:firstLineChars="200"/>
        <w:rPr>
          <w:rFonts w:hint="eastAsia" w:ascii="宋体" w:hAnsi="宋体"/>
          <w:szCs w:val="21"/>
        </w:rPr>
        <w:sectPr>
          <w:pgSz w:w="11906" w:h="16838"/>
          <w:pgMar w:top="1440" w:right="1797" w:bottom="1440" w:left="1797" w:header="851" w:footer="851" w:gutter="0"/>
          <w:cols w:space="720" w:num="1"/>
          <w:docGrid w:linePitch="312" w:charSpace="0"/>
        </w:sectPr>
      </w:pPr>
    </w:p>
    <w:p>
      <w:pPr>
        <w:pStyle w:val="5"/>
        <w:rPr>
          <w:b w:val="0"/>
          <w:sz w:val="24"/>
          <w:szCs w:val="24"/>
        </w:rPr>
      </w:pPr>
      <w:bookmarkStart w:id="556" w:name="_Toc256000092"/>
      <w:bookmarkStart w:id="557" w:name="_Toc4064"/>
      <w:bookmarkStart w:id="558" w:name="_Toc183107228"/>
      <w:bookmarkStart w:id="559" w:name="_Hlk164528783"/>
      <w:r>
        <w:rPr>
          <w:rFonts w:hint="eastAsia"/>
          <w:b w:val="0"/>
          <w:sz w:val="24"/>
          <w:szCs w:val="24"/>
        </w:rPr>
        <w:t>附件A：评标详细程序</w:t>
      </w:r>
      <w:bookmarkEnd w:id="556"/>
      <w:bookmarkEnd w:id="557"/>
      <w:bookmarkEnd w:id="558"/>
    </w:p>
    <w:p>
      <w:pPr>
        <w:jc w:val="center"/>
        <w:rPr>
          <w:rFonts w:ascii="黑体" w:eastAsia="黑体"/>
          <w:b/>
          <w:sz w:val="28"/>
          <w:szCs w:val="28"/>
        </w:rPr>
      </w:pPr>
      <w:r>
        <w:rPr>
          <w:rFonts w:hint="eastAsia" w:ascii="黑体" w:eastAsia="黑体"/>
          <w:b/>
          <w:sz w:val="28"/>
          <w:szCs w:val="28"/>
        </w:rPr>
        <w:t>评标详细程序</w:t>
      </w:r>
    </w:p>
    <w:p>
      <w:pPr>
        <w:pStyle w:val="31"/>
      </w:pPr>
      <w:bookmarkStart w:id="560" w:name="_Toc162103211"/>
      <w:bookmarkStart w:id="561" w:name="_Toc183107229"/>
      <w:bookmarkStart w:id="562" w:name="_Toc150507309"/>
      <w:bookmarkStart w:id="563" w:name="_Toc21774"/>
      <w:bookmarkStart w:id="564" w:name="_Toc256000093"/>
      <w:bookmarkStart w:id="565" w:name="_Toc166326929"/>
      <w:bookmarkStart w:id="566" w:name="_Hlk174451732"/>
      <w:r>
        <w:rPr>
          <w:rFonts w:hint="eastAsia"/>
        </w:rPr>
        <w:t>A0.总  则</w:t>
      </w:r>
      <w:bookmarkEnd w:id="560"/>
      <w:bookmarkEnd w:id="561"/>
      <w:bookmarkEnd w:id="562"/>
      <w:bookmarkEnd w:id="563"/>
      <w:bookmarkEnd w:id="564"/>
      <w:bookmarkEnd w:id="565"/>
    </w:p>
    <w:p>
      <w:pPr>
        <w:spacing w:line="400" w:lineRule="exact"/>
        <w:ind w:firstLine="420" w:firstLineChars="200"/>
        <w:rPr>
          <w:rFonts w:hint="eastAsia" w:ascii="宋体" w:hAnsi="宋体"/>
          <w:szCs w:val="21"/>
        </w:rPr>
      </w:pPr>
      <w:r>
        <w:rPr>
          <w:rFonts w:hint="eastAsia" w:ascii="宋体" w:hAnsi="宋体"/>
          <w:szCs w:val="21"/>
        </w:rPr>
        <w:t>本附件是本章“评标办法”的组成部分，是对本章第3条所规定的评标程序的进一步细化，评标委员会应当按照本附件所</w:t>
      </w:r>
      <w:r>
        <w:rPr>
          <w:rFonts w:hint="eastAsia"/>
        </w:rPr>
        <w:t>规定</w:t>
      </w:r>
      <w:r>
        <w:rPr>
          <w:rFonts w:hint="eastAsia" w:ascii="宋体" w:hAnsi="宋体"/>
          <w:szCs w:val="21"/>
        </w:rPr>
        <w:t>的详细程序开展并完成评标工作。</w:t>
      </w:r>
    </w:p>
    <w:p>
      <w:pPr>
        <w:pStyle w:val="31"/>
      </w:pPr>
      <w:bookmarkStart w:id="567" w:name="_Toc32193"/>
      <w:bookmarkStart w:id="568" w:name="_Toc166326930"/>
      <w:bookmarkStart w:id="569" w:name="_Toc162103212"/>
      <w:bookmarkStart w:id="570" w:name="_Toc150507310"/>
      <w:bookmarkStart w:id="571" w:name="_Toc256000094"/>
      <w:bookmarkStart w:id="572" w:name="_Toc183107230"/>
      <w:r>
        <w:rPr>
          <w:rFonts w:hint="eastAsia"/>
        </w:rPr>
        <w:t>A1.基本程序</w:t>
      </w:r>
      <w:bookmarkEnd w:id="567"/>
      <w:bookmarkEnd w:id="568"/>
      <w:bookmarkEnd w:id="569"/>
      <w:bookmarkEnd w:id="570"/>
      <w:bookmarkEnd w:id="571"/>
      <w:bookmarkEnd w:id="572"/>
    </w:p>
    <w:p>
      <w:pPr>
        <w:spacing w:line="400" w:lineRule="exact"/>
        <w:ind w:firstLine="420" w:firstLineChars="200"/>
        <w:rPr>
          <w:rFonts w:hint="eastAsia" w:ascii="宋体" w:hAnsi="宋体"/>
          <w:szCs w:val="21"/>
        </w:rPr>
      </w:pPr>
      <w:r>
        <w:rPr>
          <w:rFonts w:hint="eastAsia" w:ascii="宋体" w:hAnsi="宋体"/>
          <w:szCs w:val="21"/>
        </w:rPr>
        <w:t>评标活动将按以下五个步骤进行：</w:t>
      </w:r>
    </w:p>
    <w:p>
      <w:pPr>
        <w:spacing w:line="400" w:lineRule="exact"/>
        <w:ind w:firstLine="420" w:firstLineChars="200"/>
        <w:rPr>
          <w:rFonts w:hint="eastAsia" w:ascii="宋体" w:hAnsi="宋体"/>
          <w:szCs w:val="21"/>
        </w:rPr>
      </w:pPr>
      <w:r>
        <w:rPr>
          <w:rFonts w:hint="eastAsia" w:ascii="宋体" w:hAnsi="宋体"/>
          <w:szCs w:val="21"/>
        </w:rPr>
        <w:t>（1）评标准备；</w:t>
      </w:r>
    </w:p>
    <w:p>
      <w:pPr>
        <w:spacing w:line="400" w:lineRule="exact"/>
        <w:ind w:firstLine="420" w:firstLineChars="200"/>
        <w:rPr>
          <w:rFonts w:hint="eastAsia" w:ascii="宋体" w:hAnsi="宋体"/>
          <w:szCs w:val="21"/>
        </w:rPr>
      </w:pPr>
      <w:r>
        <w:rPr>
          <w:rFonts w:hint="eastAsia" w:ascii="宋体" w:hAnsi="宋体"/>
          <w:szCs w:val="21"/>
        </w:rPr>
        <w:t>（2）初步评审；</w:t>
      </w:r>
    </w:p>
    <w:p>
      <w:pPr>
        <w:spacing w:line="400" w:lineRule="exact"/>
        <w:ind w:firstLine="420" w:firstLineChars="200"/>
        <w:rPr>
          <w:rFonts w:hint="eastAsia" w:ascii="宋体" w:hAnsi="宋体"/>
          <w:szCs w:val="21"/>
        </w:rPr>
      </w:pPr>
      <w:r>
        <w:rPr>
          <w:rFonts w:hint="eastAsia" w:ascii="宋体" w:hAnsi="宋体"/>
          <w:szCs w:val="21"/>
        </w:rPr>
        <w:t>（3）详细评审；</w:t>
      </w:r>
    </w:p>
    <w:p>
      <w:pPr>
        <w:spacing w:line="400" w:lineRule="exact"/>
        <w:ind w:firstLine="420" w:firstLineChars="200"/>
        <w:rPr>
          <w:rFonts w:hint="eastAsia" w:ascii="宋体" w:hAnsi="宋体"/>
          <w:szCs w:val="21"/>
        </w:rPr>
      </w:pPr>
      <w:r>
        <w:rPr>
          <w:rFonts w:hint="eastAsia" w:ascii="宋体" w:hAnsi="宋体"/>
          <w:szCs w:val="21"/>
        </w:rPr>
        <w:t>（4）澄清、说明或</w:t>
      </w:r>
      <w:r>
        <w:rPr>
          <w:rFonts w:hint="eastAsia"/>
        </w:rPr>
        <w:t>补正</w:t>
      </w:r>
      <w:r>
        <w:rPr>
          <w:rFonts w:hint="eastAsia"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（5）推荐中标候选人</w:t>
      </w:r>
      <w:r>
        <w:rPr>
          <w:rFonts w:hint="eastAsia"/>
        </w:rPr>
        <w:t>或者</w:t>
      </w:r>
      <w:r>
        <w:rPr>
          <w:rFonts w:hint="eastAsia" w:ascii="宋体" w:hAnsi="宋体"/>
          <w:szCs w:val="21"/>
        </w:rPr>
        <w:t>直接确定中标人及提交评标报告。</w:t>
      </w:r>
    </w:p>
    <w:p>
      <w:pPr>
        <w:pStyle w:val="31"/>
      </w:pPr>
      <w:bookmarkStart w:id="573" w:name="_Toc150507311"/>
      <w:bookmarkStart w:id="574" w:name="_Toc5477"/>
      <w:bookmarkStart w:id="575" w:name="_Toc162103213"/>
      <w:bookmarkStart w:id="576" w:name="_Toc166326931"/>
      <w:bookmarkStart w:id="577" w:name="_Toc183107231"/>
      <w:bookmarkStart w:id="578" w:name="_Toc256000095"/>
      <w:r>
        <w:rPr>
          <w:rFonts w:hint="eastAsia"/>
        </w:rPr>
        <w:t>A2.评标准备</w:t>
      </w:r>
      <w:bookmarkEnd w:id="573"/>
      <w:bookmarkEnd w:id="574"/>
      <w:bookmarkEnd w:id="575"/>
      <w:bookmarkEnd w:id="576"/>
      <w:bookmarkEnd w:id="577"/>
      <w:bookmarkEnd w:id="578"/>
    </w:p>
    <w:p>
      <w:pPr>
        <w:pStyle w:val="31"/>
        <w:rPr>
          <w:rFonts w:hint="eastAsia" w:ascii="宋体" w:hAnsi="宋体"/>
          <w:bCs/>
          <w:sz w:val="21"/>
          <w:szCs w:val="21"/>
        </w:rPr>
      </w:pPr>
      <w:bookmarkStart w:id="579" w:name="_Toc150507312"/>
      <w:bookmarkStart w:id="580" w:name="_Toc166326932"/>
      <w:bookmarkStart w:id="581" w:name="_Toc183107232"/>
      <w:bookmarkStart w:id="582" w:name="_Toc256000096"/>
      <w:bookmarkStart w:id="583" w:name="_Toc27122"/>
      <w:bookmarkStart w:id="584" w:name="_Toc162103214"/>
      <w:r>
        <w:rPr>
          <w:rFonts w:hint="eastAsia"/>
          <w:bCs/>
          <w:sz w:val="21"/>
          <w:szCs w:val="21"/>
        </w:rPr>
        <w:t>A2.1评标委员会成员签到</w:t>
      </w:r>
      <w:bookmarkEnd w:id="579"/>
      <w:bookmarkEnd w:id="580"/>
      <w:bookmarkEnd w:id="581"/>
      <w:bookmarkEnd w:id="582"/>
      <w:bookmarkEnd w:id="583"/>
      <w:bookmarkEnd w:id="584"/>
    </w:p>
    <w:p>
      <w:pPr>
        <w:spacing w:line="400" w:lineRule="exact"/>
        <w:ind w:firstLine="420" w:firstLineChars="200"/>
        <w:rPr>
          <w:rFonts w:hint="eastAsia" w:ascii="宋体" w:hAnsi="宋体"/>
          <w:szCs w:val="21"/>
        </w:rPr>
      </w:pPr>
      <w:r>
        <w:rPr>
          <w:rFonts w:hint="eastAsia" w:ascii="宋体" w:hAnsi="宋体"/>
          <w:szCs w:val="21"/>
        </w:rPr>
        <w:t>评标委员会成员到达评标现场时应在</w:t>
      </w:r>
      <w:r>
        <w:rPr>
          <w:rFonts w:hint="eastAsia"/>
        </w:rPr>
        <w:t>签到</w:t>
      </w:r>
      <w:r>
        <w:rPr>
          <w:rFonts w:hint="eastAsia" w:ascii="宋体" w:hAnsi="宋体"/>
          <w:szCs w:val="21"/>
        </w:rPr>
        <w:t>表上签到以证明其出席。评标委员会签到表见</w:t>
      </w:r>
      <w:r>
        <w:rPr>
          <w:rFonts w:hint="eastAsia" w:ascii="宋体" w:hAnsi="宋体"/>
          <w:b/>
          <w:szCs w:val="21"/>
        </w:rPr>
        <w:t>附表A-1</w:t>
      </w:r>
      <w:r>
        <w:rPr>
          <w:rFonts w:hint="eastAsia" w:ascii="宋体" w:hAnsi="宋体"/>
          <w:szCs w:val="21"/>
        </w:rPr>
        <w:t>。并按照要求阅读评标纪律。</w:t>
      </w:r>
    </w:p>
    <w:p>
      <w:pPr>
        <w:spacing w:line="400" w:lineRule="exact"/>
        <w:ind w:firstLine="420" w:firstLineChars="200"/>
        <w:rPr>
          <w:rFonts w:hint="eastAsia" w:ascii="宋体" w:hAnsi="宋体"/>
          <w:szCs w:val="21"/>
        </w:rPr>
      </w:pPr>
      <w:r>
        <w:rPr>
          <w:rFonts w:hint="eastAsia" w:ascii="宋体" w:hAnsi="宋体"/>
          <w:szCs w:val="21"/>
        </w:rPr>
        <w:t>评标委员会成员在评标前，应当签订签署评标专家告知承诺函。评标专家告知承诺函见</w:t>
      </w:r>
      <w:r>
        <w:rPr>
          <w:rFonts w:hint="eastAsia" w:ascii="宋体" w:hAnsi="宋体"/>
          <w:b/>
          <w:szCs w:val="21"/>
        </w:rPr>
        <w:t>附表A-2。</w:t>
      </w:r>
      <w:r>
        <w:rPr>
          <w:rFonts w:hint="eastAsia" w:ascii="宋体" w:hAnsi="宋体"/>
          <w:szCs w:val="21"/>
        </w:rPr>
        <w:t>评标委员会成员对尽职、回避、保密、廉洁，不参与串通投标等进行承诺，承诺遵守有关评标管理规定以及评标纪律，客观、公正地进行评标，并接受招投标监管部门的监督。</w:t>
      </w:r>
    </w:p>
    <w:p>
      <w:pPr>
        <w:pStyle w:val="31"/>
        <w:rPr>
          <w:bCs/>
          <w:sz w:val="21"/>
          <w:szCs w:val="21"/>
        </w:rPr>
      </w:pPr>
      <w:bookmarkStart w:id="585" w:name="_Toc26572"/>
      <w:bookmarkStart w:id="586" w:name="_Toc183107233"/>
      <w:bookmarkStart w:id="587" w:name="_Toc166326933"/>
      <w:bookmarkStart w:id="588" w:name="_Toc256000097"/>
      <w:bookmarkStart w:id="589" w:name="_Toc150507313"/>
      <w:bookmarkStart w:id="590" w:name="_Toc162103215"/>
      <w:r>
        <w:rPr>
          <w:rFonts w:hint="eastAsia"/>
          <w:bCs/>
          <w:sz w:val="21"/>
          <w:szCs w:val="21"/>
        </w:rPr>
        <w:t>A2.2评标委员会的分工</w:t>
      </w:r>
      <w:bookmarkEnd w:id="585"/>
      <w:bookmarkEnd w:id="586"/>
      <w:bookmarkEnd w:id="587"/>
      <w:bookmarkEnd w:id="588"/>
      <w:bookmarkEnd w:id="589"/>
      <w:bookmarkEnd w:id="590"/>
    </w:p>
    <w:p>
      <w:pPr>
        <w:spacing w:line="420" w:lineRule="exact"/>
        <w:ind w:firstLine="420" w:firstLineChars="200"/>
        <w:rPr>
          <w:rFonts w:hint="eastAsia" w:ascii="宋体" w:hAnsi="宋体"/>
          <w:szCs w:val="21"/>
        </w:rPr>
      </w:pPr>
      <w:r>
        <w:rPr>
          <w:rFonts w:hint="eastAsia" w:ascii="宋体" w:hAnsi="宋体"/>
          <w:szCs w:val="21"/>
        </w:rPr>
        <w:t>A2.2.</w:t>
      </w:r>
      <w:r>
        <w:rPr>
          <w:rFonts w:ascii="宋体" w:hAnsi="宋体"/>
          <w:szCs w:val="21"/>
        </w:rPr>
        <w:t>1</w:t>
      </w:r>
      <w:r>
        <w:rPr>
          <w:rFonts w:hint="eastAsia" w:ascii="宋体" w:hAnsi="宋体"/>
          <w:szCs w:val="21"/>
        </w:rPr>
        <w:t>评标委员会首先推选一名评标委员会主任。评标委员会主任负责评标活动的组织工作。</w:t>
      </w:r>
    </w:p>
    <w:p>
      <w:pPr>
        <w:spacing w:line="400" w:lineRule="exact"/>
        <w:ind w:firstLine="420" w:firstLineChars="200"/>
        <w:rPr>
          <w:rFonts w:hint="eastAsia" w:ascii="宋体" w:hAnsi="宋体"/>
          <w:szCs w:val="21"/>
        </w:rPr>
      </w:pPr>
      <w:r>
        <w:rPr>
          <w:rFonts w:hint="eastAsia" w:ascii="宋体" w:hAnsi="宋体"/>
          <w:szCs w:val="21"/>
        </w:rPr>
        <w:t>A2.2.2 评标委员会主任除履行自己作为评标委员会</w:t>
      </w:r>
      <w:r>
        <w:rPr>
          <w:rFonts w:hint="eastAsia"/>
        </w:rPr>
        <w:t>成员</w:t>
      </w:r>
      <w:r>
        <w:rPr>
          <w:rFonts w:hint="eastAsia" w:ascii="宋体" w:hAnsi="宋体"/>
          <w:szCs w:val="21"/>
        </w:rPr>
        <w:t>独立评标的职责外，主要负责以下工作：</w:t>
      </w:r>
    </w:p>
    <w:p>
      <w:pPr>
        <w:spacing w:line="400" w:lineRule="exact"/>
        <w:ind w:firstLine="420" w:firstLineChars="200"/>
        <w:rPr>
          <w:rFonts w:hint="eastAsia" w:ascii="宋体" w:hAnsi="宋体"/>
          <w:szCs w:val="21"/>
        </w:rPr>
      </w:pPr>
      <w:r>
        <w:rPr>
          <w:rFonts w:hint="eastAsia" w:ascii="宋体" w:hAnsi="宋体"/>
          <w:szCs w:val="21"/>
        </w:rPr>
        <w:t>（1）组织评标委员会成员学习</w:t>
      </w:r>
      <w:r>
        <w:rPr>
          <w:rFonts w:hint="eastAsia"/>
        </w:rPr>
        <w:t>招标文件</w:t>
      </w:r>
      <w:r>
        <w:rPr>
          <w:rFonts w:hint="eastAsia" w:ascii="宋体" w:hAnsi="宋体"/>
          <w:szCs w:val="21"/>
        </w:rPr>
        <w:t>中载明的评标标准和方法；</w:t>
      </w:r>
    </w:p>
    <w:p>
      <w:pPr>
        <w:spacing w:line="430" w:lineRule="exact"/>
        <w:ind w:firstLine="420" w:firstLineChars="200"/>
        <w:rPr>
          <w:rFonts w:hint="eastAsia" w:ascii="宋体" w:hAnsi="宋体"/>
          <w:szCs w:val="21"/>
        </w:rPr>
      </w:pPr>
      <w:r>
        <w:rPr>
          <w:rFonts w:hint="eastAsia" w:ascii="宋体" w:hAnsi="宋体"/>
          <w:szCs w:val="21"/>
        </w:rPr>
        <w:t>（2）提醒招标人做好评标准备工作，包括提供所需的评标基础资料；</w:t>
      </w:r>
    </w:p>
    <w:p>
      <w:pPr>
        <w:spacing w:line="400" w:lineRule="exact"/>
        <w:ind w:firstLine="420" w:firstLineChars="200"/>
        <w:rPr>
          <w:rFonts w:hint="eastAsia" w:ascii="宋体" w:hAnsi="宋体"/>
          <w:szCs w:val="21"/>
        </w:rPr>
      </w:pPr>
      <w:r>
        <w:rPr>
          <w:rFonts w:hint="eastAsia" w:ascii="宋体" w:hAnsi="宋体"/>
          <w:szCs w:val="21"/>
        </w:rPr>
        <w:t>（3）汇总各评标委员会成员认为</w:t>
      </w:r>
      <w:r>
        <w:rPr>
          <w:rFonts w:hint="eastAsia"/>
        </w:rPr>
        <w:t>需要</w:t>
      </w:r>
      <w:r>
        <w:rPr>
          <w:rFonts w:hint="eastAsia" w:ascii="宋体" w:hAnsi="宋体"/>
          <w:szCs w:val="21"/>
        </w:rPr>
        <w:t>投标人澄清、说明或者补正的问题，组织评标委员会对投标人质询并对投标人的答复进行评审；</w:t>
      </w:r>
    </w:p>
    <w:p>
      <w:pPr>
        <w:spacing w:line="400" w:lineRule="exact"/>
        <w:ind w:firstLine="420" w:firstLineChars="200"/>
        <w:rPr>
          <w:rFonts w:hint="eastAsia" w:ascii="宋体" w:hAnsi="宋体"/>
          <w:szCs w:val="21"/>
        </w:rPr>
      </w:pPr>
      <w:r>
        <w:rPr>
          <w:rFonts w:hint="eastAsia" w:ascii="宋体" w:hAnsi="宋体"/>
          <w:szCs w:val="21"/>
        </w:rPr>
        <w:t>（4）对出现较大争议的事项进行</w:t>
      </w:r>
      <w:r>
        <w:rPr>
          <w:rFonts w:hint="eastAsia"/>
        </w:rPr>
        <w:t>书面</w:t>
      </w:r>
      <w:r>
        <w:rPr>
          <w:rFonts w:hint="eastAsia" w:ascii="宋体" w:hAnsi="宋体"/>
          <w:szCs w:val="21"/>
        </w:rPr>
        <w:t>记录；</w:t>
      </w:r>
    </w:p>
    <w:p>
      <w:pPr>
        <w:spacing w:line="400" w:lineRule="exact"/>
        <w:ind w:firstLine="420" w:firstLineChars="200"/>
        <w:rPr>
          <w:rFonts w:hint="eastAsia" w:ascii="宋体" w:hAnsi="宋体"/>
          <w:szCs w:val="21"/>
        </w:rPr>
      </w:pPr>
      <w:r>
        <w:rPr>
          <w:rFonts w:hint="eastAsia" w:ascii="宋体" w:hAnsi="宋体"/>
          <w:szCs w:val="21"/>
        </w:rPr>
        <w:t>（5）查验评标用表格和评标记录的完整性及有效性；</w:t>
      </w:r>
    </w:p>
    <w:p>
      <w:pPr>
        <w:spacing w:line="400" w:lineRule="exact"/>
        <w:ind w:firstLine="420" w:firstLineChars="200"/>
        <w:rPr>
          <w:rFonts w:hint="eastAsia" w:ascii="宋体" w:hAnsi="宋体"/>
          <w:szCs w:val="21"/>
        </w:rPr>
      </w:pPr>
      <w:r>
        <w:rPr>
          <w:rFonts w:hint="eastAsia" w:ascii="宋体" w:hAnsi="宋体"/>
          <w:szCs w:val="21"/>
        </w:rPr>
        <w:t>（6）组织对评标结论进行复核</w:t>
      </w:r>
      <w:r>
        <w:rPr>
          <w:rFonts w:hint="eastAsia"/>
        </w:rPr>
        <w:t>确认</w:t>
      </w:r>
      <w:r>
        <w:rPr>
          <w:rFonts w:hint="eastAsia"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（7）组织编写评标报告，推荐中标候选人。</w:t>
      </w:r>
    </w:p>
    <w:p>
      <w:pPr>
        <w:spacing w:line="420" w:lineRule="exact"/>
        <w:ind w:firstLine="420" w:firstLineChars="200"/>
        <w:rPr>
          <w:rFonts w:hint="eastAsia" w:ascii="宋体" w:hAnsi="宋体"/>
          <w:szCs w:val="21"/>
        </w:rPr>
      </w:pPr>
      <w:r>
        <w:rPr>
          <w:rFonts w:hint="eastAsia" w:ascii="宋体" w:hAnsi="宋体"/>
          <w:szCs w:val="21"/>
        </w:rPr>
        <w:t>A2.2.3评标委员会主任在与其他评标委员会成员商议的基础上可以将评标委员会按照评标专家抽取专业划分为技术组和经济组。</w:t>
      </w:r>
    </w:p>
    <w:p>
      <w:pPr>
        <w:pStyle w:val="31"/>
        <w:rPr>
          <w:bCs/>
          <w:sz w:val="21"/>
          <w:szCs w:val="21"/>
        </w:rPr>
      </w:pPr>
      <w:bookmarkStart w:id="591" w:name="_Toc166326934"/>
      <w:bookmarkStart w:id="592" w:name="_Toc162103216"/>
      <w:bookmarkStart w:id="593" w:name="_Toc150507314"/>
      <w:bookmarkStart w:id="594" w:name="_Toc256000098"/>
      <w:bookmarkStart w:id="595" w:name="_Toc183107234"/>
      <w:bookmarkStart w:id="596" w:name="_Toc20973"/>
      <w:r>
        <w:rPr>
          <w:rFonts w:hint="eastAsia"/>
          <w:bCs/>
          <w:sz w:val="21"/>
          <w:szCs w:val="21"/>
        </w:rPr>
        <w:t>A2.3熟悉文件资料</w:t>
      </w:r>
      <w:bookmarkEnd w:id="591"/>
      <w:bookmarkEnd w:id="592"/>
      <w:bookmarkEnd w:id="593"/>
      <w:bookmarkEnd w:id="594"/>
      <w:bookmarkEnd w:id="595"/>
      <w:bookmarkEnd w:id="596"/>
    </w:p>
    <w:p>
      <w:pPr>
        <w:spacing w:line="400" w:lineRule="exact"/>
        <w:ind w:firstLine="420" w:firstLineChars="200"/>
        <w:rPr>
          <w:rFonts w:hint="eastAsia" w:ascii="宋体" w:hAnsi="宋体"/>
          <w:szCs w:val="21"/>
        </w:rPr>
      </w:pPr>
      <w:r>
        <w:rPr>
          <w:rFonts w:hint="eastAsia" w:ascii="宋体" w:hAnsi="宋体"/>
          <w:szCs w:val="21"/>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pPr>
        <w:spacing w:line="430" w:lineRule="exact"/>
        <w:ind w:firstLine="420" w:firstLineChars="200"/>
        <w:rPr>
          <w:rFonts w:hint="eastAsia" w:ascii="宋体" w:hAnsi="宋体"/>
          <w:szCs w:val="21"/>
        </w:rPr>
      </w:pPr>
      <w:r>
        <w:rPr>
          <w:rFonts w:hint="eastAsia" w:ascii="宋体" w:hAnsi="宋体"/>
          <w:szCs w:val="21"/>
        </w:rPr>
        <w:t>A2.3.2招标人或招标代理机构应向评标委员会提供评标所需的信息和数据，包括：</w:t>
      </w:r>
    </w:p>
    <w:p>
      <w:pPr>
        <w:spacing w:line="400" w:lineRule="exact"/>
        <w:ind w:firstLine="420" w:firstLineChars="200"/>
        <w:rPr>
          <w:rFonts w:hint="eastAsia" w:ascii="宋体" w:hAnsi="宋体"/>
          <w:szCs w:val="21"/>
        </w:rPr>
      </w:pPr>
      <w:r>
        <w:rPr>
          <w:rFonts w:hint="eastAsia" w:ascii="宋体" w:hAnsi="宋体"/>
          <w:szCs w:val="21"/>
        </w:rPr>
        <w:t>（1）招标文件及其澄清、修改</w:t>
      </w:r>
      <w:r>
        <w:rPr>
          <w:rFonts w:hint="eastAsia"/>
        </w:rPr>
        <w:t>文件</w:t>
      </w:r>
      <w:r>
        <w:rPr>
          <w:rFonts w:hint="eastAsia"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（2）投标人的投标文件；</w:t>
      </w:r>
    </w:p>
    <w:p>
      <w:pPr>
        <w:spacing w:line="430" w:lineRule="exact"/>
        <w:ind w:firstLine="420" w:firstLineChars="200"/>
        <w:rPr>
          <w:rFonts w:hint="eastAsia" w:ascii="宋体" w:hAnsi="宋体"/>
          <w:szCs w:val="21"/>
        </w:rPr>
      </w:pPr>
      <w:r>
        <w:rPr>
          <w:rFonts w:hint="eastAsia" w:ascii="宋体" w:hAnsi="宋体"/>
          <w:szCs w:val="21"/>
        </w:rPr>
        <w:t>（3）开标记录表以及二次刷卡、保证金缴纳等信息；</w:t>
      </w:r>
    </w:p>
    <w:p>
      <w:pPr>
        <w:spacing w:line="400" w:lineRule="exact"/>
        <w:ind w:firstLine="420" w:firstLineChars="200"/>
        <w:rPr>
          <w:rFonts w:hint="eastAsia" w:ascii="宋体" w:hAnsi="宋体"/>
          <w:szCs w:val="21"/>
        </w:rPr>
      </w:pPr>
      <w:r>
        <w:rPr>
          <w:rFonts w:hint="eastAsia" w:ascii="宋体" w:hAnsi="宋体"/>
          <w:szCs w:val="21"/>
        </w:rPr>
        <w:t>（4）最高投标限价；</w:t>
      </w:r>
    </w:p>
    <w:p>
      <w:pPr>
        <w:spacing w:line="400" w:lineRule="exact"/>
        <w:ind w:firstLine="420" w:firstLineChars="200"/>
        <w:rPr>
          <w:rFonts w:hint="eastAsia" w:ascii="宋体" w:hAnsi="宋体"/>
          <w:szCs w:val="21"/>
        </w:rPr>
      </w:pPr>
      <w:r>
        <w:rPr>
          <w:rFonts w:hint="eastAsia" w:ascii="宋体" w:hAnsi="宋体"/>
          <w:szCs w:val="21"/>
        </w:rPr>
        <w:t>（5）评标表格；</w:t>
      </w:r>
    </w:p>
    <w:p>
      <w:pPr>
        <w:spacing w:line="400" w:lineRule="exact"/>
        <w:ind w:firstLine="420" w:firstLineChars="200"/>
        <w:rPr>
          <w:rFonts w:hint="eastAsia" w:ascii="宋体" w:hAnsi="宋体"/>
          <w:szCs w:val="21"/>
        </w:rPr>
      </w:pPr>
      <w:r>
        <w:rPr>
          <w:rFonts w:hint="eastAsia" w:ascii="宋体" w:hAnsi="宋体"/>
          <w:szCs w:val="21"/>
        </w:rPr>
        <w:t>（6）有关的法律、法规、规章、国家标准以及招标人或评标委员会认为必要的其他信息和数据。</w:t>
      </w:r>
    </w:p>
    <w:p>
      <w:pPr>
        <w:pStyle w:val="31"/>
        <w:rPr>
          <w:bCs/>
          <w:sz w:val="21"/>
          <w:szCs w:val="21"/>
        </w:rPr>
      </w:pPr>
      <w:bookmarkStart w:id="597" w:name="_Toc256000099"/>
      <w:bookmarkStart w:id="598" w:name="_Toc9705"/>
      <w:bookmarkStart w:id="599" w:name="_Toc183107235"/>
      <w:bookmarkStart w:id="600" w:name="_Toc162103217"/>
      <w:bookmarkStart w:id="601" w:name="_Toc166326935"/>
      <w:bookmarkStart w:id="602" w:name="_Toc150507315"/>
      <w:r>
        <w:rPr>
          <w:rFonts w:hint="eastAsia"/>
          <w:bCs/>
          <w:sz w:val="21"/>
          <w:szCs w:val="21"/>
        </w:rPr>
        <w:t>A2.4暗标编号</w:t>
      </w:r>
      <w:bookmarkEnd w:id="597"/>
      <w:bookmarkEnd w:id="598"/>
      <w:bookmarkEnd w:id="599"/>
      <w:bookmarkEnd w:id="600"/>
      <w:bookmarkEnd w:id="601"/>
      <w:bookmarkEnd w:id="602"/>
    </w:p>
    <w:p>
      <w:pPr>
        <w:spacing w:line="400" w:lineRule="exact"/>
        <w:ind w:firstLine="420" w:firstLineChars="200"/>
        <w:rPr>
          <w:rFonts w:hint="eastAsia" w:ascii="宋体" w:hAnsi="宋体"/>
          <w:szCs w:val="21"/>
        </w:rPr>
      </w:pPr>
      <w:r>
        <w:rPr>
          <w:rFonts w:hint="eastAsia" w:ascii="宋体" w:hAnsi="宋体"/>
          <w:szCs w:val="21"/>
        </w:rPr>
        <w:t>第二章“投标人须知”前附表第3.7.4款要求对技术标采用“模块化暗标”评审方式且编制有</w:t>
      </w:r>
      <w:r>
        <w:rPr>
          <w:rFonts w:hint="eastAsia"/>
        </w:rPr>
        <w:t>模块化</w:t>
      </w:r>
      <w:r>
        <w:rPr>
          <w:rFonts w:hint="eastAsia" w:ascii="宋体" w:hAnsi="宋体"/>
          <w:szCs w:val="21"/>
        </w:rPr>
        <w:t>暗标要求的，则在评标工作开始前，就暗标模块编号与投标人的对应关系使用</w:t>
      </w:r>
      <w:r>
        <w:rPr>
          <w:rFonts w:ascii="宋体" w:hAnsi="宋体"/>
          <w:b/>
          <w:szCs w:val="21"/>
        </w:rPr>
        <w:t>附表A-3</w:t>
      </w:r>
      <w:r>
        <w:rPr>
          <w:rFonts w:hint="eastAsia" w:ascii="宋体" w:hAnsi="宋体"/>
          <w:szCs w:val="21"/>
        </w:rPr>
        <w:t>做好暗标编号记录，暗标模块编号按随机方式编排。在评标委员会技术标成员均完成暗标部分评审并对评审结果签字确认和汇总后，招标人方可向评标委员会公布暗标编号。</w:t>
      </w:r>
    </w:p>
    <w:p>
      <w:pPr>
        <w:pStyle w:val="31"/>
        <w:rPr>
          <w:bCs/>
          <w:sz w:val="21"/>
          <w:szCs w:val="21"/>
        </w:rPr>
      </w:pPr>
      <w:bookmarkStart w:id="603" w:name="_Toc162103218"/>
      <w:bookmarkStart w:id="604" w:name="_Toc256000100"/>
      <w:bookmarkStart w:id="605" w:name="_Toc183107236"/>
      <w:bookmarkStart w:id="606" w:name="_Toc31371"/>
      <w:bookmarkStart w:id="607" w:name="_Toc150507316"/>
      <w:bookmarkStart w:id="608" w:name="_Toc166326936"/>
      <w:r>
        <w:rPr>
          <w:rFonts w:hint="eastAsia"/>
          <w:bCs/>
          <w:sz w:val="21"/>
          <w:szCs w:val="21"/>
        </w:rPr>
        <w:t>A2.5对投标文件进行基础性数据分析和整理工作</w:t>
      </w:r>
      <w:bookmarkEnd w:id="603"/>
      <w:bookmarkEnd w:id="604"/>
      <w:bookmarkEnd w:id="605"/>
      <w:bookmarkEnd w:id="606"/>
      <w:bookmarkEnd w:id="607"/>
      <w:bookmarkEnd w:id="608"/>
    </w:p>
    <w:p>
      <w:pPr>
        <w:spacing w:line="400" w:lineRule="exact"/>
        <w:ind w:firstLine="420" w:firstLineChars="200"/>
        <w:rPr>
          <w:rFonts w:hint="eastAsia" w:ascii="宋体" w:hAnsi="宋体"/>
          <w:szCs w:val="21"/>
        </w:rPr>
      </w:pPr>
      <w:r>
        <w:rPr>
          <w:rFonts w:hint="eastAsia" w:ascii="宋体" w:hAnsi="宋体"/>
          <w:szCs w:val="21"/>
        </w:rPr>
        <w:t>A2.5.1在不改变投标人投标文件实质性内容的前提下，评标委员会应当借助</w:t>
      </w:r>
      <w:r>
        <w:rPr>
          <w:rFonts w:ascii="宋体" w:hAnsi="宋体"/>
          <w:szCs w:val="21"/>
        </w:rPr>
        <w:t>计算机辅助评标系统</w:t>
      </w:r>
      <w:r>
        <w:rPr>
          <w:rFonts w:hint="eastAsia" w:ascii="宋体" w:hAnsi="宋体"/>
          <w:szCs w:val="21"/>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szCs w:val="21"/>
        </w:rPr>
        <w:t>投标文件</w:t>
      </w:r>
      <w:r>
        <w:rPr>
          <w:rFonts w:hint="eastAsia" w:ascii="宋体" w:hAnsi="宋体"/>
          <w:szCs w:val="21"/>
        </w:rPr>
        <w:t>澄清通知。《</w:t>
      </w:r>
      <w:r>
        <w:rPr>
          <w:rFonts w:ascii="宋体" w:hAnsi="宋体"/>
          <w:szCs w:val="21"/>
        </w:rPr>
        <w:t>投标文件</w:t>
      </w:r>
      <w:r>
        <w:rPr>
          <w:rFonts w:hint="eastAsia" w:ascii="宋体" w:hAnsi="宋体"/>
          <w:szCs w:val="21"/>
        </w:rPr>
        <w:t>问题澄清通知》采用投标人须知附表六所提供的格式。</w:t>
      </w:r>
    </w:p>
    <w:p>
      <w:pPr>
        <w:spacing w:line="400" w:lineRule="exact"/>
        <w:ind w:firstLine="420" w:firstLineChars="200"/>
        <w:rPr>
          <w:rFonts w:hint="eastAsia" w:ascii="宋体" w:hAnsi="宋体"/>
          <w:szCs w:val="21"/>
        </w:rPr>
      </w:pPr>
      <w:r>
        <w:rPr>
          <w:rFonts w:hint="eastAsia" w:ascii="宋体" w:hAnsi="宋体"/>
          <w:szCs w:val="21"/>
        </w:rPr>
        <w:t>A2.5.2投标人接到评标委员会发出的</w:t>
      </w:r>
      <w:r>
        <w:rPr>
          <w:rFonts w:ascii="宋体" w:hAnsi="宋体"/>
          <w:szCs w:val="21"/>
        </w:rPr>
        <w:t>投标文件</w:t>
      </w:r>
      <w:r>
        <w:rPr>
          <w:rFonts w:hint="eastAsia" w:ascii="宋体" w:hAnsi="宋体"/>
          <w:szCs w:val="21"/>
        </w:rPr>
        <w:t>澄清</w:t>
      </w:r>
      <w:r>
        <w:rPr>
          <w:rFonts w:hint="eastAsia"/>
        </w:rPr>
        <w:t>通知</w:t>
      </w:r>
      <w:r>
        <w:rPr>
          <w:rFonts w:hint="eastAsia" w:ascii="宋体" w:hAnsi="宋体"/>
          <w:szCs w:val="21"/>
        </w:rPr>
        <w:t>后，</w:t>
      </w:r>
      <w:r>
        <w:rPr>
          <w:rFonts w:ascii="宋体" w:hAnsi="宋体"/>
          <w:szCs w:val="21"/>
        </w:rPr>
        <w:t>应按评标委员会的要求在规定的时间</w:t>
      </w:r>
      <w:r>
        <w:rPr>
          <w:rFonts w:hint="eastAsia" w:ascii="宋体" w:hAnsi="宋体"/>
          <w:szCs w:val="21"/>
        </w:rPr>
        <w:t>内，</w:t>
      </w:r>
      <w:r>
        <w:rPr>
          <w:rFonts w:ascii="宋体" w:hAnsi="宋体"/>
          <w:szCs w:val="21"/>
        </w:rPr>
        <w:t>通过</w:t>
      </w:r>
      <w:r>
        <w:rPr>
          <w:rFonts w:hint="eastAsia" w:ascii="宋体" w:hAnsi="宋体"/>
          <w:szCs w:val="21"/>
        </w:rPr>
        <w:t>电子招标投标系统（辽宁省工程建设项目数字化开标评标系统）提交</w:t>
      </w:r>
      <w:r>
        <w:rPr>
          <w:rFonts w:ascii="宋体" w:hAnsi="宋体"/>
          <w:szCs w:val="21"/>
        </w:rPr>
        <w:t>投标文件</w:t>
      </w:r>
      <w:r>
        <w:rPr>
          <w:rFonts w:hint="eastAsia" w:ascii="宋体" w:hAnsi="宋体"/>
          <w:szCs w:val="21"/>
        </w:rPr>
        <w:t>的</w:t>
      </w:r>
      <w:r>
        <w:rPr>
          <w:rFonts w:ascii="宋体" w:hAnsi="宋体"/>
          <w:szCs w:val="21"/>
        </w:rPr>
        <w:t>澄清</w:t>
      </w:r>
      <w:r>
        <w:rPr>
          <w:rFonts w:hint="eastAsia" w:ascii="宋体" w:hAnsi="宋体"/>
          <w:szCs w:val="21"/>
        </w:rPr>
        <w:t>和相关资料（如有）</w:t>
      </w:r>
      <w:r>
        <w:rPr>
          <w:rFonts w:ascii="宋体" w:hAnsi="宋体"/>
          <w:szCs w:val="21"/>
        </w:rPr>
        <w:t>。</w:t>
      </w:r>
      <w:r>
        <w:rPr>
          <w:rFonts w:hint="eastAsia" w:ascii="宋体" w:hAnsi="宋体"/>
          <w:szCs w:val="21"/>
        </w:rPr>
        <w:t>《</w:t>
      </w:r>
      <w:r>
        <w:rPr>
          <w:rFonts w:ascii="宋体" w:hAnsi="宋体"/>
          <w:szCs w:val="21"/>
        </w:rPr>
        <w:t>投标文件</w:t>
      </w:r>
      <w:r>
        <w:rPr>
          <w:rFonts w:hint="eastAsia" w:ascii="宋体" w:hAnsi="宋体"/>
          <w:szCs w:val="21"/>
        </w:rPr>
        <w:t>问题的澄清》采用投标人须知附表七所提供的格式。</w:t>
      </w:r>
    </w:p>
    <w:p>
      <w:pPr>
        <w:pStyle w:val="31"/>
      </w:pPr>
      <w:bookmarkStart w:id="609" w:name="_Toc150507317"/>
      <w:bookmarkStart w:id="610" w:name="_Toc13268"/>
      <w:bookmarkStart w:id="611" w:name="_Toc162103219"/>
      <w:bookmarkStart w:id="612" w:name="_Toc183107237"/>
      <w:bookmarkStart w:id="613" w:name="_Toc166326937"/>
      <w:bookmarkStart w:id="614" w:name="_Toc256000101"/>
      <w:r>
        <w:rPr>
          <w:rFonts w:hint="eastAsia"/>
        </w:rPr>
        <w:t>A3</w:t>
      </w:r>
      <w:r>
        <w:t>.</w:t>
      </w:r>
      <w:r>
        <w:rPr>
          <w:rFonts w:hint="eastAsia"/>
        </w:rPr>
        <w:t>初步评审</w:t>
      </w:r>
      <w:bookmarkEnd w:id="609"/>
      <w:bookmarkEnd w:id="610"/>
      <w:bookmarkEnd w:id="611"/>
      <w:bookmarkEnd w:id="612"/>
      <w:bookmarkEnd w:id="613"/>
      <w:bookmarkEnd w:id="614"/>
    </w:p>
    <w:p>
      <w:pPr>
        <w:pStyle w:val="31"/>
        <w:rPr>
          <w:bCs/>
          <w:sz w:val="21"/>
          <w:szCs w:val="21"/>
        </w:rPr>
      </w:pPr>
      <w:bookmarkStart w:id="615" w:name="_Toc166326938"/>
      <w:bookmarkStart w:id="616" w:name="_Toc256000102"/>
      <w:bookmarkStart w:id="617" w:name="_Toc162103220"/>
      <w:bookmarkStart w:id="618" w:name="_Toc183107238"/>
      <w:bookmarkStart w:id="619" w:name="_Toc150507318"/>
      <w:bookmarkStart w:id="620" w:name="_Toc10138"/>
      <w:r>
        <w:rPr>
          <w:rFonts w:hint="eastAsia"/>
          <w:bCs/>
          <w:sz w:val="21"/>
          <w:szCs w:val="21"/>
        </w:rPr>
        <w:t>A3.1形式评审</w:t>
      </w:r>
      <w:bookmarkEnd w:id="615"/>
      <w:bookmarkEnd w:id="616"/>
      <w:bookmarkEnd w:id="617"/>
      <w:bookmarkEnd w:id="618"/>
      <w:bookmarkEnd w:id="619"/>
      <w:bookmarkEnd w:id="620"/>
    </w:p>
    <w:p>
      <w:pPr>
        <w:spacing w:line="400" w:lineRule="exact"/>
        <w:ind w:firstLine="420" w:firstLineChars="200"/>
        <w:rPr>
          <w:rFonts w:hint="eastAsia" w:ascii="宋体" w:hAnsi="宋体"/>
          <w:szCs w:val="21"/>
        </w:rPr>
      </w:pPr>
      <w:r>
        <w:rPr>
          <w:rFonts w:hint="eastAsia" w:ascii="宋体" w:hAnsi="宋体"/>
          <w:szCs w:val="21"/>
        </w:rPr>
        <w:t>评标委员会根据评标办法前附表中规定的评审因素和评审标准，对投标人的投标文件进行形式评审，并使用</w:t>
      </w:r>
      <w:r>
        <w:rPr>
          <w:rFonts w:hint="eastAsia" w:ascii="宋体" w:hAnsi="宋体"/>
          <w:b/>
          <w:szCs w:val="21"/>
        </w:rPr>
        <w:t>附表A-4</w:t>
      </w:r>
      <w:r>
        <w:rPr>
          <w:rFonts w:hint="eastAsia" w:ascii="宋体" w:hAnsi="宋体"/>
          <w:szCs w:val="21"/>
        </w:rPr>
        <w:t>记录评审结果。</w:t>
      </w:r>
    </w:p>
    <w:p>
      <w:pPr>
        <w:pStyle w:val="31"/>
        <w:rPr>
          <w:bCs/>
          <w:sz w:val="21"/>
          <w:szCs w:val="21"/>
        </w:rPr>
      </w:pPr>
      <w:bookmarkStart w:id="621" w:name="_Toc150507319"/>
      <w:bookmarkStart w:id="622" w:name="_Toc162103221"/>
      <w:bookmarkStart w:id="623" w:name="_Toc256000103"/>
      <w:bookmarkStart w:id="624" w:name="_Toc183107239"/>
      <w:bookmarkStart w:id="625" w:name="_Toc24022"/>
      <w:bookmarkStart w:id="626" w:name="_Toc166326939"/>
      <w:r>
        <w:rPr>
          <w:rFonts w:hint="eastAsia"/>
          <w:bCs/>
          <w:sz w:val="21"/>
          <w:szCs w:val="21"/>
        </w:rPr>
        <w:t>A3.2资格评审</w:t>
      </w:r>
      <w:bookmarkEnd w:id="621"/>
      <w:bookmarkEnd w:id="622"/>
      <w:bookmarkEnd w:id="623"/>
      <w:bookmarkEnd w:id="624"/>
      <w:bookmarkEnd w:id="625"/>
      <w:bookmarkEnd w:id="626"/>
    </w:p>
    <w:p>
      <w:pPr>
        <w:spacing w:line="400" w:lineRule="exact"/>
        <w:ind w:firstLine="420" w:firstLineChars="200"/>
        <w:rPr>
          <w:rFonts w:hint="eastAsia" w:ascii="宋体" w:hAnsi="宋体"/>
          <w:szCs w:val="21"/>
        </w:rPr>
      </w:pPr>
      <w:r>
        <w:rPr>
          <w:rFonts w:hint="eastAsia" w:ascii="宋体" w:hAnsi="宋体"/>
          <w:szCs w:val="21"/>
        </w:rPr>
        <w:t>评标委员会根据评标办法前附表中规定的评审因素和评审标准，对投标人的投标文件进行资格评审，并使用</w:t>
      </w:r>
      <w:r>
        <w:rPr>
          <w:rFonts w:hint="eastAsia" w:ascii="宋体" w:hAnsi="宋体"/>
          <w:b/>
          <w:szCs w:val="21"/>
        </w:rPr>
        <w:t>附表A-5</w:t>
      </w:r>
      <w:r>
        <w:rPr>
          <w:rFonts w:hint="eastAsia" w:ascii="宋体" w:hAnsi="宋体"/>
          <w:szCs w:val="21"/>
        </w:rPr>
        <w:t>记录评审结果。</w:t>
      </w:r>
    </w:p>
    <w:p>
      <w:pPr>
        <w:pStyle w:val="31"/>
        <w:rPr>
          <w:bCs/>
          <w:sz w:val="21"/>
          <w:szCs w:val="21"/>
        </w:rPr>
      </w:pPr>
      <w:bookmarkStart w:id="627" w:name="_Toc162103222"/>
      <w:bookmarkStart w:id="628" w:name="_Toc166326940"/>
      <w:bookmarkStart w:id="629" w:name="_Toc256000104"/>
      <w:bookmarkStart w:id="630" w:name="_Toc150507320"/>
      <w:bookmarkStart w:id="631" w:name="_Toc183107240"/>
      <w:bookmarkStart w:id="632" w:name="_Toc29997"/>
      <w:r>
        <w:rPr>
          <w:rFonts w:hint="eastAsia"/>
          <w:bCs/>
          <w:sz w:val="21"/>
          <w:szCs w:val="21"/>
        </w:rPr>
        <w:t>A3.3响应性评审</w:t>
      </w:r>
      <w:bookmarkEnd w:id="627"/>
      <w:bookmarkEnd w:id="628"/>
      <w:bookmarkEnd w:id="629"/>
      <w:bookmarkEnd w:id="630"/>
      <w:bookmarkEnd w:id="631"/>
      <w:bookmarkEnd w:id="632"/>
    </w:p>
    <w:p>
      <w:pPr>
        <w:spacing w:line="400" w:lineRule="exact"/>
        <w:ind w:firstLine="420" w:firstLineChars="200"/>
        <w:rPr>
          <w:rFonts w:hint="eastAsia" w:ascii="宋体" w:hAnsi="宋体"/>
          <w:szCs w:val="21"/>
        </w:rPr>
      </w:pPr>
      <w:r>
        <w:rPr>
          <w:rFonts w:hint="eastAsia" w:ascii="宋体" w:hAnsi="宋体"/>
          <w:szCs w:val="21"/>
        </w:rPr>
        <w:t>A3.3.1评标委员会根据评标办法前附表中规定的评审因素和评审标准，对投标人的投标文件进行响应性评审，并使用</w:t>
      </w:r>
      <w:r>
        <w:rPr>
          <w:rFonts w:hint="eastAsia" w:ascii="宋体" w:hAnsi="宋体"/>
          <w:b/>
          <w:szCs w:val="21"/>
        </w:rPr>
        <w:t>附表A-6</w:t>
      </w:r>
      <w:r>
        <w:rPr>
          <w:rFonts w:hint="eastAsia" w:ascii="宋体" w:hAnsi="宋体"/>
          <w:szCs w:val="21"/>
        </w:rPr>
        <w:t>记录评审结果。</w:t>
      </w:r>
    </w:p>
    <w:p>
      <w:pPr>
        <w:spacing w:line="400" w:lineRule="exact"/>
        <w:ind w:firstLine="420" w:firstLineChars="200"/>
        <w:rPr>
          <w:rFonts w:hint="eastAsia" w:ascii="宋体" w:hAnsi="宋体"/>
          <w:szCs w:val="21"/>
        </w:rPr>
      </w:pPr>
      <w:r>
        <w:rPr>
          <w:rFonts w:hint="eastAsia" w:ascii="宋体" w:hAnsi="宋体"/>
          <w:szCs w:val="21"/>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pPr>
        <w:pStyle w:val="31"/>
        <w:rPr>
          <w:bCs/>
          <w:sz w:val="21"/>
          <w:szCs w:val="21"/>
        </w:rPr>
      </w:pPr>
      <w:bookmarkStart w:id="633" w:name="_Toc183107241"/>
      <w:bookmarkStart w:id="634" w:name="_Toc150507321"/>
      <w:bookmarkStart w:id="635" w:name="_Toc162103223"/>
      <w:bookmarkStart w:id="636" w:name="_Toc166326941"/>
      <w:bookmarkStart w:id="637" w:name="_Toc29938"/>
      <w:bookmarkStart w:id="638" w:name="_Toc256000105"/>
      <w:r>
        <w:rPr>
          <w:rFonts w:hint="eastAsia"/>
          <w:bCs/>
          <w:sz w:val="21"/>
          <w:szCs w:val="21"/>
        </w:rPr>
        <w:t>A3.</w:t>
      </w:r>
      <w:r>
        <w:rPr>
          <w:bCs/>
          <w:sz w:val="21"/>
          <w:szCs w:val="21"/>
        </w:rPr>
        <w:t>4</w:t>
      </w:r>
      <w:r>
        <w:rPr>
          <w:rFonts w:hint="eastAsia"/>
          <w:bCs/>
          <w:sz w:val="21"/>
          <w:szCs w:val="21"/>
        </w:rPr>
        <w:t>算术错误修正</w:t>
      </w:r>
      <w:bookmarkEnd w:id="633"/>
      <w:bookmarkEnd w:id="634"/>
      <w:bookmarkEnd w:id="635"/>
      <w:bookmarkEnd w:id="636"/>
      <w:bookmarkEnd w:id="637"/>
      <w:bookmarkEnd w:id="638"/>
    </w:p>
    <w:p>
      <w:pPr>
        <w:spacing w:line="400" w:lineRule="exact"/>
        <w:ind w:firstLine="420" w:firstLineChars="200"/>
        <w:rPr>
          <w:rFonts w:ascii="黑体" w:eastAsia="黑体"/>
          <w:szCs w:val="21"/>
        </w:rPr>
      </w:pPr>
      <w:r>
        <w:rPr>
          <w:rFonts w:hint="eastAsia" w:ascii="宋体" w:hAnsi="宋体"/>
          <w:szCs w:val="21"/>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pPr>
        <w:pStyle w:val="31"/>
        <w:rPr>
          <w:bCs/>
          <w:sz w:val="21"/>
          <w:szCs w:val="21"/>
        </w:rPr>
      </w:pPr>
      <w:bookmarkStart w:id="639" w:name="_Toc162103224"/>
      <w:bookmarkStart w:id="640" w:name="_Toc183107242"/>
      <w:bookmarkStart w:id="641" w:name="_Toc256000106"/>
      <w:bookmarkStart w:id="642" w:name="_Toc166326942"/>
      <w:bookmarkStart w:id="643" w:name="_Toc150507322"/>
      <w:bookmarkStart w:id="644" w:name="_Toc2162"/>
      <w:r>
        <w:rPr>
          <w:rFonts w:hint="eastAsia"/>
          <w:bCs/>
          <w:sz w:val="21"/>
          <w:szCs w:val="21"/>
        </w:rPr>
        <w:t>A3.</w:t>
      </w:r>
      <w:r>
        <w:rPr>
          <w:bCs/>
          <w:sz w:val="21"/>
          <w:szCs w:val="21"/>
        </w:rPr>
        <w:t>5</w:t>
      </w:r>
      <w:r>
        <w:rPr>
          <w:rFonts w:hint="eastAsia"/>
          <w:bCs/>
          <w:sz w:val="21"/>
          <w:szCs w:val="21"/>
        </w:rPr>
        <w:t>判断投标报价是否低于成本</w:t>
      </w:r>
      <w:bookmarkEnd w:id="639"/>
      <w:bookmarkEnd w:id="640"/>
      <w:bookmarkEnd w:id="641"/>
      <w:bookmarkEnd w:id="642"/>
      <w:bookmarkEnd w:id="643"/>
      <w:bookmarkEnd w:id="644"/>
    </w:p>
    <w:p>
      <w:pPr>
        <w:spacing w:line="400" w:lineRule="exact"/>
        <w:ind w:firstLine="420" w:firstLineChars="200"/>
        <w:rPr>
          <w:rFonts w:hint="eastAsia" w:ascii="宋体" w:hAnsi="宋体"/>
          <w:szCs w:val="21"/>
        </w:rPr>
      </w:pPr>
      <w:r>
        <w:rPr>
          <w:rFonts w:hint="eastAsia" w:ascii="宋体" w:hAnsi="宋体"/>
          <w:szCs w:val="21"/>
        </w:rPr>
        <w:t>根据本章第3.1.4项的规定，评标委员会根据评审程序、标准和方法，判断投标报价是否低于其成本。评标委员会认定投标人以低于成本竞标的，其投标应当被否决。并使用</w:t>
      </w:r>
      <w:r>
        <w:rPr>
          <w:rFonts w:hint="eastAsia" w:ascii="宋体" w:hAnsi="宋体"/>
          <w:b/>
          <w:szCs w:val="21"/>
        </w:rPr>
        <w:t>附表</w:t>
      </w:r>
      <w:r>
        <w:rPr>
          <w:rFonts w:ascii="宋体" w:hAnsi="宋体"/>
          <w:b/>
          <w:szCs w:val="21"/>
        </w:rPr>
        <w:t>C</w:t>
      </w:r>
      <w:r>
        <w:rPr>
          <w:rFonts w:hint="eastAsia" w:ascii="宋体" w:hAnsi="宋体"/>
          <w:b/>
          <w:szCs w:val="21"/>
        </w:rPr>
        <w:t>-1</w:t>
      </w:r>
      <w:r>
        <w:rPr>
          <w:rFonts w:hint="eastAsia" w:ascii="宋体" w:hAnsi="宋体"/>
          <w:szCs w:val="21"/>
        </w:rPr>
        <w:t>记录评审结果</w:t>
      </w:r>
    </w:p>
    <w:p>
      <w:pPr>
        <w:pStyle w:val="31"/>
        <w:rPr>
          <w:bCs/>
          <w:sz w:val="21"/>
          <w:szCs w:val="21"/>
        </w:rPr>
      </w:pPr>
      <w:bookmarkStart w:id="645" w:name="_Toc162103225"/>
      <w:bookmarkStart w:id="646" w:name="_Toc150507323"/>
      <w:bookmarkStart w:id="647" w:name="_Toc166326943"/>
      <w:bookmarkStart w:id="648" w:name="_Toc183107243"/>
      <w:bookmarkStart w:id="649" w:name="_Toc256000107"/>
      <w:bookmarkStart w:id="650" w:name="_Toc10488"/>
      <w:r>
        <w:rPr>
          <w:rFonts w:hint="eastAsia"/>
          <w:bCs/>
          <w:sz w:val="21"/>
          <w:szCs w:val="21"/>
        </w:rPr>
        <w:t>A3.</w:t>
      </w:r>
      <w:r>
        <w:rPr>
          <w:bCs/>
          <w:sz w:val="21"/>
          <w:szCs w:val="21"/>
        </w:rPr>
        <w:t>6</w:t>
      </w:r>
      <w:r>
        <w:rPr>
          <w:rFonts w:hint="eastAsia"/>
          <w:bCs/>
          <w:sz w:val="21"/>
          <w:szCs w:val="21"/>
        </w:rPr>
        <w:t xml:space="preserve"> 判断投标是否为应当被否决</w:t>
      </w:r>
      <w:bookmarkEnd w:id="645"/>
      <w:bookmarkEnd w:id="646"/>
      <w:bookmarkEnd w:id="647"/>
      <w:bookmarkEnd w:id="648"/>
      <w:bookmarkEnd w:id="649"/>
      <w:bookmarkEnd w:id="650"/>
    </w:p>
    <w:p>
      <w:pPr>
        <w:spacing w:line="400" w:lineRule="exact"/>
        <w:ind w:firstLine="420" w:firstLineChars="200"/>
        <w:rPr>
          <w:rFonts w:hint="eastAsia" w:ascii="宋体" w:hAnsi="宋体"/>
          <w:szCs w:val="21"/>
        </w:rPr>
      </w:pPr>
      <w:r>
        <w:rPr>
          <w:rFonts w:hint="eastAsia" w:ascii="宋体" w:hAnsi="宋体"/>
          <w:szCs w:val="21"/>
        </w:rPr>
        <w:t>A3.</w:t>
      </w:r>
      <w:r>
        <w:rPr>
          <w:rFonts w:ascii="宋体" w:hAnsi="宋体"/>
          <w:szCs w:val="21"/>
        </w:rPr>
        <w:t>6</w:t>
      </w:r>
      <w:r>
        <w:rPr>
          <w:rFonts w:hint="eastAsia" w:ascii="宋体" w:hAnsi="宋体"/>
          <w:szCs w:val="21"/>
        </w:rPr>
        <w:t>.1判断投标人的投标是否应当被</w:t>
      </w:r>
      <w:r>
        <w:rPr>
          <w:rFonts w:hint="eastAsia"/>
        </w:rPr>
        <w:t>否决</w:t>
      </w:r>
      <w:r>
        <w:rPr>
          <w:rFonts w:hint="eastAsia" w:ascii="宋体" w:hAnsi="宋体"/>
          <w:szCs w:val="21"/>
        </w:rPr>
        <w:t>的全部条件（包括本章第3.1.2项、第3.1.3项中规定的条件），在本章前附表中集中列示。并使用</w:t>
      </w:r>
      <w:r>
        <w:rPr>
          <w:rFonts w:hint="eastAsia" w:ascii="宋体" w:hAnsi="宋体"/>
          <w:b/>
          <w:szCs w:val="21"/>
        </w:rPr>
        <w:t>附表A-9</w:t>
      </w:r>
      <w:r>
        <w:rPr>
          <w:rFonts w:hint="eastAsia" w:ascii="宋体" w:hAnsi="宋体"/>
          <w:szCs w:val="21"/>
        </w:rPr>
        <w:t>记录评审结果。</w:t>
      </w:r>
    </w:p>
    <w:p>
      <w:pPr>
        <w:spacing w:line="400" w:lineRule="exact"/>
        <w:ind w:firstLine="420" w:firstLineChars="200"/>
        <w:rPr>
          <w:rFonts w:hint="eastAsia" w:ascii="宋体" w:hAnsi="宋体"/>
          <w:szCs w:val="21"/>
        </w:rPr>
      </w:pPr>
      <w:r>
        <w:rPr>
          <w:rFonts w:hint="eastAsia" w:ascii="宋体" w:hAnsi="宋体"/>
          <w:szCs w:val="21"/>
        </w:rPr>
        <w:t>A3.</w:t>
      </w:r>
      <w:r>
        <w:rPr>
          <w:rFonts w:ascii="宋体" w:hAnsi="宋体"/>
          <w:szCs w:val="21"/>
        </w:rPr>
        <w:t>6</w:t>
      </w:r>
      <w:r>
        <w:rPr>
          <w:rFonts w:hint="eastAsia" w:ascii="宋体" w:hAnsi="宋体"/>
          <w:szCs w:val="21"/>
        </w:rPr>
        <w:t>.2本章</w:t>
      </w:r>
      <w:r>
        <w:rPr>
          <w:rFonts w:hint="eastAsia" w:ascii="宋体" w:hAnsi="宋体"/>
          <w:b/>
          <w:szCs w:val="21"/>
        </w:rPr>
        <w:t>附件B</w:t>
      </w:r>
      <w:r>
        <w:rPr>
          <w:rFonts w:hint="eastAsia" w:ascii="宋体" w:hAnsi="宋体"/>
          <w:szCs w:val="21"/>
        </w:rPr>
        <w:t>集中列示的否决投标的条件不应与第二章“投标人须知”和本章前附表和正文部分包括的否决投标的条件抵触，</w:t>
      </w:r>
      <w:r>
        <w:rPr>
          <w:rFonts w:hint="eastAsia"/>
        </w:rPr>
        <w:t>如果</w:t>
      </w:r>
      <w:r>
        <w:rPr>
          <w:rFonts w:hint="eastAsia" w:ascii="宋体" w:hAnsi="宋体"/>
          <w:szCs w:val="21"/>
        </w:rPr>
        <w:t>出现相互矛盾的情况，以本章前附表和正文部分的规定为准。</w:t>
      </w:r>
    </w:p>
    <w:p>
      <w:pPr>
        <w:spacing w:line="400" w:lineRule="exact"/>
        <w:ind w:firstLine="420" w:firstLineChars="200"/>
        <w:rPr>
          <w:rFonts w:hint="eastAsia" w:ascii="宋体" w:hAnsi="宋体"/>
          <w:szCs w:val="21"/>
        </w:rPr>
      </w:pPr>
      <w:r>
        <w:rPr>
          <w:rFonts w:hint="eastAsia" w:ascii="宋体" w:hAnsi="宋体"/>
          <w:szCs w:val="21"/>
        </w:rPr>
        <w:t>A3.</w:t>
      </w:r>
      <w:r>
        <w:rPr>
          <w:rFonts w:ascii="宋体" w:hAnsi="宋体"/>
          <w:szCs w:val="21"/>
        </w:rPr>
        <w:t>6</w:t>
      </w:r>
      <w:r>
        <w:rPr>
          <w:rFonts w:hint="eastAsia" w:ascii="宋体" w:hAnsi="宋体"/>
          <w:szCs w:val="21"/>
        </w:rPr>
        <w:t>.3评标委员会在评标（包括初步评审和详细评审）过程中，依据本章前附表和正文部分中规定的否决投标的条件判断投标人的投标是否为应当被否决。</w:t>
      </w:r>
    </w:p>
    <w:p>
      <w:pPr>
        <w:pStyle w:val="31"/>
        <w:rPr>
          <w:bCs/>
          <w:sz w:val="21"/>
          <w:szCs w:val="21"/>
        </w:rPr>
      </w:pPr>
      <w:bookmarkStart w:id="651" w:name="_Toc183107244"/>
      <w:bookmarkStart w:id="652" w:name="_Toc150507324"/>
      <w:bookmarkStart w:id="653" w:name="_Toc256000108"/>
      <w:bookmarkStart w:id="654" w:name="_Toc162103226"/>
      <w:bookmarkStart w:id="655" w:name="_Toc15364"/>
      <w:bookmarkStart w:id="656" w:name="_Toc166326944"/>
      <w:r>
        <w:rPr>
          <w:rFonts w:hint="eastAsia"/>
          <w:bCs/>
          <w:sz w:val="21"/>
          <w:szCs w:val="21"/>
        </w:rPr>
        <w:t>A3.</w:t>
      </w:r>
      <w:r>
        <w:rPr>
          <w:bCs/>
          <w:sz w:val="21"/>
          <w:szCs w:val="21"/>
        </w:rPr>
        <w:t>7</w:t>
      </w:r>
      <w:r>
        <w:rPr>
          <w:rFonts w:hint="eastAsia"/>
          <w:bCs/>
          <w:sz w:val="21"/>
          <w:szCs w:val="21"/>
        </w:rPr>
        <w:t xml:space="preserve"> 澄清、说明或补正</w:t>
      </w:r>
      <w:bookmarkEnd w:id="651"/>
      <w:bookmarkEnd w:id="652"/>
      <w:bookmarkEnd w:id="653"/>
      <w:bookmarkEnd w:id="654"/>
      <w:bookmarkEnd w:id="655"/>
      <w:bookmarkEnd w:id="656"/>
    </w:p>
    <w:p>
      <w:pPr>
        <w:spacing w:line="400" w:lineRule="exact"/>
        <w:ind w:firstLine="420" w:firstLineChars="200"/>
        <w:rPr>
          <w:rFonts w:hint="eastAsia" w:ascii="宋体" w:hAnsi="宋体"/>
          <w:szCs w:val="21"/>
        </w:rPr>
      </w:pPr>
      <w:r>
        <w:rPr>
          <w:rFonts w:hint="eastAsia" w:ascii="宋体" w:hAnsi="宋体"/>
          <w:szCs w:val="21"/>
        </w:rPr>
        <w:t>在初步评审过程中，评标委员会应当就投标文件中</w:t>
      </w:r>
      <w:r>
        <w:rPr>
          <w:rFonts w:hint="eastAsia"/>
        </w:rPr>
        <w:t>含义不明确、对同类问题表述不一致或者有明显文字和计算错误的内容</w:t>
      </w:r>
      <w:r>
        <w:rPr>
          <w:rFonts w:hint="eastAsia" w:ascii="宋体" w:hAnsi="宋体"/>
          <w:szCs w:val="21"/>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rPr>
        <w:t>通过电子招标投标系统</w:t>
      </w:r>
      <w:r>
        <w:rPr>
          <w:rFonts w:hint="eastAsia" w:ascii="宋体" w:hAnsi="宋体"/>
          <w:szCs w:val="21"/>
        </w:rPr>
        <w:t>（辽宁省工程建设项目数字化开标评标系统）</w:t>
      </w:r>
      <w:r>
        <w:rPr>
          <w:rFonts w:hint="eastAsia"/>
        </w:rPr>
        <w:t>以书面形式进行。</w:t>
      </w:r>
    </w:p>
    <w:p>
      <w:pPr>
        <w:pStyle w:val="31"/>
      </w:pPr>
      <w:bookmarkStart w:id="657" w:name="_Toc150507325"/>
      <w:bookmarkStart w:id="658" w:name="_Toc166326945"/>
      <w:bookmarkStart w:id="659" w:name="_Toc162103227"/>
      <w:bookmarkStart w:id="660" w:name="_Toc256000109"/>
      <w:bookmarkStart w:id="661" w:name="_Toc21491"/>
      <w:bookmarkStart w:id="662" w:name="_Toc183107245"/>
      <w:r>
        <w:rPr>
          <w:rFonts w:hint="eastAsia"/>
        </w:rPr>
        <w:t>A4.详细评审</w:t>
      </w:r>
      <w:bookmarkEnd w:id="657"/>
      <w:bookmarkEnd w:id="658"/>
      <w:bookmarkEnd w:id="659"/>
      <w:bookmarkEnd w:id="660"/>
      <w:bookmarkEnd w:id="661"/>
      <w:bookmarkEnd w:id="662"/>
    </w:p>
    <w:p>
      <w:pPr>
        <w:spacing w:line="400" w:lineRule="exact"/>
        <w:ind w:firstLine="420" w:firstLineChars="200"/>
        <w:rPr>
          <w:rFonts w:hint="eastAsia" w:ascii="宋体" w:hAnsi="宋体"/>
          <w:szCs w:val="21"/>
        </w:rPr>
      </w:pPr>
      <w:bookmarkStart w:id="663" w:name="_Toc150507326"/>
      <w:bookmarkStart w:id="664" w:name="_Toc162103228"/>
      <w:r>
        <w:rPr>
          <w:rFonts w:hint="eastAsia" w:ascii="宋体" w:hAnsi="宋体"/>
          <w:szCs w:val="21"/>
        </w:rPr>
        <w:t>只有通过了初步评审、被判定为合格的投标方可进入详细评审。初步评审通过后，使用</w:t>
      </w:r>
      <w:r>
        <w:rPr>
          <w:rFonts w:hint="eastAsia" w:ascii="宋体" w:hAnsi="宋体"/>
          <w:b/>
          <w:szCs w:val="21"/>
        </w:rPr>
        <w:t>附表A-</w:t>
      </w:r>
      <w:r>
        <w:rPr>
          <w:rFonts w:ascii="宋体" w:hAnsi="宋体"/>
          <w:b/>
          <w:szCs w:val="21"/>
        </w:rPr>
        <w:t>8</w:t>
      </w:r>
      <w:r>
        <w:rPr>
          <w:rFonts w:hint="eastAsia" w:ascii="宋体" w:hAnsi="宋体"/>
          <w:szCs w:val="21"/>
        </w:rPr>
        <w:t>记录初步评审结果</w:t>
      </w:r>
      <w:r>
        <w:rPr>
          <w:rFonts w:hint="eastAsia" w:ascii="黑体" w:hAnsi="宋体" w:eastAsia="黑体"/>
          <w:szCs w:val="21"/>
        </w:rPr>
        <w:t>。</w:t>
      </w:r>
    </w:p>
    <w:p>
      <w:pPr>
        <w:pStyle w:val="31"/>
        <w:rPr>
          <w:bCs/>
          <w:sz w:val="21"/>
          <w:szCs w:val="21"/>
        </w:rPr>
      </w:pPr>
      <w:bookmarkStart w:id="665" w:name="_Toc256000110"/>
      <w:bookmarkStart w:id="666" w:name="_Toc166326946"/>
      <w:bookmarkStart w:id="667" w:name="_Toc19486"/>
      <w:bookmarkStart w:id="668" w:name="_Toc183107246"/>
      <w:r>
        <w:rPr>
          <w:rFonts w:hint="eastAsia"/>
          <w:bCs/>
          <w:sz w:val="21"/>
          <w:szCs w:val="21"/>
        </w:rPr>
        <w:t>A4.1详细评审的程序</w:t>
      </w:r>
      <w:bookmarkEnd w:id="663"/>
      <w:bookmarkEnd w:id="664"/>
      <w:bookmarkEnd w:id="665"/>
      <w:bookmarkEnd w:id="666"/>
      <w:bookmarkEnd w:id="667"/>
      <w:bookmarkEnd w:id="668"/>
    </w:p>
    <w:p>
      <w:pPr>
        <w:spacing w:line="400" w:lineRule="exact"/>
        <w:ind w:firstLine="420" w:firstLineChars="200"/>
        <w:rPr>
          <w:rFonts w:hint="eastAsia" w:ascii="宋体" w:hAnsi="宋体"/>
          <w:szCs w:val="21"/>
        </w:rPr>
      </w:pPr>
      <w:r>
        <w:rPr>
          <w:rFonts w:hint="eastAsia" w:ascii="宋体" w:hAnsi="宋体"/>
          <w:szCs w:val="21"/>
        </w:rPr>
        <w:t>评标委员会按照本章第3.2款中规定的程序进行详细评审：</w:t>
      </w:r>
    </w:p>
    <w:p>
      <w:pPr>
        <w:spacing w:line="400" w:lineRule="exact"/>
        <w:ind w:firstLine="420" w:firstLineChars="200"/>
        <w:rPr>
          <w:rFonts w:hint="eastAsia" w:ascii="宋体" w:hAnsi="宋体"/>
          <w:szCs w:val="21"/>
        </w:rPr>
      </w:pPr>
      <w:r>
        <w:rPr>
          <w:rFonts w:hint="eastAsia" w:ascii="宋体" w:hAnsi="宋体"/>
          <w:szCs w:val="21"/>
        </w:rPr>
        <w:t>（1）经济标评审和评分；</w:t>
      </w:r>
    </w:p>
    <w:p>
      <w:pPr>
        <w:spacing w:line="400" w:lineRule="exact"/>
        <w:ind w:firstLine="420" w:firstLineChars="200"/>
        <w:rPr>
          <w:rFonts w:hint="eastAsia" w:ascii="宋体" w:hAnsi="宋体"/>
          <w:szCs w:val="21"/>
        </w:rPr>
      </w:pPr>
      <w:r>
        <w:rPr>
          <w:rFonts w:hint="eastAsia" w:ascii="宋体" w:hAnsi="宋体"/>
          <w:szCs w:val="21"/>
        </w:rPr>
        <w:t xml:space="preserve">（2）技术标评审和评分； </w:t>
      </w:r>
    </w:p>
    <w:p>
      <w:pPr>
        <w:spacing w:line="400" w:lineRule="exact"/>
        <w:ind w:firstLine="420" w:firstLineChars="200"/>
        <w:rPr>
          <w:rFonts w:hint="eastAsia" w:ascii="宋体" w:hAnsi="宋体"/>
          <w:szCs w:val="21"/>
        </w:rPr>
      </w:pPr>
      <w:r>
        <w:rPr>
          <w:rFonts w:hint="eastAsia" w:ascii="宋体" w:hAnsi="宋体"/>
          <w:szCs w:val="21"/>
        </w:rPr>
        <w:t>（3）资信标评审和评分；</w:t>
      </w:r>
    </w:p>
    <w:p>
      <w:pPr>
        <w:spacing w:line="400" w:lineRule="exact"/>
        <w:ind w:firstLine="420" w:firstLineChars="200"/>
        <w:rPr>
          <w:rFonts w:hint="eastAsia" w:ascii="宋体" w:hAnsi="宋体"/>
          <w:szCs w:val="21"/>
        </w:rPr>
      </w:pPr>
      <w:r>
        <w:rPr>
          <w:rFonts w:hint="eastAsia" w:ascii="宋体" w:hAnsi="宋体"/>
          <w:szCs w:val="21"/>
        </w:rPr>
        <w:t>（4）其他因素评审和</w:t>
      </w:r>
      <w:r>
        <w:rPr>
          <w:rFonts w:hint="eastAsia"/>
        </w:rPr>
        <w:t>评分</w:t>
      </w:r>
      <w:r>
        <w:rPr>
          <w:rFonts w:hint="eastAsia"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（5）汇总评分结果。</w:t>
      </w:r>
    </w:p>
    <w:p>
      <w:pPr>
        <w:pStyle w:val="31"/>
        <w:rPr>
          <w:bCs/>
          <w:sz w:val="21"/>
          <w:szCs w:val="21"/>
        </w:rPr>
      </w:pPr>
      <w:bookmarkStart w:id="669" w:name="_Toc166326947"/>
      <w:bookmarkStart w:id="670" w:name="_Toc256000111"/>
      <w:bookmarkStart w:id="671" w:name="_Toc18983"/>
      <w:bookmarkStart w:id="672" w:name="_Toc150507327"/>
      <w:bookmarkStart w:id="673" w:name="_Toc183107247"/>
      <w:bookmarkStart w:id="674" w:name="_Toc162103229"/>
      <w:r>
        <w:rPr>
          <w:rFonts w:hint="eastAsia"/>
          <w:bCs/>
          <w:sz w:val="21"/>
          <w:szCs w:val="21"/>
        </w:rPr>
        <w:t>A4.2经济标评审和评分</w:t>
      </w:r>
      <w:bookmarkEnd w:id="669"/>
      <w:bookmarkEnd w:id="670"/>
      <w:bookmarkEnd w:id="671"/>
      <w:bookmarkEnd w:id="672"/>
      <w:bookmarkEnd w:id="673"/>
      <w:bookmarkEnd w:id="674"/>
    </w:p>
    <w:p>
      <w:pPr>
        <w:spacing w:line="400" w:lineRule="exact"/>
        <w:ind w:firstLine="420" w:firstLineChars="200"/>
        <w:rPr>
          <w:rFonts w:hint="eastAsia" w:ascii="宋体" w:hAnsi="宋体"/>
          <w:szCs w:val="21"/>
        </w:rPr>
      </w:pPr>
      <w:r>
        <w:rPr>
          <w:rFonts w:hint="eastAsia" w:ascii="宋体" w:hAnsi="宋体"/>
          <w:szCs w:val="21"/>
        </w:rPr>
        <w:t>A4.2.1按照评标办法前附表中规定的方法计算各投标人的“评标价”。</w:t>
      </w:r>
    </w:p>
    <w:p>
      <w:pPr>
        <w:spacing w:line="400" w:lineRule="exact"/>
        <w:ind w:firstLine="420" w:firstLineChars="200"/>
        <w:rPr>
          <w:rFonts w:hint="eastAsia" w:ascii="宋体" w:hAnsi="宋体"/>
          <w:szCs w:val="21"/>
        </w:rPr>
      </w:pPr>
      <w:r>
        <w:rPr>
          <w:rFonts w:hint="eastAsia" w:ascii="宋体" w:hAnsi="宋体"/>
          <w:szCs w:val="21"/>
        </w:rPr>
        <w:t>A4.2.2按照评标办法前附表中</w:t>
      </w:r>
      <w:r>
        <w:rPr>
          <w:rFonts w:hint="eastAsia"/>
        </w:rPr>
        <w:t>规定</w:t>
      </w:r>
      <w:r>
        <w:rPr>
          <w:rFonts w:hint="eastAsia" w:ascii="宋体" w:hAnsi="宋体"/>
          <w:szCs w:val="21"/>
        </w:rPr>
        <w:t>的方法计算“评标基准价”。</w:t>
      </w:r>
    </w:p>
    <w:p>
      <w:pPr>
        <w:spacing w:line="400" w:lineRule="exact"/>
        <w:ind w:firstLine="420" w:firstLineChars="200"/>
        <w:rPr>
          <w:rFonts w:hint="eastAsia" w:ascii="宋体" w:hAnsi="宋体"/>
          <w:szCs w:val="21"/>
        </w:rPr>
      </w:pPr>
      <w:r>
        <w:rPr>
          <w:rFonts w:hint="eastAsia" w:ascii="宋体" w:hAnsi="宋体"/>
          <w:szCs w:val="21"/>
        </w:rPr>
        <w:t>A4.2.</w:t>
      </w:r>
      <w:r>
        <w:rPr>
          <w:rFonts w:ascii="宋体" w:hAnsi="宋体"/>
          <w:szCs w:val="21"/>
        </w:rPr>
        <w:t>3</w:t>
      </w:r>
      <w:r>
        <w:rPr>
          <w:rFonts w:hint="eastAsia" w:ascii="宋体" w:hAnsi="宋体"/>
          <w:szCs w:val="21"/>
        </w:rPr>
        <w:t>按照评标办法前附表中</w:t>
      </w:r>
      <w:r>
        <w:rPr>
          <w:rFonts w:hint="eastAsia"/>
        </w:rPr>
        <w:t>规定</w:t>
      </w:r>
      <w:r>
        <w:rPr>
          <w:rFonts w:hint="eastAsia" w:ascii="宋体" w:hAnsi="宋体"/>
          <w:szCs w:val="21"/>
        </w:rPr>
        <w:t>的方法，计算各个已通过了初步评审的投标报价的“偏差率”。</w:t>
      </w:r>
    </w:p>
    <w:p>
      <w:pPr>
        <w:spacing w:line="400" w:lineRule="exact"/>
        <w:ind w:firstLine="420" w:firstLineChars="200"/>
        <w:rPr>
          <w:rFonts w:hint="eastAsia" w:ascii="宋体" w:hAnsi="宋体"/>
          <w:szCs w:val="21"/>
        </w:rPr>
      </w:pPr>
      <w:r>
        <w:rPr>
          <w:rFonts w:hint="eastAsia" w:ascii="宋体" w:hAnsi="宋体"/>
          <w:szCs w:val="21"/>
        </w:rPr>
        <w:t>A4.2.</w:t>
      </w:r>
      <w:r>
        <w:rPr>
          <w:rFonts w:ascii="宋体" w:hAnsi="宋体"/>
          <w:szCs w:val="21"/>
        </w:rPr>
        <w:t>4</w:t>
      </w:r>
      <w:r>
        <w:rPr>
          <w:rFonts w:hint="eastAsia" w:ascii="宋体" w:hAnsi="宋体"/>
          <w:szCs w:val="21"/>
        </w:rPr>
        <w:t>按照评标办法前附表中规定的评分标准，对照投标报价的偏差率，分别对各个投标报价进行评分，使用</w:t>
      </w:r>
      <w:r>
        <w:rPr>
          <w:rFonts w:hint="eastAsia" w:ascii="宋体" w:hAnsi="宋体"/>
          <w:b/>
          <w:szCs w:val="21"/>
        </w:rPr>
        <w:t>附表A-</w:t>
      </w:r>
      <w:r>
        <w:rPr>
          <w:rFonts w:ascii="宋体" w:hAnsi="宋体"/>
          <w:b/>
          <w:szCs w:val="21"/>
        </w:rPr>
        <w:t>10</w:t>
      </w:r>
      <w:r>
        <w:rPr>
          <w:rFonts w:hint="eastAsia" w:ascii="宋体" w:hAnsi="宋体"/>
          <w:szCs w:val="21"/>
        </w:rPr>
        <w:t>记录对经济标的评分结果，经济标的得分记录为</w:t>
      </w:r>
      <w:r>
        <w:rPr>
          <w:rFonts w:hint="eastAsia" w:ascii="宋体" w:hAnsi="宋体"/>
          <w:b/>
          <w:szCs w:val="21"/>
        </w:rPr>
        <w:t>A</w:t>
      </w:r>
      <w:r>
        <w:rPr>
          <w:rFonts w:hint="eastAsia" w:ascii="宋体" w:hAnsi="宋体"/>
          <w:szCs w:val="21"/>
        </w:rPr>
        <w:t>。</w:t>
      </w:r>
    </w:p>
    <w:p>
      <w:pPr>
        <w:pStyle w:val="31"/>
        <w:rPr>
          <w:bCs/>
          <w:sz w:val="21"/>
          <w:szCs w:val="21"/>
        </w:rPr>
      </w:pPr>
      <w:bookmarkStart w:id="675" w:name="_Toc183107248"/>
      <w:bookmarkStart w:id="676" w:name="_Toc166326948"/>
      <w:bookmarkStart w:id="677" w:name="_Toc162103230"/>
      <w:bookmarkStart w:id="678" w:name="_Toc256000112"/>
      <w:bookmarkStart w:id="679" w:name="_Toc26906"/>
      <w:bookmarkStart w:id="680" w:name="_Toc150507328"/>
      <w:r>
        <w:rPr>
          <w:rFonts w:hint="eastAsia"/>
          <w:bCs/>
          <w:sz w:val="21"/>
          <w:szCs w:val="21"/>
        </w:rPr>
        <w:t>A4.3 技术标评审和评分</w:t>
      </w:r>
      <w:bookmarkEnd w:id="675"/>
      <w:bookmarkEnd w:id="676"/>
      <w:bookmarkEnd w:id="677"/>
      <w:bookmarkEnd w:id="678"/>
      <w:bookmarkEnd w:id="679"/>
      <w:bookmarkEnd w:id="680"/>
    </w:p>
    <w:p>
      <w:pPr>
        <w:spacing w:line="400" w:lineRule="exact"/>
        <w:ind w:firstLine="420" w:firstLineChars="200"/>
        <w:rPr>
          <w:rFonts w:hint="eastAsia" w:ascii="宋体" w:hAnsi="宋体"/>
          <w:szCs w:val="21"/>
        </w:rPr>
      </w:pPr>
      <w:r>
        <w:rPr>
          <w:rFonts w:hint="eastAsia" w:ascii="宋体" w:hAnsi="宋体"/>
          <w:szCs w:val="21"/>
        </w:rPr>
        <w:t>按照评标办法前附表中规定的分值设定、各项评分因素、评分标准，对施工组织设计进行评审和评分，并使用</w:t>
      </w:r>
      <w:r>
        <w:rPr>
          <w:rFonts w:hint="eastAsia" w:ascii="宋体" w:hAnsi="宋体"/>
          <w:b/>
          <w:szCs w:val="21"/>
        </w:rPr>
        <w:t>附表A-</w:t>
      </w:r>
      <w:r>
        <w:rPr>
          <w:rFonts w:ascii="宋体" w:hAnsi="宋体"/>
          <w:b/>
          <w:szCs w:val="21"/>
        </w:rPr>
        <w:t>11</w:t>
      </w:r>
      <w:r>
        <w:rPr>
          <w:rFonts w:hint="eastAsia" w:ascii="宋体" w:hAnsi="宋体"/>
          <w:szCs w:val="21"/>
        </w:rPr>
        <w:t>记录对技术标的评分结果，技术标的得分记录为</w:t>
      </w:r>
      <w:r>
        <w:rPr>
          <w:rFonts w:hint="eastAsia" w:ascii="宋体" w:hAnsi="宋体"/>
          <w:b/>
          <w:szCs w:val="21"/>
        </w:rPr>
        <w:t>B</w:t>
      </w:r>
      <w:r>
        <w:rPr>
          <w:rFonts w:hint="eastAsia" w:ascii="宋体" w:hAnsi="宋体"/>
          <w:szCs w:val="21"/>
        </w:rPr>
        <w:t>。</w:t>
      </w:r>
    </w:p>
    <w:p>
      <w:pPr>
        <w:pStyle w:val="31"/>
        <w:rPr>
          <w:bCs/>
          <w:sz w:val="21"/>
          <w:szCs w:val="21"/>
        </w:rPr>
      </w:pPr>
      <w:bookmarkStart w:id="681" w:name="_Toc150507329"/>
      <w:bookmarkStart w:id="682" w:name="_Toc256000113"/>
      <w:bookmarkStart w:id="683" w:name="_Toc183107249"/>
      <w:bookmarkStart w:id="684" w:name="_Toc6921"/>
      <w:bookmarkStart w:id="685" w:name="_Toc166326949"/>
      <w:bookmarkStart w:id="686" w:name="_Toc162103231"/>
      <w:r>
        <w:rPr>
          <w:rFonts w:hint="eastAsia"/>
          <w:bCs/>
          <w:sz w:val="21"/>
          <w:szCs w:val="21"/>
        </w:rPr>
        <w:t>A4.4</w:t>
      </w:r>
      <w:bookmarkStart w:id="687" w:name="_Hlk164534604"/>
      <w:r>
        <w:rPr>
          <w:rFonts w:hint="eastAsia"/>
          <w:bCs/>
          <w:sz w:val="21"/>
          <w:szCs w:val="21"/>
        </w:rPr>
        <w:t>资信</w:t>
      </w:r>
      <w:bookmarkEnd w:id="687"/>
      <w:r>
        <w:rPr>
          <w:rFonts w:hint="eastAsia"/>
          <w:bCs/>
          <w:sz w:val="21"/>
          <w:szCs w:val="21"/>
        </w:rPr>
        <w:t>标评审和评分</w:t>
      </w:r>
      <w:bookmarkEnd w:id="681"/>
      <w:bookmarkEnd w:id="682"/>
      <w:bookmarkEnd w:id="683"/>
      <w:bookmarkEnd w:id="684"/>
      <w:bookmarkEnd w:id="685"/>
      <w:bookmarkEnd w:id="686"/>
    </w:p>
    <w:p>
      <w:pPr>
        <w:spacing w:line="400" w:lineRule="exact"/>
        <w:ind w:firstLine="420" w:firstLineChars="200"/>
        <w:rPr>
          <w:rFonts w:hint="eastAsia" w:ascii="宋体" w:hAnsi="宋体"/>
          <w:szCs w:val="21"/>
        </w:rPr>
      </w:pPr>
      <w:r>
        <w:rPr>
          <w:rFonts w:hint="eastAsia" w:ascii="宋体" w:hAnsi="宋体"/>
          <w:szCs w:val="21"/>
        </w:rPr>
        <w:t>按照评标办法前附表中规定的分值设定、各项评分因素、评分标准，对企业业绩、资信和项目管理机构等进行评审和评分，并使用</w:t>
      </w:r>
      <w:r>
        <w:rPr>
          <w:rFonts w:hint="eastAsia" w:ascii="宋体" w:hAnsi="宋体"/>
          <w:b/>
          <w:szCs w:val="21"/>
        </w:rPr>
        <w:t>附表A-1</w:t>
      </w:r>
      <w:r>
        <w:rPr>
          <w:rFonts w:ascii="宋体" w:hAnsi="宋体"/>
          <w:b/>
          <w:szCs w:val="21"/>
        </w:rPr>
        <w:t>3</w:t>
      </w:r>
      <w:r>
        <w:rPr>
          <w:rFonts w:hint="eastAsia" w:ascii="宋体" w:hAnsi="宋体"/>
          <w:szCs w:val="21"/>
        </w:rPr>
        <w:t>记录对资信标的评分结果，资信标的得分记录为</w:t>
      </w:r>
      <w:r>
        <w:rPr>
          <w:rFonts w:hint="eastAsia" w:ascii="宋体" w:hAnsi="宋体"/>
          <w:b/>
          <w:szCs w:val="21"/>
        </w:rPr>
        <w:t>C</w:t>
      </w:r>
      <w:r>
        <w:rPr>
          <w:rFonts w:hint="eastAsia" w:ascii="宋体" w:hAnsi="宋体"/>
          <w:szCs w:val="21"/>
        </w:rPr>
        <w:t>。</w:t>
      </w:r>
    </w:p>
    <w:p>
      <w:pPr>
        <w:pStyle w:val="31"/>
        <w:rPr>
          <w:bCs/>
          <w:sz w:val="21"/>
          <w:szCs w:val="21"/>
        </w:rPr>
      </w:pPr>
      <w:bookmarkStart w:id="688" w:name="_Toc183107250"/>
      <w:bookmarkStart w:id="689" w:name="_Toc166326950"/>
      <w:bookmarkStart w:id="690" w:name="_Toc256000114"/>
      <w:bookmarkStart w:id="691" w:name="_Toc2839"/>
      <w:bookmarkStart w:id="692" w:name="_Toc162103232"/>
      <w:bookmarkStart w:id="693" w:name="_Toc150507330"/>
      <w:r>
        <w:rPr>
          <w:rFonts w:hint="eastAsia"/>
          <w:bCs/>
          <w:sz w:val="21"/>
          <w:szCs w:val="21"/>
        </w:rPr>
        <w:t>A4.5 其他因素的评审和评分</w:t>
      </w:r>
      <w:bookmarkEnd w:id="688"/>
      <w:bookmarkEnd w:id="689"/>
      <w:bookmarkEnd w:id="690"/>
      <w:bookmarkEnd w:id="691"/>
      <w:bookmarkEnd w:id="692"/>
      <w:bookmarkEnd w:id="693"/>
    </w:p>
    <w:p>
      <w:pPr>
        <w:spacing w:line="400" w:lineRule="exact"/>
        <w:ind w:firstLine="420" w:firstLineChars="200"/>
        <w:rPr>
          <w:rFonts w:hint="eastAsia" w:ascii="宋体" w:hAnsi="宋体"/>
          <w:szCs w:val="21"/>
        </w:rPr>
      </w:pPr>
      <w:r>
        <w:rPr>
          <w:rFonts w:hint="eastAsia" w:ascii="宋体" w:hAnsi="宋体"/>
          <w:szCs w:val="21"/>
        </w:rPr>
        <w:t>根据评标办法前附表中规定的分值设定、各项评分因素和相应的评分标准，对其他因素（如果有）进行评审和评分，并使用</w:t>
      </w:r>
      <w:r>
        <w:rPr>
          <w:rFonts w:hint="eastAsia" w:ascii="宋体" w:hAnsi="宋体"/>
          <w:b/>
          <w:szCs w:val="21"/>
        </w:rPr>
        <w:t>附表A-1</w:t>
      </w:r>
      <w:r>
        <w:rPr>
          <w:rFonts w:ascii="宋体" w:hAnsi="宋体"/>
          <w:b/>
          <w:szCs w:val="21"/>
        </w:rPr>
        <w:t>4</w:t>
      </w:r>
      <w:r>
        <w:rPr>
          <w:rFonts w:hint="eastAsia" w:ascii="宋体" w:hAnsi="宋体"/>
          <w:szCs w:val="21"/>
        </w:rPr>
        <w:t>记录对其他</w:t>
      </w:r>
      <w:r>
        <w:rPr>
          <w:rFonts w:hint="eastAsia"/>
        </w:rPr>
        <w:t>因素</w:t>
      </w:r>
      <w:r>
        <w:rPr>
          <w:rFonts w:hint="eastAsia" w:ascii="宋体" w:hAnsi="宋体"/>
          <w:szCs w:val="21"/>
        </w:rPr>
        <w:t>的评分结果，其他因素的得分记录为</w:t>
      </w:r>
      <w:r>
        <w:rPr>
          <w:rFonts w:hint="eastAsia" w:ascii="宋体" w:hAnsi="宋体"/>
          <w:b/>
          <w:szCs w:val="21"/>
        </w:rPr>
        <w:t>D</w:t>
      </w:r>
      <w:r>
        <w:rPr>
          <w:rFonts w:hint="eastAsia" w:ascii="宋体" w:hAnsi="宋体"/>
          <w:szCs w:val="21"/>
        </w:rPr>
        <w:t>。</w:t>
      </w:r>
    </w:p>
    <w:p>
      <w:pPr>
        <w:pStyle w:val="31"/>
        <w:rPr>
          <w:bCs/>
          <w:sz w:val="21"/>
          <w:szCs w:val="21"/>
        </w:rPr>
      </w:pPr>
      <w:bookmarkStart w:id="694" w:name="_Toc150507331"/>
      <w:bookmarkStart w:id="695" w:name="_Toc256000115"/>
      <w:bookmarkStart w:id="696" w:name="_Toc162103233"/>
      <w:bookmarkStart w:id="697" w:name="_Toc183107251"/>
      <w:bookmarkStart w:id="698" w:name="_Toc21194"/>
      <w:bookmarkStart w:id="699" w:name="_Toc166326951"/>
      <w:r>
        <w:rPr>
          <w:rFonts w:hint="eastAsia"/>
          <w:bCs/>
          <w:sz w:val="21"/>
          <w:szCs w:val="21"/>
        </w:rPr>
        <w:t>A4.6 澄清、说明或补正</w:t>
      </w:r>
      <w:bookmarkEnd w:id="694"/>
      <w:bookmarkEnd w:id="695"/>
      <w:bookmarkEnd w:id="696"/>
      <w:bookmarkEnd w:id="697"/>
      <w:bookmarkEnd w:id="698"/>
      <w:bookmarkEnd w:id="699"/>
    </w:p>
    <w:p>
      <w:pPr>
        <w:spacing w:line="400" w:lineRule="exact"/>
        <w:ind w:firstLine="420" w:firstLineChars="200"/>
        <w:rPr>
          <w:rFonts w:hint="eastAsia" w:ascii="宋体" w:hAnsi="宋体"/>
          <w:szCs w:val="21"/>
        </w:rPr>
      </w:pPr>
      <w:r>
        <w:rPr>
          <w:rFonts w:hint="eastAsia" w:ascii="宋体" w:hAnsi="宋体"/>
          <w:szCs w:val="21"/>
        </w:rPr>
        <w:t>在详细评审过程中，评标委员会应当就投标文件中</w:t>
      </w:r>
      <w:r>
        <w:rPr>
          <w:rFonts w:hint="eastAsia"/>
        </w:rPr>
        <w:t>含义不明确、对同类问题表述不一致或者有明显文字和计算错误的内容</w:t>
      </w:r>
      <w:r>
        <w:rPr>
          <w:rFonts w:hint="eastAsia" w:ascii="宋体" w:hAnsi="宋体"/>
          <w:szCs w:val="21"/>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rPr>
        <w:t>通过电子招标投标系统（辽宁省工程建设项目数字化开标评标系统）以书面形式进行。</w:t>
      </w:r>
    </w:p>
    <w:p>
      <w:pPr>
        <w:pStyle w:val="31"/>
        <w:rPr>
          <w:bCs/>
          <w:sz w:val="21"/>
          <w:szCs w:val="21"/>
        </w:rPr>
      </w:pPr>
      <w:bookmarkStart w:id="700" w:name="_Toc150507332"/>
      <w:bookmarkStart w:id="701" w:name="_Toc256000116"/>
      <w:bookmarkStart w:id="702" w:name="_Toc166326952"/>
      <w:bookmarkStart w:id="703" w:name="_Toc162103234"/>
      <w:bookmarkStart w:id="704" w:name="_Toc183107252"/>
      <w:bookmarkStart w:id="705" w:name="_Toc30666"/>
      <w:r>
        <w:rPr>
          <w:rFonts w:hint="eastAsia"/>
          <w:bCs/>
          <w:sz w:val="21"/>
          <w:szCs w:val="21"/>
        </w:rPr>
        <w:t>A4.7汇总评分（评审）结果</w:t>
      </w:r>
      <w:bookmarkEnd w:id="700"/>
      <w:bookmarkEnd w:id="701"/>
      <w:bookmarkEnd w:id="702"/>
      <w:bookmarkEnd w:id="703"/>
      <w:bookmarkEnd w:id="704"/>
      <w:bookmarkEnd w:id="705"/>
    </w:p>
    <w:p>
      <w:pPr>
        <w:spacing w:line="400" w:lineRule="exact"/>
        <w:ind w:firstLine="420" w:firstLineChars="200"/>
        <w:rPr>
          <w:rFonts w:hint="eastAsia" w:ascii="宋体" w:hAnsi="宋体"/>
          <w:szCs w:val="21"/>
        </w:rPr>
      </w:pPr>
      <w:r>
        <w:rPr>
          <w:rFonts w:hint="eastAsia" w:ascii="宋体" w:hAnsi="宋体"/>
          <w:szCs w:val="21"/>
        </w:rPr>
        <w:t>评标委员会成员应按照</w:t>
      </w:r>
      <w:r>
        <w:rPr>
          <w:rFonts w:hint="eastAsia" w:ascii="宋体" w:hAnsi="宋体"/>
          <w:b/>
          <w:szCs w:val="21"/>
        </w:rPr>
        <w:t>附表A-1</w:t>
      </w:r>
      <w:r>
        <w:rPr>
          <w:rFonts w:ascii="宋体" w:hAnsi="宋体"/>
          <w:b/>
          <w:szCs w:val="21"/>
        </w:rPr>
        <w:t>5</w:t>
      </w:r>
      <w:r>
        <w:rPr>
          <w:rFonts w:hint="eastAsia" w:ascii="宋体" w:hAnsi="宋体"/>
          <w:szCs w:val="21"/>
        </w:rPr>
        <w:t>的格式汇总各个评标委员会成员的详细评审评分结果，并按照详细评审最终得分由高至低的次序对投标人进行排序。</w:t>
      </w:r>
    </w:p>
    <w:p>
      <w:pPr>
        <w:pStyle w:val="31"/>
      </w:pPr>
      <w:bookmarkStart w:id="706" w:name="_Toc183107253"/>
      <w:bookmarkStart w:id="707" w:name="_Toc162103235"/>
      <w:bookmarkStart w:id="708" w:name="_Toc150507333"/>
      <w:bookmarkStart w:id="709" w:name="_Toc256000117"/>
      <w:bookmarkStart w:id="710" w:name="_Toc166326953"/>
      <w:bookmarkStart w:id="711" w:name="_Toc2417"/>
      <w:r>
        <w:rPr>
          <w:rFonts w:hint="eastAsia"/>
        </w:rPr>
        <w:t>A5</w:t>
      </w:r>
      <w:r>
        <w:t>.</w:t>
      </w:r>
      <w:r>
        <w:rPr>
          <w:rFonts w:hint="eastAsia"/>
        </w:rPr>
        <w:t>推荐中标候选人或者直接确定中标人</w:t>
      </w:r>
      <w:bookmarkEnd w:id="706"/>
      <w:bookmarkEnd w:id="707"/>
      <w:bookmarkEnd w:id="708"/>
      <w:bookmarkEnd w:id="709"/>
      <w:bookmarkEnd w:id="710"/>
      <w:bookmarkEnd w:id="711"/>
    </w:p>
    <w:p>
      <w:pPr>
        <w:pStyle w:val="31"/>
        <w:rPr>
          <w:bCs/>
          <w:sz w:val="21"/>
          <w:szCs w:val="21"/>
        </w:rPr>
      </w:pPr>
      <w:bookmarkStart w:id="712" w:name="_Toc183107254"/>
      <w:bookmarkStart w:id="713" w:name="_Toc162103236"/>
      <w:bookmarkStart w:id="714" w:name="_Toc13241"/>
      <w:bookmarkStart w:id="715" w:name="_Toc150507334"/>
      <w:bookmarkStart w:id="716" w:name="_Toc256000118"/>
      <w:bookmarkStart w:id="717" w:name="_Toc166326954"/>
      <w:r>
        <w:rPr>
          <w:rFonts w:hint="eastAsia"/>
          <w:bCs/>
          <w:sz w:val="21"/>
          <w:szCs w:val="21"/>
        </w:rPr>
        <w:t>A5.1推荐中标候选人</w:t>
      </w:r>
      <w:bookmarkEnd w:id="712"/>
      <w:bookmarkEnd w:id="713"/>
      <w:bookmarkEnd w:id="714"/>
      <w:bookmarkEnd w:id="715"/>
      <w:bookmarkEnd w:id="716"/>
      <w:bookmarkEnd w:id="717"/>
    </w:p>
    <w:p>
      <w:pPr>
        <w:spacing w:line="400" w:lineRule="exact"/>
        <w:ind w:firstLine="420" w:firstLineChars="200"/>
        <w:rPr>
          <w:rFonts w:hint="eastAsia" w:ascii="宋体" w:hAnsi="宋体"/>
          <w:szCs w:val="21"/>
        </w:rPr>
      </w:pPr>
      <w:r>
        <w:rPr>
          <w:rFonts w:hint="eastAsia" w:ascii="宋体" w:hAnsi="宋体"/>
          <w:szCs w:val="21"/>
        </w:rPr>
        <w:t>A5.1.1</w:t>
      </w:r>
      <w:r>
        <w:rPr>
          <w:rFonts w:hint="eastAsia"/>
        </w:rPr>
        <w:t>评标委员会按照本章评标办法前附表规定的推荐方法和第二章“投标人须知”前附表第7.1款推荐的中标候选人数量</w:t>
      </w:r>
      <w:r>
        <w:rPr>
          <w:rFonts w:hint="eastAsia" w:ascii="宋体" w:hAnsi="宋体"/>
          <w:szCs w:val="21"/>
        </w:rPr>
        <w:t>，按照</w:t>
      </w:r>
      <w:r>
        <w:rPr>
          <w:rFonts w:hint="eastAsia" w:ascii="宋体" w:hAnsi="宋体"/>
          <w:b/>
          <w:szCs w:val="21"/>
        </w:rPr>
        <w:t>附表A-1</w:t>
      </w:r>
      <w:r>
        <w:rPr>
          <w:rFonts w:ascii="宋体" w:hAnsi="宋体"/>
          <w:b/>
          <w:szCs w:val="21"/>
        </w:rPr>
        <w:t>7</w:t>
      </w:r>
      <w:r>
        <w:rPr>
          <w:rFonts w:hint="eastAsia" w:ascii="宋体" w:hAnsi="宋体"/>
          <w:bCs/>
          <w:szCs w:val="21"/>
        </w:rPr>
        <w:t>格式推荐中标候选人。</w:t>
      </w:r>
      <w:r>
        <w:rPr>
          <w:rFonts w:hint="eastAsia" w:ascii="宋体" w:hAnsi="宋体"/>
          <w:szCs w:val="21"/>
        </w:rPr>
        <w:t>评标委员会在推荐中标候选人时，应遵照以下原则:</w:t>
      </w:r>
    </w:p>
    <w:p>
      <w:pPr>
        <w:spacing w:line="400" w:lineRule="exact"/>
        <w:ind w:firstLine="420" w:firstLineChars="200"/>
        <w:rPr>
          <w:rFonts w:hint="eastAsia" w:ascii="宋体" w:hAnsi="宋体"/>
          <w:szCs w:val="21"/>
        </w:rPr>
      </w:pPr>
      <w:r>
        <w:rPr>
          <w:rFonts w:hint="eastAsia" w:ascii="宋体" w:hAnsi="宋体"/>
          <w:szCs w:val="21"/>
        </w:rPr>
        <w:t>（1）评标委员会按照</w:t>
      </w:r>
      <w:bookmarkStart w:id="718" w:name="_Hlk171344251"/>
      <w:r>
        <w:rPr>
          <w:rFonts w:hint="eastAsia"/>
        </w:rPr>
        <w:t>本章评标办法前附表规定的</w:t>
      </w:r>
      <w:r>
        <w:rPr>
          <w:rFonts w:hint="eastAsia" w:ascii="宋体" w:hAnsi="宋体"/>
          <w:szCs w:val="21"/>
        </w:rPr>
        <w:t>方法</w:t>
      </w:r>
      <w:bookmarkEnd w:id="718"/>
      <w:r>
        <w:rPr>
          <w:rFonts w:hint="eastAsia" w:ascii="宋体" w:hAnsi="宋体"/>
          <w:szCs w:val="21"/>
        </w:rPr>
        <w:t>推荐中标候选人。</w:t>
      </w:r>
      <w:r>
        <w:rPr>
          <w:rFonts w:hint="eastAsia"/>
        </w:rPr>
        <w:t>招标文件允许多标段投标、多标段中标的，各标段中标候选人的推荐按规定执行，对某些标段由此产生的空缺由排序在后的投标人依次替补。</w:t>
      </w:r>
    </w:p>
    <w:p>
      <w:pPr>
        <w:spacing w:line="400" w:lineRule="exact"/>
        <w:ind w:firstLine="420" w:firstLineChars="200"/>
        <w:rPr>
          <w:rFonts w:hint="eastAsia" w:ascii="宋体" w:hAnsi="宋体"/>
          <w:szCs w:val="21"/>
        </w:rPr>
      </w:pPr>
      <w:r>
        <w:rPr>
          <w:rFonts w:hint="eastAsia" w:ascii="宋体" w:hAnsi="宋体"/>
          <w:szCs w:val="21"/>
        </w:rPr>
        <w:t>（2）如果评标委员会根据本章的规定否决有关投标后，有效投标不足三个，且少于第二章“投标人须知”前附表第7.1款规定的中标</w:t>
      </w:r>
      <w:r>
        <w:rPr>
          <w:rFonts w:hint="eastAsia"/>
        </w:rPr>
        <w:t>候选人</w:t>
      </w:r>
      <w:r>
        <w:rPr>
          <w:rFonts w:hint="eastAsia" w:ascii="宋体" w:hAnsi="宋体"/>
          <w:szCs w:val="21"/>
        </w:rPr>
        <w:t>数量的，</w:t>
      </w:r>
      <w:bookmarkStart w:id="719" w:name="_Hlk171344300"/>
      <w:r>
        <w:rPr>
          <w:rFonts w:hint="eastAsia" w:ascii="宋体" w:hAnsi="宋体"/>
          <w:szCs w:val="21"/>
        </w:rPr>
        <w:t>则评标委员会可以将所有有效投标人作为中标候选人向招标人推荐。</w:t>
      </w:r>
      <w:bookmarkEnd w:id="719"/>
      <w:r>
        <w:rPr>
          <w:rFonts w:hint="eastAsia" w:ascii="宋体" w:hAnsi="宋体"/>
          <w:szCs w:val="21"/>
        </w:rPr>
        <w:t>如果因有效投标不足三个使得投标明显缺乏竞争的，评标委员会可以否决所有投标，并建议招标人重新招标。</w:t>
      </w:r>
    </w:p>
    <w:p>
      <w:pPr>
        <w:spacing w:line="400" w:lineRule="exact"/>
        <w:ind w:firstLine="420" w:firstLineChars="200"/>
        <w:rPr>
          <w:rFonts w:hint="eastAsia" w:ascii="宋体" w:hAnsi="宋体"/>
          <w:szCs w:val="21"/>
        </w:rPr>
      </w:pPr>
      <w:r>
        <w:rPr>
          <w:rFonts w:hint="eastAsia" w:ascii="宋体" w:hAnsi="宋体"/>
          <w:szCs w:val="21"/>
        </w:rPr>
        <w:t>A5.1.2投标人数量少于三个或者所有投标被否决的，招标人应当依法重新招标。</w:t>
      </w:r>
    </w:p>
    <w:p>
      <w:pPr>
        <w:pStyle w:val="31"/>
        <w:rPr>
          <w:bCs/>
          <w:sz w:val="21"/>
          <w:szCs w:val="21"/>
        </w:rPr>
      </w:pPr>
      <w:bookmarkStart w:id="720" w:name="_Toc256000119"/>
      <w:bookmarkStart w:id="721" w:name="_Toc162103237"/>
      <w:bookmarkStart w:id="722" w:name="_Toc183107255"/>
      <w:bookmarkStart w:id="723" w:name="_Toc13210"/>
      <w:bookmarkStart w:id="724" w:name="_Toc166326955"/>
      <w:bookmarkStart w:id="725" w:name="_Toc150507335"/>
      <w:r>
        <w:rPr>
          <w:rFonts w:hint="eastAsia"/>
          <w:bCs/>
          <w:sz w:val="21"/>
          <w:szCs w:val="21"/>
        </w:rPr>
        <w:t>A5.2直接确定中标人</w:t>
      </w:r>
      <w:bookmarkEnd w:id="720"/>
      <w:bookmarkEnd w:id="721"/>
      <w:bookmarkEnd w:id="722"/>
      <w:bookmarkEnd w:id="723"/>
      <w:bookmarkEnd w:id="724"/>
      <w:bookmarkEnd w:id="725"/>
    </w:p>
    <w:p>
      <w:pPr>
        <w:spacing w:line="400" w:lineRule="exact"/>
        <w:ind w:firstLine="420" w:firstLineChars="200"/>
        <w:rPr>
          <w:rFonts w:hint="eastAsia" w:ascii="宋体" w:hAnsi="宋体"/>
          <w:szCs w:val="21"/>
        </w:rPr>
      </w:pPr>
      <w:r>
        <w:rPr>
          <w:rFonts w:hint="eastAsia" w:ascii="宋体" w:hAnsi="宋体"/>
          <w:szCs w:val="21"/>
        </w:rPr>
        <w:t>第二章“投标人须知”前附表授权评标委员会</w:t>
      </w:r>
      <w:r>
        <w:rPr>
          <w:rFonts w:hint="eastAsia"/>
        </w:rPr>
        <w:t>直接</w:t>
      </w:r>
      <w:r>
        <w:rPr>
          <w:rFonts w:hint="eastAsia" w:ascii="宋体" w:hAnsi="宋体"/>
          <w:szCs w:val="21"/>
        </w:rPr>
        <w:t>确定中标人的，评标委员会按照最终得分由高至低的次序排列。</w:t>
      </w:r>
    </w:p>
    <w:p>
      <w:pPr>
        <w:pStyle w:val="31"/>
        <w:rPr>
          <w:bCs/>
          <w:sz w:val="21"/>
          <w:szCs w:val="21"/>
        </w:rPr>
      </w:pPr>
      <w:bookmarkStart w:id="726" w:name="_Toc8823"/>
      <w:bookmarkStart w:id="727" w:name="_Toc256000120"/>
      <w:bookmarkStart w:id="728" w:name="_Toc183107256"/>
      <w:bookmarkStart w:id="729" w:name="_Toc162103238"/>
      <w:bookmarkStart w:id="730" w:name="_Toc150507336"/>
      <w:bookmarkStart w:id="731" w:name="_Toc166326956"/>
      <w:r>
        <w:rPr>
          <w:rFonts w:hint="eastAsia"/>
          <w:bCs/>
          <w:sz w:val="21"/>
          <w:szCs w:val="21"/>
        </w:rPr>
        <w:t>A5.3编制评标报告</w:t>
      </w:r>
      <w:bookmarkEnd w:id="726"/>
      <w:bookmarkEnd w:id="727"/>
      <w:bookmarkEnd w:id="728"/>
      <w:bookmarkEnd w:id="729"/>
      <w:bookmarkEnd w:id="730"/>
      <w:bookmarkEnd w:id="731"/>
    </w:p>
    <w:p>
      <w:pPr>
        <w:spacing w:line="400" w:lineRule="exact"/>
        <w:ind w:firstLine="420" w:firstLineChars="200"/>
        <w:rPr>
          <w:rFonts w:hint="eastAsia" w:ascii="宋体" w:hAnsi="宋体"/>
          <w:szCs w:val="21"/>
        </w:rPr>
      </w:pPr>
      <w:r>
        <w:rPr>
          <w:rFonts w:hint="eastAsia" w:ascii="宋体" w:hAnsi="宋体"/>
          <w:szCs w:val="21"/>
        </w:rPr>
        <w:t>评标委员会根据本章第3.4.2项的规定向</w:t>
      </w:r>
      <w:r>
        <w:rPr>
          <w:rFonts w:hint="eastAsia"/>
        </w:rPr>
        <w:t>招标</w:t>
      </w:r>
      <w:r>
        <w:rPr>
          <w:rFonts w:hint="eastAsia" w:ascii="宋体" w:hAnsi="宋体"/>
          <w:szCs w:val="21"/>
        </w:rPr>
        <w:t>人提交评标报告。评标报告应当由全体评标委员会成员签字，并于评标结束时抄送有关行政监督部门。评标报告应当包括以下内容：</w:t>
      </w:r>
    </w:p>
    <w:p>
      <w:pPr>
        <w:spacing w:line="400" w:lineRule="exact"/>
        <w:ind w:firstLine="420" w:firstLineChars="200"/>
        <w:rPr>
          <w:rFonts w:hint="eastAsia" w:ascii="宋体" w:hAnsi="宋体"/>
          <w:szCs w:val="21"/>
        </w:rPr>
      </w:pPr>
      <w:r>
        <w:rPr>
          <w:rFonts w:hint="eastAsia" w:ascii="宋体" w:hAnsi="宋体"/>
          <w:szCs w:val="21"/>
        </w:rPr>
        <w:t>（1）基本情况和数据表；</w:t>
      </w:r>
    </w:p>
    <w:p>
      <w:pPr>
        <w:spacing w:line="400" w:lineRule="exact"/>
        <w:ind w:firstLine="420" w:firstLineChars="200"/>
        <w:rPr>
          <w:rFonts w:hint="eastAsia" w:ascii="宋体" w:hAnsi="宋体"/>
          <w:szCs w:val="21"/>
        </w:rPr>
      </w:pPr>
      <w:r>
        <w:rPr>
          <w:rFonts w:hint="eastAsia" w:ascii="宋体" w:hAnsi="宋体"/>
          <w:szCs w:val="21"/>
        </w:rPr>
        <w:t>（2）评标委员会成员名单；</w:t>
      </w:r>
    </w:p>
    <w:p>
      <w:pPr>
        <w:spacing w:line="400" w:lineRule="exact"/>
        <w:ind w:firstLine="420" w:firstLineChars="200"/>
        <w:rPr>
          <w:rFonts w:hint="eastAsia" w:ascii="宋体" w:hAnsi="宋体"/>
          <w:szCs w:val="21"/>
        </w:rPr>
      </w:pPr>
      <w:r>
        <w:rPr>
          <w:rFonts w:hint="eastAsia" w:ascii="宋体" w:hAnsi="宋体"/>
          <w:szCs w:val="21"/>
        </w:rPr>
        <w:t>（3）开标记录；</w:t>
      </w:r>
    </w:p>
    <w:p>
      <w:pPr>
        <w:spacing w:line="400" w:lineRule="exact"/>
        <w:ind w:firstLine="420" w:firstLineChars="200"/>
        <w:rPr>
          <w:rFonts w:hint="eastAsia" w:ascii="宋体" w:hAnsi="宋体"/>
          <w:szCs w:val="21"/>
        </w:rPr>
      </w:pPr>
      <w:r>
        <w:rPr>
          <w:rFonts w:hint="eastAsia" w:ascii="宋体" w:hAnsi="宋体"/>
          <w:szCs w:val="21"/>
        </w:rPr>
        <w:t>（4）通过初步评审的投标人一览表；</w:t>
      </w:r>
    </w:p>
    <w:p>
      <w:pPr>
        <w:spacing w:line="400" w:lineRule="exact"/>
        <w:ind w:firstLine="420" w:firstLineChars="200"/>
        <w:rPr>
          <w:rFonts w:hint="eastAsia" w:ascii="宋体" w:hAnsi="宋体"/>
          <w:szCs w:val="21"/>
        </w:rPr>
      </w:pPr>
      <w:r>
        <w:rPr>
          <w:rFonts w:hint="eastAsia" w:ascii="宋体" w:hAnsi="宋体"/>
          <w:szCs w:val="21"/>
        </w:rPr>
        <w:t>（5）被否决投标的情况说明；</w:t>
      </w:r>
    </w:p>
    <w:p>
      <w:pPr>
        <w:spacing w:line="400" w:lineRule="exact"/>
        <w:ind w:firstLine="420" w:firstLineChars="200"/>
        <w:rPr>
          <w:rFonts w:hint="eastAsia" w:ascii="宋体" w:hAnsi="宋体"/>
          <w:szCs w:val="21"/>
        </w:rPr>
      </w:pPr>
      <w:r>
        <w:rPr>
          <w:rFonts w:hint="eastAsia" w:ascii="宋体" w:hAnsi="宋体"/>
          <w:szCs w:val="21"/>
        </w:rPr>
        <w:t>（6）评标标准、评标方法或者评标</w:t>
      </w:r>
      <w:r>
        <w:rPr>
          <w:rFonts w:hint="eastAsia"/>
        </w:rPr>
        <w:t>因素</w:t>
      </w:r>
      <w:r>
        <w:rPr>
          <w:rFonts w:hint="eastAsia" w:ascii="宋体" w:hAnsi="宋体"/>
          <w:szCs w:val="21"/>
        </w:rPr>
        <w:t>一览表；</w:t>
      </w:r>
    </w:p>
    <w:p>
      <w:pPr>
        <w:spacing w:line="400" w:lineRule="exact"/>
        <w:ind w:firstLine="420" w:firstLineChars="200"/>
        <w:rPr>
          <w:rFonts w:hint="eastAsia" w:ascii="宋体" w:hAnsi="宋体"/>
          <w:szCs w:val="21"/>
        </w:rPr>
      </w:pPr>
      <w:r>
        <w:rPr>
          <w:rFonts w:hint="eastAsia" w:ascii="宋体" w:hAnsi="宋体"/>
          <w:szCs w:val="21"/>
        </w:rPr>
        <w:t>（7）经评审的价格一览表（包括评标委员会在评标过程中所形成的所有记载评标结果、结论的表格、说明、记录等文件）；</w:t>
      </w:r>
    </w:p>
    <w:p>
      <w:pPr>
        <w:spacing w:line="400" w:lineRule="exact"/>
        <w:ind w:firstLine="420" w:firstLineChars="200"/>
        <w:rPr>
          <w:rFonts w:hint="eastAsia" w:ascii="宋体" w:hAnsi="宋体"/>
          <w:szCs w:val="21"/>
        </w:rPr>
      </w:pPr>
      <w:r>
        <w:rPr>
          <w:rFonts w:hint="eastAsia" w:ascii="宋体" w:hAnsi="宋体"/>
          <w:szCs w:val="21"/>
        </w:rPr>
        <w:t>（8）经评审的投标人排序；</w:t>
      </w:r>
    </w:p>
    <w:p>
      <w:pPr>
        <w:spacing w:line="400" w:lineRule="exact"/>
        <w:ind w:firstLine="420" w:firstLineChars="200"/>
        <w:rPr>
          <w:rFonts w:hint="eastAsia" w:ascii="宋体" w:hAnsi="宋体"/>
          <w:szCs w:val="21"/>
        </w:rPr>
      </w:pPr>
      <w:r>
        <w:rPr>
          <w:rFonts w:hint="eastAsia" w:ascii="宋体" w:hAnsi="宋体"/>
          <w:szCs w:val="21"/>
        </w:rPr>
        <w:t>（9）推荐的中标候选人名单（</w:t>
      </w:r>
      <w:r>
        <w:rPr>
          <w:rFonts w:hint="eastAsia"/>
        </w:rPr>
        <w:t>如果</w:t>
      </w:r>
      <w:r>
        <w:rPr>
          <w:rFonts w:hint="eastAsia" w:ascii="宋体" w:hAnsi="宋体"/>
          <w:szCs w:val="21"/>
        </w:rPr>
        <w:t>第二章“投标人须知”前附表授权评标委员会直接确定中标人，则为“确定的中标人”）与签订合同前要</w:t>
      </w:r>
      <w:r>
        <w:rPr>
          <w:rFonts w:hint="eastAsia"/>
        </w:rPr>
        <w:t>处理</w:t>
      </w:r>
      <w:r>
        <w:rPr>
          <w:rFonts w:hint="eastAsia" w:ascii="宋体" w:hAnsi="宋体"/>
          <w:szCs w:val="21"/>
        </w:rPr>
        <w:t>的事宜；</w:t>
      </w:r>
    </w:p>
    <w:p>
      <w:pPr>
        <w:spacing w:line="400" w:lineRule="exact"/>
        <w:ind w:firstLine="420" w:firstLineChars="200"/>
        <w:rPr>
          <w:rFonts w:hint="eastAsia" w:ascii="宋体" w:hAnsi="宋体"/>
          <w:szCs w:val="21"/>
        </w:rPr>
      </w:pPr>
      <w:r>
        <w:rPr>
          <w:rFonts w:hint="eastAsia" w:ascii="宋体" w:hAnsi="宋体"/>
          <w:szCs w:val="21"/>
        </w:rPr>
        <w:t>（10）澄清、说明、补正事项纪要。</w:t>
      </w:r>
    </w:p>
    <w:p>
      <w:pPr>
        <w:pStyle w:val="31"/>
      </w:pPr>
      <w:bookmarkStart w:id="732" w:name="_Toc166326957"/>
      <w:bookmarkStart w:id="733" w:name="_Toc162103239"/>
      <w:bookmarkStart w:id="734" w:name="_Toc2642"/>
      <w:bookmarkStart w:id="735" w:name="_Toc150507337"/>
      <w:bookmarkStart w:id="736" w:name="_Toc256000121"/>
      <w:bookmarkStart w:id="737" w:name="_Toc183107257"/>
      <w:r>
        <w:rPr>
          <w:rFonts w:hint="eastAsia"/>
        </w:rPr>
        <w:t>A6.特殊情况的处置程序</w:t>
      </w:r>
      <w:bookmarkEnd w:id="732"/>
      <w:bookmarkEnd w:id="733"/>
      <w:bookmarkEnd w:id="734"/>
      <w:bookmarkEnd w:id="735"/>
      <w:bookmarkEnd w:id="736"/>
      <w:bookmarkEnd w:id="737"/>
    </w:p>
    <w:p>
      <w:pPr>
        <w:pStyle w:val="31"/>
        <w:rPr>
          <w:bCs/>
          <w:sz w:val="21"/>
          <w:szCs w:val="21"/>
        </w:rPr>
      </w:pPr>
      <w:bookmarkStart w:id="738" w:name="_Toc162103240"/>
      <w:bookmarkStart w:id="739" w:name="_Toc256000122"/>
      <w:bookmarkStart w:id="740" w:name="_Toc183107258"/>
      <w:bookmarkStart w:id="741" w:name="_Toc150507338"/>
      <w:bookmarkStart w:id="742" w:name="_Toc30106"/>
      <w:bookmarkStart w:id="743" w:name="_Toc166326958"/>
      <w:r>
        <w:rPr>
          <w:rFonts w:hint="eastAsia"/>
          <w:bCs/>
          <w:sz w:val="21"/>
          <w:szCs w:val="21"/>
        </w:rPr>
        <w:t>A6.1暗标评审的评审程序规定（适用于对技术标进行暗标评审的）</w:t>
      </w:r>
      <w:bookmarkEnd w:id="738"/>
      <w:bookmarkEnd w:id="739"/>
      <w:bookmarkEnd w:id="740"/>
      <w:bookmarkEnd w:id="741"/>
      <w:bookmarkEnd w:id="742"/>
      <w:bookmarkEnd w:id="743"/>
    </w:p>
    <w:p>
      <w:pPr>
        <w:spacing w:line="400" w:lineRule="exact"/>
        <w:ind w:firstLine="420" w:firstLineChars="200"/>
        <w:rPr>
          <w:rFonts w:hint="eastAsia" w:ascii="宋体" w:hAnsi="宋体"/>
          <w:szCs w:val="21"/>
        </w:rPr>
      </w:pPr>
      <w:r>
        <w:rPr>
          <w:rFonts w:hint="eastAsia" w:ascii="宋体" w:hAnsi="宋体"/>
          <w:szCs w:val="21"/>
        </w:rPr>
        <w:t>如果第二章“投标人须知”前附表第</w:t>
      </w:r>
      <w:r>
        <w:rPr>
          <w:rFonts w:hint="eastAsia"/>
        </w:rPr>
        <w:t>3.7.4</w:t>
      </w:r>
      <w:r>
        <w:rPr>
          <w:rFonts w:hint="eastAsia" w:ascii="宋体" w:hAnsi="宋体"/>
          <w:szCs w:val="21"/>
        </w:rPr>
        <w:t>项要求对技术标采用模块化暗标方式，如果技术标是详细评审阶段的评审内容的，则评标委员会需将技术标（暗标）的格式类评审在初步评审阶段完成，详细评审阶段发现某个模块存在</w:t>
      </w:r>
      <w:r>
        <w:rPr>
          <w:rFonts w:hint="eastAsia"/>
          <w:szCs w:val="21"/>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szCs w:val="21"/>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pPr>
        <w:pStyle w:val="31"/>
        <w:rPr>
          <w:bCs/>
          <w:sz w:val="21"/>
          <w:szCs w:val="21"/>
        </w:rPr>
      </w:pPr>
      <w:bookmarkStart w:id="744" w:name="_Toc19113"/>
      <w:bookmarkStart w:id="745" w:name="_Toc166326959"/>
      <w:bookmarkStart w:id="746" w:name="_Toc183107259"/>
      <w:bookmarkStart w:id="747" w:name="_Toc150507339"/>
      <w:bookmarkStart w:id="748" w:name="_Toc162103241"/>
      <w:bookmarkStart w:id="749" w:name="_Toc256000123"/>
      <w:r>
        <w:rPr>
          <w:rFonts w:hint="eastAsia"/>
          <w:bCs/>
          <w:sz w:val="21"/>
          <w:szCs w:val="21"/>
        </w:rPr>
        <w:t>A6.2关于评标活动暂停</w:t>
      </w:r>
      <w:bookmarkEnd w:id="744"/>
      <w:bookmarkEnd w:id="745"/>
      <w:bookmarkEnd w:id="746"/>
      <w:bookmarkEnd w:id="747"/>
      <w:bookmarkEnd w:id="748"/>
      <w:bookmarkEnd w:id="749"/>
    </w:p>
    <w:p>
      <w:pPr>
        <w:spacing w:line="400" w:lineRule="exact"/>
        <w:ind w:firstLine="420" w:firstLineChars="200"/>
        <w:rPr>
          <w:rFonts w:hint="eastAsia" w:ascii="宋体" w:hAnsi="宋体"/>
          <w:szCs w:val="21"/>
        </w:rPr>
      </w:pPr>
      <w:r>
        <w:rPr>
          <w:rFonts w:hint="eastAsia" w:ascii="宋体" w:hAnsi="宋体"/>
          <w:szCs w:val="21"/>
        </w:rPr>
        <w:t>A6.2.1评标委员会应当执行连续评标的原则，按评标办法中规定的程序、内容、方法、标准完成全部评标工作。只有发生不可抗力导致评标</w:t>
      </w:r>
      <w:r>
        <w:rPr>
          <w:rFonts w:hint="eastAsia"/>
        </w:rPr>
        <w:t>工作</w:t>
      </w:r>
      <w:r>
        <w:rPr>
          <w:rFonts w:hint="eastAsia" w:ascii="宋体" w:hAnsi="宋体"/>
          <w:szCs w:val="21"/>
        </w:rPr>
        <w:t>无法继续时，评标活动方可暂停。</w:t>
      </w:r>
    </w:p>
    <w:p>
      <w:pPr>
        <w:spacing w:line="400" w:lineRule="exact"/>
        <w:ind w:firstLine="420" w:firstLineChars="200"/>
        <w:rPr>
          <w:rFonts w:hint="eastAsia" w:ascii="宋体" w:hAnsi="宋体"/>
          <w:szCs w:val="21"/>
        </w:rPr>
      </w:pPr>
      <w:r>
        <w:rPr>
          <w:rFonts w:hint="eastAsia" w:ascii="宋体" w:hAnsi="宋体"/>
          <w:szCs w:val="21"/>
        </w:rPr>
        <w:t>A6.2.2发生评标暂停情况时，评标委员会应当封存全部投标文件和评标记录，待不可抗力的影响结束且具备继续评标的条件时，由原评标委员会继续评标。</w:t>
      </w:r>
    </w:p>
    <w:p>
      <w:pPr>
        <w:pStyle w:val="31"/>
        <w:rPr>
          <w:bCs/>
          <w:sz w:val="21"/>
          <w:szCs w:val="21"/>
        </w:rPr>
      </w:pPr>
      <w:bookmarkStart w:id="750" w:name="_Toc256000124"/>
      <w:bookmarkStart w:id="751" w:name="_Toc162103242"/>
      <w:bookmarkStart w:id="752" w:name="_Toc166326960"/>
      <w:bookmarkStart w:id="753" w:name="_Toc150507340"/>
      <w:bookmarkStart w:id="754" w:name="_Toc183107260"/>
      <w:bookmarkStart w:id="755" w:name="_Toc18558"/>
      <w:r>
        <w:rPr>
          <w:rFonts w:hint="eastAsia"/>
          <w:bCs/>
          <w:sz w:val="21"/>
          <w:szCs w:val="21"/>
        </w:rPr>
        <w:t>A6.3关于评标中途更换评标委员会成员</w:t>
      </w:r>
      <w:bookmarkEnd w:id="750"/>
      <w:bookmarkEnd w:id="751"/>
      <w:bookmarkEnd w:id="752"/>
      <w:bookmarkEnd w:id="753"/>
      <w:bookmarkEnd w:id="754"/>
      <w:bookmarkEnd w:id="755"/>
    </w:p>
    <w:p>
      <w:pPr>
        <w:spacing w:line="400" w:lineRule="exact"/>
        <w:ind w:firstLine="420" w:firstLineChars="200"/>
        <w:rPr>
          <w:rFonts w:hint="eastAsia" w:ascii="宋体" w:hAnsi="宋体"/>
          <w:szCs w:val="21"/>
        </w:rPr>
      </w:pPr>
      <w:r>
        <w:rPr>
          <w:rFonts w:hint="eastAsia" w:ascii="宋体" w:hAnsi="宋体"/>
          <w:szCs w:val="21"/>
        </w:rPr>
        <w:t>A6.3.1除非发生下列情况之一，评标委员会成员</w:t>
      </w:r>
      <w:r>
        <w:rPr>
          <w:rFonts w:hint="eastAsia"/>
        </w:rPr>
        <w:t>不得</w:t>
      </w:r>
      <w:r>
        <w:rPr>
          <w:rFonts w:hint="eastAsia" w:ascii="宋体" w:hAnsi="宋体"/>
          <w:szCs w:val="21"/>
        </w:rPr>
        <w:t>在评标中途更换：</w:t>
      </w:r>
    </w:p>
    <w:p>
      <w:pPr>
        <w:spacing w:line="400" w:lineRule="exact"/>
        <w:ind w:firstLine="420" w:firstLineChars="200"/>
        <w:rPr>
          <w:rFonts w:hint="eastAsia" w:ascii="宋体" w:hAnsi="宋体"/>
          <w:szCs w:val="21"/>
        </w:rPr>
      </w:pPr>
      <w:r>
        <w:rPr>
          <w:rFonts w:hint="eastAsia" w:ascii="宋体" w:hAnsi="宋体"/>
          <w:szCs w:val="21"/>
        </w:rPr>
        <w:t>（1）因不可抗拒的客观原因，不能到场或需在评标</w:t>
      </w:r>
      <w:r>
        <w:rPr>
          <w:rFonts w:hint="eastAsia"/>
        </w:rPr>
        <w:t>中途</w:t>
      </w:r>
      <w:r>
        <w:rPr>
          <w:rFonts w:hint="eastAsia" w:ascii="宋体" w:hAnsi="宋体"/>
          <w:szCs w:val="21"/>
        </w:rPr>
        <w:t>退出评标活动。</w:t>
      </w:r>
    </w:p>
    <w:p>
      <w:pPr>
        <w:spacing w:line="400" w:lineRule="exact"/>
        <w:ind w:firstLine="420" w:firstLineChars="200"/>
        <w:rPr>
          <w:rFonts w:hint="eastAsia" w:ascii="宋体" w:hAnsi="宋体"/>
          <w:szCs w:val="21"/>
        </w:rPr>
      </w:pPr>
      <w:r>
        <w:rPr>
          <w:rFonts w:hint="eastAsia" w:ascii="宋体" w:hAnsi="宋体"/>
          <w:szCs w:val="21"/>
        </w:rPr>
        <w:t>（2）根据法律法规规定，某个或某几个评标委员会</w:t>
      </w:r>
      <w:r>
        <w:rPr>
          <w:rFonts w:hint="eastAsia"/>
        </w:rPr>
        <w:t>成员</w:t>
      </w:r>
      <w:r>
        <w:rPr>
          <w:rFonts w:hint="eastAsia" w:ascii="宋体" w:hAnsi="宋体"/>
          <w:szCs w:val="21"/>
        </w:rPr>
        <w:t>需要回避。</w:t>
      </w:r>
    </w:p>
    <w:p>
      <w:pPr>
        <w:spacing w:line="400" w:lineRule="exact"/>
        <w:ind w:firstLine="420" w:firstLineChars="200"/>
        <w:rPr>
          <w:rFonts w:hint="eastAsia" w:ascii="宋体" w:hAnsi="宋体"/>
          <w:szCs w:val="21"/>
        </w:rPr>
      </w:pPr>
      <w:r>
        <w:rPr>
          <w:rFonts w:hint="eastAsia" w:ascii="宋体" w:hAnsi="宋体"/>
          <w:szCs w:val="21"/>
        </w:rPr>
        <w:t>A6.3.2退出评标的评标委员会成员，其已完成的</w:t>
      </w:r>
      <w:r>
        <w:rPr>
          <w:rFonts w:hint="eastAsia"/>
        </w:rPr>
        <w:t>评标</w:t>
      </w:r>
      <w:r>
        <w:rPr>
          <w:rFonts w:hint="eastAsia" w:ascii="宋体" w:hAnsi="宋体"/>
          <w:szCs w:val="21"/>
        </w:rPr>
        <w:t>行为无效。由招标人根据本招标文件规定的评标委员会成员生产方式另行确定替代者进行评标。</w:t>
      </w:r>
    </w:p>
    <w:p>
      <w:pPr>
        <w:pStyle w:val="31"/>
        <w:rPr>
          <w:bCs/>
          <w:sz w:val="21"/>
          <w:szCs w:val="21"/>
        </w:rPr>
      </w:pPr>
      <w:bookmarkStart w:id="756" w:name="_Toc183107261"/>
      <w:bookmarkStart w:id="757" w:name="_Toc256000125"/>
      <w:bookmarkStart w:id="758" w:name="_Toc166326961"/>
      <w:bookmarkStart w:id="759" w:name="_Toc150507341"/>
      <w:bookmarkStart w:id="760" w:name="_Toc162103243"/>
      <w:bookmarkStart w:id="761" w:name="_Toc21225"/>
      <w:r>
        <w:rPr>
          <w:rFonts w:hint="eastAsia"/>
          <w:bCs/>
          <w:sz w:val="21"/>
          <w:szCs w:val="21"/>
        </w:rPr>
        <w:t>A6.4 评标争议处理</w:t>
      </w:r>
      <w:bookmarkEnd w:id="756"/>
      <w:bookmarkEnd w:id="757"/>
      <w:bookmarkEnd w:id="758"/>
      <w:bookmarkEnd w:id="759"/>
      <w:bookmarkEnd w:id="760"/>
      <w:bookmarkEnd w:id="761"/>
    </w:p>
    <w:p>
      <w:pPr>
        <w:spacing w:line="400" w:lineRule="exact"/>
        <w:ind w:firstLine="420" w:firstLineChars="200"/>
        <w:rPr>
          <w:rFonts w:hint="eastAsia" w:ascii="宋体" w:hAnsi="宋体"/>
          <w:szCs w:val="21"/>
        </w:rPr>
      </w:pPr>
      <w:r>
        <w:rPr>
          <w:rFonts w:hint="eastAsia" w:ascii="宋体" w:hAnsi="宋体"/>
          <w:szCs w:val="21"/>
        </w:rPr>
        <w:t>A6.4.1评标委员会全体成员应独立评审，对所</w:t>
      </w:r>
      <w:r>
        <w:rPr>
          <w:rFonts w:hint="eastAsia"/>
        </w:rPr>
        <w:t>提出</w:t>
      </w:r>
      <w:r>
        <w:rPr>
          <w:rFonts w:hint="eastAsia" w:ascii="宋体" w:hAnsi="宋体"/>
          <w:szCs w:val="21"/>
        </w:rPr>
        <w:t>的评审意见承担个人责任。</w:t>
      </w:r>
    </w:p>
    <w:p>
      <w:pPr>
        <w:spacing w:line="400" w:lineRule="exact"/>
        <w:ind w:firstLine="420" w:firstLineChars="200"/>
        <w:rPr>
          <w:rFonts w:hint="eastAsia" w:ascii="宋体" w:hAnsi="宋体"/>
          <w:szCs w:val="21"/>
        </w:rPr>
      </w:pPr>
      <w:r>
        <w:rPr>
          <w:rFonts w:hint="eastAsia" w:ascii="宋体" w:hAnsi="宋体"/>
          <w:szCs w:val="21"/>
        </w:rPr>
        <w:t>A6.4.2在任何评标环节中，需评标委员会就某项</w:t>
      </w:r>
      <w:r>
        <w:rPr>
          <w:rFonts w:hint="eastAsia"/>
        </w:rPr>
        <w:t>定性</w:t>
      </w:r>
      <w:r>
        <w:rPr>
          <w:rFonts w:hint="eastAsia" w:ascii="宋体" w:hAnsi="宋体"/>
          <w:szCs w:val="21"/>
        </w:rPr>
        <w:t>的评审结论做出表决的，由评标委员会全体成员按照少数服从多数的原则，以记名投票方式表决。表决不得违背法律、法规、规章和招标文件的规定。</w:t>
      </w:r>
    </w:p>
    <w:p>
      <w:pPr>
        <w:spacing w:line="400" w:lineRule="exact"/>
        <w:ind w:firstLine="420" w:firstLineChars="200"/>
        <w:rPr>
          <w:rFonts w:hint="eastAsia" w:ascii="宋体" w:hAnsi="宋体"/>
          <w:szCs w:val="21"/>
          <w:bdr w:val="single" w:color="auto" w:sz="4" w:space="0"/>
        </w:rPr>
      </w:pPr>
      <w:r>
        <w:rPr>
          <w:rFonts w:hint="eastAsia" w:ascii="宋体" w:hAnsi="宋体"/>
          <w:szCs w:val="21"/>
        </w:rPr>
        <w:t>A6.4.</w:t>
      </w:r>
      <w:r>
        <w:rPr>
          <w:rFonts w:ascii="宋体" w:hAnsi="宋体"/>
          <w:szCs w:val="21"/>
        </w:rPr>
        <w:t>3</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pPr>
        <w:pStyle w:val="31"/>
      </w:pPr>
      <w:bookmarkStart w:id="762" w:name="_Toc162103244"/>
      <w:bookmarkStart w:id="763" w:name="_Toc183107262"/>
      <w:bookmarkStart w:id="764" w:name="_Toc30489"/>
      <w:bookmarkStart w:id="765" w:name="_Toc256000126"/>
      <w:bookmarkStart w:id="766" w:name="_Toc150507342"/>
      <w:bookmarkStart w:id="767" w:name="_Toc166326962"/>
      <w:r>
        <w:rPr>
          <w:rFonts w:hint="eastAsia"/>
        </w:rPr>
        <w:t>A7.补充条款</w:t>
      </w:r>
      <w:bookmarkEnd w:id="762"/>
      <w:bookmarkEnd w:id="763"/>
      <w:bookmarkEnd w:id="764"/>
      <w:bookmarkEnd w:id="765"/>
      <w:bookmarkEnd w:id="766"/>
      <w:bookmarkEnd w:id="767"/>
    </w:p>
    <w:p>
      <w:pPr>
        <w:adjustRightInd w:val="0"/>
        <w:snapToGrid w:val="0"/>
        <w:spacing w:line="440" w:lineRule="exact"/>
        <w:ind w:firstLine="420" w:firstLineChars="200"/>
        <w:rPr>
          <w:rFonts w:hint="eastAsia" w:ascii="宋体" w:hAnsi="宋体"/>
          <w:szCs w:val="21"/>
        </w:rPr>
      </w:pPr>
      <w:r>
        <w:rPr>
          <w:rFonts w:hint="eastAsia" w:ascii="宋体" w:hAnsi="宋体"/>
          <w:szCs w:val="21"/>
        </w:rPr>
        <w:t>……</w:t>
      </w:r>
    </w:p>
    <w:bookmarkEnd w:id="559"/>
    <w:bookmarkEnd w:id="566"/>
    <w:p>
      <w:pPr>
        <w:adjustRightInd w:val="0"/>
        <w:snapToGrid w:val="0"/>
        <w:spacing w:line="440" w:lineRule="exact"/>
        <w:ind w:firstLine="420" w:firstLineChars="200"/>
        <w:rPr>
          <w:rFonts w:hint="eastAsia" w:ascii="宋体" w:hAnsi="宋体"/>
          <w:szCs w:val="21"/>
        </w:rPr>
      </w:pPr>
      <w:r>
        <w:rPr>
          <w:rFonts w:ascii="宋体" w:hAnsi="宋体"/>
          <w:szCs w:val="21"/>
        </w:rPr>
        <w:br w:type="page"/>
      </w:r>
    </w:p>
    <w:p>
      <w:pPr>
        <w:adjustRightInd w:val="0"/>
        <w:snapToGrid w:val="0"/>
        <w:spacing w:line="440" w:lineRule="exact"/>
        <w:ind w:firstLine="420" w:firstLineChars="200"/>
        <w:rPr>
          <w:rFonts w:hint="eastAsia" w:ascii="宋体" w:hAnsi="宋体"/>
          <w:szCs w:val="21"/>
        </w:rPr>
        <w:sectPr>
          <w:type w:val="continuous"/>
          <w:pgSz w:w="11906" w:h="16838"/>
          <w:pgMar w:top="1440" w:right="1797" w:bottom="1440" w:left="1797" w:header="851" w:footer="851" w:gutter="0"/>
          <w:cols w:space="720" w:num="1"/>
          <w:docGrid w:linePitch="312" w:charSpace="0"/>
        </w:sectPr>
      </w:pPr>
    </w:p>
    <w:p>
      <w:pPr>
        <w:pStyle w:val="5"/>
        <w:rPr>
          <w:b w:val="0"/>
          <w:sz w:val="24"/>
          <w:szCs w:val="24"/>
        </w:rPr>
      </w:pPr>
      <w:bookmarkStart w:id="768" w:name="_Toc256000127"/>
      <w:bookmarkStart w:id="769" w:name="_Toc183107263"/>
      <w:bookmarkStart w:id="770" w:name="_Toc4770"/>
      <w:r>
        <w:rPr>
          <w:rFonts w:hint="eastAsia"/>
          <w:b w:val="0"/>
          <w:sz w:val="24"/>
          <w:szCs w:val="24"/>
        </w:rPr>
        <w:t>附件B：否决投标的条件</w:t>
      </w:r>
      <w:bookmarkEnd w:id="768"/>
      <w:bookmarkEnd w:id="769"/>
      <w:bookmarkEnd w:id="770"/>
    </w:p>
    <w:p>
      <w:pPr>
        <w:jc w:val="center"/>
        <w:rPr>
          <w:rFonts w:ascii="黑体" w:eastAsia="黑体"/>
          <w:b/>
          <w:sz w:val="28"/>
          <w:szCs w:val="28"/>
        </w:rPr>
      </w:pPr>
      <w:r>
        <w:rPr>
          <w:rFonts w:hint="eastAsia" w:ascii="黑体" w:eastAsia="黑体"/>
          <w:b/>
          <w:sz w:val="28"/>
          <w:szCs w:val="28"/>
        </w:rPr>
        <w:t>否决投标的条件</w:t>
      </w:r>
    </w:p>
    <w:p>
      <w:pPr>
        <w:pStyle w:val="31"/>
      </w:pPr>
      <w:bookmarkStart w:id="771" w:name="_Toc166326964"/>
      <w:bookmarkStart w:id="772" w:name="_Toc183107264"/>
      <w:bookmarkStart w:id="773" w:name="_Toc256000128"/>
      <w:bookmarkStart w:id="774" w:name="_Toc150507344"/>
      <w:bookmarkStart w:id="775" w:name="_Toc28776"/>
      <w:r>
        <w:rPr>
          <w:rFonts w:hint="eastAsia"/>
        </w:rPr>
        <w:t>B0.总  则</w:t>
      </w:r>
      <w:bookmarkEnd w:id="771"/>
      <w:bookmarkEnd w:id="772"/>
      <w:bookmarkEnd w:id="773"/>
      <w:bookmarkEnd w:id="774"/>
      <w:bookmarkEnd w:id="775"/>
    </w:p>
    <w:p>
      <w:pPr>
        <w:spacing w:line="430" w:lineRule="exact"/>
        <w:ind w:firstLine="420" w:firstLineChars="200"/>
        <w:rPr>
          <w:rFonts w:hint="eastAsia" w:ascii="宋体" w:hAnsi="宋体"/>
        </w:rPr>
      </w:pPr>
      <w:r>
        <w:rPr>
          <w:rFonts w:hint="eastAsia" w:ascii="宋体" w:hAnsi="宋体"/>
        </w:rPr>
        <w:t>本附件所集中列示的否决投标的条件，是本章“评标办法”的组成部分，是对第二章“投标人须知”和本章正文部分所规定的否决投标的条件的总结和补充，如果出现不一致的情况，</w:t>
      </w:r>
      <w:r>
        <w:rPr>
          <w:rFonts w:hint="eastAsia"/>
        </w:rPr>
        <w:t>以本章前附表和正文部分的规定为准。</w:t>
      </w:r>
    </w:p>
    <w:p>
      <w:pPr>
        <w:pStyle w:val="31"/>
      </w:pPr>
      <w:bookmarkStart w:id="776" w:name="_Toc11235"/>
      <w:bookmarkStart w:id="777" w:name="_Toc150507345"/>
      <w:bookmarkStart w:id="778" w:name="_Toc256000129"/>
      <w:bookmarkStart w:id="779" w:name="_Toc166326965"/>
      <w:bookmarkStart w:id="780" w:name="_Toc183107265"/>
      <w:r>
        <w:rPr>
          <w:rFonts w:hint="eastAsia"/>
        </w:rPr>
        <w:t>B1</w:t>
      </w:r>
      <w:r>
        <w:t>.</w:t>
      </w:r>
      <w:r>
        <w:rPr>
          <w:rFonts w:hint="eastAsia"/>
        </w:rPr>
        <w:t>否决投标的条件</w:t>
      </w:r>
      <w:bookmarkEnd w:id="776"/>
      <w:bookmarkEnd w:id="777"/>
      <w:bookmarkEnd w:id="778"/>
      <w:bookmarkEnd w:id="779"/>
      <w:bookmarkEnd w:id="780"/>
    </w:p>
    <w:p>
      <w:pPr>
        <w:spacing w:line="430" w:lineRule="exact"/>
        <w:ind w:firstLine="420" w:firstLineChars="200"/>
        <w:rPr>
          <w:rFonts w:hint="eastAsia" w:ascii="宋体" w:hAnsi="宋体"/>
        </w:rPr>
      </w:pPr>
      <w:r>
        <w:rPr>
          <w:rFonts w:hint="eastAsia" w:ascii="宋体" w:hAnsi="宋体"/>
        </w:rPr>
        <w:t>投标人或其投标文件有下列情形之一的，</w:t>
      </w:r>
      <w:r>
        <w:rPr>
          <w:rFonts w:hint="eastAsia"/>
        </w:rPr>
        <w:t>评标委员会应当否决其投标</w:t>
      </w:r>
      <w:r>
        <w:rPr>
          <w:rFonts w:hint="eastAsia" w:ascii="宋体" w:hAnsi="宋体"/>
        </w:rPr>
        <w:t>：</w:t>
      </w:r>
    </w:p>
    <w:p>
      <w:pPr>
        <w:spacing w:line="430" w:lineRule="exact"/>
        <w:ind w:firstLine="420" w:firstLineChars="200"/>
        <w:rPr>
          <w:rFonts w:hint="eastAsia" w:ascii="宋体" w:hAnsi="宋体"/>
        </w:rPr>
      </w:pPr>
      <w:r>
        <w:rPr>
          <w:rFonts w:hint="eastAsia" w:ascii="宋体" w:hAnsi="宋体"/>
        </w:rPr>
        <w:t>B1.1在形式评审、资格评审、响应性评审中，评标委员会认定投标人的投标文件不符合评标办法前附表中规定的任何一项评审标准的。主要包括以下内容：</w:t>
      </w:r>
    </w:p>
    <w:p>
      <w:pPr>
        <w:spacing w:line="430" w:lineRule="exact"/>
        <w:ind w:firstLine="420" w:firstLineChars="200"/>
      </w:pPr>
      <w:r>
        <w:rPr>
          <w:rFonts w:hint="eastAsia"/>
        </w:rPr>
        <w:t>（1）</w:t>
      </w:r>
      <w:r>
        <w:rPr>
          <w:rFonts w:hint="eastAsia" w:ascii="宋体" w:hAnsi="宋体"/>
        </w:rPr>
        <w:t>投标人名称与营业执照、资质证书、安全生产许可证不一致；或提供无效的营业执照、资质证书、安全生产许可证的；</w:t>
      </w:r>
    </w:p>
    <w:p>
      <w:pPr>
        <w:spacing w:line="430" w:lineRule="exact"/>
        <w:ind w:firstLine="420" w:firstLineChars="200"/>
        <w:rPr>
          <w:rFonts w:hint="eastAsia" w:ascii="宋体" w:hAnsi="宋体"/>
        </w:rPr>
      </w:pPr>
      <w:r>
        <w:rPr>
          <w:rFonts w:hint="eastAsia"/>
        </w:rPr>
        <w:t>（</w:t>
      </w:r>
      <w:r>
        <w:t>2</w:t>
      </w:r>
      <w:r>
        <w:rPr>
          <w:rFonts w:hint="eastAsia"/>
        </w:rPr>
        <w:t>）</w:t>
      </w:r>
      <w:r>
        <w:rPr>
          <w:rFonts w:hint="eastAsia" w:ascii="宋体" w:hAnsi="宋体"/>
        </w:rPr>
        <w:t>未按照</w:t>
      </w:r>
      <w:r>
        <w:rPr>
          <w:rFonts w:hint="eastAsia" w:ascii="宋体" w:hAnsi="宋体"/>
          <w:szCs w:val="21"/>
        </w:rPr>
        <w:t>第二章“投标人须知”</w:t>
      </w:r>
      <w:r>
        <w:rPr>
          <w:rFonts w:hint="eastAsia"/>
          <w:szCs w:val="21"/>
        </w:rPr>
        <w:t>第3.7.3（</w:t>
      </w:r>
      <w:r>
        <w:rPr>
          <w:szCs w:val="21"/>
        </w:rPr>
        <w:t>4</w:t>
      </w:r>
      <w:r>
        <w:rPr>
          <w:rFonts w:hint="eastAsia"/>
          <w:szCs w:val="21"/>
        </w:rPr>
        <w:t>）</w:t>
      </w:r>
      <w:r>
        <w:rPr>
          <w:rFonts w:hint="eastAsia" w:ascii="宋体" w:hAnsi="宋体"/>
          <w:szCs w:val="21"/>
        </w:rPr>
        <w:t>目规定和第八章“投标文件格式”的要求进行电子签章的；</w:t>
      </w:r>
    </w:p>
    <w:p>
      <w:pPr>
        <w:spacing w:line="430" w:lineRule="exact"/>
        <w:ind w:firstLine="420" w:firstLineChars="200"/>
        <w:rPr>
          <w:rFonts w:hint="eastAsia" w:ascii="宋体" w:hAnsi="宋体"/>
        </w:rPr>
      </w:pPr>
      <w:r>
        <w:rPr>
          <w:rFonts w:hint="eastAsia"/>
        </w:rPr>
        <w:t>（3）</w:t>
      </w:r>
      <w:r>
        <w:rPr>
          <w:rFonts w:hint="eastAsia" w:ascii="宋体" w:hAnsi="宋体"/>
        </w:rPr>
        <w:t>联合体投标没有提交共同投标协议或共同投标协议未按招标文件提供的格式签署、提交，未明确联合体牵头人和各方权利与义务，未承诺就中标项目向招标人承担连带责任的（如有）；</w:t>
      </w:r>
    </w:p>
    <w:p>
      <w:pPr>
        <w:spacing w:line="430" w:lineRule="exact"/>
        <w:ind w:firstLine="420" w:firstLineChars="200"/>
        <w:rPr>
          <w:rFonts w:hint="eastAsia" w:ascii="宋体" w:hAnsi="宋体"/>
        </w:rPr>
      </w:pPr>
      <w:r>
        <w:rPr>
          <w:rFonts w:hint="eastAsia" w:ascii="宋体" w:hAnsi="宋体"/>
        </w:rPr>
        <w:t>（</w:t>
      </w:r>
      <w:r>
        <w:rPr>
          <w:rFonts w:hint="eastAsia"/>
        </w:rPr>
        <w:t>4）</w:t>
      </w:r>
      <w:r>
        <w:rPr>
          <w:rFonts w:hint="eastAsia" w:ascii="宋体" w:hAnsi="宋体"/>
        </w:rPr>
        <w:t>同一投标人提交两个以上不同的投标文件或者投标报价的（但招标文件要求提交备选投标的除外）；</w:t>
      </w:r>
    </w:p>
    <w:p>
      <w:pPr>
        <w:spacing w:line="430" w:lineRule="exact"/>
        <w:ind w:firstLine="420" w:firstLineChars="200"/>
        <w:rPr>
          <w:rFonts w:hint="eastAsia" w:ascii="宋体" w:hAnsi="宋体"/>
        </w:rPr>
      </w:pPr>
      <w:r>
        <w:rPr>
          <w:rFonts w:hint="eastAsia"/>
        </w:rPr>
        <w:t>（5）</w:t>
      </w:r>
      <w:r>
        <w:rPr>
          <w:rFonts w:hint="eastAsia" w:ascii="宋体" w:hAnsi="宋体"/>
        </w:rPr>
        <w:t>未按照招标文件的要求报送应有的投标报价表格的；</w:t>
      </w:r>
    </w:p>
    <w:p>
      <w:pPr>
        <w:spacing w:line="430" w:lineRule="exact"/>
        <w:ind w:firstLine="420" w:firstLineChars="200"/>
        <w:rPr>
          <w:rFonts w:hint="eastAsia" w:ascii="宋体" w:hAnsi="宋体"/>
        </w:rPr>
      </w:pPr>
      <w:r>
        <w:rPr>
          <w:rFonts w:hint="eastAsia"/>
        </w:rPr>
        <w:t>（6）</w:t>
      </w:r>
      <w:r>
        <w:rPr>
          <w:rFonts w:hint="eastAsia" w:ascii="宋体" w:hAnsi="宋体"/>
        </w:rPr>
        <w:t>项目经理二次刷卡实名认证未通过的；</w:t>
      </w:r>
    </w:p>
    <w:p>
      <w:pPr>
        <w:spacing w:line="430" w:lineRule="exact"/>
        <w:ind w:firstLine="420" w:firstLineChars="200"/>
        <w:rPr>
          <w:rFonts w:hint="eastAsia" w:ascii="宋体" w:hAnsi="宋体"/>
          <w:szCs w:val="21"/>
        </w:rPr>
      </w:pPr>
      <w:r>
        <w:rPr>
          <w:rFonts w:hint="eastAsia"/>
        </w:rPr>
        <w:t>（7）</w:t>
      </w:r>
      <w:r>
        <w:rPr>
          <w:rFonts w:hint="eastAsia" w:ascii="宋体" w:hAnsi="宋体"/>
        </w:rPr>
        <w:t>法定</w:t>
      </w:r>
      <w:r>
        <w:rPr>
          <w:rFonts w:hint="eastAsia" w:ascii="宋体" w:hAnsi="宋体"/>
          <w:szCs w:val="21"/>
        </w:rPr>
        <w:t>代表人或授权委托人未完成实名认证的；</w:t>
      </w:r>
    </w:p>
    <w:p>
      <w:pPr>
        <w:spacing w:line="430" w:lineRule="exact"/>
        <w:ind w:firstLine="420" w:firstLineChars="200"/>
        <w:rPr>
          <w:rFonts w:hint="eastAsia" w:ascii="宋体" w:hAnsi="宋体"/>
        </w:rPr>
      </w:pPr>
      <w:r>
        <w:rPr>
          <w:rFonts w:hint="eastAsia"/>
        </w:rPr>
        <w:t>（8）</w:t>
      </w:r>
      <w:r>
        <w:rPr>
          <w:rFonts w:hint="eastAsia" w:ascii="宋体" w:hAnsi="宋体"/>
        </w:rPr>
        <w:t>未按招标文件要求编制技术标（暗标）投标文件的；</w:t>
      </w:r>
    </w:p>
    <w:p>
      <w:pPr>
        <w:spacing w:line="430" w:lineRule="exact"/>
        <w:ind w:firstLine="420" w:firstLineChars="200"/>
        <w:rPr>
          <w:rFonts w:hint="eastAsia" w:ascii="宋体" w:hAnsi="宋体"/>
        </w:rPr>
      </w:pPr>
      <w:r>
        <w:rPr>
          <w:rFonts w:hint="eastAsia"/>
        </w:rPr>
        <w:t>（</w:t>
      </w:r>
      <w:r>
        <w:t>9</w:t>
      </w:r>
      <w:r>
        <w:rPr>
          <w:rFonts w:hint="eastAsia"/>
        </w:rPr>
        <w:t>）</w:t>
      </w:r>
      <w:r>
        <w:rPr>
          <w:rFonts w:hint="eastAsia" w:ascii="宋体" w:hAnsi="宋体"/>
        </w:rPr>
        <w:t>投标人资质条件不符合国家规定和招标文件要求的；</w:t>
      </w:r>
    </w:p>
    <w:p>
      <w:pPr>
        <w:spacing w:line="430" w:lineRule="exact"/>
        <w:ind w:firstLine="420" w:firstLineChars="200"/>
        <w:rPr>
          <w:rFonts w:hint="eastAsia" w:ascii="宋体" w:hAnsi="宋体"/>
        </w:rPr>
      </w:pPr>
      <w:r>
        <w:rPr>
          <w:rFonts w:hint="eastAsia"/>
        </w:rPr>
        <w:t>（</w:t>
      </w:r>
      <w:r>
        <w:t>10</w:t>
      </w:r>
      <w:r>
        <w:rPr>
          <w:rFonts w:hint="eastAsia" w:ascii="宋体" w:hAnsi="宋体"/>
        </w:rPr>
        <w:t>）项目负责人资格不符合招标文件规定的专业等级要求，或已在其他在建工程担任项目经理（同一工程相邻分段发包或者分期施工的除外）；</w:t>
      </w:r>
    </w:p>
    <w:p>
      <w:pPr>
        <w:spacing w:line="430" w:lineRule="exact"/>
        <w:ind w:firstLine="420" w:firstLineChars="200"/>
        <w:rPr>
          <w:rFonts w:hint="eastAsia" w:ascii="宋体" w:hAnsi="宋体"/>
        </w:rPr>
      </w:pPr>
      <w:r>
        <w:rPr>
          <w:rFonts w:hint="eastAsia"/>
        </w:rPr>
        <w:t>（1</w:t>
      </w:r>
      <w:r>
        <w:t>1</w:t>
      </w:r>
      <w:r>
        <w:rPr>
          <w:rFonts w:hint="eastAsia" w:ascii="宋体" w:hAnsi="宋体"/>
        </w:rPr>
        <w:t>）</w:t>
      </w:r>
      <w:r>
        <w:rPr>
          <w:rFonts w:hint="eastAsia"/>
        </w:rPr>
        <w:t>具有投标人须知第1.4.3（10）至（17）条目规定的情形；</w:t>
      </w:r>
    </w:p>
    <w:p>
      <w:pPr>
        <w:spacing w:line="430" w:lineRule="exact"/>
        <w:ind w:firstLine="420" w:firstLineChars="200"/>
        <w:rPr>
          <w:rFonts w:hint="eastAsia" w:ascii="宋体" w:hAnsi="宋体"/>
        </w:rPr>
      </w:pPr>
      <w:r>
        <w:rPr>
          <w:rFonts w:hint="eastAsia"/>
        </w:rPr>
        <w:t>（</w:t>
      </w:r>
      <w:r>
        <w:t>12</w:t>
      </w:r>
      <w:r>
        <w:rPr>
          <w:rFonts w:hint="eastAsia"/>
        </w:rPr>
        <w:t>）</w:t>
      </w:r>
      <w:r>
        <w:rPr>
          <w:rFonts w:hint="eastAsia" w:ascii="宋体" w:hAnsi="宋体"/>
        </w:rPr>
        <w:t>未按招标文件要求提交投标保证金的；</w:t>
      </w:r>
    </w:p>
    <w:p>
      <w:pPr>
        <w:spacing w:line="430" w:lineRule="exact"/>
        <w:ind w:firstLine="420" w:firstLineChars="200"/>
        <w:rPr>
          <w:rFonts w:hint="eastAsia" w:ascii="宋体" w:hAnsi="宋体"/>
        </w:rPr>
      </w:pPr>
      <w:r>
        <w:rPr>
          <w:rFonts w:hint="eastAsia"/>
        </w:rPr>
        <w:t>（</w:t>
      </w:r>
      <w:r>
        <w:t>13</w:t>
      </w:r>
      <w:r>
        <w:rPr>
          <w:rFonts w:hint="eastAsia" w:ascii="宋体" w:hAnsi="宋体"/>
        </w:rPr>
        <w:t>）投标人填写的清单编码、清单名称、项目特征、计量单位、工程量与招标文件给定的工程量清单不一致的；</w:t>
      </w:r>
    </w:p>
    <w:p>
      <w:pPr>
        <w:spacing w:line="430" w:lineRule="exact"/>
        <w:ind w:firstLine="420" w:firstLineChars="200"/>
        <w:rPr>
          <w:rFonts w:hint="eastAsia" w:ascii="宋体" w:hAnsi="宋体"/>
        </w:rPr>
      </w:pPr>
      <w:r>
        <w:rPr>
          <w:rFonts w:hint="eastAsia"/>
        </w:rPr>
        <w:t>（</w:t>
      </w:r>
      <w:r>
        <w:t>14</w:t>
      </w:r>
      <w:r>
        <w:rPr>
          <w:rFonts w:hint="eastAsia" w:ascii="宋体" w:hAnsi="宋体"/>
        </w:rPr>
        <w:t>）投标人修改招标文件给定的工程量清单中所列价格（包括暂列金额、材料暂估价、专业工程暂估价等）的；</w:t>
      </w:r>
    </w:p>
    <w:p>
      <w:pPr>
        <w:spacing w:line="430" w:lineRule="exact"/>
        <w:ind w:firstLine="420" w:firstLineChars="200"/>
        <w:rPr>
          <w:rFonts w:hint="eastAsia" w:ascii="宋体" w:hAnsi="宋体"/>
        </w:rPr>
      </w:pPr>
      <w:r>
        <w:rPr>
          <w:rFonts w:hint="eastAsia" w:ascii="宋体" w:hAnsi="宋体"/>
        </w:rPr>
        <w:t>（</w:t>
      </w:r>
      <w:r>
        <w:rPr>
          <w:rFonts w:hint="eastAsia"/>
        </w:rPr>
        <w:t>1</w:t>
      </w:r>
      <w:r>
        <w:t>5</w:t>
      </w:r>
      <w:r>
        <w:rPr>
          <w:rFonts w:hint="eastAsia" w:ascii="宋体" w:hAnsi="宋体"/>
        </w:rPr>
        <w:t>）工期未响应招标文件规定的；</w:t>
      </w:r>
    </w:p>
    <w:p>
      <w:pPr>
        <w:spacing w:line="430" w:lineRule="exact"/>
        <w:ind w:firstLine="420" w:firstLineChars="200"/>
        <w:rPr>
          <w:rFonts w:hint="eastAsia" w:ascii="宋体" w:hAnsi="宋体"/>
        </w:rPr>
      </w:pPr>
      <w:r>
        <w:rPr>
          <w:rFonts w:hint="eastAsia" w:ascii="宋体" w:hAnsi="宋体"/>
        </w:rPr>
        <w:t>（</w:t>
      </w:r>
      <w:r>
        <w:rPr>
          <w:rFonts w:hint="eastAsia"/>
        </w:rPr>
        <w:t>1</w:t>
      </w:r>
      <w:r>
        <w:t>6</w:t>
      </w:r>
      <w:r>
        <w:rPr>
          <w:rFonts w:hint="eastAsia" w:ascii="宋体" w:hAnsi="宋体"/>
        </w:rPr>
        <w:t>）投标人不接受算术错误修正后的报价；</w:t>
      </w:r>
    </w:p>
    <w:p>
      <w:pPr>
        <w:spacing w:line="430" w:lineRule="exact"/>
        <w:ind w:firstLine="420" w:firstLineChars="200"/>
        <w:rPr>
          <w:rFonts w:hint="eastAsia" w:ascii="宋体" w:hAnsi="宋体"/>
        </w:rPr>
      </w:pPr>
      <w:r>
        <w:rPr>
          <w:rFonts w:hint="eastAsia" w:ascii="宋体" w:hAnsi="宋体"/>
        </w:rPr>
        <w:t>（</w:t>
      </w:r>
      <w:r>
        <w:rPr>
          <w:rFonts w:hint="eastAsia"/>
        </w:rPr>
        <w:t>1</w:t>
      </w:r>
      <w:r>
        <w:t>7</w:t>
      </w:r>
      <w:r>
        <w:rPr>
          <w:rFonts w:hint="eastAsia" w:ascii="宋体" w:hAnsi="宋体"/>
        </w:rPr>
        <w:t>）投标报价（含修正后）高于招标文件设定的最高投标限价的；</w:t>
      </w:r>
    </w:p>
    <w:p>
      <w:pPr>
        <w:spacing w:line="430" w:lineRule="exact"/>
        <w:ind w:firstLine="420" w:firstLineChars="200"/>
        <w:rPr>
          <w:rFonts w:hint="eastAsia" w:ascii="宋体" w:hAnsi="宋体"/>
        </w:rPr>
      </w:pPr>
      <w:r>
        <w:rPr>
          <w:rFonts w:hint="eastAsia" w:ascii="宋体" w:hAnsi="宋体"/>
        </w:rPr>
        <w:t>（</w:t>
      </w:r>
      <w:r>
        <w:rPr>
          <w:rFonts w:hint="eastAsia"/>
        </w:rPr>
        <w:t>1</w:t>
      </w:r>
      <w:r>
        <w:t>8</w:t>
      </w:r>
      <w:r>
        <w:rPr>
          <w:rFonts w:hint="eastAsia" w:ascii="宋体" w:hAnsi="宋体"/>
        </w:rPr>
        <w:t>）质量不满足招标文件规定的；</w:t>
      </w:r>
    </w:p>
    <w:p>
      <w:pPr>
        <w:spacing w:line="430" w:lineRule="exact"/>
        <w:ind w:firstLine="420" w:firstLineChars="200"/>
      </w:pPr>
      <w:r>
        <w:rPr>
          <w:rFonts w:hint="eastAsia" w:ascii="宋体" w:hAnsi="宋体"/>
        </w:rPr>
        <w:t>（</w:t>
      </w:r>
      <w:r>
        <w:rPr>
          <w:rFonts w:hint="eastAsia"/>
        </w:rPr>
        <w:t>1</w:t>
      </w:r>
      <w:r>
        <w:t>9</w:t>
      </w:r>
      <w:r>
        <w:rPr>
          <w:rFonts w:hint="eastAsia"/>
        </w:rPr>
        <w:t>）投标有效期不符合招标文件规定的；</w:t>
      </w:r>
    </w:p>
    <w:p>
      <w:pPr>
        <w:spacing w:line="430" w:lineRule="exact"/>
        <w:ind w:firstLine="420" w:firstLineChars="200"/>
      </w:pPr>
      <w:r>
        <w:rPr>
          <w:rFonts w:hint="eastAsia"/>
        </w:rPr>
        <w:t>（</w:t>
      </w:r>
      <w:r>
        <w:t>20</w:t>
      </w:r>
      <w:r>
        <w:rPr>
          <w:rFonts w:hint="eastAsia"/>
        </w:rPr>
        <w:t>）权利义务承诺不符合或低于招标文件规定的；</w:t>
      </w:r>
    </w:p>
    <w:p>
      <w:pPr>
        <w:spacing w:line="430" w:lineRule="exact"/>
        <w:ind w:firstLine="420" w:firstLineChars="200"/>
      </w:pPr>
      <w:r>
        <w:rPr>
          <w:rFonts w:hint="eastAsia"/>
        </w:rPr>
        <w:t>（2</w:t>
      </w:r>
      <w:r>
        <w:t>1</w:t>
      </w:r>
      <w:r>
        <w:rPr>
          <w:rFonts w:hint="eastAsia"/>
        </w:rPr>
        <w:t>）技术标准和要求不符合招标文件规定的；</w:t>
      </w:r>
    </w:p>
    <w:p>
      <w:pPr>
        <w:spacing w:line="430" w:lineRule="exact"/>
        <w:ind w:firstLine="420" w:firstLineChars="200"/>
        <w:rPr>
          <w:rFonts w:hint="eastAsia" w:ascii="宋体" w:hAnsi="宋体"/>
        </w:rPr>
      </w:pPr>
      <w:r>
        <w:rPr>
          <w:rFonts w:hint="eastAsia"/>
        </w:rPr>
        <w:t>（2</w:t>
      </w:r>
      <w:r>
        <w:t>2</w:t>
      </w:r>
      <w:r>
        <w:rPr>
          <w:rFonts w:hint="eastAsia" w:ascii="宋体" w:hAnsi="宋体"/>
        </w:rPr>
        <w:t>）分包计划不符合招标文件规定的。</w:t>
      </w:r>
    </w:p>
    <w:p>
      <w:pPr>
        <w:spacing w:line="430" w:lineRule="exact"/>
        <w:ind w:firstLine="420" w:firstLineChars="200"/>
        <w:rPr>
          <w:rFonts w:hint="eastAsia" w:ascii="宋体" w:hAnsi="宋体"/>
        </w:rPr>
      </w:pPr>
      <w:r>
        <w:rPr>
          <w:rFonts w:hint="eastAsia" w:ascii="宋体" w:hAnsi="宋体"/>
        </w:rPr>
        <w:t>B1.2不按评标委员会要求澄清、说明或补正的。</w:t>
      </w:r>
    </w:p>
    <w:p>
      <w:pPr>
        <w:spacing w:line="430" w:lineRule="exact"/>
        <w:ind w:firstLine="420" w:firstLineChars="200"/>
        <w:rPr>
          <w:rFonts w:hint="eastAsia" w:ascii="宋体" w:hAnsi="宋体"/>
        </w:rPr>
      </w:pPr>
      <w:r>
        <w:rPr>
          <w:rFonts w:hint="eastAsia" w:ascii="宋体" w:hAnsi="宋体"/>
        </w:rPr>
        <w:t>B1.3有串通投标、弄虚作假</w:t>
      </w:r>
      <w:r>
        <w:rPr>
          <w:rFonts w:hint="eastAsia"/>
        </w:rPr>
        <w:t>或</w:t>
      </w:r>
      <w:r>
        <w:rPr>
          <w:rFonts w:hint="eastAsia" w:ascii="宋体" w:hAnsi="宋体"/>
        </w:rPr>
        <w:t>有其他违法行为的。包括以下内容：</w:t>
      </w:r>
    </w:p>
    <w:p>
      <w:pPr>
        <w:spacing w:line="380" w:lineRule="exact"/>
        <w:ind w:firstLine="420" w:firstLineChars="200"/>
      </w:pPr>
      <w:r>
        <w:rPr>
          <w:rFonts w:hint="eastAsia"/>
        </w:rPr>
        <w:t>（1）有下列情形之一的，视为投标人相互串通投标：</w:t>
      </w:r>
    </w:p>
    <w:p>
      <w:pPr>
        <w:spacing w:line="380" w:lineRule="exact"/>
        <w:ind w:firstLine="420" w:firstLineChars="200"/>
      </w:pPr>
      <w:r>
        <w:rPr>
          <w:rFonts w:hint="eastAsia"/>
        </w:rPr>
        <w:t>① 不同投标人的投标文件由同一单位或者个人编制；</w:t>
      </w:r>
    </w:p>
    <w:p>
      <w:pPr>
        <w:spacing w:line="380" w:lineRule="exact"/>
        <w:ind w:firstLine="420" w:firstLineChars="200"/>
      </w:pPr>
      <w:r>
        <w:rPr>
          <w:rFonts w:hint="eastAsia"/>
        </w:rPr>
        <w:t>② 不同投标人委托同一单位或者个人办理投标事宜；</w:t>
      </w:r>
    </w:p>
    <w:p>
      <w:pPr>
        <w:spacing w:line="380" w:lineRule="exact"/>
        <w:ind w:firstLine="420" w:firstLineChars="200"/>
      </w:pPr>
      <w:r>
        <w:rPr>
          <w:rFonts w:hint="eastAsia"/>
        </w:rPr>
        <w:t>③ 不同投标人使用同一电脑等电子设备办理投标事宜（下载招标文件、上传投标文件、授权委托人或项目经理实名认证等关键环节）；</w:t>
      </w:r>
    </w:p>
    <w:p>
      <w:pPr>
        <w:spacing w:line="380" w:lineRule="exact"/>
        <w:ind w:firstLine="420" w:firstLineChars="200"/>
      </w:pPr>
      <w:r>
        <w:rPr>
          <w:rFonts w:hint="eastAsia"/>
        </w:rPr>
        <w:t>④ 不同投标人的投标文件载明的项目管理成员为同一人；</w:t>
      </w:r>
    </w:p>
    <w:p>
      <w:pPr>
        <w:spacing w:line="380" w:lineRule="exact"/>
        <w:ind w:firstLine="420" w:firstLineChars="200"/>
      </w:pPr>
      <w:r>
        <w:rPr>
          <w:rFonts w:hint="eastAsia"/>
        </w:rPr>
        <w:t>⑤ 不同投标人的投标文件非典型一致或者投标报价呈规律性差异；</w:t>
      </w:r>
    </w:p>
    <w:p>
      <w:pPr>
        <w:spacing w:line="380" w:lineRule="exact"/>
        <w:ind w:firstLine="420" w:firstLineChars="200"/>
      </w:pPr>
      <w:r>
        <w:rPr>
          <w:rFonts w:hint="eastAsia"/>
        </w:rPr>
        <w:t>⑥ 不同投标人的投标文件相互混装；</w:t>
      </w:r>
    </w:p>
    <w:p>
      <w:pPr>
        <w:spacing w:line="380" w:lineRule="exact"/>
        <w:ind w:firstLine="420" w:firstLineChars="20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t xml:space="preserve"> </w:t>
      </w:r>
      <w:r>
        <w:rPr>
          <w:rFonts w:hint="eastAsia"/>
        </w:rPr>
        <w:t>不同投标人的投标保证金或保函（保险）财务费用从同一单位或者个人的账户转出；</w:t>
      </w:r>
    </w:p>
    <w:p>
      <w:pPr>
        <w:spacing w:line="380" w:lineRule="exact"/>
        <w:ind w:firstLine="420" w:firstLineChars="200"/>
      </w:pPr>
      <w:r>
        <w:rPr>
          <w:rFonts w:hint="eastAsia" w:ascii="宋体" w:hAnsi="宋体"/>
        </w:rPr>
        <w:t>⑧</w:t>
      </w:r>
      <w:r>
        <w:t xml:space="preserve"> </w:t>
      </w:r>
      <w:r>
        <w:rPr>
          <w:rFonts w:hint="eastAsia"/>
        </w:rPr>
        <w:t>不同投标人的投标文件存在“MAC地址”、“文件创建标识码”、“文件制作机器码”等唯一性标识一致等情形。</w:t>
      </w:r>
    </w:p>
    <w:p>
      <w:pPr>
        <w:spacing w:line="380" w:lineRule="exact"/>
        <w:ind w:firstLine="420" w:firstLineChars="200"/>
      </w:pPr>
      <w:r>
        <w:rPr>
          <w:rFonts w:hint="eastAsia"/>
        </w:rPr>
        <w:t>（2）有下列情形之一的，属于弄虚作假行为：</w:t>
      </w:r>
    </w:p>
    <w:p>
      <w:pPr>
        <w:spacing w:line="380" w:lineRule="exact"/>
        <w:ind w:firstLine="420" w:firstLineChars="200"/>
      </w:pPr>
      <w:r>
        <w:rPr>
          <w:rFonts w:hint="eastAsia"/>
        </w:rPr>
        <w:t>① 使用通过受让或者租借等方式获取的资格、资质证书投标的，即以他人名义投标的。</w:t>
      </w:r>
    </w:p>
    <w:p>
      <w:pPr>
        <w:spacing w:line="380" w:lineRule="exact"/>
        <w:ind w:firstLine="420" w:firstLineChars="200"/>
      </w:pPr>
      <w:r>
        <w:rPr>
          <w:rFonts w:hint="eastAsia"/>
        </w:rPr>
        <w:t>② 使用伪造、变造的许可证件；</w:t>
      </w:r>
    </w:p>
    <w:p>
      <w:pPr>
        <w:spacing w:line="380" w:lineRule="exact"/>
        <w:ind w:firstLine="420" w:firstLineChars="200"/>
      </w:pPr>
      <w:r>
        <w:rPr>
          <w:rFonts w:hint="eastAsia"/>
        </w:rPr>
        <w:t>③ 提供虚假的财务状况或者业绩；</w:t>
      </w:r>
    </w:p>
    <w:p>
      <w:pPr>
        <w:spacing w:line="380" w:lineRule="exact"/>
        <w:ind w:firstLine="420" w:firstLineChars="200"/>
      </w:pPr>
      <w:r>
        <w:rPr>
          <w:rFonts w:hint="eastAsia"/>
        </w:rPr>
        <w:t>④ 提供虚假的项目负责人或者主要技术人员简历、社会保险证明；</w:t>
      </w:r>
    </w:p>
    <w:p>
      <w:pPr>
        <w:spacing w:line="380" w:lineRule="exact"/>
        <w:ind w:firstLine="420" w:firstLineChars="200"/>
      </w:pPr>
      <w:r>
        <w:rPr>
          <w:rFonts w:hint="eastAsia"/>
        </w:rPr>
        <w:t>⑤ 提供虚假的信用状况；</w:t>
      </w:r>
    </w:p>
    <w:p>
      <w:pPr>
        <w:spacing w:line="380" w:lineRule="exact"/>
        <w:ind w:firstLine="420" w:firstLineChars="200"/>
        <w:rPr>
          <w:rFonts w:hint="eastAsia" w:ascii="宋体" w:hAnsi="宋体"/>
        </w:rPr>
      </w:pPr>
      <w:r>
        <w:rPr>
          <w:rFonts w:hint="eastAsia"/>
        </w:rPr>
        <w:t>⑥ 其他弄虚作假的行为。</w:t>
      </w:r>
    </w:p>
    <w:p>
      <w:pPr>
        <w:spacing w:line="430" w:lineRule="exact"/>
        <w:ind w:firstLine="420" w:firstLineChars="200"/>
        <w:rPr>
          <w:rFonts w:hint="eastAsia" w:ascii="宋体" w:hAnsi="宋体"/>
        </w:rPr>
      </w:pPr>
      <w:r>
        <w:rPr>
          <w:rFonts w:hint="eastAsia" w:ascii="宋体" w:hAnsi="宋体"/>
        </w:rPr>
        <w:t>B1.4有第二章“投标人须知”第1.4.3项规定的任何一种情形。包括以下内容：</w:t>
      </w:r>
    </w:p>
    <w:p>
      <w:pPr>
        <w:spacing w:line="360" w:lineRule="exact"/>
        <w:ind w:firstLine="420" w:firstLineChars="200"/>
      </w:pPr>
      <w:r>
        <w:rPr>
          <w:rFonts w:hint="eastAsia"/>
        </w:rPr>
        <w:t>（1）为招标人不具有独立法人资格的附属机构（单位）；</w:t>
      </w:r>
    </w:p>
    <w:p>
      <w:pPr>
        <w:spacing w:line="360" w:lineRule="exact"/>
        <w:ind w:firstLine="420" w:firstLineChars="200"/>
      </w:pPr>
      <w:r>
        <w:rPr>
          <w:rFonts w:hint="eastAsia"/>
        </w:rPr>
        <w:t xml:space="preserve">（2）为本标段前期准备提供设计或咨询服务的，但设计施工总承包的除外； </w:t>
      </w:r>
    </w:p>
    <w:p>
      <w:pPr>
        <w:spacing w:line="360" w:lineRule="exact"/>
        <w:ind w:firstLine="420" w:firstLineChars="200"/>
      </w:pPr>
      <w:r>
        <w:rPr>
          <w:rFonts w:hint="eastAsia"/>
        </w:rPr>
        <w:t>（3）为本标段的监理人；</w:t>
      </w:r>
    </w:p>
    <w:p>
      <w:pPr>
        <w:spacing w:line="360" w:lineRule="exact"/>
        <w:ind w:firstLine="420" w:firstLineChars="200"/>
      </w:pPr>
      <w:r>
        <w:rPr>
          <w:rFonts w:hint="eastAsia"/>
        </w:rPr>
        <w:t>（4）为本标段的代建人；</w:t>
      </w:r>
    </w:p>
    <w:p>
      <w:pPr>
        <w:spacing w:line="360" w:lineRule="exact"/>
        <w:ind w:firstLine="420" w:firstLineChars="200"/>
      </w:pPr>
      <w:r>
        <w:rPr>
          <w:rFonts w:hint="eastAsia"/>
        </w:rPr>
        <w:t>（5）为本标段提供招标代理服务；</w:t>
      </w:r>
    </w:p>
    <w:p>
      <w:pPr>
        <w:spacing w:line="360" w:lineRule="exact"/>
        <w:ind w:firstLine="420" w:firstLineChars="200"/>
      </w:pPr>
      <w:r>
        <w:rPr>
          <w:rFonts w:hint="eastAsia"/>
        </w:rPr>
        <w:t xml:space="preserve">（6）与本标段的监理人或代建人或招标代理机构同为一个法定代表人或单位负责人； </w:t>
      </w:r>
    </w:p>
    <w:p>
      <w:pPr>
        <w:spacing w:line="360" w:lineRule="exact"/>
        <w:ind w:firstLine="420" w:firstLineChars="200"/>
      </w:pPr>
      <w:r>
        <w:rPr>
          <w:rFonts w:hint="eastAsia"/>
        </w:rPr>
        <w:t>（7）与本标段的监理人或代建人或招标代理机构相互控股或参股；</w:t>
      </w:r>
    </w:p>
    <w:p>
      <w:pPr>
        <w:spacing w:line="360" w:lineRule="exact"/>
        <w:ind w:firstLine="420" w:firstLineChars="200"/>
      </w:pPr>
      <w:r>
        <w:rPr>
          <w:rFonts w:hint="eastAsia"/>
        </w:rPr>
        <w:t>（8）与本标段的监理人或代建人或招标代理机构的法定代表人或单位负责人相互任职或工作；</w:t>
      </w:r>
    </w:p>
    <w:p>
      <w:pPr>
        <w:spacing w:line="360" w:lineRule="exact"/>
        <w:ind w:firstLine="420" w:firstLineChars="200"/>
      </w:pPr>
      <w:r>
        <w:rPr>
          <w:rFonts w:hint="eastAsia"/>
        </w:rPr>
        <w:t>（9）单位负责人为同一人或者存在控股、管理关系的不同单位，同时参加本标段投标的；</w:t>
      </w:r>
    </w:p>
    <w:p>
      <w:pPr>
        <w:spacing w:line="360" w:lineRule="exact"/>
        <w:ind w:firstLine="420" w:firstLineChars="200"/>
      </w:pPr>
      <w:r>
        <w:rPr>
          <w:rFonts w:hint="eastAsia"/>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420" w:firstLineChars="200"/>
      </w:pPr>
      <w:r>
        <w:rPr>
          <w:rFonts w:hint="eastAsia"/>
        </w:rPr>
        <w:t xml:space="preserve">（11）被责令停产停业、暂扣或者吊销许可证、暂扣或者吊销执照； </w:t>
      </w:r>
    </w:p>
    <w:p>
      <w:pPr>
        <w:spacing w:line="360" w:lineRule="exact"/>
        <w:ind w:firstLine="420" w:firstLineChars="200"/>
      </w:pPr>
      <w:r>
        <w:rPr>
          <w:rFonts w:hint="eastAsia"/>
        </w:rPr>
        <w:t>（12）进入清算程序，或被宣告破产，或其他丧失履约能力的情形；</w:t>
      </w:r>
    </w:p>
    <w:p>
      <w:pPr>
        <w:spacing w:line="360" w:lineRule="exact"/>
        <w:ind w:firstLine="420" w:firstLineChars="200"/>
      </w:pPr>
      <w:r>
        <w:rPr>
          <w:rFonts w:hint="eastAsia"/>
        </w:rPr>
        <w:t>（13）在最近三年内有骗取中标或严重违约或重大工程质量问题的 （以相关行业主 管部门的行政处罚决定或司法机关出具的有关法律文书为准）；</w:t>
      </w:r>
    </w:p>
    <w:p>
      <w:pPr>
        <w:spacing w:line="360" w:lineRule="exact"/>
        <w:ind w:firstLine="420" w:firstLineChars="200"/>
      </w:pPr>
      <w:r>
        <w:rPr>
          <w:rFonts w:hint="eastAsia"/>
        </w:rPr>
        <w:t>（14）在“国家企业信用信息公示系统”（www.gsxt.gov.cn）中被列入严重违法失 信企业名单；</w:t>
      </w:r>
    </w:p>
    <w:p>
      <w:pPr>
        <w:spacing w:line="360" w:lineRule="exact"/>
        <w:ind w:firstLine="420" w:firstLineChars="200"/>
      </w:pPr>
      <w:r>
        <w:rPr>
          <w:rFonts w:hint="eastAsia"/>
        </w:rPr>
        <w:t>（15）在“信用中国”网站（www.creditchina.gov.cn）或“中国执行信息公开网” （http://zxgk.court.gov.cn/shixin/） 被列入失信被执行人名单；</w:t>
      </w:r>
    </w:p>
    <w:p>
      <w:pPr>
        <w:spacing w:line="360" w:lineRule="exact"/>
        <w:ind w:firstLine="420" w:firstLineChars="200"/>
      </w:pPr>
      <w:r>
        <w:rPr>
          <w:rFonts w:hint="eastAsia"/>
        </w:rPr>
        <w:t>（16）在辽宁省建设工程招投标监督平台-辽宁建设工程信息网上被列入不良行为记录且在公布期内的；</w:t>
      </w:r>
    </w:p>
    <w:p>
      <w:pPr>
        <w:spacing w:line="360" w:lineRule="exact"/>
        <w:ind w:firstLine="420" w:firstLineChars="200"/>
      </w:pPr>
      <w:r>
        <w:rPr>
          <w:rFonts w:hint="eastAsia"/>
        </w:rPr>
        <w:t>（17）法律法规规定的其他情形。</w:t>
      </w:r>
    </w:p>
    <w:p>
      <w:pPr>
        <w:spacing w:line="360" w:lineRule="exact"/>
        <w:ind w:firstLine="420" w:firstLineChars="200"/>
        <w:rPr>
          <w:rFonts w:hint="eastAsia" w:ascii="宋体" w:hAnsi="宋体"/>
        </w:rPr>
      </w:pPr>
      <w:bookmarkStart w:id="781" w:name="_Hlk165125038"/>
      <w:r>
        <w:rPr>
          <w:rFonts w:hint="eastAsia" w:ascii="宋体" w:hAnsi="宋体"/>
        </w:rPr>
        <w:t>B1.5</w:t>
      </w:r>
      <w:r>
        <w:rPr>
          <w:rFonts w:hint="eastAsia"/>
        </w:rPr>
        <w:t>未如实填写近年发生的诉讼及仲裁情况，隐瞒真实情况的。</w:t>
      </w:r>
    </w:p>
    <w:bookmarkEnd w:id="781"/>
    <w:p>
      <w:pPr>
        <w:spacing w:line="430" w:lineRule="exact"/>
        <w:ind w:firstLine="420" w:firstLineChars="200"/>
        <w:rPr>
          <w:rFonts w:hint="eastAsia" w:ascii="宋体" w:hAnsi="宋体"/>
          <w:szCs w:val="21"/>
        </w:rPr>
      </w:pPr>
      <w:r>
        <w:rPr>
          <w:rFonts w:hint="eastAsia" w:ascii="宋体" w:hAnsi="宋体"/>
        </w:rPr>
        <w:t>B1.6未按招标文件要求进行实名身份认证的或同一标段实名身份认证中存在不同投标人之间身份证识别器码一致的。</w:t>
      </w:r>
    </w:p>
    <w:p>
      <w:pPr>
        <w:spacing w:line="430" w:lineRule="exact"/>
        <w:ind w:firstLine="420" w:firstLineChars="200"/>
        <w:rPr>
          <w:rFonts w:hint="eastAsia" w:ascii="宋体" w:hAnsi="宋体"/>
          <w:szCs w:val="21"/>
        </w:rPr>
      </w:pPr>
      <w:r>
        <w:rPr>
          <w:rFonts w:hint="eastAsia" w:ascii="宋体" w:hAnsi="宋体"/>
        </w:rPr>
        <w:t>B1.7投标报价明显低于企业成本可能影响履约的。</w:t>
      </w:r>
    </w:p>
    <w:p>
      <w:pPr>
        <w:spacing w:line="430" w:lineRule="exact"/>
        <w:ind w:firstLine="420" w:firstLineChars="200"/>
        <w:rPr>
          <w:rFonts w:hint="eastAsia" w:ascii="宋体" w:hAnsi="宋体"/>
        </w:rPr>
      </w:pPr>
      <w:r>
        <w:rPr>
          <w:rFonts w:hint="eastAsia" w:ascii="宋体" w:hAnsi="宋体"/>
        </w:rPr>
        <w:t>B1.</w:t>
      </w:r>
      <w:bookmarkStart w:id="782" w:name="_Hlk150329794"/>
      <w:r>
        <w:rPr>
          <w:rFonts w:hint="eastAsia" w:ascii="宋体" w:hAnsi="宋体"/>
        </w:rPr>
        <w:t>8未按招标文件要求采用建筑信息模型技术的（如有）。</w:t>
      </w:r>
      <w:bookmarkEnd w:id="782"/>
    </w:p>
    <w:p>
      <w:pPr>
        <w:spacing w:line="430" w:lineRule="exact"/>
        <w:ind w:firstLine="420" w:firstLineChars="200"/>
        <w:rPr>
          <w:rFonts w:hint="eastAsia" w:ascii="宋体" w:hAnsi="宋体"/>
          <w:szCs w:val="21"/>
        </w:rPr>
      </w:pPr>
      <w:bookmarkStart w:id="783" w:name="_Hlk176003224"/>
      <w:bookmarkStart w:id="784" w:name="_Hlk176002496"/>
      <w:r>
        <w:rPr>
          <w:rFonts w:hint="eastAsia" w:ascii="宋体" w:hAnsi="宋体"/>
        </w:rPr>
        <w:t>B1.9技术标不同模块赋分点之间多个模块固定位置存在内容表述非必要性雷同的。</w:t>
      </w:r>
      <w:bookmarkEnd w:id="783"/>
    </w:p>
    <w:bookmarkEnd w:id="784"/>
    <w:p>
      <w:pPr>
        <w:spacing w:line="430" w:lineRule="exact"/>
        <w:ind w:firstLine="420" w:firstLineChars="200"/>
        <w:rPr>
          <w:rFonts w:ascii="仿宋_GB2312" w:eastAsia="仿宋_GB2312"/>
        </w:rPr>
      </w:pPr>
      <w:r>
        <w:rPr>
          <w:rFonts w:hint="eastAsia" w:ascii="仿宋_GB2312" w:eastAsia="仿宋_GB2312"/>
        </w:rPr>
        <w:t>……</w:t>
      </w:r>
    </w:p>
    <w:p>
      <w:pPr>
        <w:spacing w:line="430" w:lineRule="exact"/>
        <w:ind w:firstLine="420" w:firstLineChars="200"/>
        <w:sectPr>
          <w:headerReference r:id="rId12" w:type="default"/>
          <w:footerReference r:id="rId13" w:type="default"/>
          <w:pgSz w:w="11906" w:h="16838"/>
          <w:pgMar w:top="1440" w:right="1797" w:bottom="1440" w:left="1797" w:header="851" w:footer="851" w:gutter="0"/>
          <w:cols w:space="720" w:num="1"/>
          <w:docGrid w:linePitch="312" w:charSpace="0"/>
        </w:sectPr>
      </w:pPr>
    </w:p>
    <w:p>
      <w:pPr>
        <w:pStyle w:val="31"/>
      </w:pPr>
      <w:bookmarkStart w:id="785" w:name="_Toc256000130"/>
      <w:bookmarkStart w:id="786" w:name="_Toc2362"/>
      <w:bookmarkStart w:id="787" w:name="_Toc165804447"/>
      <w:r>
        <w:rPr>
          <w:rFonts w:hint="eastAsia"/>
        </w:rPr>
        <w:t>附表A-1：评标委员会签到表</w:t>
      </w:r>
      <w:bookmarkEnd w:id="785"/>
      <w:bookmarkEnd w:id="786"/>
      <w:bookmarkEnd w:id="787"/>
    </w:p>
    <w:p>
      <w:pPr>
        <w:adjustRightInd w:val="0"/>
        <w:snapToGrid w:val="0"/>
        <w:spacing w:before="240" w:beforeLines="100" w:after="240" w:afterLines="100" w:line="440" w:lineRule="exact"/>
        <w:jc w:val="center"/>
        <w:rPr>
          <w:rFonts w:hint="eastAsia" w:ascii="黑体" w:hAnsi="宋体" w:eastAsia="黑体"/>
          <w:sz w:val="36"/>
          <w:szCs w:val="36"/>
        </w:rPr>
      </w:pPr>
      <w:r>
        <w:rPr>
          <w:rFonts w:hint="eastAsia" w:ascii="黑体" w:hAnsi="宋体" w:eastAsia="黑体"/>
          <w:sz w:val="36"/>
          <w:szCs w:val="36"/>
        </w:rPr>
        <w:t>评标委员会签到表</w:t>
      </w:r>
    </w:p>
    <w:p>
      <w:pPr>
        <w:rPr>
          <w:szCs w:val="44"/>
        </w:rPr>
      </w:pPr>
      <w:r>
        <w:rPr>
          <w:rFonts w:hint="eastAsia"/>
          <w:szCs w:val="44"/>
        </w:rPr>
        <w:t>标段名称：</w:t>
      </w:r>
    </w:p>
    <w:p>
      <w:pPr>
        <w:rPr>
          <w:szCs w:val="44"/>
        </w:rPr>
      </w:pPr>
      <w:r>
        <w:rPr>
          <w:rFonts w:hint="eastAsia"/>
          <w:szCs w:val="44"/>
        </w:rPr>
        <w:t>标段唯一标识码：</w:t>
      </w:r>
      <w:r>
        <w:rPr>
          <w:szCs w:val="44"/>
        </w:rPr>
        <w:t xml:space="preserve">                                                                             </w:t>
      </w:r>
      <w:r>
        <w:rPr>
          <w:rFonts w:hint="eastAsia"/>
          <w:szCs w:val="44"/>
        </w:rPr>
        <w:t>评标时间：         年    月    日</w:t>
      </w:r>
    </w:p>
    <w:tbl>
      <w:tblPr>
        <w:tblStyle w:val="22"/>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b/>
                <w:bCs/>
                <w:szCs w:val="21"/>
              </w:rPr>
            </w:pPr>
            <w:bookmarkStart w:id="788" w:name="_Hlk165801998"/>
            <w:r>
              <w:rPr>
                <w:rFonts w:hint="eastAsia" w:ascii="宋体" w:hAnsi="宋体"/>
                <w:b/>
                <w:bCs/>
                <w:szCs w:val="21"/>
              </w:rPr>
              <w:t>序号</w:t>
            </w:r>
          </w:p>
        </w:tc>
        <w:tc>
          <w:tcPr>
            <w:tcW w:w="1169" w:type="dxa"/>
            <w:vAlign w:val="center"/>
          </w:tcPr>
          <w:p>
            <w:pPr>
              <w:spacing w:line="420" w:lineRule="exact"/>
              <w:jc w:val="center"/>
              <w:rPr>
                <w:rFonts w:hint="eastAsia" w:ascii="宋体" w:hAnsi="宋体"/>
                <w:b/>
                <w:bCs/>
                <w:szCs w:val="21"/>
              </w:rPr>
            </w:pPr>
            <w:r>
              <w:rPr>
                <w:rFonts w:hint="eastAsia" w:ascii="宋体" w:hAnsi="宋体"/>
                <w:b/>
                <w:bCs/>
                <w:szCs w:val="21"/>
              </w:rPr>
              <w:t>姓名</w:t>
            </w:r>
          </w:p>
        </w:tc>
        <w:tc>
          <w:tcPr>
            <w:tcW w:w="1797" w:type="dxa"/>
            <w:vAlign w:val="center"/>
          </w:tcPr>
          <w:p>
            <w:pPr>
              <w:spacing w:line="420" w:lineRule="exact"/>
              <w:jc w:val="center"/>
              <w:rPr>
                <w:rFonts w:hint="eastAsia" w:ascii="宋体" w:hAnsi="宋体"/>
                <w:b/>
                <w:bCs/>
                <w:szCs w:val="21"/>
              </w:rPr>
            </w:pPr>
            <w:r>
              <w:rPr>
                <w:rFonts w:hint="eastAsia" w:ascii="宋体" w:hAnsi="宋体"/>
                <w:b/>
                <w:bCs/>
                <w:szCs w:val="21"/>
              </w:rPr>
              <w:t>所在单位</w:t>
            </w:r>
          </w:p>
        </w:tc>
        <w:tc>
          <w:tcPr>
            <w:tcW w:w="1930" w:type="dxa"/>
            <w:vAlign w:val="center"/>
          </w:tcPr>
          <w:p>
            <w:pPr>
              <w:spacing w:line="420" w:lineRule="exact"/>
              <w:jc w:val="center"/>
              <w:rPr>
                <w:rFonts w:hint="eastAsia" w:ascii="宋体" w:hAnsi="宋体"/>
                <w:b/>
                <w:bCs/>
                <w:szCs w:val="21"/>
              </w:rPr>
            </w:pPr>
            <w:r>
              <w:rPr>
                <w:rFonts w:hint="eastAsia" w:ascii="宋体" w:hAnsi="宋体"/>
                <w:b/>
                <w:bCs/>
                <w:szCs w:val="21"/>
              </w:rPr>
              <w:t>身份证号</w:t>
            </w:r>
          </w:p>
        </w:tc>
        <w:tc>
          <w:tcPr>
            <w:tcW w:w="1793" w:type="dxa"/>
            <w:vAlign w:val="center"/>
          </w:tcPr>
          <w:p>
            <w:pPr>
              <w:spacing w:line="420" w:lineRule="exact"/>
              <w:jc w:val="center"/>
              <w:rPr>
                <w:rFonts w:hint="eastAsia" w:ascii="宋体" w:hAnsi="宋体"/>
                <w:b/>
                <w:bCs/>
                <w:szCs w:val="21"/>
              </w:rPr>
            </w:pPr>
            <w:r>
              <w:rPr>
                <w:rFonts w:hint="eastAsia" w:ascii="宋体" w:hAnsi="宋体"/>
                <w:b/>
                <w:bCs/>
                <w:szCs w:val="21"/>
              </w:rPr>
              <w:t>联系方式</w:t>
            </w:r>
          </w:p>
        </w:tc>
        <w:tc>
          <w:tcPr>
            <w:tcW w:w="1431" w:type="dxa"/>
            <w:vAlign w:val="center"/>
          </w:tcPr>
          <w:p>
            <w:pPr>
              <w:spacing w:line="420" w:lineRule="exact"/>
              <w:jc w:val="center"/>
              <w:rPr>
                <w:rFonts w:hint="eastAsia" w:ascii="宋体" w:hAnsi="宋体"/>
                <w:b/>
                <w:bCs/>
                <w:szCs w:val="21"/>
              </w:rPr>
            </w:pPr>
            <w:r>
              <w:rPr>
                <w:rFonts w:hint="eastAsia" w:ascii="宋体" w:hAnsi="宋体"/>
                <w:b/>
                <w:bCs/>
                <w:szCs w:val="21"/>
              </w:rPr>
              <w:t>评审内容</w:t>
            </w:r>
          </w:p>
        </w:tc>
        <w:tc>
          <w:tcPr>
            <w:tcW w:w="1520" w:type="dxa"/>
            <w:vAlign w:val="center"/>
          </w:tcPr>
          <w:p>
            <w:pPr>
              <w:spacing w:line="420" w:lineRule="exact"/>
              <w:jc w:val="center"/>
              <w:rPr>
                <w:rFonts w:hint="eastAsia" w:ascii="宋体" w:hAnsi="宋体"/>
                <w:b/>
                <w:bCs/>
                <w:szCs w:val="21"/>
              </w:rPr>
            </w:pPr>
            <w:r>
              <w:rPr>
                <w:rFonts w:hint="eastAsia" w:ascii="宋体" w:hAnsi="宋体"/>
                <w:b/>
                <w:bCs/>
                <w:szCs w:val="21"/>
              </w:rPr>
              <w:t>评审角色</w:t>
            </w:r>
          </w:p>
        </w:tc>
        <w:tc>
          <w:tcPr>
            <w:tcW w:w="1706" w:type="dxa"/>
            <w:vAlign w:val="center"/>
          </w:tcPr>
          <w:p>
            <w:pPr>
              <w:spacing w:line="420" w:lineRule="exact"/>
              <w:jc w:val="center"/>
              <w:rPr>
                <w:rFonts w:hint="eastAsia" w:ascii="宋体" w:hAnsi="宋体"/>
                <w:b/>
                <w:bCs/>
                <w:szCs w:val="21"/>
              </w:rPr>
            </w:pPr>
            <w:r>
              <w:rPr>
                <w:rFonts w:hint="eastAsia" w:ascii="宋体" w:hAnsi="宋体"/>
                <w:b/>
                <w:bCs/>
                <w:szCs w:val="21"/>
              </w:rPr>
              <w:t>评标签到时间</w:t>
            </w:r>
          </w:p>
        </w:tc>
        <w:tc>
          <w:tcPr>
            <w:tcW w:w="1697" w:type="dxa"/>
            <w:vAlign w:val="center"/>
          </w:tcPr>
          <w:p>
            <w:pPr>
              <w:spacing w:line="420" w:lineRule="exact"/>
              <w:jc w:val="center"/>
              <w:rPr>
                <w:rFonts w:hint="eastAsia" w:ascii="宋体" w:hAnsi="宋体"/>
                <w:b/>
                <w:bCs/>
                <w:szCs w:val="21"/>
              </w:rPr>
            </w:pPr>
            <w:r>
              <w:rPr>
                <w:rFonts w:hint="eastAsia" w:ascii="宋体" w:hAnsi="宋体"/>
                <w:b/>
                <w:bCs/>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1</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2</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3</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4</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5</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6</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pPr>
              <w:spacing w:line="420" w:lineRule="exact"/>
              <w:jc w:val="center"/>
              <w:rPr>
                <w:rFonts w:hint="eastAsia" w:ascii="宋体" w:hAnsi="宋体"/>
                <w:szCs w:val="21"/>
              </w:rPr>
            </w:pPr>
            <w:r>
              <w:rPr>
                <w:rFonts w:hint="eastAsia" w:ascii="宋体" w:hAnsi="宋体"/>
                <w:szCs w:val="21"/>
              </w:rPr>
              <w:t>7</w:t>
            </w:r>
          </w:p>
        </w:tc>
        <w:tc>
          <w:tcPr>
            <w:tcW w:w="1169" w:type="dxa"/>
            <w:vAlign w:val="center"/>
          </w:tcPr>
          <w:p>
            <w:pPr>
              <w:spacing w:line="420" w:lineRule="exact"/>
              <w:jc w:val="center"/>
              <w:rPr>
                <w:rFonts w:hint="eastAsia" w:ascii="宋体" w:hAnsi="宋体"/>
                <w:szCs w:val="21"/>
              </w:rPr>
            </w:pPr>
          </w:p>
        </w:tc>
        <w:tc>
          <w:tcPr>
            <w:tcW w:w="1797" w:type="dxa"/>
            <w:vAlign w:val="center"/>
          </w:tcPr>
          <w:p>
            <w:pPr>
              <w:spacing w:line="420" w:lineRule="exact"/>
              <w:jc w:val="center"/>
              <w:rPr>
                <w:rFonts w:hint="eastAsia" w:ascii="宋体" w:hAnsi="宋体"/>
                <w:szCs w:val="21"/>
              </w:rPr>
            </w:pPr>
          </w:p>
        </w:tc>
        <w:tc>
          <w:tcPr>
            <w:tcW w:w="1930" w:type="dxa"/>
            <w:vAlign w:val="center"/>
          </w:tcPr>
          <w:p>
            <w:pPr>
              <w:spacing w:line="420" w:lineRule="exact"/>
              <w:jc w:val="center"/>
              <w:rPr>
                <w:rFonts w:hint="eastAsia" w:ascii="宋体" w:hAnsi="宋体"/>
                <w:szCs w:val="21"/>
              </w:rPr>
            </w:pPr>
          </w:p>
        </w:tc>
        <w:tc>
          <w:tcPr>
            <w:tcW w:w="1793" w:type="dxa"/>
            <w:vAlign w:val="center"/>
          </w:tcPr>
          <w:p>
            <w:pPr>
              <w:spacing w:line="420" w:lineRule="exact"/>
              <w:jc w:val="center"/>
              <w:rPr>
                <w:rFonts w:hint="eastAsia" w:ascii="宋体" w:hAnsi="宋体"/>
                <w:szCs w:val="21"/>
              </w:rPr>
            </w:pPr>
          </w:p>
        </w:tc>
        <w:tc>
          <w:tcPr>
            <w:tcW w:w="1431" w:type="dxa"/>
            <w:vAlign w:val="center"/>
          </w:tcPr>
          <w:p>
            <w:pPr>
              <w:spacing w:line="420" w:lineRule="exact"/>
              <w:jc w:val="center"/>
              <w:rPr>
                <w:rFonts w:hint="eastAsia" w:ascii="宋体" w:hAnsi="宋体"/>
                <w:szCs w:val="21"/>
              </w:rPr>
            </w:pPr>
          </w:p>
        </w:tc>
        <w:tc>
          <w:tcPr>
            <w:tcW w:w="1520" w:type="dxa"/>
            <w:vAlign w:val="center"/>
          </w:tcPr>
          <w:p>
            <w:pPr>
              <w:spacing w:line="420" w:lineRule="exact"/>
              <w:jc w:val="center"/>
              <w:rPr>
                <w:rFonts w:hint="eastAsia" w:ascii="宋体" w:hAnsi="宋体"/>
                <w:szCs w:val="21"/>
              </w:rPr>
            </w:pPr>
          </w:p>
        </w:tc>
        <w:tc>
          <w:tcPr>
            <w:tcW w:w="1706" w:type="dxa"/>
            <w:vAlign w:val="center"/>
          </w:tcPr>
          <w:p>
            <w:pPr>
              <w:spacing w:line="420" w:lineRule="exact"/>
              <w:jc w:val="center"/>
              <w:rPr>
                <w:rFonts w:hint="eastAsia" w:ascii="宋体" w:hAnsi="宋体"/>
                <w:szCs w:val="21"/>
              </w:rPr>
            </w:pPr>
          </w:p>
        </w:tc>
        <w:tc>
          <w:tcPr>
            <w:tcW w:w="1697" w:type="dxa"/>
          </w:tcPr>
          <w:p>
            <w:pPr>
              <w:spacing w:line="420" w:lineRule="exact"/>
              <w:jc w:val="center"/>
              <w:rPr>
                <w:rFonts w:hint="eastAsia" w:ascii="宋体" w:hAnsi="宋体"/>
                <w:szCs w:val="21"/>
              </w:rPr>
            </w:pPr>
          </w:p>
        </w:tc>
      </w:tr>
      <w:bookmarkEnd w:id="788"/>
    </w:tbl>
    <w:p>
      <w:pPr>
        <w:spacing w:after="240" w:afterLines="100"/>
        <w:rPr>
          <w:szCs w:val="44"/>
        </w:rPr>
      </w:pPr>
    </w:p>
    <w:p>
      <w:pPr>
        <w:adjustRightInd w:val="0"/>
        <w:snapToGrid w:val="0"/>
        <w:spacing w:line="440" w:lineRule="exact"/>
        <w:rPr>
          <w:rFonts w:ascii="黑体" w:eastAsia="黑体"/>
          <w:sz w:val="24"/>
        </w:rPr>
      </w:pPr>
    </w:p>
    <w:p>
      <w:pPr>
        <w:adjustRightInd w:val="0"/>
        <w:snapToGrid w:val="0"/>
        <w:spacing w:line="440" w:lineRule="exact"/>
        <w:rPr>
          <w:rFonts w:ascii="黑体" w:eastAsia="黑体"/>
          <w:sz w:val="24"/>
        </w:rPr>
        <w:sectPr>
          <w:footerReference r:id="rId14" w:type="default"/>
          <w:footerReference r:id="rId15" w:type="even"/>
          <w:pgSz w:w="16838" w:h="11906" w:orient="landscape"/>
          <w:pgMar w:top="1797" w:right="1440" w:bottom="1797" w:left="1440" w:header="851" w:footer="851" w:gutter="0"/>
          <w:cols w:space="720" w:num="1"/>
          <w:docGrid w:linePitch="312" w:charSpace="0"/>
        </w:sectPr>
      </w:pPr>
    </w:p>
    <w:p>
      <w:pPr>
        <w:pStyle w:val="31"/>
      </w:pPr>
      <w:bookmarkStart w:id="789" w:name="_Toc165804448"/>
      <w:bookmarkStart w:id="790" w:name="_Toc256000131"/>
      <w:bookmarkStart w:id="791" w:name="_Toc22354"/>
      <w:r>
        <w:t>附表A-2：评标专家</w:t>
      </w:r>
      <w:r>
        <w:rPr>
          <w:rFonts w:hint="eastAsia"/>
        </w:rPr>
        <w:t>告知承诺函</w:t>
      </w:r>
      <w:bookmarkEnd w:id="789"/>
      <w:bookmarkEnd w:id="790"/>
      <w:bookmarkEnd w:id="791"/>
    </w:p>
    <w:p>
      <w:pPr>
        <w:adjustRightInd w:val="0"/>
        <w:snapToGrid w:val="0"/>
        <w:spacing w:line="440" w:lineRule="exact"/>
        <w:rPr>
          <w:rFonts w:ascii="黑体" w:eastAsia="黑体"/>
          <w:sz w:val="24"/>
        </w:rPr>
      </w:pPr>
    </w:p>
    <w:p>
      <w:pPr>
        <w:adjustRightInd w:val="0"/>
        <w:snapToGrid w:val="0"/>
        <w:spacing w:before="240" w:beforeLines="100" w:after="240" w:afterLines="100" w:line="440" w:lineRule="exact"/>
        <w:jc w:val="center"/>
        <w:rPr>
          <w:rFonts w:hint="eastAsia" w:ascii="黑体" w:hAnsi="宋体" w:eastAsia="黑体"/>
          <w:sz w:val="36"/>
          <w:szCs w:val="36"/>
        </w:rPr>
      </w:pPr>
      <w:r>
        <w:rPr>
          <w:rFonts w:hint="eastAsia" w:ascii="黑体" w:hAnsi="宋体" w:eastAsia="黑体"/>
          <w:sz w:val="36"/>
          <w:szCs w:val="36"/>
        </w:rPr>
        <w:t>评标专家告知承诺函</w:t>
      </w:r>
    </w:p>
    <w:p>
      <w:pPr>
        <w:spacing w:line="360" w:lineRule="auto"/>
        <w:ind w:firstLine="420" w:firstLineChars="200"/>
      </w:pPr>
    </w:p>
    <w:p>
      <w:pPr>
        <w:spacing w:line="360" w:lineRule="auto"/>
        <w:ind w:firstLine="420" w:firstLineChars="200"/>
      </w:pPr>
      <w:r>
        <w:t>本人接受招标人邀请，担任</w:t>
      </w: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（标段名称）项目</w:t>
      </w:r>
      <w:r>
        <w:t>招标的评标专家。</w:t>
      </w:r>
    </w:p>
    <w:p>
      <w:pPr>
        <w:spacing w:line="360" w:lineRule="auto"/>
        <w:ind w:firstLine="420" w:firstLineChars="200"/>
        <w:rPr>
          <w:rFonts w:hint="eastAsia" w:ascii="宋体" w:hAnsi="宋体"/>
          <w:szCs w:val="21"/>
        </w:rPr>
      </w:pPr>
      <w:r>
        <w:rPr>
          <w:rFonts w:hint="eastAsia" w:ascii="宋体" w:hAnsi="宋体"/>
          <w:szCs w:val="21"/>
        </w:rPr>
        <w:t>本人作为辽宁省评标专家库评标专家，已知悉相关权利义务，已熟知告知承诺函内容，并在此郑重承诺:</w:t>
      </w:r>
    </w:p>
    <w:p>
      <w:pPr>
        <w:spacing w:line="360" w:lineRule="auto"/>
        <w:ind w:firstLine="420" w:firstLineChars="200"/>
        <w:rPr>
          <w:rFonts w:hint="eastAsia" w:ascii="宋体" w:hAnsi="宋体"/>
          <w:szCs w:val="21"/>
        </w:rPr>
      </w:pPr>
      <w:r>
        <w:rPr>
          <w:rFonts w:hint="eastAsia" w:ascii="宋体" w:hAnsi="宋体"/>
          <w:szCs w:val="21"/>
        </w:rPr>
        <w:t>一、尽职承诺</w:t>
      </w:r>
    </w:p>
    <w:p>
      <w:pPr>
        <w:spacing w:line="360" w:lineRule="auto"/>
        <w:ind w:firstLine="420" w:firstLineChars="200"/>
        <w:rPr>
          <w:rFonts w:hint="eastAsia" w:ascii="宋体" w:hAnsi="宋体"/>
          <w:szCs w:val="21"/>
        </w:rPr>
      </w:pPr>
      <w:r>
        <w:rPr>
          <w:rFonts w:hint="eastAsia" w:ascii="宋体" w:hAnsi="宋体"/>
          <w:szCs w:val="21"/>
        </w:rPr>
        <w:t>（一）客观、公正地履行职务，严格按照法律法规规定、评标办法独立完成该项目的评标工作。</w:t>
      </w:r>
    </w:p>
    <w:p>
      <w:pPr>
        <w:spacing w:line="360" w:lineRule="auto"/>
        <w:ind w:firstLine="420" w:firstLineChars="200"/>
        <w:rPr>
          <w:rFonts w:hint="eastAsia" w:ascii="宋体" w:hAnsi="宋体"/>
          <w:szCs w:val="21"/>
        </w:rPr>
      </w:pPr>
      <w:r>
        <w:rPr>
          <w:rFonts w:hint="eastAsia" w:ascii="宋体" w:hAnsi="宋体"/>
          <w:szCs w:val="21"/>
        </w:rPr>
        <w:t>（二）严格遵守评标纪律，保证评标过程中不发表任何涉及实质性内容的倾向性、引导性言论，不擅离职守。</w:t>
      </w:r>
    </w:p>
    <w:p>
      <w:pPr>
        <w:spacing w:line="360" w:lineRule="auto"/>
        <w:ind w:firstLine="420" w:firstLineChars="200"/>
        <w:rPr>
          <w:rFonts w:hint="eastAsia" w:ascii="宋体" w:hAnsi="宋体"/>
          <w:szCs w:val="21"/>
        </w:rPr>
      </w:pPr>
      <w:r>
        <w:rPr>
          <w:rFonts w:hint="eastAsia" w:ascii="宋体" w:hAnsi="宋体"/>
          <w:szCs w:val="21"/>
        </w:rPr>
        <w:t>（三）严格遵守《中华人民共和国招标投标法》《中华人民共和国保守国家秘密法》《中华人民共和国招标投标法实施条例》相关规定，遵守职业道德，对所提出的评审意见承担个人责任，自觉维护国家利益、社会公共利益。</w:t>
      </w:r>
    </w:p>
    <w:p>
      <w:pPr>
        <w:spacing w:line="360" w:lineRule="auto"/>
        <w:ind w:firstLine="420" w:firstLineChars="200"/>
        <w:rPr>
          <w:rFonts w:hint="eastAsia" w:ascii="宋体" w:hAnsi="宋体"/>
          <w:szCs w:val="21"/>
        </w:rPr>
      </w:pPr>
      <w:r>
        <w:rPr>
          <w:rFonts w:hint="eastAsia" w:ascii="宋体" w:hAnsi="宋体"/>
          <w:szCs w:val="21"/>
        </w:rPr>
        <w:t>（四）对依法应当否决的投标提出否决意见。</w:t>
      </w:r>
    </w:p>
    <w:p>
      <w:pPr>
        <w:spacing w:line="360" w:lineRule="auto"/>
        <w:ind w:firstLine="420" w:firstLineChars="200"/>
        <w:rPr>
          <w:rFonts w:hint="eastAsia" w:ascii="宋体" w:hAnsi="宋体"/>
          <w:szCs w:val="21"/>
        </w:rPr>
      </w:pPr>
      <w:r>
        <w:rPr>
          <w:rFonts w:hint="eastAsia" w:ascii="宋体" w:hAnsi="宋体"/>
          <w:szCs w:val="21"/>
        </w:rPr>
        <w:t>二、回避承诺</w:t>
      </w:r>
    </w:p>
    <w:p>
      <w:pPr>
        <w:spacing w:line="360" w:lineRule="auto"/>
        <w:ind w:firstLine="420" w:firstLineChars="200"/>
        <w:rPr>
          <w:rFonts w:hint="eastAsia" w:ascii="宋体" w:hAnsi="宋体"/>
          <w:szCs w:val="21"/>
        </w:rPr>
      </w:pPr>
      <w:r>
        <w:rPr>
          <w:rFonts w:hint="eastAsia" w:ascii="宋体" w:hAnsi="宋体"/>
          <w:szCs w:val="21"/>
        </w:rPr>
        <w:t>（一）与招标人或投标人的主要负责人不存在近亲属关系。</w:t>
      </w:r>
    </w:p>
    <w:p>
      <w:pPr>
        <w:spacing w:line="360" w:lineRule="auto"/>
        <w:ind w:firstLine="420" w:firstLineChars="200"/>
        <w:rPr>
          <w:rFonts w:hint="eastAsia" w:ascii="宋体" w:hAnsi="宋体"/>
          <w:szCs w:val="21"/>
        </w:rPr>
      </w:pPr>
      <w:r>
        <w:rPr>
          <w:rFonts w:hint="eastAsia" w:ascii="宋体" w:hAnsi="宋体"/>
          <w:szCs w:val="21"/>
        </w:rPr>
        <w:t>（二）非项目主管部门或者行政监督部门的人员。</w:t>
      </w:r>
    </w:p>
    <w:p>
      <w:pPr>
        <w:spacing w:line="360" w:lineRule="auto"/>
        <w:ind w:firstLine="420" w:firstLineChars="200"/>
        <w:rPr>
          <w:rFonts w:hint="eastAsia" w:ascii="宋体" w:hAnsi="宋体"/>
          <w:szCs w:val="21"/>
        </w:rPr>
      </w:pPr>
      <w:r>
        <w:rPr>
          <w:rFonts w:hint="eastAsia" w:ascii="宋体" w:hAnsi="宋体"/>
          <w:szCs w:val="21"/>
        </w:rPr>
        <w:t>（三）近</w:t>
      </w:r>
      <w:r>
        <w:rPr>
          <w:rFonts w:ascii="宋体" w:hAnsi="宋体"/>
          <w:szCs w:val="21"/>
        </w:rPr>
        <w:t>5</w:t>
      </w:r>
      <w:r>
        <w:rPr>
          <w:rFonts w:hint="eastAsia" w:ascii="宋体" w:hAnsi="宋体"/>
          <w:szCs w:val="21"/>
        </w:rPr>
        <w:t>年未与投标人或者投标人主要负责人有其他社会关系或者经济利益关系。</w:t>
      </w:r>
    </w:p>
    <w:p>
      <w:pPr>
        <w:spacing w:line="360" w:lineRule="auto"/>
        <w:ind w:firstLine="420" w:firstLineChars="200"/>
        <w:rPr>
          <w:rFonts w:hint="eastAsia" w:ascii="宋体" w:hAnsi="宋体"/>
          <w:szCs w:val="21"/>
        </w:rPr>
      </w:pPr>
      <w:r>
        <w:rPr>
          <w:rFonts w:hint="eastAsia" w:ascii="宋体" w:hAnsi="宋体"/>
          <w:szCs w:val="21"/>
        </w:rPr>
        <w:t>（四）未曾因在招标、评标以及其他与招标投标有关活动中从事违法行为而受过行政处罚或刑事处罚的。</w:t>
      </w:r>
    </w:p>
    <w:p>
      <w:pPr>
        <w:spacing w:line="360" w:lineRule="auto"/>
        <w:ind w:firstLine="420" w:firstLineChars="200"/>
        <w:rPr>
          <w:rFonts w:hint="eastAsia" w:ascii="宋体" w:hAnsi="宋体"/>
          <w:szCs w:val="21"/>
        </w:rPr>
      </w:pPr>
      <w:r>
        <w:rPr>
          <w:rFonts w:hint="eastAsia" w:ascii="宋体" w:hAnsi="宋体"/>
          <w:szCs w:val="21"/>
        </w:rPr>
        <w:t>三、保密承诺</w:t>
      </w:r>
    </w:p>
    <w:p>
      <w:pPr>
        <w:spacing w:line="360" w:lineRule="auto"/>
        <w:ind w:firstLine="420" w:firstLineChars="200"/>
        <w:rPr>
          <w:rFonts w:hint="eastAsia" w:ascii="宋体" w:hAnsi="宋体"/>
          <w:szCs w:val="21"/>
        </w:rPr>
      </w:pPr>
      <w:r>
        <w:rPr>
          <w:rFonts w:hint="eastAsia" w:ascii="宋体" w:hAnsi="宋体"/>
          <w:szCs w:val="21"/>
        </w:rPr>
        <w:t>（一）不在公共社交网站、媒体、平台，如微信群、QQ群、朋友圈、个人微博等，通过视频、图片、暗语等方式泄露评标任务。</w:t>
      </w:r>
    </w:p>
    <w:p>
      <w:pPr>
        <w:spacing w:line="360" w:lineRule="auto"/>
        <w:ind w:firstLine="420" w:firstLineChars="200"/>
        <w:rPr>
          <w:rFonts w:hint="eastAsia" w:ascii="宋体" w:hAnsi="宋体"/>
          <w:szCs w:val="21"/>
        </w:rPr>
      </w:pPr>
      <w:r>
        <w:rPr>
          <w:rFonts w:hint="eastAsia" w:ascii="宋体" w:hAnsi="宋体"/>
          <w:szCs w:val="21"/>
        </w:rPr>
        <w:t>（二）评审结束时，全部清退不应由个人持有的评审项目所有文件和资料，不向任何人透露投标文件的评审和比较情况、中标候选人推荐情况以及与评审有关的其他情况。</w:t>
      </w:r>
    </w:p>
    <w:p>
      <w:pPr>
        <w:spacing w:line="360" w:lineRule="auto"/>
        <w:ind w:firstLine="420" w:firstLineChars="200"/>
        <w:rPr>
          <w:rFonts w:hint="eastAsia" w:ascii="宋体" w:hAnsi="宋体"/>
          <w:szCs w:val="21"/>
        </w:rPr>
      </w:pPr>
      <w:r>
        <w:rPr>
          <w:rFonts w:hint="eastAsia" w:ascii="宋体" w:hAnsi="宋体"/>
          <w:szCs w:val="21"/>
        </w:rPr>
        <w:t>四、廉洁承诺</w:t>
      </w:r>
    </w:p>
    <w:p>
      <w:pPr>
        <w:spacing w:line="360" w:lineRule="auto"/>
        <w:ind w:firstLine="420" w:firstLineChars="200"/>
        <w:rPr>
          <w:rFonts w:hint="eastAsia" w:ascii="宋体" w:hAnsi="宋体"/>
          <w:szCs w:val="21"/>
        </w:rPr>
      </w:pPr>
      <w:r>
        <w:rPr>
          <w:rFonts w:hint="eastAsia" w:ascii="宋体" w:hAnsi="宋体"/>
          <w:szCs w:val="21"/>
        </w:rPr>
        <w:t>（一）严格履行廉政自律责任，遵守评标廉政纪律，没有私下接触招标人、招标代理机构、投标人，没有收受利益相关人或企业的财物、好处。</w:t>
      </w:r>
    </w:p>
    <w:p>
      <w:pPr>
        <w:spacing w:line="360" w:lineRule="auto"/>
        <w:ind w:firstLine="420" w:firstLineChars="200"/>
        <w:rPr>
          <w:rFonts w:hint="eastAsia" w:ascii="宋体" w:hAnsi="宋体"/>
          <w:szCs w:val="21"/>
        </w:rPr>
      </w:pPr>
      <w:r>
        <w:rPr>
          <w:rFonts w:hint="eastAsia" w:ascii="宋体" w:hAnsi="宋体"/>
          <w:szCs w:val="21"/>
        </w:rPr>
        <w:t>（二）不向招标人征询确定中标人的意向或者接受任何单位、个人明示暗示特定投标人的要求。</w:t>
      </w:r>
    </w:p>
    <w:p>
      <w:pPr>
        <w:spacing w:line="360" w:lineRule="auto"/>
        <w:ind w:firstLine="420" w:firstLineChars="200"/>
        <w:rPr>
          <w:rFonts w:hint="eastAsia" w:ascii="宋体" w:hAnsi="宋体"/>
          <w:szCs w:val="21"/>
        </w:rPr>
      </w:pPr>
      <w:r>
        <w:rPr>
          <w:rFonts w:hint="eastAsia" w:ascii="宋体" w:hAnsi="宋体"/>
          <w:szCs w:val="21"/>
        </w:rPr>
        <w:t>（三）不暗示或者诱导投标人作出澄清、说明或者接受投标人主动提出的澄清、说明。</w:t>
      </w:r>
    </w:p>
    <w:p>
      <w:pPr>
        <w:spacing w:line="360" w:lineRule="auto"/>
        <w:ind w:firstLine="420" w:firstLineChars="200"/>
        <w:rPr>
          <w:rFonts w:hint="eastAsia" w:ascii="宋体" w:hAnsi="宋体"/>
          <w:szCs w:val="21"/>
        </w:rPr>
      </w:pPr>
      <w:r>
        <w:rPr>
          <w:rFonts w:hint="eastAsia" w:ascii="宋体" w:hAnsi="宋体"/>
          <w:szCs w:val="21"/>
        </w:rPr>
        <w:t>（四）自觉抵制招标投标活动中的违法违规行为，积极配合协助行政监督部门、纪检监察部门、公安部门、检察机关等依法进行监督。</w:t>
      </w:r>
    </w:p>
    <w:p>
      <w:pPr>
        <w:spacing w:line="360" w:lineRule="auto"/>
        <w:ind w:firstLine="420" w:firstLineChars="200"/>
        <w:rPr>
          <w:rFonts w:hint="eastAsia" w:ascii="宋体" w:hAnsi="宋体"/>
          <w:szCs w:val="21"/>
        </w:rPr>
      </w:pPr>
      <w:r>
        <w:rPr>
          <w:rFonts w:hint="eastAsia" w:ascii="宋体" w:hAnsi="宋体"/>
          <w:szCs w:val="21"/>
        </w:rPr>
        <w:t>五、不参与串通投标承诺</w:t>
      </w:r>
    </w:p>
    <w:p>
      <w:pPr>
        <w:spacing w:line="360" w:lineRule="auto"/>
        <w:ind w:firstLine="420" w:firstLineChars="200"/>
        <w:rPr>
          <w:rFonts w:hint="eastAsia" w:ascii="宋体" w:hAnsi="宋体"/>
          <w:szCs w:val="21"/>
        </w:rPr>
      </w:pPr>
      <w:r>
        <w:rPr>
          <w:rFonts w:hint="eastAsia" w:ascii="宋体" w:hAnsi="宋体"/>
          <w:szCs w:val="21"/>
        </w:rPr>
        <w:t>（一）依法依规参加本招标项目的评标工作，不参与串通投标。</w:t>
      </w:r>
    </w:p>
    <w:p>
      <w:pPr>
        <w:spacing w:line="360" w:lineRule="auto"/>
        <w:ind w:firstLine="420" w:firstLineChars="200"/>
        <w:rPr>
          <w:rFonts w:hint="eastAsia" w:ascii="宋体" w:hAnsi="宋体"/>
          <w:szCs w:val="21"/>
        </w:rPr>
      </w:pPr>
      <w:r>
        <w:rPr>
          <w:rFonts w:hint="eastAsia" w:ascii="宋体" w:hAnsi="宋体"/>
          <w:szCs w:val="21"/>
        </w:rPr>
        <w:t>（二）清楚并知晓《中华人民共和国刑法》第一百六十三条“公司、</w:t>
      </w:r>
      <w:r>
        <w:rPr>
          <w:rFonts w:ascii="宋体" w:hAnsi="宋体"/>
          <w:szCs w:val="21"/>
        </w:rPr>
        <w:t>企业</w:t>
      </w:r>
      <w:r>
        <w:rPr>
          <w:rFonts w:hint="eastAsia" w:ascii="宋体" w:hAnsi="宋体"/>
          <w:szCs w:val="21"/>
        </w:rPr>
        <w:t>或者其他单位</w:t>
      </w:r>
      <w:r>
        <w:rPr>
          <w:rFonts w:ascii="宋体" w:hAnsi="宋体"/>
          <w:szCs w:val="21"/>
        </w:rPr>
        <w:t>的</w:t>
      </w:r>
      <w:r>
        <w:rPr>
          <w:rFonts w:hint="eastAsia" w:ascii="宋体" w:hAnsi="宋体"/>
          <w:szCs w:val="21"/>
        </w:rPr>
        <w:t>工作人员，利用职务上的便利，</w:t>
      </w:r>
      <w:r>
        <w:rPr>
          <w:rFonts w:ascii="宋体" w:hAnsi="宋体"/>
          <w:szCs w:val="21"/>
        </w:rPr>
        <w:t>索取他人财物或者非法收受他</w:t>
      </w:r>
      <w:r>
        <w:rPr>
          <w:rFonts w:hint="eastAsia" w:ascii="宋体" w:hAnsi="宋体"/>
          <w:szCs w:val="21"/>
        </w:rPr>
        <w:t>人财物，</w:t>
      </w:r>
      <w:r>
        <w:rPr>
          <w:rFonts w:ascii="宋体" w:hAnsi="宋体"/>
          <w:szCs w:val="21"/>
        </w:rPr>
        <w:t>为他人谋取利益</w:t>
      </w:r>
      <w:r>
        <w:rPr>
          <w:rFonts w:hint="eastAsia" w:ascii="宋体" w:hAnsi="宋体"/>
          <w:szCs w:val="21"/>
        </w:rPr>
        <w:t>，</w:t>
      </w:r>
      <w:r>
        <w:rPr>
          <w:rFonts w:ascii="宋体" w:hAnsi="宋体"/>
          <w:szCs w:val="21"/>
        </w:rPr>
        <w:t>数额较大的</w:t>
      </w:r>
      <w:r>
        <w:rPr>
          <w:rFonts w:hint="eastAsia" w:ascii="宋体" w:hAnsi="宋体"/>
          <w:szCs w:val="21"/>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szCs w:val="21"/>
        </w:rPr>
        <w:t>徒刑</w:t>
      </w:r>
      <w:r>
        <w:rPr>
          <w:rFonts w:hint="eastAsia" w:ascii="宋体" w:hAnsi="宋体"/>
          <w:szCs w:val="21"/>
        </w:rPr>
        <w:t>，</w:t>
      </w:r>
      <w:r>
        <w:rPr>
          <w:rFonts w:ascii="宋体" w:hAnsi="宋体"/>
          <w:szCs w:val="21"/>
        </w:rPr>
        <w:t>并处</w:t>
      </w:r>
      <w:r>
        <w:rPr>
          <w:rFonts w:hint="eastAsia" w:ascii="宋体" w:hAnsi="宋体"/>
          <w:szCs w:val="21"/>
        </w:rPr>
        <w:t>罚金”的规定。</w:t>
      </w:r>
    </w:p>
    <w:p>
      <w:pPr>
        <w:spacing w:line="360" w:lineRule="auto"/>
        <w:ind w:firstLine="420" w:firstLineChars="200"/>
        <w:rPr>
          <w:rFonts w:hint="eastAsia" w:ascii="宋体" w:hAnsi="宋体"/>
          <w:szCs w:val="21"/>
        </w:rPr>
      </w:pPr>
      <w:r>
        <w:rPr>
          <w:rFonts w:hint="eastAsia" w:ascii="宋体" w:hAnsi="宋体"/>
          <w:szCs w:val="21"/>
        </w:rPr>
        <w:t>（三）本人如被查实在本招标项目评标工作中参与串通投标的，自愿承担相应法律责任，接受相应刑事和纪律、行政处罚以及失信惩戒。</w:t>
      </w:r>
    </w:p>
    <w:p>
      <w:pPr>
        <w:spacing w:line="360" w:lineRule="auto"/>
        <w:ind w:firstLine="420" w:firstLineChars="200"/>
        <w:rPr>
          <w:rFonts w:hint="eastAsia" w:ascii="宋体" w:hAnsi="宋体"/>
          <w:szCs w:val="21"/>
        </w:rPr>
      </w:pPr>
      <w:r>
        <w:rPr>
          <w:rFonts w:hint="eastAsia" w:ascii="宋体" w:hAnsi="宋体"/>
          <w:szCs w:val="21"/>
        </w:rPr>
        <w:t>六、本承诺函由我本人亲自签字确认。</w:t>
      </w:r>
    </w:p>
    <w:p>
      <w:pPr>
        <w:spacing w:line="360" w:lineRule="auto"/>
        <w:ind w:firstLine="420" w:firstLineChars="200"/>
        <w:rPr>
          <w:rFonts w:hint="eastAsia" w:ascii="宋体" w:hAnsi="宋体"/>
          <w:szCs w:val="21"/>
        </w:rPr>
      </w:pPr>
    </w:p>
    <w:p>
      <w:pPr>
        <w:spacing w:line="360" w:lineRule="auto"/>
        <w:ind w:firstLine="420" w:firstLineChars="200"/>
        <w:rPr>
          <w:rFonts w:hint="eastAsia" w:ascii="宋体" w:hAnsi="宋体"/>
          <w:szCs w:val="21"/>
        </w:rPr>
      </w:pPr>
    </w:p>
    <w:p>
      <w:pPr>
        <w:spacing w:line="360" w:lineRule="auto"/>
        <w:ind w:firstLine="420" w:firstLineChars="200"/>
        <w:jc w:val="left"/>
        <w:rPr>
          <w:rFonts w:hint="eastAsia" w:ascii="宋体" w:hAnsi="宋体"/>
          <w:szCs w:val="21"/>
        </w:rPr>
      </w:pPr>
      <w:r>
        <w:rPr>
          <w:rFonts w:hint="eastAsia" w:ascii="宋体" w:hAnsi="宋体"/>
          <w:szCs w:val="21"/>
        </w:rPr>
        <w:t xml:space="preserve">本人是□ 否□ 为中共党员 </w:t>
      </w:r>
    </w:p>
    <w:p>
      <w:pPr>
        <w:spacing w:line="360" w:lineRule="auto"/>
        <w:ind w:firstLine="1680" w:firstLineChars="800"/>
        <w:rPr>
          <w:rFonts w:hint="eastAsia" w:ascii="宋体" w:hAnsi="宋体"/>
          <w:szCs w:val="21"/>
        </w:rPr>
      </w:pPr>
      <w:r>
        <w:rPr>
          <w:rFonts w:hint="eastAsia" w:ascii="宋体" w:hAnsi="宋体"/>
          <w:szCs w:val="21"/>
        </w:rPr>
        <w:t>（应单选，</w:t>
      </w:r>
      <w:r>
        <w:rPr>
          <w:rFonts w:hint="eastAsia" w:ascii="宋体" w:hAnsi="宋体"/>
          <w:b/>
          <w:bCs/>
          <w:szCs w:val="21"/>
          <w:shd w:val="clear" w:color="auto" w:fill="FFFFFF"/>
        </w:rPr>
        <w:t>并在方框内打“√”</w:t>
      </w:r>
      <w:r>
        <w:rPr>
          <w:rFonts w:hint="eastAsia" w:ascii="宋体" w:hAnsi="宋体"/>
          <w:szCs w:val="21"/>
        </w:rPr>
        <w:t>）</w:t>
      </w:r>
    </w:p>
    <w:p>
      <w:pPr>
        <w:spacing w:line="360" w:lineRule="auto"/>
        <w:ind w:firstLine="1260" w:firstLineChars="600"/>
        <w:rPr>
          <w:rFonts w:hint="eastAsia" w:ascii="宋体" w:hAnsi="宋体"/>
          <w:szCs w:val="21"/>
        </w:rPr>
      </w:pPr>
    </w:p>
    <w:p>
      <w:pPr>
        <w:spacing w:line="360" w:lineRule="auto"/>
        <w:ind w:firstLine="1260" w:firstLineChars="600"/>
        <w:rPr>
          <w:rFonts w:hint="eastAsia" w:ascii="宋体" w:hAnsi="宋体"/>
          <w:szCs w:val="21"/>
        </w:rPr>
      </w:pPr>
    </w:p>
    <w:p>
      <w:pPr>
        <w:spacing w:line="360" w:lineRule="auto"/>
        <w:ind w:firstLine="1260" w:firstLineChars="600"/>
        <w:rPr>
          <w:rFonts w:hint="eastAsia" w:ascii="宋体" w:hAnsi="宋体"/>
          <w:szCs w:val="21"/>
        </w:rPr>
      </w:pPr>
    </w:p>
    <w:p>
      <w:pPr>
        <w:spacing w:line="360" w:lineRule="auto"/>
        <w:ind w:firstLine="420" w:firstLineChars="200"/>
        <w:jc w:val="cente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承 诺 人：             （签字）</w:t>
      </w:r>
    </w:p>
    <w:p>
      <w:pPr>
        <w:spacing w:line="360" w:lineRule="auto"/>
        <w:ind w:firstLine="1260" w:firstLineChars="600"/>
        <w:rPr>
          <w:rFonts w:hint="eastAsia" w:ascii="宋体" w:hAnsi="宋体"/>
          <w:szCs w:val="21"/>
        </w:rPr>
      </w:pPr>
    </w:p>
    <w:p>
      <w:pPr>
        <w:spacing w:line="360" w:lineRule="auto"/>
        <w:ind w:right="840" w:firstLine="420" w:firstLineChars="200"/>
        <w:jc w:val="cente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承诺时间：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月  日</w:t>
      </w:r>
    </w:p>
    <w:p>
      <w:pPr>
        <w:spacing w:line="360" w:lineRule="auto"/>
        <w:ind w:firstLine="420" w:firstLineChars="200"/>
        <w:rPr>
          <w:rFonts w:hint="eastAsia" w:ascii="宋体" w:hAnsi="宋体"/>
          <w:szCs w:val="21"/>
        </w:rPr>
      </w:pPr>
    </w:p>
    <w:p>
      <w:pPr>
        <w:spacing w:line="430" w:lineRule="exact"/>
        <w:ind w:firstLine="420" w:firstLineChars="200"/>
      </w:pPr>
    </w:p>
    <w:p>
      <w:pPr>
        <w:spacing w:line="430" w:lineRule="exact"/>
        <w:ind w:firstLine="5460" w:firstLineChars="2600"/>
      </w:pPr>
    </w:p>
    <w:p>
      <w:pPr>
        <w:spacing w:line="430" w:lineRule="exact"/>
        <w:ind w:firstLine="5460" w:firstLineChars="2600"/>
      </w:pPr>
      <w:r>
        <w:br w:type="page"/>
      </w:r>
    </w:p>
    <w:p>
      <w:pPr>
        <w:pStyle w:val="31"/>
        <w:ind w:firstLine="118"/>
      </w:pPr>
      <w:bookmarkStart w:id="792" w:name="_Toc165804449"/>
      <w:bookmarkStart w:id="793" w:name="_Toc787"/>
      <w:bookmarkStart w:id="794" w:name="_Toc256000132"/>
      <w:bookmarkStart w:id="795" w:name="_Toc14949"/>
      <w:bookmarkStart w:id="796" w:name="_Toc145516052"/>
      <w:r>
        <w:t>附表A-3：技术暗标编号确认表</w:t>
      </w:r>
      <w:bookmarkEnd w:id="792"/>
      <w:bookmarkEnd w:id="793"/>
      <w:bookmarkEnd w:id="794"/>
      <w:bookmarkEnd w:id="795"/>
    </w:p>
    <w:p/>
    <w:p>
      <w:pPr>
        <w:adjustRightInd w:val="0"/>
        <w:snapToGrid w:val="0"/>
        <w:spacing w:before="240" w:beforeLines="100" w:after="240" w:afterLines="100" w:line="440" w:lineRule="exact"/>
        <w:jc w:val="center"/>
        <w:rPr>
          <w:rFonts w:hint="eastAsia" w:ascii="黑体" w:hAnsi="黑体" w:eastAsia="黑体"/>
          <w:sz w:val="36"/>
          <w:szCs w:val="36"/>
        </w:rPr>
      </w:pPr>
      <w:bookmarkStart w:id="797" w:name="_Toc5186"/>
      <w:bookmarkStart w:id="798" w:name="_Toc148976152"/>
      <w:bookmarkStart w:id="799" w:name="_Toc148971944"/>
      <w:r>
        <w:rPr>
          <w:rFonts w:hint="eastAsia" w:ascii="黑体" w:hAnsi="黑体" w:eastAsia="黑体"/>
          <w:sz w:val="36"/>
          <w:szCs w:val="36"/>
        </w:rPr>
        <w:t>技术暗标编号确认表</w:t>
      </w:r>
      <w:bookmarkEnd w:id="796"/>
      <w:bookmarkEnd w:id="797"/>
      <w:bookmarkEnd w:id="798"/>
      <w:bookmarkEnd w:id="799"/>
    </w:p>
    <w:p>
      <w:pPr>
        <w:rPr>
          <w:rFonts w:hint="eastAsia" w:ascii="宋体" w:hAnsi="宋体"/>
          <w:szCs w:val="44"/>
        </w:rPr>
      </w:pPr>
      <w:r>
        <w:rPr>
          <w:rFonts w:hint="eastAsia" w:ascii="宋体" w:hAnsi="宋体"/>
          <w:szCs w:val="44"/>
        </w:rPr>
        <w:t>标段名称：</w:t>
      </w:r>
    </w:p>
    <w:p>
      <w:pPr>
        <w:rPr>
          <w:szCs w:val="44"/>
        </w:rPr>
      </w:pPr>
      <w:r>
        <w:rPr>
          <w:rFonts w:hint="eastAsia"/>
          <w:szCs w:val="44"/>
        </w:rPr>
        <w:t>标段唯一标识码：</w:t>
      </w:r>
    </w:p>
    <w:tbl>
      <w:tblPr>
        <w:tblStyle w:val="22"/>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pPr>
              <w:jc w:val="center"/>
              <w:rPr>
                <w:rFonts w:hint="eastAsia" w:ascii="宋体" w:hAnsi="宋体"/>
                <w:b/>
                <w:bCs/>
                <w:szCs w:val="21"/>
              </w:rPr>
            </w:pPr>
            <w:r>
              <w:rPr>
                <w:rFonts w:hint="eastAsia" w:ascii="宋体" w:hAnsi="宋体"/>
                <w:b/>
                <w:bCs/>
                <w:szCs w:val="21"/>
              </w:rPr>
              <w:t>序号</w:t>
            </w:r>
          </w:p>
        </w:tc>
        <w:tc>
          <w:tcPr>
            <w:tcW w:w="1942" w:type="dxa"/>
            <w:vMerge w:val="restart"/>
            <w:vAlign w:val="center"/>
          </w:tcPr>
          <w:p>
            <w:pPr>
              <w:jc w:val="center"/>
              <w:rPr>
                <w:rFonts w:hint="eastAsia" w:ascii="宋体" w:hAnsi="宋体"/>
                <w:b/>
                <w:bCs/>
                <w:szCs w:val="21"/>
              </w:rPr>
            </w:pPr>
            <w:r>
              <w:rPr>
                <w:rFonts w:hint="eastAsia" w:ascii="宋体" w:hAnsi="宋体"/>
                <w:b/>
                <w:bCs/>
                <w:szCs w:val="21"/>
              </w:rPr>
              <w:t>投标人名称</w:t>
            </w:r>
          </w:p>
        </w:tc>
        <w:tc>
          <w:tcPr>
            <w:tcW w:w="6630" w:type="dxa"/>
            <w:gridSpan w:val="9"/>
          </w:tcPr>
          <w:p>
            <w:pPr>
              <w:jc w:val="center"/>
              <w:rPr>
                <w:rFonts w:hint="eastAsia" w:ascii="宋体" w:hAnsi="宋体"/>
                <w:b/>
                <w:bCs/>
                <w:szCs w:val="21"/>
              </w:rPr>
            </w:pPr>
            <w:r>
              <w:rPr>
                <w:rFonts w:hint="eastAsia" w:ascii="宋体" w:hAnsi="宋体"/>
                <w:b/>
                <w:bCs/>
                <w:szCs w:val="21"/>
              </w:rPr>
              <w:t>评审因素及暗标编号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pPr>
              <w:jc w:val="center"/>
              <w:rPr>
                <w:rFonts w:hint="eastAsia" w:ascii="宋体" w:hAnsi="宋体"/>
                <w:b/>
                <w:bCs/>
                <w:szCs w:val="21"/>
              </w:rPr>
            </w:pPr>
          </w:p>
        </w:tc>
        <w:tc>
          <w:tcPr>
            <w:tcW w:w="1942" w:type="dxa"/>
            <w:vMerge w:val="continue"/>
          </w:tcPr>
          <w:p>
            <w:pPr>
              <w:jc w:val="center"/>
              <w:rPr>
                <w:rFonts w:hint="eastAsia" w:ascii="宋体" w:hAnsi="宋体"/>
                <w:b/>
                <w:bCs/>
                <w:szCs w:val="21"/>
              </w:rPr>
            </w:pPr>
          </w:p>
        </w:tc>
        <w:tc>
          <w:tcPr>
            <w:tcW w:w="750" w:type="dxa"/>
            <w:vAlign w:val="center"/>
          </w:tcPr>
          <w:p>
            <w:pPr>
              <w:jc w:val="center"/>
              <w:rPr>
                <w:rFonts w:hint="eastAsia" w:ascii="宋体" w:hAnsi="宋体"/>
                <w:b/>
                <w:bCs/>
                <w:szCs w:val="21"/>
              </w:rPr>
            </w:pPr>
          </w:p>
        </w:tc>
        <w:tc>
          <w:tcPr>
            <w:tcW w:w="751" w:type="dxa"/>
            <w:vAlign w:val="center"/>
          </w:tcPr>
          <w:p>
            <w:pPr>
              <w:jc w:val="center"/>
              <w:rPr>
                <w:rFonts w:hint="eastAsia" w:ascii="宋体" w:hAnsi="宋体"/>
                <w:b/>
                <w:bCs/>
                <w:szCs w:val="21"/>
              </w:rPr>
            </w:pPr>
          </w:p>
        </w:tc>
        <w:tc>
          <w:tcPr>
            <w:tcW w:w="751" w:type="dxa"/>
            <w:vAlign w:val="center"/>
          </w:tcPr>
          <w:p>
            <w:pPr>
              <w:jc w:val="center"/>
              <w:rPr>
                <w:rFonts w:hint="eastAsia" w:ascii="宋体" w:hAnsi="宋体"/>
                <w:b/>
                <w:bCs/>
                <w:szCs w:val="21"/>
              </w:rPr>
            </w:pPr>
          </w:p>
        </w:tc>
        <w:tc>
          <w:tcPr>
            <w:tcW w:w="751" w:type="dxa"/>
            <w:vAlign w:val="center"/>
          </w:tcPr>
          <w:p>
            <w:pPr>
              <w:jc w:val="center"/>
              <w:rPr>
                <w:rFonts w:hint="eastAsia" w:ascii="宋体" w:hAnsi="宋体"/>
                <w:b/>
                <w:bCs/>
                <w:szCs w:val="21"/>
              </w:rPr>
            </w:pPr>
          </w:p>
        </w:tc>
        <w:tc>
          <w:tcPr>
            <w:tcW w:w="750" w:type="dxa"/>
            <w:vAlign w:val="center"/>
          </w:tcPr>
          <w:p>
            <w:pPr>
              <w:jc w:val="center"/>
              <w:rPr>
                <w:rFonts w:hint="eastAsia" w:ascii="宋体" w:hAnsi="宋体"/>
                <w:b/>
                <w:bCs/>
                <w:szCs w:val="21"/>
              </w:rPr>
            </w:pPr>
          </w:p>
        </w:tc>
        <w:tc>
          <w:tcPr>
            <w:tcW w:w="751" w:type="dxa"/>
            <w:vAlign w:val="center"/>
          </w:tcPr>
          <w:p>
            <w:pPr>
              <w:jc w:val="center"/>
              <w:rPr>
                <w:rFonts w:hint="eastAsia" w:ascii="宋体" w:hAnsi="宋体"/>
                <w:b/>
                <w:bCs/>
                <w:szCs w:val="21"/>
              </w:rPr>
            </w:pPr>
          </w:p>
        </w:tc>
        <w:tc>
          <w:tcPr>
            <w:tcW w:w="751" w:type="dxa"/>
            <w:vAlign w:val="center"/>
          </w:tcPr>
          <w:p>
            <w:pPr>
              <w:jc w:val="center"/>
              <w:rPr>
                <w:rFonts w:hint="eastAsia" w:ascii="宋体" w:hAnsi="宋体"/>
                <w:b/>
                <w:bCs/>
                <w:szCs w:val="21"/>
              </w:rPr>
            </w:pPr>
          </w:p>
        </w:tc>
        <w:tc>
          <w:tcPr>
            <w:tcW w:w="751" w:type="dxa"/>
            <w:vAlign w:val="center"/>
          </w:tcPr>
          <w:p>
            <w:pPr>
              <w:jc w:val="center"/>
              <w:rPr>
                <w:rFonts w:hint="eastAsia" w:ascii="宋体" w:hAnsi="宋体"/>
                <w:b/>
                <w:bCs/>
                <w:szCs w:val="21"/>
              </w:rPr>
            </w:pPr>
          </w:p>
        </w:tc>
        <w:tc>
          <w:tcPr>
            <w:tcW w:w="624" w:type="dxa"/>
            <w:vAlign w:val="center"/>
          </w:tcPr>
          <w:p>
            <w:pPr>
              <w:jc w:val="center"/>
              <w:rPr>
                <w:rFonts w:hint="eastAsia"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szCs w:val="21"/>
              </w:rPr>
            </w:pPr>
            <w:r>
              <w:rPr>
                <w:rFonts w:hint="eastAsia" w:ascii="宋体" w:hAnsi="宋体"/>
                <w:szCs w:val="21"/>
              </w:rPr>
              <w:t>1</w:t>
            </w:r>
          </w:p>
        </w:tc>
        <w:tc>
          <w:tcPr>
            <w:tcW w:w="1942"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tcPr>
          <w:p>
            <w:pPr>
              <w:jc w:val="center"/>
              <w:rPr>
                <w:rFonts w:hint="eastAsia" w:ascii="宋体" w:hAnsi="宋体"/>
                <w:szCs w:val="21"/>
              </w:rPr>
            </w:pPr>
          </w:p>
        </w:tc>
        <w:tc>
          <w:tcPr>
            <w:tcW w:w="62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szCs w:val="21"/>
              </w:rPr>
            </w:pPr>
            <w:r>
              <w:rPr>
                <w:rFonts w:hint="eastAsia" w:ascii="宋体" w:hAnsi="宋体"/>
                <w:szCs w:val="21"/>
              </w:rPr>
              <w:t>2</w:t>
            </w:r>
          </w:p>
        </w:tc>
        <w:tc>
          <w:tcPr>
            <w:tcW w:w="1942"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tcPr>
          <w:p>
            <w:pPr>
              <w:jc w:val="center"/>
              <w:rPr>
                <w:rFonts w:hint="eastAsia" w:ascii="宋体" w:hAnsi="宋体"/>
                <w:szCs w:val="21"/>
              </w:rPr>
            </w:pPr>
          </w:p>
        </w:tc>
        <w:tc>
          <w:tcPr>
            <w:tcW w:w="62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szCs w:val="21"/>
              </w:rPr>
            </w:pPr>
            <w:r>
              <w:rPr>
                <w:rFonts w:hint="eastAsia" w:ascii="宋体" w:hAnsi="宋体"/>
                <w:szCs w:val="21"/>
              </w:rPr>
              <w:t>3</w:t>
            </w:r>
          </w:p>
        </w:tc>
        <w:tc>
          <w:tcPr>
            <w:tcW w:w="1942"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tcPr>
          <w:p>
            <w:pPr>
              <w:jc w:val="center"/>
              <w:rPr>
                <w:rFonts w:hint="eastAsia" w:ascii="宋体" w:hAnsi="宋体"/>
                <w:szCs w:val="21"/>
              </w:rPr>
            </w:pPr>
          </w:p>
        </w:tc>
        <w:tc>
          <w:tcPr>
            <w:tcW w:w="62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szCs w:val="21"/>
              </w:rPr>
            </w:pPr>
            <w:r>
              <w:rPr>
                <w:rFonts w:hint="eastAsia" w:ascii="宋体" w:hAnsi="宋体"/>
                <w:szCs w:val="21"/>
              </w:rPr>
              <w:t>4</w:t>
            </w:r>
          </w:p>
        </w:tc>
        <w:tc>
          <w:tcPr>
            <w:tcW w:w="1942"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tcPr>
          <w:p>
            <w:pPr>
              <w:jc w:val="center"/>
              <w:rPr>
                <w:rFonts w:hint="eastAsia" w:ascii="宋体" w:hAnsi="宋体"/>
                <w:szCs w:val="21"/>
              </w:rPr>
            </w:pPr>
          </w:p>
        </w:tc>
        <w:tc>
          <w:tcPr>
            <w:tcW w:w="62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szCs w:val="21"/>
              </w:rPr>
            </w:pPr>
            <w:r>
              <w:rPr>
                <w:rFonts w:hint="eastAsia" w:ascii="宋体" w:hAnsi="宋体"/>
                <w:szCs w:val="21"/>
              </w:rPr>
              <w:t>5</w:t>
            </w:r>
          </w:p>
        </w:tc>
        <w:tc>
          <w:tcPr>
            <w:tcW w:w="1942"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tcPr>
          <w:p>
            <w:pPr>
              <w:jc w:val="center"/>
              <w:rPr>
                <w:rFonts w:hint="eastAsia" w:ascii="宋体" w:hAnsi="宋体"/>
                <w:szCs w:val="21"/>
              </w:rPr>
            </w:pPr>
          </w:p>
        </w:tc>
        <w:tc>
          <w:tcPr>
            <w:tcW w:w="62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szCs w:val="21"/>
              </w:rPr>
            </w:pPr>
            <w:r>
              <w:rPr>
                <w:rFonts w:hint="eastAsia" w:ascii="黑体" w:hAnsi="黑体" w:eastAsia="黑体"/>
                <w:szCs w:val="44"/>
              </w:rPr>
              <w:t>…</w:t>
            </w:r>
          </w:p>
        </w:tc>
        <w:tc>
          <w:tcPr>
            <w:tcW w:w="1942"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0"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vAlign w:val="center"/>
          </w:tcPr>
          <w:p>
            <w:pPr>
              <w:jc w:val="center"/>
              <w:rPr>
                <w:rFonts w:hint="eastAsia" w:ascii="宋体" w:hAnsi="宋体"/>
                <w:szCs w:val="21"/>
              </w:rPr>
            </w:pPr>
          </w:p>
        </w:tc>
        <w:tc>
          <w:tcPr>
            <w:tcW w:w="751" w:type="dxa"/>
          </w:tcPr>
          <w:p>
            <w:pPr>
              <w:jc w:val="center"/>
              <w:rPr>
                <w:rFonts w:hint="eastAsia" w:ascii="宋体" w:hAnsi="宋体"/>
                <w:szCs w:val="21"/>
              </w:rPr>
            </w:pPr>
          </w:p>
        </w:tc>
        <w:tc>
          <w:tcPr>
            <w:tcW w:w="624" w:type="dxa"/>
            <w:vAlign w:val="center"/>
          </w:tcPr>
          <w:p>
            <w:pPr>
              <w:jc w:val="center"/>
              <w:rPr>
                <w:rFonts w:hint="eastAsia" w:ascii="宋体" w:hAnsi="宋体"/>
                <w:szCs w:val="21"/>
              </w:rPr>
            </w:pPr>
          </w:p>
        </w:tc>
      </w:tr>
    </w:tbl>
    <w:p/>
    <w:p>
      <w:pPr>
        <w:jc w:val="right"/>
      </w:pPr>
      <w:r>
        <w:rPr>
          <w:rFonts w:hint="eastAsia"/>
        </w:rPr>
        <w:t>日期：      年    月   日</w:t>
      </w:r>
    </w:p>
    <w:p>
      <w:pPr>
        <w:spacing w:line="430" w:lineRule="exact"/>
      </w:pPr>
    </w:p>
    <w:p>
      <w:pPr>
        <w:spacing w:line="430" w:lineRule="exact"/>
        <w:rPr>
          <w:rFonts w:ascii="黑体" w:eastAsia="黑体"/>
          <w:sz w:val="24"/>
        </w:rPr>
        <w:sectPr>
          <w:pgSz w:w="11906" w:h="16838"/>
          <w:pgMar w:top="1440" w:right="1797" w:bottom="1440" w:left="1797" w:header="851" w:footer="851" w:gutter="0"/>
          <w:cols w:space="720" w:num="1"/>
          <w:docGrid w:linePitch="312" w:charSpace="0"/>
        </w:sectPr>
      </w:pPr>
    </w:p>
    <w:p>
      <w:pPr>
        <w:spacing w:after="240" w:afterLines="100"/>
        <w:rPr>
          <w:rFonts w:ascii="黑体" w:eastAsia="黑体"/>
          <w:sz w:val="24"/>
        </w:rPr>
      </w:pPr>
    </w:p>
    <w:p>
      <w:pPr>
        <w:pStyle w:val="31"/>
      </w:pPr>
      <w:bookmarkStart w:id="800" w:name="_Toc27146"/>
      <w:bookmarkStart w:id="801" w:name="_Toc256000133"/>
      <w:bookmarkStart w:id="802" w:name="_Toc165804450"/>
      <w:r>
        <w:rPr>
          <w:rFonts w:hint="eastAsia"/>
        </w:rPr>
        <w:t>附表A-4：形式评审记录表</w:t>
      </w:r>
      <w:bookmarkEnd w:id="800"/>
      <w:bookmarkEnd w:id="801"/>
      <w:bookmarkEnd w:id="802"/>
    </w:p>
    <w:p>
      <w:bookmarkStart w:id="803" w:name="_Hlk145501909"/>
      <w:bookmarkStart w:id="804" w:name="_Toc145516055"/>
    </w:p>
    <w:p>
      <w:pPr>
        <w:adjustRightInd w:val="0"/>
        <w:snapToGrid w:val="0"/>
        <w:spacing w:before="240" w:beforeLines="100" w:after="240" w:afterLines="100" w:line="440" w:lineRule="exact"/>
        <w:jc w:val="center"/>
        <w:rPr>
          <w:rFonts w:hint="eastAsia" w:ascii="黑体" w:hAnsi="黑体" w:eastAsia="黑体"/>
          <w:sz w:val="36"/>
          <w:szCs w:val="36"/>
        </w:rPr>
      </w:pPr>
      <w:bookmarkStart w:id="805" w:name="_Toc148971946"/>
      <w:bookmarkStart w:id="806" w:name="_Toc21854"/>
      <w:bookmarkStart w:id="807" w:name="_Toc148976154"/>
      <w:r>
        <w:rPr>
          <w:rFonts w:hint="eastAsia" w:ascii="黑体" w:hAnsi="黑体" w:eastAsia="黑体"/>
          <w:sz w:val="36"/>
          <w:szCs w:val="36"/>
        </w:rPr>
        <w:t>形式评审</w:t>
      </w:r>
      <w:bookmarkEnd w:id="803"/>
      <w:r>
        <w:rPr>
          <w:rFonts w:hint="eastAsia" w:ascii="黑体" w:hAnsi="黑体" w:eastAsia="黑体"/>
          <w:sz w:val="36"/>
          <w:szCs w:val="36"/>
        </w:rPr>
        <w:t>记录表</w:t>
      </w:r>
      <w:bookmarkEnd w:id="804"/>
      <w:bookmarkEnd w:id="805"/>
      <w:bookmarkEnd w:id="806"/>
      <w:bookmarkEnd w:id="807"/>
    </w:p>
    <w:p>
      <w:pPr>
        <w:rPr>
          <w:rFonts w:hint="eastAsia" w:ascii="宋体" w:hAnsi="宋体"/>
          <w:szCs w:val="44"/>
        </w:rPr>
      </w:pPr>
      <w:r>
        <w:rPr>
          <w:rFonts w:hint="eastAsia" w:ascii="宋体" w:hAnsi="宋体"/>
          <w:szCs w:val="44"/>
        </w:rPr>
        <w:t>标段名称：</w:t>
      </w:r>
    </w:p>
    <w:p>
      <w:pPr>
        <w:rPr>
          <w:rFonts w:hint="eastAsia" w:ascii="宋体" w:hAnsi="宋体"/>
          <w:szCs w:val="44"/>
        </w:rPr>
      </w:pPr>
      <w:r>
        <w:rPr>
          <w:rFonts w:hint="eastAsia"/>
          <w:szCs w:val="44"/>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363"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5851" w:type="dxa"/>
            <w:gridSpan w:val="9"/>
            <w:vAlign w:val="center"/>
          </w:tcPr>
          <w:p>
            <w:pPr>
              <w:jc w:val="center"/>
              <w:rPr>
                <w:rFonts w:hint="eastAsia" w:ascii="宋体" w:hAnsi="宋体"/>
                <w:b/>
                <w:bCs/>
                <w:szCs w:val="44"/>
              </w:rPr>
            </w:pPr>
            <w:r>
              <w:rPr>
                <w:rFonts w:hint="eastAsia" w:ascii="宋体" w:hAnsi="宋体"/>
                <w:b/>
                <w:bCs/>
                <w:szCs w:val="44"/>
              </w:rPr>
              <w:t>评审标准及评审意见</w:t>
            </w:r>
          </w:p>
        </w:tc>
        <w:tc>
          <w:tcPr>
            <w:tcW w:w="818" w:type="dxa"/>
            <w:vMerge w:val="restart"/>
            <w:vAlign w:val="center"/>
          </w:tcPr>
          <w:p>
            <w:pPr>
              <w:jc w:val="center"/>
              <w:rPr>
                <w:rFonts w:hint="eastAsia" w:ascii="宋体" w:hAnsi="宋体"/>
                <w:b/>
                <w:bCs/>
                <w:szCs w:val="44"/>
              </w:rPr>
            </w:pPr>
            <w:r>
              <w:rPr>
                <w:rFonts w:ascii="宋体" w:hAnsi="宋体"/>
                <w:b/>
                <w:bCs/>
                <w:szCs w:val="21"/>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pPr>
              <w:jc w:val="center"/>
              <w:rPr>
                <w:rFonts w:hint="eastAsia" w:ascii="宋体" w:hAnsi="宋体"/>
                <w:szCs w:val="44"/>
              </w:rPr>
            </w:pPr>
          </w:p>
        </w:tc>
        <w:tc>
          <w:tcPr>
            <w:tcW w:w="1363" w:type="dxa"/>
            <w:vMerge w:val="continue"/>
          </w:tcPr>
          <w:p>
            <w:pPr>
              <w:jc w:val="center"/>
              <w:rPr>
                <w:rFonts w:hint="eastAsia" w:ascii="宋体" w:hAnsi="宋体"/>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0" w:type="dxa"/>
            <w:vAlign w:val="center"/>
          </w:tcPr>
          <w:p>
            <w:pPr>
              <w:jc w:val="center"/>
              <w:rPr>
                <w:rFonts w:hint="eastAsia" w:ascii="宋体" w:hAnsi="宋体"/>
                <w:b/>
                <w:bCs/>
                <w:szCs w:val="44"/>
              </w:rPr>
            </w:pPr>
          </w:p>
        </w:tc>
        <w:tc>
          <w:tcPr>
            <w:tcW w:w="651" w:type="dxa"/>
            <w:vAlign w:val="center"/>
          </w:tcPr>
          <w:p>
            <w:pPr>
              <w:jc w:val="center"/>
              <w:rPr>
                <w:rFonts w:hint="eastAsia" w:ascii="宋体" w:hAnsi="宋体"/>
                <w:b/>
                <w:bCs/>
                <w:szCs w:val="44"/>
              </w:rPr>
            </w:pPr>
          </w:p>
        </w:tc>
        <w:tc>
          <w:tcPr>
            <w:tcW w:w="818" w:type="dxa"/>
            <w:vMerge w:val="continue"/>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1</w:t>
            </w:r>
          </w:p>
        </w:tc>
        <w:tc>
          <w:tcPr>
            <w:tcW w:w="1363"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2</w:t>
            </w:r>
          </w:p>
        </w:tc>
        <w:tc>
          <w:tcPr>
            <w:tcW w:w="136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3</w:t>
            </w:r>
          </w:p>
        </w:tc>
        <w:tc>
          <w:tcPr>
            <w:tcW w:w="136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4</w:t>
            </w:r>
          </w:p>
        </w:tc>
        <w:tc>
          <w:tcPr>
            <w:tcW w:w="136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5</w:t>
            </w:r>
          </w:p>
        </w:tc>
        <w:tc>
          <w:tcPr>
            <w:tcW w:w="136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6</w:t>
            </w:r>
          </w:p>
        </w:tc>
        <w:tc>
          <w:tcPr>
            <w:tcW w:w="136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szCs w:val="44"/>
              </w:rPr>
            </w:pPr>
            <w:r>
              <w:rPr>
                <w:rFonts w:hint="eastAsia" w:ascii="宋体" w:hAnsi="宋体"/>
                <w:szCs w:val="44"/>
              </w:rPr>
              <w:t>…</w:t>
            </w:r>
          </w:p>
        </w:tc>
        <w:tc>
          <w:tcPr>
            <w:tcW w:w="1363" w:type="dxa"/>
            <w:vAlign w:val="center"/>
          </w:tcPr>
          <w:p>
            <w:pPr>
              <w:rPr>
                <w:rFonts w:hint="eastAsia" w:ascii="宋体" w:hAnsi="宋体"/>
                <w:szCs w:val="21"/>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pPr>
              <w:jc w:val="left"/>
              <w:rPr>
                <w:rFonts w:hint="eastAsia" w:ascii="宋体" w:hAnsi="宋体"/>
                <w:szCs w:val="44"/>
              </w:rPr>
            </w:pPr>
            <w:r>
              <w:rPr>
                <w:rFonts w:hint="eastAsia"/>
              </w:rPr>
              <w:t xml:space="preserve">评标委员会全体成员签名： </w:t>
            </w:r>
            <w:r>
              <w:rPr>
                <w:rFonts w:hint="eastAsia" w:ascii="宋体" w:hAnsi="宋体"/>
                <w:szCs w:val="44"/>
              </w:rPr>
              <w:t xml:space="preserve">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center"/>
              <w:rPr>
                <w:rFonts w:hint="eastAsia" w:ascii="宋体" w:hAnsi="宋体"/>
                <w:szCs w:val="44"/>
              </w:rPr>
            </w:pPr>
          </w:p>
        </w:tc>
      </w:tr>
    </w:tbl>
    <w:p>
      <w:pPr>
        <w:spacing w:line="400" w:lineRule="exact"/>
        <w:ind w:left="840" w:leftChars="400" w:firstLine="3780" w:firstLineChars="1800"/>
        <w:rPr>
          <w:rFonts w:hint="eastAsia" w:ascii="宋体" w:hAnsi="宋体"/>
          <w:szCs w:val="44"/>
        </w:rPr>
      </w:pPr>
      <w:r>
        <w:rPr>
          <w:rFonts w:hint="eastAsia" w:ascii="宋体" w:hAnsi="宋体"/>
          <w:szCs w:val="44"/>
        </w:rPr>
        <w:t xml:space="preserve">          日期：    年    月    日</w:t>
      </w:r>
    </w:p>
    <w:p>
      <w:pPr>
        <w:rPr>
          <w:rFonts w:hint="eastAsia" w:ascii="宋体" w:hAnsi="宋体"/>
          <w:szCs w:val="44"/>
        </w:rPr>
      </w:pPr>
    </w:p>
    <w:p>
      <w:pPr>
        <w:rPr>
          <w:rFonts w:hint="eastAsia" w:ascii="宋体" w:hAnsi="宋体"/>
          <w:szCs w:val="44"/>
        </w:rPr>
      </w:pPr>
      <w:r>
        <w:rPr>
          <w:rFonts w:ascii="宋体" w:hAnsi="宋体"/>
          <w:szCs w:val="44"/>
        </w:rPr>
        <w:br w:type="page"/>
      </w:r>
    </w:p>
    <w:p>
      <w:pPr>
        <w:pStyle w:val="31"/>
        <w:rPr>
          <w:rFonts w:hint="eastAsia" w:ascii="黑体" w:hAnsi="宋体"/>
        </w:rPr>
      </w:pPr>
      <w:bookmarkStart w:id="808" w:name="_Toc256000134"/>
      <w:bookmarkStart w:id="809" w:name="_Toc165804451"/>
      <w:bookmarkStart w:id="810" w:name="_Toc19889"/>
      <w:r>
        <w:rPr>
          <w:rFonts w:hint="eastAsia"/>
        </w:rPr>
        <w:t>附表A-5：资格评审记录表</w:t>
      </w:r>
      <w:bookmarkEnd w:id="808"/>
      <w:bookmarkEnd w:id="809"/>
      <w:bookmarkEnd w:id="810"/>
    </w:p>
    <w:p>
      <w:pPr>
        <w:spacing w:after="240" w:afterLines="100"/>
        <w:jc w:val="center"/>
        <w:rPr>
          <w:rFonts w:hint="eastAsia" w:ascii="黑体" w:hAnsi="宋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bookmarkStart w:id="811" w:name="_Toc148976156"/>
      <w:bookmarkStart w:id="812" w:name="_Toc21096"/>
      <w:bookmarkStart w:id="813" w:name="_Toc148971948"/>
      <w:r>
        <w:rPr>
          <w:rFonts w:hint="eastAsia" w:ascii="黑体" w:hAnsi="黑体" w:eastAsia="黑体"/>
          <w:sz w:val="36"/>
          <w:szCs w:val="36"/>
        </w:rPr>
        <w:t>资格评审记录表</w:t>
      </w:r>
      <w:bookmarkEnd w:id="811"/>
      <w:bookmarkEnd w:id="812"/>
      <w:bookmarkEnd w:id="813"/>
    </w:p>
    <w:p>
      <w:pPr>
        <w:rPr>
          <w:rFonts w:hint="eastAsia" w:ascii="宋体" w:hAnsi="宋体"/>
          <w:szCs w:val="44"/>
        </w:rPr>
      </w:pPr>
      <w:r>
        <w:rPr>
          <w:rFonts w:hint="eastAsia" w:ascii="宋体" w:hAnsi="宋体"/>
          <w:szCs w:val="44"/>
        </w:rPr>
        <w:t>标段名称：</w:t>
      </w:r>
    </w:p>
    <w:p>
      <w:pPr>
        <w:rPr>
          <w:rFonts w:hint="eastAsia" w:ascii="宋体" w:hAnsi="宋体"/>
          <w:szCs w:val="44"/>
        </w:rPr>
      </w:pPr>
      <w:r>
        <w:rPr>
          <w:rFonts w:hint="eastAsia"/>
          <w:szCs w:val="44"/>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432"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5851" w:type="dxa"/>
            <w:gridSpan w:val="9"/>
            <w:vAlign w:val="center"/>
          </w:tcPr>
          <w:p>
            <w:pPr>
              <w:jc w:val="center"/>
              <w:rPr>
                <w:rFonts w:hint="eastAsia" w:ascii="宋体" w:hAnsi="宋体"/>
                <w:b/>
                <w:bCs/>
                <w:szCs w:val="44"/>
              </w:rPr>
            </w:pPr>
            <w:r>
              <w:rPr>
                <w:rFonts w:hint="eastAsia" w:ascii="宋体" w:hAnsi="宋体"/>
                <w:b/>
                <w:bCs/>
                <w:szCs w:val="44"/>
              </w:rPr>
              <w:t>评审标准及评审意见</w:t>
            </w:r>
          </w:p>
        </w:tc>
        <w:tc>
          <w:tcPr>
            <w:tcW w:w="818" w:type="dxa"/>
            <w:vMerge w:val="restart"/>
            <w:vAlign w:val="center"/>
          </w:tcPr>
          <w:p>
            <w:pPr>
              <w:jc w:val="center"/>
              <w:rPr>
                <w:rFonts w:hint="eastAsia" w:ascii="宋体" w:hAnsi="宋体"/>
                <w:b/>
                <w:bCs/>
                <w:szCs w:val="44"/>
              </w:rPr>
            </w:pPr>
            <w:r>
              <w:rPr>
                <w:rFonts w:ascii="宋体" w:hAnsi="宋体"/>
                <w:b/>
                <w:bCs/>
                <w:szCs w:val="21"/>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pPr>
              <w:jc w:val="center"/>
              <w:rPr>
                <w:rFonts w:hint="eastAsia" w:ascii="宋体" w:hAnsi="宋体"/>
                <w:szCs w:val="44"/>
              </w:rPr>
            </w:pPr>
          </w:p>
        </w:tc>
        <w:tc>
          <w:tcPr>
            <w:tcW w:w="1432" w:type="dxa"/>
            <w:vMerge w:val="continue"/>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Merge w:val="continue"/>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1</w:t>
            </w:r>
          </w:p>
        </w:tc>
        <w:tc>
          <w:tcPr>
            <w:tcW w:w="1432"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2</w:t>
            </w:r>
          </w:p>
        </w:tc>
        <w:tc>
          <w:tcPr>
            <w:tcW w:w="1432"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3</w:t>
            </w:r>
          </w:p>
        </w:tc>
        <w:tc>
          <w:tcPr>
            <w:tcW w:w="1432"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4</w:t>
            </w:r>
          </w:p>
        </w:tc>
        <w:tc>
          <w:tcPr>
            <w:tcW w:w="1432"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5</w:t>
            </w:r>
          </w:p>
        </w:tc>
        <w:tc>
          <w:tcPr>
            <w:tcW w:w="1432"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6</w:t>
            </w:r>
          </w:p>
        </w:tc>
        <w:tc>
          <w:tcPr>
            <w:tcW w:w="1432"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szCs w:val="44"/>
              </w:rPr>
            </w:pPr>
            <w:r>
              <w:rPr>
                <w:rFonts w:hint="eastAsia" w:ascii="宋体" w:hAnsi="宋体"/>
                <w:szCs w:val="44"/>
              </w:rPr>
              <w:t>…</w:t>
            </w:r>
          </w:p>
        </w:tc>
        <w:tc>
          <w:tcPr>
            <w:tcW w:w="1432" w:type="dxa"/>
            <w:vAlign w:val="center"/>
          </w:tcPr>
          <w:p>
            <w:pPr>
              <w:rPr>
                <w:rFonts w:hint="eastAsia" w:ascii="宋体" w:hAnsi="宋体"/>
                <w:szCs w:val="21"/>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pPr>
              <w:jc w:val="left"/>
              <w:rPr>
                <w:rFonts w:hint="eastAsia" w:ascii="宋体" w:hAnsi="宋体"/>
                <w:szCs w:val="44"/>
              </w:rPr>
            </w:pPr>
            <w:r>
              <w:rPr>
                <w:rFonts w:hint="eastAsia"/>
              </w:rPr>
              <w:t xml:space="preserve">评标委员会全体成员签名： </w:t>
            </w:r>
            <w:r>
              <w:rPr>
                <w:rFonts w:hint="eastAsia" w:ascii="宋体" w:hAnsi="宋体"/>
                <w:szCs w:val="44"/>
              </w:rPr>
              <w:t xml:space="preserve">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center"/>
              <w:rPr>
                <w:rFonts w:hint="eastAsia" w:ascii="宋体" w:hAnsi="宋体"/>
                <w:szCs w:val="44"/>
              </w:rPr>
            </w:pPr>
          </w:p>
        </w:tc>
      </w:tr>
    </w:tbl>
    <w:p>
      <w:pPr>
        <w:rPr>
          <w:rFonts w:hint="eastAsia" w:ascii="宋体" w:hAnsi="宋体"/>
          <w:szCs w:val="44"/>
        </w:rPr>
      </w:pPr>
      <w:r>
        <w:rPr>
          <w:rFonts w:hint="eastAsia" w:ascii="宋体" w:hAnsi="宋体"/>
          <w:szCs w:val="44"/>
        </w:rPr>
        <w:t xml:space="preserve">             </w:t>
      </w:r>
      <w:r>
        <w:rPr>
          <w:rFonts w:ascii="宋体" w:hAnsi="宋体"/>
          <w:szCs w:val="44"/>
        </w:rPr>
        <w:t xml:space="preserve">                                        </w:t>
      </w:r>
      <w:r>
        <w:rPr>
          <w:rFonts w:hint="eastAsia" w:ascii="宋体" w:hAnsi="宋体"/>
          <w:szCs w:val="44"/>
        </w:rPr>
        <w:t xml:space="preserve"> 日期：    年    月    日</w:t>
      </w:r>
    </w:p>
    <w:p>
      <w:pPr>
        <w:spacing w:after="240" w:afterLines="100"/>
        <w:rPr>
          <w:rFonts w:hint="eastAsia" w:ascii="宋体" w:hAnsi="宋体"/>
          <w:szCs w:val="44"/>
        </w:rPr>
      </w:pPr>
      <w:r>
        <w:rPr>
          <w:rFonts w:ascii="宋体" w:hAnsi="宋体"/>
          <w:szCs w:val="44"/>
        </w:rPr>
        <w:br w:type="page"/>
      </w:r>
    </w:p>
    <w:p>
      <w:pPr>
        <w:pStyle w:val="31"/>
      </w:pPr>
      <w:bookmarkStart w:id="814" w:name="_Toc4967"/>
      <w:bookmarkStart w:id="815" w:name="_Toc165804452"/>
      <w:bookmarkStart w:id="816" w:name="_Toc256000135"/>
      <w:r>
        <w:rPr>
          <w:rFonts w:hint="eastAsia"/>
        </w:rPr>
        <w:t>附表A-6：响应性评审记录表</w:t>
      </w:r>
      <w:bookmarkEnd w:id="814"/>
      <w:bookmarkEnd w:id="815"/>
      <w:bookmarkEnd w:id="816"/>
    </w:p>
    <w:p>
      <w:pPr>
        <w:spacing w:after="240" w:afterLines="100"/>
        <w:jc w:val="center"/>
        <w:rPr>
          <w:rFonts w:hint="eastAsia" w:ascii="黑体" w:hAnsi="宋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bookmarkStart w:id="817" w:name="_Toc9622"/>
      <w:bookmarkStart w:id="818" w:name="_Toc148976158"/>
      <w:bookmarkStart w:id="819" w:name="_Toc148971950"/>
      <w:r>
        <w:rPr>
          <w:rFonts w:hint="eastAsia" w:ascii="黑体" w:hAnsi="黑体" w:eastAsia="黑体"/>
          <w:sz w:val="36"/>
          <w:szCs w:val="36"/>
        </w:rPr>
        <w:t>响应性评审记录表</w:t>
      </w:r>
      <w:bookmarkEnd w:id="817"/>
      <w:bookmarkEnd w:id="818"/>
      <w:bookmarkEnd w:id="819"/>
    </w:p>
    <w:p>
      <w:pPr>
        <w:rPr>
          <w:rFonts w:hint="eastAsia" w:ascii="宋体" w:hAnsi="宋体"/>
          <w:szCs w:val="44"/>
        </w:rPr>
      </w:pPr>
      <w:r>
        <w:rPr>
          <w:rFonts w:hint="eastAsia" w:ascii="宋体" w:hAnsi="宋体"/>
          <w:szCs w:val="44"/>
        </w:rPr>
        <w:t>标段名称：</w:t>
      </w:r>
    </w:p>
    <w:p>
      <w:pPr>
        <w:rPr>
          <w:rFonts w:hint="eastAsia" w:ascii="宋体" w:hAnsi="宋体"/>
          <w:szCs w:val="44"/>
        </w:rPr>
      </w:pPr>
      <w:r>
        <w:rPr>
          <w:rFonts w:hint="eastAsia"/>
          <w:szCs w:val="44"/>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293"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5851" w:type="dxa"/>
            <w:gridSpan w:val="9"/>
            <w:vAlign w:val="center"/>
          </w:tcPr>
          <w:p>
            <w:pPr>
              <w:jc w:val="center"/>
              <w:rPr>
                <w:rFonts w:hint="eastAsia" w:ascii="宋体" w:hAnsi="宋体"/>
                <w:b/>
                <w:bCs/>
                <w:szCs w:val="44"/>
              </w:rPr>
            </w:pPr>
            <w:r>
              <w:rPr>
                <w:rFonts w:hint="eastAsia" w:ascii="宋体" w:hAnsi="宋体"/>
                <w:b/>
                <w:bCs/>
                <w:szCs w:val="44"/>
              </w:rPr>
              <w:t>评审标准及评审意见</w:t>
            </w:r>
          </w:p>
        </w:tc>
        <w:tc>
          <w:tcPr>
            <w:tcW w:w="818" w:type="dxa"/>
            <w:vMerge w:val="restart"/>
            <w:vAlign w:val="center"/>
          </w:tcPr>
          <w:p>
            <w:pPr>
              <w:jc w:val="center"/>
              <w:rPr>
                <w:rFonts w:hint="eastAsia" w:ascii="宋体" w:hAnsi="宋体"/>
                <w:b/>
                <w:bCs/>
                <w:szCs w:val="44"/>
              </w:rPr>
            </w:pPr>
            <w:r>
              <w:rPr>
                <w:rFonts w:ascii="宋体" w:hAnsi="宋体"/>
                <w:b/>
                <w:bCs/>
                <w:szCs w:val="21"/>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pPr>
              <w:jc w:val="center"/>
              <w:rPr>
                <w:rFonts w:hint="eastAsia" w:ascii="宋体" w:hAnsi="宋体"/>
                <w:szCs w:val="44"/>
              </w:rPr>
            </w:pPr>
          </w:p>
        </w:tc>
        <w:tc>
          <w:tcPr>
            <w:tcW w:w="1293" w:type="dxa"/>
            <w:vMerge w:val="continue"/>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Merge w:val="continue"/>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1</w:t>
            </w:r>
          </w:p>
        </w:tc>
        <w:tc>
          <w:tcPr>
            <w:tcW w:w="1293"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2</w:t>
            </w:r>
          </w:p>
        </w:tc>
        <w:tc>
          <w:tcPr>
            <w:tcW w:w="129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3</w:t>
            </w:r>
          </w:p>
        </w:tc>
        <w:tc>
          <w:tcPr>
            <w:tcW w:w="129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4</w:t>
            </w:r>
          </w:p>
        </w:tc>
        <w:tc>
          <w:tcPr>
            <w:tcW w:w="129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5</w:t>
            </w:r>
          </w:p>
        </w:tc>
        <w:tc>
          <w:tcPr>
            <w:tcW w:w="129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6</w:t>
            </w:r>
          </w:p>
        </w:tc>
        <w:tc>
          <w:tcPr>
            <w:tcW w:w="1293"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szCs w:val="44"/>
              </w:rPr>
            </w:pPr>
            <w:r>
              <w:rPr>
                <w:rFonts w:hint="eastAsia" w:ascii="宋体" w:hAnsi="宋体"/>
                <w:szCs w:val="44"/>
              </w:rPr>
              <w:t>…</w:t>
            </w:r>
          </w:p>
        </w:tc>
        <w:tc>
          <w:tcPr>
            <w:tcW w:w="1293" w:type="dxa"/>
            <w:vAlign w:val="center"/>
          </w:tcPr>
          <w:p>
            <w:pPr>
              <w:rPr>
                <w:rFonts w:hint="eastAsia" w:ascii="宋体" w:hAnsi="宋体"/>
                <w:szCs w:val="21"/>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pPr>
              <w:jc w:val="left"/>
              <w:rPr>
                <w:rFonts w:hint="eastAsia" w:ascii="宋体" w:hAnsi="宋体"/>
                <w:szCs w:val="44"/>
              </w:rPr>
            </w:pPr>
            <w:r>
              <w:rPr>
                <w:rFonts w:hint="eastAsia"/>
              </w:rPr>
              <w:t xml:space="preserve">评标委员会全体成员签名： </w:t>
            </w:r>
            <w:r>
              <w:rPr>
                <w:rFonts w:hint="eastAsia" w:ascii="宋体" w:hAnsi="宋体"/>
                <w:szCs w:val="44"/>
              </w:rPr>
              <w:t xml:space="preserve">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center"/>
              <w:rPr>
                <w:rFonts w:hint="eastAsia" w:ascii="宋体" w:hAnsi="宋体"/>
                <w:szCs w:val="44"/>
              </w:rPr>
            </w:pPr>
          </w:p>
        </w:tc>
      </w:tr>
    </w:tbl>
    <w:p>
      <w:pPr>
        <w:rPr>
          <w:rFonts w:hint="eastAsia" w:ascii="宋体" w:hAnsi="宋体"/>
          <w:szCs w:val="44"/>
        </w:rPr>
      </w:pPr>
      <w:r>
        <w:rPr>
          <w:rFonts w:hint="eastAsia" w:ascii="宋体" w:hAnsi="宋体"/>
          <w:szCs w:val="44"/>
        </w:rPr>
        <w:t xml:space="preserve">         </w:t>
      </w:r>
      <w:r>
        <w:rPr>
          <w:rFonts w:ascii="宋体" w:hAnsi="宋体"/>
          <w:szCs w:val="44"/>
        </w:rPr>
        <w:t xml:space="preserve">                                             </w:t>
      </w:r>
      <w:r>
        <w:rPr>
          <w:rFonts w:hint="eastAsia" w:ascii="宋体" w:hAnsi="宋体"/>
          <w:szCs w:val="44"/>
        </w:rPr>
        <w:t>日期：    年    月    日</w:t>
      </w:r>
    </w:p>
    <w:p>
      <w:pPr>
        <w:spacing w:after="240" w:afterLines="100"/>
        <w:rPr>
          <w:rFonts w:hint="eastAsia" w:ascii="宋体" w:hAnsi="宋体"/>
          <w:szCs w:val="44"/>
        </w:rPr>
      </w:pPr>
    </w:p>
    <w:p>
      <w:pPr>
        <w:rPr>
          <w:rFonts w:hint="eastAsia" w:ascii="宋体" w:hAnsi="宋体"/>
          <w:szCs w:val="44"/>
        </w:rPr>
      </w:pPr>
      <w:r>
        <w:rPr>
          <w:rFonts w:ascii="宋体" w:hAnsi="宋体"/>
          <w:szCs w:val="44"/>
        </w:rPr>
        <w:br w:type="page"/>
      </w:r>
    </w:p>
    <w:p>
      <w:pPr>
        <w:pStyle w:val="31"/>
      </w:pPr>
      <w:bookmarkStart w:id="820" w:name="_Toc165804453"/>
      <w:bookmarkStart w:id="821" w:name="_Toc22262"/>
      <w:bookmarkStart w:id="822" w:name="_Toc256000136"/>
      <w:r>
        <w:rPr>
          <w:rFonts w:hint="eastAsia"/>
        </w:rPr>
        <w:t>附表A-7：技术标评审记录表（合格性）</w:t>
      </w:r>
      <w:bookmarkEnd w:id="820"/>
      <w:bookmarkEnd w:id="821"/>
      <w:bookmarkEnd w:id="822"/>
    </w:p>
    <w:p>
      <w:pPr>
        <w:spacing w:after="240" w:afterLines="100"/>
        <w:jc w:val="center"/>
        <w:rPr>
          <w:rFonts w:hint="eastAsia" w:ascii="黑体" w:hAnsi="宋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技术标评审记录表</w:t>
      </w:r>
    </w:p>
    <w:p>
      <w:pPr>
        <w:spacing w:line="400" w:lineRule="exact"/>
        <w:jc w:val="center"/>
        <w:rPr>
          <w:rFonts w:hint="eastAsia" w:ascii="宋体" w:hAnsi="宋体"/>
          <w:szCs w:val="44"/>
        </w:rPr>
      </w:pPr>
      <w:r>
        <w:rPr>
          <w:rFonts w:hint="eastAsia" w:ascii="黑体" w:hAnsi="宋体" w:eastAsia="黑体"/>
          <w:sz w:val="36"/>
          <w:szCs w:val="36"/>
        </w:rPr>
        <w:t>（适用于经评审的最低投标价法）</w:t>
      </w:r>
    </w:p>
    <w:p>
      <w:pPr>
        <w:rPr>
          <w:rFonts w:hint="eastAsia" w:ascii="宋体" w:hAnsi="宋体"/>
          <w:szCs w:val="44"/>
        </w:rPr>
      </w:pPr>
      <w:r>
        <w:rPr>
          <w:rFonts w:hint="eastAsia" w:ascii="宋体" w:hAnsi="宋体"/>
          <w:szCs w:val="44"/>
        </w:rPr>
        <w:t>标段名称：</w:t>
      </w:r>
    </w:p>
    <w:p>
      <w:pPr>
        <w:rPr>
          <w:rFonts w:hint="eastAsia" w:ascii="宋体" w:hAnsi="宋体"/>
          <w:szCs w:val="44"/>
        </w:rPr>
      </w:pPr>
      <w:r>
        <w:rPr>
          <w:rFonts w:hint="eastAsia"/>
          <w:szCs w:val="44"/>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340"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5851" w:type="dxa"/>
            <w:gridSpan w:val="9"/>
            <w:vAlign w:val="center"/>
          </w:tcPr>
          <w:p>
            <w:pPr>
              <w:jc w:val="center"/>
              <w:rPr>
                <w:rFonts w:hint="eastAsia" w:ascii="宋体" w:hAnsi="宋体"/>
                <w:b/>
                <w:bCs/>
                <w:szCs w:val="44"/>
              </w:rPr>
            </w:pPr>
            <w:r>
              <w:rPr>
                <w:rFonts w:hint="eastAsia" w:ascii="宋体" w:hAnsi="宋体"/>
                <w:b/>
                <w:bCs/>
                <w:szCs w:val="44"/>
              </w:rPr>
              <w:t>评审标准及评审意见</w:t>
            </w:r>
          </w:p>
        </w:tc>
        <w:tc>
          <w:tcPr>
            <w:tcW w:w="818" w:type="dxa"/>
            <w:vMerge w:val="restart"/>
            <w:vAlign w:val="center"/>
          </w:tcPr>
          <w:p>
            <w:pPr>
              <w:jc w:val="center"/>
              <w:rPr>
                <w:rFonts w:hint="eastAsia" w:ascii="宋体" w:hAnsi="宋体"/>
                <w:b/>
                <w:bCs/>
                <w:szCs w:val="44"/>
              </w:rPr>
            </w:pPr>
            <w:r>
              <w:rPr>
                <w:rFonts w:ascii="宋体" w:hAnsi="宋体"/>
                <w:b/>
                <w:bCs/>
                <w:szCs w:val="21"/>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pPr>
              <w:jc w:val="center"/>
              <w:rPr>
                <w:rFonts w:hint="eastAsia" w:ascii="宋体" w:hAnsi="宋体"/>
                <w:szCs w:val="44"/>
              </w:rPr>
            </w:pPr>
          </w:p>
        </w:tc>
        <w:tc>
          <w:tcPr>
            <w:tcW w:w="1340" w:type="dxa"/>
            <w:vMerge w:val="continue"/>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Merge w:val="continue"/>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1</w:t>
            </w:r>
          </w:p>
        </w:tc>
        <w:tc>
          <w:tcPr>
            <w:tcW w:w="1340"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21"/>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2</w:t>
            </w:r>
          </w:p>
        </w:tc>
        <w:tc>
          <w:tcPr>
            <w:tcW w:w="1340"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3</w:t>
            </w:r>
          </w:p>
        </w:tc>
        <w:tc>
          <w:tcPr>
            <w:tcW w:w="1340"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4</w:t>
            </w:r>
          </w:p>
        </w:tc>
        <w:tc>
          <w:tcPr>
            <w:tcW w:w="1340"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5</w:t>
            </w:r>
          </w:p>
        </w:tc>
        <w:tc>
          <w:tcPr>
            <w:tcW w:w="1340"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6</w:t>
            </w:r>
          </w:p>
        </w:tc>
        <w:tc>
          <w:tcPr>
            <w:tcW w:w="1340" w:type="dxa"/>
            <w:vAlign w:val="center"/>
          </w:tcPr>
          <w:p>
            <w:pPr>
              <w:jc w:val="center"/>
              <w:rPr>
                <w:rFonts w:hint="eastAsia" w:ascii="宋体" w:hAnsi="宋体"/>
                <w:szCs w:val="44"/>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szCs w:val="44"/>
              </w:rPr>
            </w:pPr>
            <w:r>
              <w:rPr>
                <w:rFonts w:hint="eastAsia" w:ascii="宋体" w:hAnsi="宋体"/>
                <w:szCs w:val="44"/>
              </w:rPr>
              <w:t>…</w:t>
            </w:r>
          </w:p>
        </w:tc>
        <w:tc>
          <w:tcPr>
            <w:tcW w:w="1340" w:type="dxa"/>
            <w:vAlign w:val="center"/>
          </w:tcPr>
          <w:p>
            <w:pPr>
              <w:rPr>
                <w:rFonts w:hint="eastAsia" w:ascii="宋体" w:hAnsi="宋体"/>
                <w:szCs w:val="21"/>
              </w:rPr>
            </w:pPr>
          </w:p>
        </w:tc>
        <w:tc>
          <w:tcPr>
            <w:tcW w:w="650" w:type="dxa"/>
            <w:vAlign w:val="center"/>
          </w:tcPr>
          <w:p>
            <w:pPr>
              <w:jc w:val="cente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0" w:type="dxa"/>
            <w:vAlign w:val="center"/>
          </w:tcPr>
          <w:p>
            <w:pPr>
              <w:jc w:val="center"/>
              <w:rPr>
                <w:rFonts w:hint="eastAsia" w:ascii="宋体" w:hAnsi="宋体"/>
                <w:szCs w:val="44"/>
              </w:rPr>
            </w:pPr>
          </w:p>
        </w:tc>
        <w:tc>
          <w:tcPr>
            <w:tcW w:w="651" w:type="dxa"/>
            <w:vAlign w:val="center"/>
          </w:tcPr>
          <w:p>
            <w:pPr>
              <w:jc w:val="center"/>
              <w:rPr>
                <w:rFonts w:hint="eastAsia" w:ascii="宋体" w:hAnsi="宋体"/>
                <w:szCs w:val="44"/>
              </w:rPr>
            </w:pPr>
          </w:p>
        </w:tc>
        <w:tc>
          <w:tcPr>
            <w:tcW w:w="818"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pPr>
              <w:jc w:val="left"/>
              <w:rPr>
                <w:rFonts w:hint="eastAsia" w:ascii="宋体" w:hAnsi="宋体"/>
                <w:szCs w:val="44"/>
              </w:rPr>
            </w:pPr>
            <w:r>
              <w:rPr>
                <w:rFonts w:hint="eastAsia"/>
              </w:rPr>
              <w:t xml:space="preserve">评标委员会全体成员签名：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center"/>
              <w:rPr>
                <w:rFonts w:hint="eastAsia" w:ascii="宋体" w:hAnsi="宋体"/>
                <w:szCs w:val="44"/>
              </w:rPr>
            </w:pPr>
          </w:p>
        </w:tc>
      </w:tr>
    </w:tbl>
    <w:p>
      <w:pPr>
        <w:spacing w:line="400" w:lineRule="exact"/>
        <w:ind w:left="840" w:leftChars="400" w:firstLine="4410" w:firstLineChars="2100"/>
        <w:rPr>
          <w:rFonts w:hint="eastAsia" w:ascii="宋体" w:hAnsi="宋体"/>
          <w:szCs w:val="44"/>
        </w:rPr>
      </w:pPr>
      <w:r>
        <w:rPr>
          <w:rFonts w:hint="eastAsia" w:ascii="宋体" w:hAnsi="宋体"/>
          <w:szCs w:val="44"/>
        </w:rPr>
        <w:t xml:space="preserve">   日期：    年    月    日</w:t>
      </w:r>
    </w:p>
    <w:p>
      <w:r>
        <w:br w:type="page"/>
      </w:r>
    </w:p>
    <w:p>
      <w:pPr>
        <w:pStyle w:val="31"/>
      </w:pPr>
      <w:bookmarkStart w:id="823" w:name="_Toc256000137"/>
      <w:bookmarkStart w:id="824" w:name="_Toc165804454"/>
      <w:bookmarkStart w:id="825" w:name="_Toc23076"/>
      <w:r>
        <w:rPr>
          <w:rFonts w:hint="eastAsia"/>
        </w:rPr>
        <w:t>附表A-</w:t>
      </w:r>
      <w:r>
        <w:t>8</w:t>
      </w:r>
      <w:r>
        <w:rPr>
          <w:rFonts w:hint="eastAsia"/>
        </w:rPr>
        <w:t>：初步评审汇总记录表</w:t>
      </w:r>
      <w:bookmarkEnd w:id="823"/>
      <w:bookmarkEnd w:id="824"/>
      <w:bookmarkEnd w:id="825"/>
    </w:p>
    <w:p>
      <w:pPr>
        <w:spacing w:after="240" w:afterLines="100"/>
        <w:jc w:val="center"/>
        <w:rPr>
          <w:rFonts w:hint="eastAsia" w:ascii="黑体" w:hAnsi="宋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初步评审汇总记录表</w:t>
      </w:r>
    </w:p>
    <w:p>
      <w:pPr>
        <w:rPr>
          <w:rFonts w:hint="eastAsia" w:ascii="宋体" w:hAnsi="宋体"/>
          <w:szCs w:val="44"/>
        </w:rPr>
      </w:pPr>
      <w:r>
        <w:rPr>
          <w:rFonts w:hint="eastAsia" w:ascii="宋体" w:hAnsi="宋体"/>
          <w:szCs w:val="44"/>
        </w:rPr>
        <w:t>标段名称：</w:t>
      </w:r>
    </w:p>
    <w:p>
      <w:r>
        <w:rPr>
          <w:rFonts w:hint="eastAsia"/>
          <w:szCs w:val="44"/>
        </w:rPr>
        <w:t>标段唯一标识码：</w:t>
      </w:r>
      <w:r>
        <w:rPr>
          <w:szCs w:val="44"/>
        </w:rPr>
        <w:t xml:space="preserve">                                              </w:t>
      </w:r>
      <w:r>
        <w:rPr>
          <w:rFonts w:hint="eastAsia"/>
        </w:rPr>
        <w:t>单位：人民币元</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b/>
                <w:bCs/>
              </w:rPr>
            </w:pPr>
            <w:r>
              <w:rPr>
                <w:rFonts w:hint="eastAsia"/>
                <w:b/>
                <w:bCs/>
              </w:rPr>
              <w:t>序号</w:t>
            </w:r>
          </w:p>
        </w:tc>
        <w:tc>
          <w:tcPr>
            <w:tcW w:w="1009" w:type="dxa"/>
            <w:vAlign w:val="center"/>
          </w:tcPr>
          <w:p>
            <w:pPr>
              <w:jc w:val="center"/>
              <w:rPr>
                <w:b/>
                <w:bCs/>
              </w:rPr>
            </w:pPr>
            <w:r>
              <w:rPr>
                <w:rFonts w:hint="eastAsia"/>
                <w:b/>
                <w:bCs/>
              </w:rPr>
              <w:t>投标人名称</w:t>
            </w:r>
          </w:p>
        </w:tc>
        <w:tc>
          <w:tcPr>
            <w:tcW w:w="1010" w:type="dxa"/>
            <w:vAlign w:val="center"/>
          </w:tcPr>
          <w:p>
            <w:pPr>
              <w:jc w:val="center"/>
              <w:rPr>
                <w:b/>
                <w:bCs/>
              </w:rPr>
            </w:pPr>
            <w:r>
              <w:rPr>
                <w:rFonts w:hint="eastAsia"/>
                <w:b/>
                <w:bCs/>
              </w:rPr>
              <w:t>形式评审结果</w:t>
            </w:r>
          </w:p>
        </w:tc>
        <w:tc>
          <w:tcPr>
            <w:tcW w:w="1009" w:type="dxa"/>
            <w:vAlign w:val="center"/>
          </w:tcPr>
          <w:p>
            <w:pPr>
              <w:jc w:val="center"/>
              <w:rPr>
                <w:b/>
                <w:bCs/>
              </w:rPr>
            </w:pPr>
            <w:r>
              <w:rPr>
                <w:rFonts w:hint="eastAsia"/>
                <w:b/>
                <w:bCs/>
              </w:rPr>
              <w:t>资格评审结果</w:t>
            </w:r>
          </w:p>
        </w:tc>
        <w:tc>
          <w:tcPr>
            <w:tcW w:w="1097" w:type="dxa"/>
            <w:vAlign w:val="center"/>
          </w:tcPr>
          <w:p>
            <w:pPr>
              <w:jc w:val="center"/>
              <w:rPr>
                <w:b/>
                <w:bCs/>
              </w:rPr>
            </w:pPr>
            <w:r>
              <w:rPr>
                <w:rFonts w:hint="eastAsia"/>
                <w:b/>
                <w:bCs/>
              </w:rPr>
              <w:t>响应性评审结果</w:t>
            </w:r>
          </w:p>
        </w:tc>
        <w:tc>
          <w:tcPr>
            <w:tcW w:w="2022" w:type="dxa"/>
            <w:vAlign w:val="center"/>
          </w:tcPr>
          <w:p>
            <w:pPr>
              <w:jc w:val="center"/>
              <w:rPr>
                <w:b/>
                <w:bCs/>
              </w:rPr>
            </w:pPr>
            <w:r>
              <w:rPr>
                <w:rFonts w:hint="eastAsia"/>
                <w:b/>
                <w:bCs/>
              </w:rPr>
              <w:t>技术标评审结果（如有）</w:t>
            </w:r>
          </w:p>
        </w:tc>
        <w:tc>
          <w:tcPr>
            <w:tcW w:w="886" w:type="dxa"/>
            <w:vAlign w:val="center"/>
          </w:tcPr>
          <w:p>
            <w:pPr>
              <w:ind w:right="-105"/>
              <w:jc w:val="center"/>
              <w:rPr>
                <w:rFonts w:hint="eastAsia" w:ascii="宋体" w:hAnsi="宋体"/>
                <w:b/>
                <w:bCs/>
                <w:szCs w:val="21"/>
              </w:rPr>
            </w:pPr>
            <w:r>
              <w:rPr>
                <w:rFonts w:hint="eastAsia" w:ascii="宋体" w:hAnsi="宋体"/>
                <w:b/>
                <w:bCs/>
                <w:szCs w:val="21"/>
              </w:rPr>
              <w:t>投标报价</w:t>
            </w:r>
          </w:p>
        </w:tc>
        <w:tc>
          <w:tcPr>
            <w:tcW w:w="867" w:type="dxa"/>
            <w:vAlign w:val="center"/>
          </w:tcPr>
          <w:p>
            <w:pPr>
              <w:ind w:right="-111"/>
              <w:jc w:val="center"/>
              <w:rPr>
                <w:rFonts w:hint="eastAsia" w:ascii="宋体" w:hAnsi="宋体"/>
                <w:b/>
                <w:bCs/>
                <w:szCs w:val="21"/>
              </w:rPr>
            </w:pPr>
            <w:r>
              <w:rPr>
                <w:rFonts w:hint="eastAsia" w:ascii="宋体" w:hAnsi="宋体"/>
                <w:b/>
                <w:bCs/>
                <w:szCs w:val="21"/>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pPr>
            <w:r>
              <w:rPr>
                <w:rFonts w:hint="eastAsia" w:ascii="黑体" w:hAnsi="宋体" w:eastAsia="黑体"/>
                <w:szCs w:val="44"/>
              </w:rPr>
              <w:t>1</w:t>
            </w:r>
          </w:p>
        </w:tc>
        <w:tc>
          <w:tcPr>
            <w:tcW w:w="1009" w:type="dxa"/>
            <w:vAlign w:val="center"/>
          </w:tcPr>
          <w:p>
            <w:pPr>
              <w:jc w:val="center"/>
            </w:pPr>
          </w:p>
        </w:tc>
        <w:tc>
          <w:tcPr>
            <w:tcW w:w="1010" w:type="dxa"/>
            <w:vAlign w:val="center"/>
          </w:tcPr>
          <w:p>
            <w:pPr>
              <w:jc w:val="center"/>
            </w:pPr>
          </w:p>
        </w:tc>
        <w:tc>
          <w:tcPr>
            <w:tcW w:w="1009" w:type="dxa"/>
            <w:vAlign w:val="center"/>
          </w:tcPr>
          <w:p>
            <w:pPr>
              <w:jc w:val="center"/>
            </w:pPr>
          </w:p>
        </w:tc>
        <w:tc>
          <w:tcPr>
            <w:tcW w:w="1097" w:type="dxa"/>
            <w:vAlign w:val="center"/>
          </w:tcPr>
          <w:p>
            <w:pPr>
              <w:jc w:val="center"/>
            </w:pPr>
          </w:p>
        </w:tc>
        <w:tc>
          <w:tcPr>
            <w:tcW w:w="2022" w:type="dxa"/>
            <w:vAlign w:val="center"/>
          </w:tcPr>
          <w:p>
            <w:pPr>
              <w:jc w:val="center"/>
            </w:pPr>
          </w:p>
        </w:tc>
        <w:tc>
          <w:tcPr>
            <w:tcW w:w="886" w:type="dxa"/>
            <w:vAlign w:val="center"/>
          </w:tcPr>
          <w:p>
            <w:pPr>
              <w:ind w:right="-105"/>
              <w:jc w:val="center"/>
              <w:rPr>
                <w:rFonts w:hint="eastAsia" w:ascii="宋体" w:hAnsi="宋体"/>
                <w:szCs w:val="21"/>
              </w:rPr>
            </w:pPr>
          </w:p>
        </w:tc>
        <w:tc>
          <w:tcPr>
            <w:tcW w:w="867" w:type="dxa"/>
            <w:vAlign w:val="center"/>
          </w:tcPr>
          <w:p>
            <w:pPr>
              <w:ind w:right="-111"/>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pPr>
            <w:r>
              <w:rPr>
                <w:rFonts w:hint="eastAsia" w:ascii="黑体" w:hAnsi="宋体" w:eastAsia="黑体"/>
                <w:szCs w:val="44"/>
              </w:rPr>
              <w:t>2</w:t>
            </w:r>
          </w:p>
        </w:tc>
        <w:tc>
          <w:tcPr>
            <w:tcW w:w="1009" w:type="dxa"/>
            <w:vAlign w:val="center"/>
          </w:tcPr>
          <w:p>
            <w:pPr>
              <w:jc w:val="center"/>
            </w:pPr>
          </w:p>
        </w:tc>
        <w:tc>
          <w:tcPr>
            <w:tcW w:w="1010" w:type="dxa"/>
            <w:vAlign w:val="center"/>
          </w:tcPr>
          <w:p>
            <w:pPr>
              <w:jc w:val="center"/>
            </w:pPr>
          </w:p>
        </w:tc>
        <w:tc>
          <w:tcPr>
            <w:tcW w:w="1009" w:type="dxa"/>
            <w:vAlign w:val="center"/>
          </w:tcPr>
          <w:p>
            <w:pPr>
              <w:jc w:val="center"/>
            </w:pPr>
          </w:p>
        </w:tc>
        <w:tc>
          <w:tcPr>
            <w:tcW w:w="1097" w:type="dxa"/>
            <w:vAlign w:val="center"/>
          </w:tcPr>
          <w:p>
            <w:pPr>
              <w:jc w:val="center"/>
            </w:pPr>
          </w:p>
        </w:tc>
        <w:tc>
          <w:tcPr>
            <w:tcW w:w="2022" w:type="dxa"/>
            <w:vAlign w:val="center"/>
          </w:tcPr>
          <w:p>
            <w:pPr>
              <w:jc w:val="center"/>
            </w:pPr>
          </w:p>
        </w:tc>
        <w:tc>
          <w:tcPr>
            <w:tcW w:w="886" w:type="dxa"/>
            <w:vAlign w:val="center"/>
          </w:tcPr>
          <w:p>
            <w:pPr>
              <w:ind w:right="-105"/>
              <w:jc w:val="center"/>
              <w:rPr>
                <w:rFonts w:hint="eastAsia" w:ascii="宋体" w:hAnsi="宋体"/>
                <w:szCs w:val="21"/>
              </w:rPr>
            </w:pPr>
          </w:p>
        </w:tc>
        <w:tc>
          <w:tcPr>
            <w:tcW w:w="867" w:type="dxa"/>
            <w:vAlign w:val="center"/>
          </w:tcPr>
          <w:p>
            <w:pPr>
              <w:ind w:right="-111"/>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pPr>
            <w:r>
              <w:rPr>
                <w:rFonts w:hint="eastAsia" w:ascii="黑体" w:hAnsi="宋体" w:eastAsia="黑体"/>
                <w:szCs w:val="44"/>
              </w:rPr>
              <w:t>3</w:t>
            </w:r>
          </w:p>
        </w:tc>
        <w:tc>
          <w:tcPr>
            <w:tcW w:w="1009" w:type="dxa"/>
            <w:vAlign w:val="center"/>
          </w:tcPr>
          <w:p>
            <w:pPr>
              <w:jc w:val="center"/>
            </w:pPr>
          </w:p>
        </w:tc>
        <w:tc>
          <w:tcPr>
            <w:tcW w:w="1010" w:type="dxa"/>
            <w:vAlign w:val="center"/>
          </w:tcPr>
          <w:p>
            <w:pPr>
              <w:jc w:val="center"/>
            </w:pPr>
          </w:p>
        </w:tc>
        <w:tc>
          <w:tcPr>
            <w:tcW w:w="1009" w:type="dxa"/>
            <w:vAlign w:val="center"/>
          </w:tcPr>
          <w:p>
            <w:pPr>
              <w:jc w:val="center"/>
            </w:pPr>
          </w:p>
        </w:tc>
        <w:tc>
          <w:tcPr>
            <w:tcW w:w="1097" w:type="dxa"/>
            <w:vAlign w:val="center"/>
          </w:tcPr>
          <w:p>
            <w:pPr>
              <w:jc w:val="center"/>
            </w:pPr>
          </w:p>
        </w:tc>
        <w:tc>
          <w:tcPr>
            <w:tcW w:w="2022" w:type="dxa"/>
            <w:vAlign w:val="center"/>
          </w:tcPr>
          <w:p>
            <w:pPr>
              <w:jc w:val="center"/>
            </w:pPr>
          </w:p>
        </w:tc>
        <w:tc>
          <w:tcPr>
            <w:tcW w:w="886" w:type="dxa"/>
            <w:vAlign w:val="center"/>
          </w:tcPr>
          <w:p>
            <w:pPr>
              <w:ind w:right="-105"/>
              <w:jc w:val="center"/>
              <w:rPr>
                <w:rFonts w:hint="eastAsia" w:ascii="宋体" w:hAnsi="宋体"/>
                <w:szCs w:val="21"/>
              </w:rPr>
            </w:pPr>
          </w:p>
        </w:tc>
        <w:tc>
          <w:tcPr>
            <w:tcW w:w="867" w:type="dxa"/>
            <w:vAlign w:val="center"/>
          </w:tcPr>
          <w:p>
            <w:pPr>
              <w:ind w:right="-111"/>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pPr>
            <w:r>
              <w:rPr>
                <w:rFonts w:hint="eastAsia" w:ascii="黑体" w:hAnsi="宋体" w:eastAsia="黑体"/>
                <w:szCs w:val="44"/>
              </w:rPr>
              <w:t>4</w:t>
            </w:r>
          </w:p>
        </w:tc>
        <w:tc>
          <w:tcPr>
            <w:tcW w:w="1009" w:type="dxa"/>
            <w:vAlign w:val="center"/>
          </w:tcPr>
          <w:p>
            <w:pPr>
              <w:jc w:val="center"/>
            </w:pPr>
          </w:p>
        </w:tc>
        <w:tc>
          <w:tcPr>
            <w:tcW w:w="1010" w:type="dxa"/>
            <w:vAlign w:val="center"/>
          </w:tcPr>
          <w:p>
            <w:pPr>
              <w:jc w:val="center"/>
            </w:pPr>
          </w:p>
        </w:tc>
        <w:tc>
          <w:tcPr>
            <w:tcW w:w="1009" w:type="dxa"/>
            <w:vAlign w:val="center"/>
          </w:tcPr>
          <w:p>
            <w:pPr>
              <w:jc w:val="center"/>
            </w:pPr>
          </w:p>
        </w:tc>
        <w:tc>
          <w:tcPr>
            <w:tcW w:w="1097" w:type="dxa"/>
            <w:vAlign w:val="center"/>
          </w:tcPr>
          <w:p>
            <w:pPr>
              <w:jc w:val="center"/>
            </w:pPr>
          </w:p>
        </w:tc>
        <w:tc>
          <w:tcPr>
            <w:tcW w:w="2022" w:type="dxa"/>
            <w:vAlign w:val="center"/>
          </w:tcPr>
          <w:p>
            <w:pPr>
              <w:jc w:val="center"/>
            </w:pPr>
          </w:p>
        </w:tc>
        <w:tc>
          <w:tcPr>
            <w:tcW w:w="886" w:type="dxa"/>
            <w:vAlign w:val="center"/>
          </w:tcPr>
          <w:p>
            <w:pPr>
              <w:ind w:right="-105"/>
              <w:jc w:val="center"/>
              <w:rPr>
                <w:rFonts w:hint="eastAsia" w:ascii="宋体" w:hAnsi="宋体"/>
                <w:szCs w:val="21"/>
              </w:rPr>
            </w:pPr>
          </w:p>
        </w:tc>
        <w:tc>
          <w:tcPr>
            <w:tcW w:w="867" w:type="dxa"/>
            <w:vAlign w:val="center"/>
          </w:tcPr>
          <w:p>
            <w:pPr>
              <w:ind w:right="-111"/>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pPr>
            <w:r>
              <w:rPr>
                <w:rFonts w:hint="eastAsia" w:ascii="黑体" w:hAnsi="宋体" w:eastAsia="黑体"/>
                <w:szCs w:val="44"/>
              </w:rPr>
              <w:t>5</w:t>
            </w:r>
          </w:p>
        </w:tc>
        <w:tc>
          <w:tcPr>
            <w:tcW w:w="1009" w:type="dxa"/>
            <w:vAlign w:val="center"/>
          </w:tcPr>
          <w:p>
            <w:pPr>
              <w:jc w:val="center"/>
            </w:pPr>
          </w:p>
        </w:tc>
        <w:tc>
          <w:tcPr>
            <w:tcW w:w="1010" w:type="dxa"/>
            <w:vAlign w:val="center"/>
          </w:tcPr>
          <w:p>
            <w:pPr>
              <w:jc w:val="center"/>
            </w:pPr>
          </w:p>
        </w:tc>
        <w:tc>
          <w:tcPr>
            <w:tcW w:w="1009" w:type="dxa"/>
            <w:vAlign w:val="center"/>
          </w:tcPr>
          <w:p>
            <w:pPr>
              <w:jc w:val="center"/>
            </w:pPr>
          </w:p>
        </w:tc>
        <w:tc>
          <w:tcPr>
            <w:tcW w:w="1097" w:type="dxa"/>
            <w:vAlign w:val="center"/>
          </w:tcPr>
          <w:p>
            <w:pPr>
              <w:jc w:val="center"/>
            </w:pPr>
          </w:p>
        </w:tc>
        <w:tc>
          <w:tcPr>
            <w:tcW w:w="2022" w:type="dxa"/>
            <w:vAlign w:val="center"/>
          </w:tcPr>
          <w:p>
            <w:pPr>
              <w:jc w:val="center"/>
            </w:pPr>
          </w:p>
        </w:tc>
        <w:tc>
          <w:tcPr>
            <w:tcW w:w="886" w:type="dxa"/>
            <w:vAlign w:val="center"/>
          </w:tcPr>
          <w:p>
            <w:pPr>
              <w:ind w:right="-105"/>
              <w:jc w:val="center"/>
              <w:rPr>
                <w:rFonts w:hint="eastAsia" w:ascii="宋体" w:hAnsi="宋体"/>
                <w:szCs w:val="21"/>
              </w:rPr>
            </w:pPr>
          </w:p>
        </w:tc>
        <w:tc>
          <w:tcPr>
            <w:tcW w:w="867" w:type="dxa"/>
            <w:vAlign w:val="center"/>
          </w:tcPr>
          <w:p>
            <w:pPr>
              <w:ind w:right="-111"/>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pPr>
            <w:r>
              <w:rPr>
                <w:rFonts w:hint="eastAsia" w:ascii="黑体" w:hAnsi="黑体" w:eastAsia="黑体"/>
                <w:szCs w:val="44"/>
              </w:rPr>
              <w:t>…</w:t>
            </w:r>
          </w:p>
        </w:tc>
        <w:tc>
          <w:tcPr>
            <w:tcW w:w="1009" w:type="dxa"/>
            <w:vAlign w:val="center"/>
          </w:tcPr>
          <w:p>
            <w:pPr>
              <w:jc w:val="center"/>
            </w:pPr>
          </w:p>
        </w:tc>
        <w:tc>
          <w:tcPr>
            <w:tcW w:w="1010" w:type="dxa"/>
            <w:vAlign w:val="center"/>
          </w:tcPr>
          <w:p>
            <w:pPr>
              <w:jc w:val="center"/>
            </w:pPr>
          </w:p>
        </w:tc>
        <w:tc>
          <w:tcPr>
            <w:tcW w:w="1009" w:type="dxa"/>
            <w:vAlign w:val="center"/>
          </w:tcPr>
          <w:p>
            <w:pPr>
              <w:jc w:val="center"/>
            </w:pPr>
          </w:p>
        </w:tc>
        <w:tc>
          <w:tcPr>
            <w:tcW w:w="1097" w:type="dxa"/>
            <w:vAlign w:val="center"/>
          </w:tcPr>
          <w:p>
            <w:pPr>
              <w:jc w:val="center"/>
            </w:pPr>
          </w:p>
        </w:tc>
        <w:tc>
          <w:tcPr>
            <w:tcW w:w="2022" w:type="dxa"/>
            <w:vAlign w:val="center"/>
          </w:tcPr>
          <w:p>
            <w:pPr>
              <w:jc w:val="center"/>
            </w:pPr>
          </w:p>
        </w:tc>
        <w:tc>
          <w:tcPr>
            <w:tcW w:w="886" w:type="dxa"/>
            <w:vAlign w:val="center"/>
          </w:tcPr>
          <w:p>
            <w:pPr>
              <w:ind w:right="-105"/>
              <w:jc w:val="center"/>
              <w:rPr>
                <w:rFonts w:hint="eastAsia" w:ascii="宋体" w:hAnsi="宋体"/>
                <w:szCs w:val="21"/>
              </w:rPr>
            </w:pPr>
          </w:p>
        </w:tc>
        <w:tc>
          <w:tcPr>
            <w:tcW w:w="867" w:type="dxa"/>
            <w:vAlign w:val="center"/>
          </w:tcPr>
          <w:p>
            <w:pPr>
              <w:ind w:right="-111"/>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pPr>
              <w:jc w:val="left"/>
              <w:rPr>
                <w:rFonts w:hint="eastAsia" w:ascii="宋体" w:hAnsi="宋体"/>
                <w:szCs w:val="44"/>
              </w:rPr>
            </w:pPr>
            <w:r>
              <w:rPr>
                <w:rFonts w:hint="eastAsia"/>
              </w:rPr>
              <w:t xml:space="preserve">评标委员会全体成员签名：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ind w:right="-111"/>
              <w:jc w:val="center"/>
              <w:rPr>
                <w:rFonts w:hint="eastAsia" w:ascii="宋体" w:hAnsi="宋体"/>
                <w:szCs w:val="21"/>
              </w:rPr>
            </w:pPr>
          </w:p>
        </w:tc>
      </w:tr>
    </w:tbl>
    <w:p>
      <w:pPr>
        <w:ind w:left="5460" w:hanging="5460" w:hangingChars="2600"/>
      </w:pPr>
      <w:r>
        <w:rPr>
          <w:rFonts w:hint="eastAsia" w:ascii="宋体" w:hAnsi="宋体"/>
          <w:szCs w:val="44"/>
        </w:rPr>
        <w:t xml:space="preserve">                                                   日期：    年    月    日</w:t>
      </w:r>
    </w:p>
    <w:p>
      <w:r>
        <w:br w:type="page"/>
      </w:r>
    </w:p>
    <w:p>
      <w:pPr>
        <w:pStyle w:val="31"/>
      </w:pPr>
      <w:bookmarkStart w:id="826" w:name="_Toc256000138"/>
      <w:bookmarkStart w:id="827" w:name="_Toc828"/>
      <w:bookmarkStart w:id="828" w:name="_Toc165804455"/>
      <w:r>
        <w:rPr>
          <w:rFonts w:hint="eastAsia"/>
        </w:rPr>
        <w:t>附表A-</w:t>
      </w:r>
      <w:r>
        <w:t>9</w:t>
      </w:r>
      <w:r>
        <w:rPr>
          <w:rFonts w:hint="eastAsia"/>
        </w:rPr>
        <w:t>：否决投标的情况说明</w:t>
      </w:r>
      <w:bookmarkEnd w:id="826"/>
      <w:bookmarkEnd w:id="827"/>
      <w:bookmarkEnd w:id="828"/>
    </w:p>
    <w:p>
      <w:pPr>
        <w:spacing w:after="240" w:afterLines="100"/>
        <w:jc w:val="center"/>
        <w:rPr>
          <w:rFonts w:hint="eastAsia" w:ascii="黑体" w:hAnsi="宋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否决投标的情况说明</w:t>
      </w:r>
    </w:p>
    <w:p>
      <w:pPr>
        <w:rPr>
          <w:rFonts w:hint="eastAsia" w:ascii="宋体" w:hAnsi="宋体"/>
          <w:szCs w:val="44"/>
        </w:rPr>
      </w:pPr>
      <w:r>
        <w:rPr>
          <w:rFonts w:hint="eastAsia" w:ascii="宋体" w:hAnsi="宋体"/>
          <w:szCs w:val="44"/>
        </w:rPr>
        <w:t>标段名称：</w:t>
      </w:r>
    </w:p>
    <w:p>
      <w:r>
        <w:rPr>
          <w:rFonts w:hint="eastAsia"/>
          <w:szCs w:val="44"/>
        </w:rPr>
        <w:t>标段唯一标识码：</w:t>
      </w:r>
    </w:p>
    <w:tbl>
      <w:tblPr>
        <w:tblStyle w:val="2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b/>
                <w:bCs/>
                <w:szCs w:val="21"/>
              </w:rPr>
            </w:pPr>
            <w:r>
              <w:rPr>
                <w:rFonts w:hint="eastAsia" w:ascii="宋体" w:hAnsi="宋体"/>
                <w:b/>
                <w:bCs/>
                <w:szCs w:val="21"/>
              </w:rPr>
              <w:t>序号</w:t>
            </w:r>
          </w:p>
        </w:tc>
        <w:tc>
          <w:tcPr>
            <w:tcW w:w="1548" w:type="dxa"/>
            <w:vAlign w:val="center"/>
          </w:tcPr>
          <w:p>
            <w:pPr>
              <w:jc w:val="center"/>
              <w:rPr>
                <w:rFonts w:hint="eastAsia" w:ascii="宋体" w:hAnsi="宋体"/>
                <w:b/>
                <w:bCs/>
                <w:szCs w:val="21"/>
              </w:rPr>
            </w:pPr>
            <w:r>
              <w:rPr>
                <w:rFonts w:hint="eastAsia" w:ascii="宋体" w:hAnsi="宋体"/>
                <w:b/>
                <w:bCs/>
                <w:szCs w:val="21"/>
              </w:rPr>
              <w:t>投标人名称</w:t>
            </w:r>
          </w:p>
        </w:tc>
        <w:tc>
          <w:tcPr>
            <w:tcW w:w="1780" w:type="dxa"/>
            <w:vAlign w:val="center"/>
          </w:tcPr>
          <w:p>
            <w:pPr>
              <w:jc w:val="center"/>
              <w:rPr>
                <w:rFonts w:hint="eastAsia" w:ascii="宋体" w:hAnsi="宋体"/>
                <w:b/>
                <w:bCs/>
                <w:szCs w:val="21"/>
              </w:rPr>
            </w:pPr>
            <w:r>
              <w:rPr>
                <w:rFonts w:hint="eastAsia" w:ascii="宋体" w:hAnsi="宋体"/>
                <w:b/>
                <w:bCs/>
                <w:szCs w:val="21"/>
              </w:rPr>
              <w:t>否决投标的依据</w:t>
            </w:r>
          </w:p>
        </w:tc>
        <w:tc>
          <w:tcPr>
            <w:tcW w:w="4729" w:type="dxa"/>
            <w:vAlign w:val="center"/>
          </w:tcPr>
          <w:p>
            <w:pPr>
              <w:jc w:val="center"/>
              <w:rPr>
                <w:rFonts w:hint="eastAsia" w:ascii="宋体" w:hAnsi="宋体"/>
                <w:b/>
                <w:bCs/>
                <w:szCs w:val="21"/>
              </w:rPr>
            </w:pPr>
            <w:r>
              <w:rPr>
                <w:rFonts w:hint="eastAsia" w:ascii="宋体" w:hAnsi="宋体"/>
                <w:b/>
                <w:bCs/>
                <w:szCs w:val="21"/>
              </w:rPr>
              <w:t>投标文件存在的具体问题描述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1</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2</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pPr>
              <w:jc w:val="center"/>
              <w:rPr>
                <w:rFonts w:hint="eastAsia" w:ascii="宋体" w:hAnsi="宋体"/>
                <w:sz w:val="24"/>
              </w:rPr>
            </w:pPr>
            <w:r>
              <w:rPr>
                <w:rFonts w:hint="eastAsia" w:ascii="宋体" w:hAnsi="宋体"/>
                <w:sz w:val="24"/>
              </w:rPr>
              <w:t>3</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4</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5</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6</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7</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 w:val="24"/>
              </w:rPr>
              <w:t>8</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sz w:val="24"/>
              </w:rPr>
            </w:pPr>
            <w:r>
              <w:rPr>
                <w:rFonts w:hint="eastAsia" w:ascii="宋体" w:hAnsi="宋体"/>
                <w:szCs w:val="44"/>
              </w:rPr>
              <w:t>…</w:t>
            </w:r>
          </w:p>
        </w:tc>
        <w:tc>
          <w:tcPr>
            <w:tcW w:w="1548" w:type="dxa"/>
            <w:vAlign w:val="center"/>
          </w:tcPr>
          <w:p>
            <w:pPr>
              <w:jc w:val="center"/>
              <w:rPr>
                <w:rFonts w:hint="eastAsia" w:ascii="仿宋_GB2312" w:hAnsi="宋体" w:eastAsia="仿宋_GB2312"/>
                <w:szCs w:val="21"/>
              </w:rPr>
            </w:pPr>
          </w:p>
        </w:tc>
        <w:tc>
          <w:tcPr>
            <w:tcW w:w="1780" w:type="dxa"/>
            <w:vAlign w:val="center"/>
          </w:tcPr>
          <w:p>
            <w:pPr>
              <w:jc w:val="center"/>
              <w:rPr>
                <w:rFonts w:hint="eastAsia" w:ascii="仿宋_GB2312" w:hAnsi="宋体" w:eastAsia="仿宋_GB2312"/>
                <w:szCs w:val="21"/>
              </w:rPr>
            </w:pPr>
          </w:p>
        </w:tc>
        <w:tc>
          <w:tcPr>
            <w:tcW w:w="4729" w:type="dxa"/>
            <w:vAlign w:val="center"/>
          </w:tcPr>
          <w:p>
            <w:pPr>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pPr>
              <w:jc w:val="left"/>
              <w:rPr>
                <w:rFonts w:hint="eastAsia" w:ascii="宋体" w:hAnsi="宋体"/>
                <w:szCs w:val="44"/>
              </w:rPr>
            </w:pPr>
            <w:r>
              <w:rPr>
                <w:rFonts w:hint="eastAsia"/>
              </w:rPr>
              <w:t xml:space="preserve">评标委员会全体成员签名： </w:t>
            </w:r>
            <w:r>
              <w:rPr>
                <w:rFonts w:hint="eastAsia" w:ascii="宋体" w:hAnsi="宋体"/>
                <w:szCs w:val="44"/>
              </w:rPr>
              <w:t xml:space="preserve">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center"/>
              <w:rPr>
                <w:rFonts w:hint="eastAsia" w:ascii="仿宋_GB2312" w:hAnsi="宋体" w:eastAsia="仿宋_GB2312"/>
                <w:szCs w:val="21"/>
              </w:rPr>
            </w:pPr>
          </w:p>
        </w:tc>
      </w:tr>
    </w:tbl>
    <w:p>
      <w:pPr>
        <w:rPr>
          <w:rFonts w:hint="eastAsia" w:ascii="宋体" w:hAnsi="宋体"/>
          <w:szCs w:val="44"/>
        </w:rPr>
      </w:pPr>
      <w:r>
        <w:rPr>
          <w:rFonts w:ascii="宋体" w:hAnsi="宋体"/>
          <w:szCs w:val="44"/>
        </w:rPr>
        <w:t xml:space="preserve">        </w:t>
      </w:r>
      <w:r>
        <w:rPr>
          <w:rFonts w:hint="eastAsia" w:ascii="宋体" w:hAnsi="宋体"/>
          <w:szCs w:val="44"/>
        </w:rPr>
        <w:t xml:space="preserve">                        </w:t>
      </w:r>
      <w:r>
        <w:rPr>
          <w:rFonts w:ascii="宋体" w:hAnsi="宋体"/>
          <w:szCs w:val="44"/>
        </w:rPr>
        <w:t xml:space="preserve">                      </w:t>
      </w:r>
      <w:r>
        <w:rPr>
          <w:rFonts w:hint="eastAsia" w:ascii="宋体" w:hAnsi="宋体"/>
          <w:szCs w:val="44"/>
        </w:rPr>
        <w:t>日期：    年    月    日</w:t>
      </w:r>
    </w:p>
    <w:p/>
    <w:p>
      <w:r>
        <w:br w:type="page"/>
      </w:r>
    </w:p>
    <w:p>
      <w:pPr>
        <w:pStyle w:val="31"/>
      </w:pPr>
      <w:bookmarkStart w:id="829" w:name="_Toc165804456"/>
      <w:bookmarkStart w:id="830" w:name="_Toc256000139"/>
      <w:bookmarkStart w:id="831" w:name="_Toc23416"/>
      <w:r>
        <w:rPr>
          <w:rFonts w:hint="eastAsia"/>
        </w:rPr>
        <w:t>附表A-</w:t>
      </w:r>
      <w:r>
        <w:t>10</w:t>
      </w:r>
      <w:r>
        <w:rPr>
          <w:rFonts w:hint="eastAsia"/>
        </w:rPr>
        <w:t>：经济标评分记录表</w:t>
      </w:r>
      <w:bookmarkEnd w:id="829"/>
      <w:bookmarkEnd w:id="830"/>
      <w:bookmarkEnd w:id="831"/>
    </w:p>
    <w:p>
      <w:pPr>
        <w:spacing w:after="240" w:afterLines="100"/>
        <w:jc w:val="center"/>
        <w:rPr>
          <w:rFonts w:hint="eastAsia" w:ascii="黑体" w:hAnsi="宋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bookmarkStart w:id="832" w:name="_Hlk150330919"/>
      <w:r>
        <w:rPr>
          <w:rFonts w:hint="eastAsia" w:ascii="黑体" w:hAnsi="黑体" w:eastAsia="黑体"/>
          <w:sz w:val="36"/>
          <w:szCs w:val="36"/>
        </w:rPr>
        <w:t>经济标评分记录表</w:t>
      </w:r>
    </w:p>
    <w:p>
      <w:pPr>
        <w:rPr>
          <w:rFonts w:hint="eastAsia" w:ascii="宋体" w:hAnsi="宋体"/>
          <w:szCs w:val="44"/>
        </w:rPr>
      </w:pPr>
      <w:r>
        <w:rPr>
          <w:rFonts w:hint="eastAsia" w:ascii="宋体" w:hAnsi="宋体"/>
          <w:szCs w:val="44"/>
        </w:rPr>
        <w:t>标段名称：</w:t>
      </w:r>
    </w:p>
    <w:p>
      <w:r>
        <w:rPr>
          <w:rFonts w:hint="eastAsia"/>
          <w:szCs w:val="44"/>
        </w:rPr>
        <w:t xml:space="preserve">标段唯一标识码： </w:t>
      </w:r>
      <w:r>
        <w:rPr>
          <w:szCs w:val="44"/>
        </w:rPr>
        <w:t xml:space="preserve">                                              </w:t>
      </w:r>
      <w:r>
        <w:rPr>
          <w:rFonts w:hint="eastAsia"/>
        </w:rPr>
        <w:t>单位：人民币元</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pPr>
              <w:jc w:val="center"/>
              <w:rPr>
                <w:b/>
                <w:bCs/>
              </w:rPr>
            </w:pPr>
            <w:r>
              <w:rPr>
                <w:rFonts w:hint="eastAsia"/>
                <w:b/>
                <w:bCs/>
              </w:rPr>
              <w:t>序号</w:t>
            </w:r>
          </w:p>
        </w:tc>
        <w:tc>
          <w:tcPr>
            <w:tcW w:w="1331" w:type="dxa"/>
            <w:vMerge w:val="restart"/>
            <w:vAlign w:val="center"/>
          </w:tcPr>
          <w:p>
            <w:pPr>
              <w:jc w:val="center"/>
              <w:rPr>
                <w:b/>
                <w:bCs/>
              </w:rPr>
            </w:pPr>
            <w:r>
              <w:rPr>
                <w:rFonts w:hint="eastAsia"/>
                <w:b/>
                <w:bCs/>
              </w:rPr>
              <w:t>投标人名称</w:t>
            </w:r>
          </w:p>
        </w:tc>
        <w:tc>
          <w:tcPr>
            <w:tcW w:w="6592" w:type="dxa"/>
            <w:gridSpan w:val="7"/>
            <w:vAlign w:val="center"/>
          </w:tcPr>
          <w:p>
            <w:pPr>
              <w:jc w:val="center"/>
              <w:rPr>
                <w:b/>
                <w:bCs/>
              </w:rPr>
            </w:pPr>
            <w:r>
              <w:rPr>
                <w:rFonts w:hint="eastAsia"/>
                <w:b/>
                <w:bCs/>
              </w:rPr>
              <w:t>评审项目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pPr>
              <w:jc w:val="center"/>
              <w:rPr>
                <w:b/>
                <w:bCs/>
              </w:rPr>
            </w:pPr>
          </w:p>
        </w:tc>
        <w:tc>
          <w:tcPr>
            <w:tcW w:w="1331" w:type="dxa"/>
            <w:vMerge w:val="continue"/>
            <w:vAlign w:val="center"/>
          </w:tcPr>
          <w:p>
            <w:pPr>
              <w:jc w:val="center"/>
              <w:rPr>
                <w:b/>
                <w:bCs/>
              </w:rPr>
            </w:pPr>
          </w:p>
        </w:tc>
        <w:tc>
          <w:tcPr>
            <w:tcW w:w="701" w:type="dxa"/>
            <w:vAlign w:val="center"/>
          </w:tcPr>
          <w:p>
            <w:pPr>
              <w:jc w:val="center"/>
              <w:rPr>
                <w:b/>
                <w:bCs/>
              </w:rPr>
            </w:pPr>
            <w:r>
              <w:rPr>
                <w:rFonts w:hint="eastAsia"/>
                <w:b/>
                <w:bCs/>
              </w:rPr>
              <w:t>投标报价</w:t>
            </w:r>
          </w:p>
        </w:tc>
        <w:tc>
          <w:tcPr>
            <w:tcW w:w="997" w:type="dxa"/>
            <w:vAlign w:val="center"/>
          </w:tcPr>
          <w:p>
            <w:pPr>
              <w:jc w:val="center"/>
              <w:rPr>
                <w:b/>
                <w:bCs/>
              </w:rPr>
            </w:pPr>
            <w:r>
              <w:rPr>
                <w:rFonts w:hint="eastAsia" w:ascii="宋体" w:hAnsi="宋体" w:cs="Arial"/>
                <w:b/>
                <w:bCs/>
                <w:szCs w:val="21"/>
              </w:rPr>
              <w:t>修正后投标报价（如有）</w:t>
            </w:r>
          </w:p>
        </w:tc>
        <w:tc>
          <w:tcPr>
            <w:tcW w:w="738" w:type="dxa"/>
            <w:vAlign w:val="center"/>
          </w:tcPr>
          <w:p>
            <w:pPr>
              <w:jc w:val="center"/>
              <w:rPr>
                <w:b/>
                <w:bCs/>
              </w:rPr>
            </w:pPr>
            <w:r>
              <w:rPr>
                <w:rFonts w:hint="eastAsia" w:ascii="宋体" w:hAnsi="宋体" w:cs="Arial"/>
                <w:b/>
                <w:bCs/>
                <w:szCs w:val="21"/>
              </w:rPr>
              <w:t>评标价</w:t>
            </w:r>
          </w:p>
        </w:tc>
        <w:tc>
          <w:tcPr>
            <w:tcW w:w="946" w:type="dxa"/>
            <w:vAlign w:val="center"/>
          </w:tcPr>
          <w:p>
            <w:pPr>
              <w:jc w:val="center"/>
              <w:rPr>
                <w:b/>
                <w:bCs/>
              </w:rPr>
            </w:pPr>
            <w:r>
              <w:rPr>
                <w:rFonts w:hint="eastAsia"/>
                <w:b/>
                <w:bCs/>
              </w:rPr>
              <w:t>评标基准价</w:t>
            </w:r>
          </w:p>
        </w:tc>
        <w:tc>
          <w:tcPr>
            <w:tcW w:w="841" w:type="dxa"/>
            <w:vAlign w:val="center"/>
          </w:tcPr>
          <w:p>
            <w:pPr>
              <w:jc w:val="center"/>
              <w:rPr>
                <w:b/>
                <w:bCs/>
              </w:rPr>
            </w:pPr>
            <w:r>
              <w:rPr>
                <w:rFonts w:hint="eastAsia"/>
                <w:b/>
                <w:bCs/>
              </w:rPr>
              <w:t>偏差率</w:t>
            </w:r>
          </w:p>
        </w:tc>
        <w:tc>
          <w:tcPr>
            <w:tcW w:w="841" w:type="dxa"/>
            <w:vAlign w:val="center"/>
          </w:tcPr>
          <w:p>
            <w:pPr>
              <w:jc w:val="center"/>
              <w:rPr>
                <w:b/>
                <w:bCs/>
              </w:rPr>
            </w:pPr>
            <w:r>
              <w:rPr>
                <w:rFonts w:hint="eastAsia"/>
                <w:b/>
                <w:bCs/>
              </w:rPr>
              <w:t>计算投标报价得分</w:t>
            </w:r>
          </w:p>
        </w:tc>
        <w:tc>
          <w:tcPr>
            <w:tcW w:w="1528" w:type="dxa"/>
            <w:vAlign w:val="center"/>
          </w:tcPr>
          <w:p>
            <w:pPr>
              <w:jc w:val="center"/>
              <w:rPr>
                <w:rFonts w:hint="eastAsia" w:ascii="宋体" w:hAnsi="宋体"/>
                <w:b/>
                <w:bCs/>
                <w:szCs w:val="44"/>
              </w:rPr>
            </w:pPr>
            <w:r>
              <w:rPr>
                <w:rFonts w:hint="eastAsia"/>
                <w:b/>
                <w:bCs/>
              </w:rPr>
              <w:t>投标报价最终得分</w:t>
            </w:r>
          </w:p>
          <w:p>
            <w:pPr>
              <w:jc w:val="center"/>
              <w:rPr>
                <w:b/>
                <w:bCs/>
              </w:rPr>
            </w:pPr>
            <w:r>
              <w:rPr>
                <w:rFonts w:hint="eastAsia" w:ascii="宋体" w:hAnsi="宋体"/>
                <w:b/>
                <w:bCs/>
                <w:szCs w:val="44"/>
              </w:rPr>
              <w:t>（满分  分</w:t>
            </w:r>
            <w:r>
              <w:rPr>
                <w:rFonts w:ascii="宋体" w:hAnsi="宋体"/>
                <w:b/>
                <w:bCs/>
                <w:szCs w:val="4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pPr>
              <w:jc w:val="center"/>
            </w:pPr>
            <w:r>
              <w:rPr>
                <w:rFonts w:hint="eastAsia"/>
              </w:rPr>
              <w:t>1</w:t>
            </w:r>
          </w:p>
        </w:tc>
        <w:tc>
          <w:tcPr>
            <w:tcW w:w="1331" w:type="dxa"/>
            <w:vAlign w:val="center"/>
          </w:tcPr>
          <w:p>
            <w:pPr>
              <w:jc w:val="cente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restart"/>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pPr>
              <w:spacing w:after="120" w:afterLines="50"/>
              <w:jc w:val="center"/>
              <w:rPr>
                <w:rFonts w:hint="eastAsia" w:ascii="宋体" w:hAnsi="宋体" w:cs="Arial"/>
                <w:szCs w:val="21"/>
              </w:rPr>
            </w:pPr>
            <w:r>
              <w:rPr>
                <w:rFonts w:hint="eastAsia" w:ascii="宋体" w:hAnsi="宋体" w:cs="Arial"/>
                <w:szCs w:val="21"/>
              </w:rPr>
              <w:t>2</w:t>
            </w:r>
          </w:p>
        </w:tc>
        <w:tc>
          <w:tcPr>
            <w:tcW w:w="1331" w:type="dxa"/>
            <w:vAlign w:val="center"/>
          </w:tcPr>
          <w:p>
            <w:pPr>
              <w:spacing w:after="120" w:afterLines="50"/>
              <w:jc w:val="center"/>
              <w:rPr>
                <w:rFonts w:hint="eastAsia" w:ascii="宋体" w:hAnsi="宋体" w:cs="Arial"/>
                <w:szCs w:val="21"/>
              </w:rP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continue"/>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pPr>
            <w:r>
              <w:rPr>
                <w:rFonts w:hint="eastAsia"/>
              </w:rPr>
              <w:t>3</w:t>
            </w:r>
          </w:p>
        </w:tc>
        <w:tc>
          <w:tcPr>
            <w:tcW w:w="1331" w:type="dxa"/>
            <w:vAlign w:val="center"/>
          </w:tcPr>
          <w:p>
            <w:pPr>
              <w:jc w:val="cente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continue"/>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rFonts w:hint="eastAsia" w:ascii="宋体" w:hAnsi="宋体" w:cs="Arial"/>
                <w:szCs w:val="21"/>
              </w:rPr>
            </w:pPr>
            <w:r>
              <w:rPr>
                <w:rFonts w:hint="eastAsia" w:ascii="宋体" w:hAnsi="宋体" w:cs="Arial"/>
                <w:szCs w:val="21"/>
              </w:rPr>
              <w:t>4</w:t>
            </w:r>
          </w:p>
        </w:tc>
        <w:tc>
          <w:tcPr>
            <w:tcW w:w="1331" w:type="dxa"/>
            <w:vAlign w:val="center"/>
          </w:tcPr>
          <w:p>
            <w:pPr>
              <w:jc w:val="center"/>
              <w:rPr>
                <w:rFonts w:hint="eastAsia" w:ascii="宋体" w:hAnsi="宋体" w:cs="Arial"/>
                <w:szCs w:val="21"/>
              </w:rP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continue"/>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pPr>
              <w:jc w:val="center"/>
            </w:pPr>
            <w:r>
              <w:rPr>
                <w:rFonts w:hint="eastAsia"/>
              </w:rPr>
              <w:t>5</w:t>
            </w:r>
          </w:p>
        </w:tc>
        <w:tc>
          <w:tcPr>
            <w:tcW w:w="1331" w:type="dxa"/>
            <w:vAlign w:val="center"/>
          </w:tcPr>
          <w:p>
            <w:pPr>
              <w:jc w:val="cente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continue"/>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pPr>
            <w:r>
              <w:rPr>
                <w:rFonts w:hint="eastAsia"/>
              </w:rPr>
              <w:t>6</w:t>
            </w:r>
          </w:p>
        </w:tc>
        <w:tc>
          <w:tcPr>
            <w:tcW w:w="1331" w:type="dxa"/>
            <w:vAlign w:val="center"/>
          </w:tcPr>
          <w:p>
            <w:pPr>
              <w:jc w:val="cente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continue"/>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pPr>
            <w:r>
              <w:rPr>
                <w:rFonts w:hint="eastAsia" w:ascii="宋体" w:hAnsi="宋体"/>
                <w:szCs w:val="44"/>
              </w:rPr>
              <w:t>…</w:t>
            </w:r>
          </w:p>
        </w:tc>
        <w:tc>
          <w:tcPr>
            <w:tcW w:w="1331" w:type="dxa"/>
            <w:vAlign w:val="center"/>
          </w:tcPr>
          <w:p>
            <w:pPr>
              <w:jc w:val="center"/>
            </w:pPr>
          </w:p>
        </w:tc>
        <w:tc>
          <w:tcPr>
            <w:tcW w:w="701" w:type="dxa"/>
            <w:vAlign w:val="center"/>
          </w:tcPr>
          <w:p>
            <w:pPr>
              <w:jc w:val="center"/>
            </w:pPr>
          </w:p>
        </w:tc>
        <w:tc>
          <w:tcPr>
            <w:tcW w:w="997" w:type="dxa"/>
            <w:vAlign w:val="center"/>
          </w:tcPr>
          <w:p>
            <w:pPr>
              <w:jc w:val="center"/>
            </w:pPr>
          </w:p>
        </w:tc>
        <w:tc>
          <w:tcPr>
            <w:tcW w:w="738" w:type="dxa"/>
            <w:vAlign w:val="center"/>
          </w:tcPr>
          <w:p>
            <w:pPr>
              <w:jc w:val="center"/>
            </w:pPr>
          </w:p>
        </w:tc>
        <w:tc>
          <w:tcPr>
            <w:tcW w:w="946" w:type="dxa"/>
            <w:vMerge w:val="continue"/>
            <w:vAlign w:val="center"/>
          </w:tcPr>
          <w:p>
            <w:pPr>
              <w:jc w:val="center"/>
            </w:pPr>
          </w:p>
        </w:tc>
        <w:tc>
          <w:tcPr>
            <w:tcW w:w="841" w:type="dxa"/>
            <w:vAlign w:val="center"/>
          </w:tcPr>
          <w:p>
            <w:pPr>
              <w:jc w:val="center"/>
            </w:pPr>
          </w:p>
        </w:tc>
        <w:tc>
          <w:tcPr>
            <w:tcW w:w="841" w:type="dxa"/>
            <w:vAlign w:val="center"/>
          </w:tcPr>
          <w:p>
            <w:pPr>
              <w:jc w:val="center"/>
            </w:pPr>
          </w:p>
        </w:tc>
        <w:tc>
          <w:tcPr>
            <w:tcW w:w="152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p>
            <w:pPr>
              <w:jc w:val="left"/>
              <w:rPr>
                <w:rFonts w:hint="eastAsia" w:ascii="宋体" w:hAnsi="宋体"/>
                <w:szCs w:val="44"/>
              </w:rPr>
            </w:pPr>
            <w:r>
              <w:rPr>
                <w:rFonts w:hint="eastAsia" w:ascii="宋体" w:hAnsi="宋体"/>
                <w:szCs w:val="44"/>
              </w:rPr>
              <w:t xml:space="preserve">经济标评委签名： </w:t>
            </w:r>
          </w:p>
          <w:p>
            <w:pPr>
              <w:jc w:val="center"/>
              <w:rPr>
                <w:rFonts w:hint="eastAsia" w:ascii="宋体" w:hAnsi="宋体"/>
                <w:szCs w:val="44"/>
              </w:rPr>
            </w:pPr>
          </w:p>
          <w:p>
            <w:pPr>
              <w:jc w:val="center"/>
              <w:rPr>
                <w:rFonts w:hint="eastAsia" w:ascii="宋体" w:hAnsi="宋体"/>
                <w:szCs w:val="44"/>
              </w:rPr>
            </w:pPr>
          </w:p>
          <w:p>
            <w:pPr>
              <w:jc w:val="center"/>
              <w:rPr>
                <w:rFonts w:hint="eastAsia" w:ascii="宋体" w:hAnsi="宋体"/>
                <w:szCs w:val="44"/>
              </w:rPr>
            </w:pPr>
          </w:p>
          <w:p>
            <w:pPr>
              <w:jc w:val="center"/>
              <w:rPr>
                <w:rFonts w:hint="eastAsia" w:ascii="宋体" w:hAnsi="宋体"/>
                <w:szCs w:val="44"/>
              </w:rPr>
            </w:pPr>
          </w:p>
          <w:p>
            <w:pPr>
              <w:jc w:val="center"/>
            </w:pPr>
          </w:p>
        </w:tc>
      </w:tr>
    </w:tbl>
    <w:p>
      <w:pPr>
        <w:rPr>
          <w:rFonts w:hint="eastAsia" w:ascii="宋体" w:hAnsi="宋体"/>
          <w:szCs w:val="44"/>
        </w:rPr>
        <w:sectPr>
          <w:pgSz w:w="11906" w:h="16838"/>
          <w:pgMar w:top="1440" w:right="1797" w:bottom="1440" w:left="1797" w:header="851" w:footer="851" w:gutter="0"/>
          <w:cols w:space="720" w:num="1"/>
          <w:docGrid w:linePitch="312" w:charSpace="0"/>
        </w:sectPr>
      </w:pPr>
      <w:r>
        <w:rPr>
          <w:rFonts w:hint="eastAsia" w:ascii="宋体" w:hAnsi="宋体"/>
          <w:szCs w:val="44"/>
        </w:rPr>
        <w:t xml:space="preserve">                </w:t>
      </w:r>
      <w:r>
        <w:rPr>
          <w:rFonts w:ascii="宋体" w:hAnsi="宋体"/>
          <w:szCs w:val="44"/>
        </w:rPr>
        <w:t xml:space="preserve">                                 </w:t>
      </w:r>
      <w:r>
        <w:rPr>
          <w:rFonts w:hint="eastAsia" w:ascii="宋体" w:hAnsi="宋体"/>
          <w:szCs w:val="44"/>
        </w:rPr>
        <w:t xml:space="preserve"> 日期：    年    月    日</w:t>
      </w:r>
    </w:p>
    <w:bookmarkEnd w:id="832"/>
    <w:p>
      <w:pPr>
        <w:pStyle w:val="31"/>
      </w:pPr>
      <w:bookmarkStart w:id="833" w:name="_Toc21993"/>
      <w:bookmarkStart w:id="834" w:name="_Toc165804457"/>
      <w:bookmarkStart w:id="835" w:name="_Toc256000140"/>
      <w:r>
        <w:rPr>
          <w:rFonts w:hint="eastAsia"/>
        </w:rPr>
        <w:t>附表A-</w:t>
      </w:r>
      <w:r>
        <w:t>11</w:t>
      </w:r>
      <w:r>
        <w:rPr>
          <w:rFonts w:hint="eastAsia"/>
        </w:rPr>
        <w:t>：技术标评审记录表（评分）</w:t>
      </w:r>
      <w:bookmarkEnd w:id="833"/>
      <w:bookmarkEnd w:id="834"/>
      <w:bookmarkEnd w:id="835"/>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技术标评审记录表</w:t>
      </w:r>
    </w:p>
    <w:p>
      <w:pPr>
        <w:rPr>
          <w:rFonts w:hint="eastAsia" w:ascii="宋体" w:hAnsi="宋体"/>
          <w:szCs w:val="44"/>
        </w:rPr>
      </w:pPr>
      <w:bookmarkStart w:id="836" w:name="_Hlk150332918"/>
      <w:r>
        <w:rPr>
          <w:rFonts w:hint="eastAsia" w:ascii="宋体" w:hAnsi="宋体"/>
          <w:szCs w:val="44"/>
        </w:rPr>
        <w:t>标段名称：</w:t>
      </w:r>
    </w:p>
    <w:p>
      <w:pPr>
        <w:rPr>
          <w:szCs w:val="44"/>
        </w:rPr>
      </w:pPr>
      <w:r>
        <w:rPr>
          <w:rFonts w:hint="eastAsia"/>
          <w:szCs w:val="44"/>
        </w:rPr>
        <w:t>标段唯一标识码：</w:t>
      </w:r>
    </w:p>
    <w:tbl>
      <w:tblPr>
        <w:tblStyle w:val="22"/>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790"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9401" w:type="dxa"/>
            <w:gridSpan w:val="7"/>
            <w:vAlign w:val="center"/>
          </w:tcPr>
          <w:p>
            <w:pPr>
              <w:jc w:val="center"/>
              <w:rPr>
                <w:rFonts w:hint="eastAsia" w:ascii="宋体" w:hAnsi="宋体"/>
                <w:b/>
                <w:bCs/>
                <w:szCs w:val="44"/>
              </w:rPr>
            </w:pPr>
            <w:r>
              <w:rPr>
                <w:rFonts w:hint="eastAsia" w:ascii="宋体" w:hAnsi="宋体"/>
                <w:b/>
                <w:bCs/>
                <w:szCs w:val="44"/>
              </w:rPr>
              <w:t>评委姓名及得分</w:t>
            </w:r>
          </w:p>
        </w:tc>
        <w:tc>
          <w:tcPr>
            <w:tcW w:w="1774" w:type="dxa"/>
            <w:vMerge w:val="restart"/>
            <w:vAlign w:val="center"/>
          </w:tcPr>
          <w:p>
            <w:pPr>
              <w:jc w:val="center"/>
              <w:rPr>
                <w:rFonts w:hint="eastAsia" w:ascii="宋体" w:hAnsi="宋体"/>
                <w:b/>
                <w:bCs/>
                <w:szCs w:val="44"/>
              </w:rPr>
            </w:pPr>
            <w:r>
              <w:rPr>
                <w:rFonts w:hint="eastAsia"/>
                <w:b/>
                <w:bCs/>
              </w:rPr>
              <w:t>技术标</w:t>
            </w:r>
            <w:r>
              <w:rPr>
                <w:rFonts w:hint="eastAsia" w:ascii="宋体" w:hAnsi="宋体"/>
                <w:b/>
                <w:bCs/>
                <w:szCs w:val="44"/>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pPr>
              <w:jc w:val="center"/>
              <w:rPr>
                <w:rFonts w:hint="eastAsia" w:ascii="宋体" w:hAnsi="宋体"/>
                <w:b/>
                <w:bCs/>
                <w:szCs w:val="44"/>
              </w:rPr>
            </w:pPr>
          </w:p>
        </w:tc>
        <w:tc>
          <w:tcPr>
            <w:tcW w:w="1790" w:type="dxa"/>
            <w:vMerge w:val="continue"/>
          </w:tcPr>
          <w:p>
            <w:pPr>
              <w:jc w:val="center"/>
              <w:rPr>
                <w:rFonts w:hint="eastAsia" w:ascii="宋体" w:hAnsi="宋体"/>
                <w:b/>
                <w:bCs/>
                <w:szCs w:val="44"/>
              </w:rPr>
            </w:pPr>
          </w:p>
        </w:tc>
        <w:tc>
          <w:tcPr>
            <w:tcW w:w="1341" w:type="dxa"/>
            <w:vAlign w:val="center"/>
          </w:tcPr>
          <w:p>
            <w:pPr>
              <w:jc w:val="center"/>
              <w:rPr>
                <w:rFonts w:hint="eastAsia" w:ascii="宋体" w:hAnsi="宋体"/>
                <w:b/>
                <w:bCs/>
                <w:szCs w:val="44"/>
              </w:rPr>
            </w:pPr>
            <w:r>
              <w:rPr>
                <w:rFonts w:hint="eastAsia" w:ascii="宋体" w:hAnsi="宋体"/>
                <w:b/>
                <w:bCs/>
                <w:szCs w:val="44"/>
              </w:rPr>
              <w:t>评委1</w:t>
            </w:r>
          </w:p>
        </w:tc>
        <w:tc>
          <w:tcPr>
            <w:tcW w:w="1342" w:type="dxa"/>
            <w:vAlign w:val="center"/>
          </w:tcPr>
          <w:p>
            <w:pPr>
              <w:jc w:val="center"/>
              <w:rPr>
                <w:rFonts w:hint="eastAsia" w:ascii="宋体" w:hAnsi="宋体"/>
                <w:b/>
                <w:bCs/>
                <w:szCs w:val="44"/>
              </w:rPr>
            </w:pPr>
            <w:r>
              <w:rPr>
                <w:rFonts w:hint="eastAsia" w:ascii="宋体" w:hAnsi="宋体"/>
                <w:b/>
                <w:bCs/>
                <w:szCs w:val="44"/>
              </w:rPr>
              <w:t>评委</w:t>
            </w:r>
            <w:r>
              <w:rPr>
                <w:rFonts w:ascii="宋体" w:hAnsi="宋体"/>
                <w:b/>
                <w:bCs/>
                <w:szCs w:val="44"/>
              </w:rPr>
              <w:t>2</w:t>
            </w:r>
          </w:p>
        </w:tc>
        <w:tc>
          <w:tcPr>
            <w:tcW w:w="1342" w:type="dxa"/>
            <w:vAlign w:val="center"/>
          </w:tcPr>
          <w:p>
            <w:pPr>
              <w:jc w:val="center"/>
              <w:rPr>
                <w:rFonts w:hint="eastAsia" w:ascii="宋体" w:hAnsi="宋体"/>
                <w:b/>
                <w:bCs/>
                <w:szCs w:val="44"/>
              </w:rPr>
            </w:pPr>
            <w:r>
              <w:rPr>
                <w:rFonts w:ascii="宋体" w:hAnsi="宋体"/>
                <w:b/>
                <w:bCs/>
                <w:szCs w:val="44"/>
              </w:rPr>
              <w:t>……</w:t>
            </w:r>
          </w:p>
        </w:tc>
        <w:tc>
          <w:tcPr>
            <w:tcW w:w="1341" w:type="dxa"/>
            <w:vAlign w:val="center"/>
          </w:tcPr>
          <w:p>
            <w:pPr>
              <w:jc w:val="center"/>
              <w:rPr>
                <w:rFonts w:hint="eastAsia" w:ascii="宋体" w:hAnsi="宋体"/>
                <w:b/>
                <w:bCs/>
                <w:szCs w:val="44"/>
              </w:rPr>
            </w:pPr>
          </w:p>
        </w:tc>
        <w:tc>
          <w:tcPr>
            <w:tcW w:w="1342" w:type="dxa"/>
            <w:vAlign w:val="center"/>
          </w:tcPr>
          <w:p>
            <w:pPr>
              <w:jc w:val="center"/>
              <w:rPr>
                <w:rFonts w:hint="eastAsia" w:ascii="宋体" w:hAnsi="宋体"/>
                <w:b/>
                <w:bCs/>
                <w:szCs w:val="44"/>
              </w:rPr>
            </w:pPr>
          </w:p>
        </w:tc>
        <w:tc>
          <w:tcPr>
            <w:tcW w:w="1342" w:type="dxa"/>
            <w:vAlign w:val="center"/>
          </w:tcPr>
          <w:p>
            <w:pPr>
              <w:jc w:val="center"/>
              <w:rPr>
                <w:rFonts w:hint="eastAsia" w:ascii="宋体" w:hAnsi="宋体"/>
                <w:b/>
                <w:bCs/>
                <w:szCs w:val="44"/>
              </w:rPr>
            </w:pPr>
          </w:p>
        </w:tc>
        <w:tc>
          <w:tcPr>
            <w:tcW w:w="1351" w:type="dxa"/>
            <w:vAlign w:val="center"/>
          </w:tcPr>
          <w:p>
            <w:pPr>
              <w:jc w:val="center"/>
              <w:rPr>
                <w:rFonts w:hint="eastAsia" w:ascii="宋体" w:hAnsi="宋体"/>
                <w:b/>
                <w:bCs/>
                <w:szCs w:val="44"/>
              </w:rPr>
            </w:pPr>
          </w:p>
        </w:tc>
        <w:tc>
          <w:tcPr>
            <w:tcW w:w="1774" w:type="dxa"/>
            <w:vMerge w:val="continue"/>
            <w:vAlign w:val="center"/>
          </w:tcPr>
          <w:p>
            <w:pPr>
              <w:jc w:val="center"/>
              <w:rPr>
                <w:rFonts w:hint="eastAsia" w:ascii="宋体" w:hAnsi="宋体"/>
                <w:b/>
                <w:bCs/>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1</w:t>
            </w:r>
          </w:p>
        </w:tc>
        <w:tc>
          <w:tcPr>
            <w:tcW w:w="1790" w:type="dxa"/>
            <w:vAlign w:val="center"/>
          </w:tcPr>
          <w:p>
            <w:pPr>
              <w:jc w:val="center"/>
              <w:rPr>
                <w:rFonts w:hint="eastAsia" w:ascii="宋体" w:hAnsi="宋体"/>
                <w:szCs w:val="21"/>
              </w:rPr>
            </w:pPr>
          </w:p>
        </w:tc>
        <w:tc>
          <w:tcPr>
            <w:tcW w:w="1341" w:type="dxa"/>
            <w:vAlign w:val="center"/>
          </w:tcPr>
          <w:p>
            <w:pPr>
              <w:rPr>
                <w:rFonts w:hint="eastAsia" w:ascii="宋体" w:hAnsi="宋体"/>
                <w:szCs w:val="21"/>
              </w:rPr>
            </w:pPr>
            <w:r>
              <w:rPr>
                <w:rFonts w:hint="eastAsia" w:ascii="宋体" w:hAnsi="宋体"/>
                <w:szCs w:val="21"/>
              </w:rPr>
              <w:t xml:space="preserve"> </w:t>
            </w:r>
            <w:r>
              <w:rPr>
                <w:rFonts w:ascii="宋体" w:hAnsi="宋体"/>
                <w:szCs w:val="21"/>
              </w:rPr>
              <w:t xml:space="preserve">   </w:t>
            </w: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2</w:t>
            </w:r>
          </w:p>
        </w:tc>
        <w:tc>
          <w:tcPr>
            <w:tcW w:w="1790" w:type="dxa"/>
            <w:vAlign w:val="center"/>
          </w:tcPr>
          <w:p>
            <w:pPr>
              <w:jc w:val="center"/>
              <w:rPr>
                <w:rFonts w:hint="eastAsia" w:ascii="宋体" w:hAnsi="宋体"/>
                <w:szCs w:val="44"/>
              </w:rPr>
            </w:pPr>
          </w:p>
        </w:tc>
        <w:tc>
          <w:tcPr>
            <w:tcW w:w="1341" w:type="dxa"/>
            <w:vAlign w:val="center"/>
          </w:tcPr>
          <w:p>
            <w:pPr>
              <w:jc w:val="cente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3</w:t>
            </w:r>
          </w:p>
        </w:tc>
        <w:tc>
          <w:tcPr>
            <w:tcW w:w="1790" w:type="dxa"/>
            <w:vAlign w:val="center"/>
          </w:tcPr>
          <w:p>
            <w:pPr>
              <w:jc w:val="center"/>
              <w:rPr>
                <w:rFonts w:hint="eastAsia" w:ascii="宋体" w:hAnsi="宋体"/>
                <w:szCs w:val="44"/>
              </w:rPr>
            </w:pPr>
          </w:p>
        </w:tc>
        <w:tc>
          <w:tcPr>
            <w:tcW w:w="1341" w:type="dxa"/>
            <w:vAlign w:val="center"/>
          </w:tcPr>
          <w:p>
            <w:pPr>
              <w:jc w:val="cente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4</w:t>
            </w:r>
          </w:p>
        </w:tc>
        <w:tc>
          <w:tcPr>
            <w:tcW w:w="1790" w:type="dxa"/>
            <w:vAlign w:val="center"/>
          </w:tcPr>
          <w:p>
            <w:pPr>
              <w:jc w:val="center"/>
              <w:rPr>
                <w:rFonts w:hint="eastAsia" w:ascii="宋体" w:hAnsi="宋体"/>
                <w:szCs w:val="44"/>
              </w:rPr>
            </w:pPr>
          </w:p>
        </w:tc>
        <w:tc>
          <w:tcPr>
            <w:tcW w:w="1341" w:type="dxa"/>
            <w:vAlign w:val="center"/>
          </w:tcPr>
          <w:p>
            <w:pPr>
              <w:jc w:val="cente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5</w:t>
            </w:r>
          </w:p>
        </w:tc>
        <w:tc>
          <w:tcPr>
            <w:tcW w:w="1790" w:type="dxa"/>
            <w:vAlign w:val="center"/>
          </w:tcPr>
          <w:p>
            <w:pPr>
              <w:jc w:val="center"/>
              <w:rPr>
                <w:rFonts w:hint="eastAsia" w:ascii="宋体" w:hAnsi="宋体"/>
                <w:szCs w:val="44"/>
              </w:rPr>
            </w:pPr>
          </w:p>
        </w:tc>
        <w:tc>
          <w:tcPr>
            <w:tcW w:w="1341" w:type="dxa"/>
            <w:vAlign w:val="center"/>
          </w:tcPr>
          <w:p>
            <w:pPr>
              <w:jc w:val="cente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6</w:t>
            </w:r>
          </w:p>
        </w:tc>
        <w:tc>
          <w:tcPr>
            <w:tcW w:w="1790" w:type="dxa"/>
            <w:vAlign w:val="center"/>
          </w:tcPr>
          <w:p>
            <w:pPr>
              <w:jc w:val="center"/>
              <w:rPr>
                <w:rFonts w:hint="eastAsia" w:ascii="宋体" w:hAnsi="宋体"/>
                <w:szCs w:val="44"/>
              </w:rPr>
            </w:pPr>
          </w:p>
        </w:tc>
        <w:tc>
          <w:tcPr>
            <w:tcW w:w="1341" w:type="dxa"/>
            <w:vAlign w:val="center"/>
          </w:tcPr>
          <w:p>
            <w:pPr>
              <w:jc w:val="cente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szCs w:val="44"/>
              </w:rPr>
            </w:pPr>
            <w:r>
              <w:rPr>
                <w:rFonts w:hint="eastAsia" w:ascii="宋体" w:hAnsi="宋体"/>
                <w:szCs w:val="44"/>
              </w:rPr>
              <w:t>…</w:t>
            </w:r>
            <w:r>
              <w:rPr>
                <w:rFonts w:ascii="宋体" w:hAnsi="宋体"/>
                <w:szCs w:val="44"/>
              </w:rPr>
              <w:t>…</w:t>
            </w:r>
          </w:p>
        </w:tc>
        <w:tc>
          <w:tcPr>
            <w:tcW w:w="1790" w:type="dxa"/>
            <w:vAlign w:val="center"/>
          </w:tcPr>
          <w:p>
            <w:pPr>
              <w:rPr>
                <w:rFonts w:hint="eastAsia" w:ascii="宋体" w:hAnsi="宋体"/>
                <w:szCs w:val="21"/>
              </w:rPr>
            </w:pPr>
          </w:p>
        </w:tc>
        <w:tc>
          <w:tcPr>
            <w:tcW w:w="1341" w:type="dxa"/>
            <w:vAlign w:val="center"/>
          </w:tcPr>
          <w:p>
            <w:pPr>
              <w:jc w:val="cente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1"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42" w:type="dxa"/>
            <w:vAlign w:val="center"/>
          </w:tcPr>
          <w:p>
            <w:pPr>
              <w:jc w:val="center"/>
              <w:rPr>
                <w:rFonts w:hint="eastAsia" w:ascii="宋体" w:hAnsi="宋体"/>
                <w:szCs w:val="44"/>
              </w:rPr>
            </w:pPr>
          </w:p>
        </w:tc>
        <w:tc>
          <w:tcPr>
            <w:tcW w:w="1351" w:type="dxa"/>
            <w:vAlign w:val="center"/>
          </w:tcPr>
          <w:p>
            <w:pPr>
              <w:jc w:val="center"/>
              <w:rPr>
                <w:rFonts w:hint="eastAsia" w:ascii="宋体" w:hAnsi="宋体"/>
                <w:szCs w:val="44"/>
              </w:rPr>
            </w:pPr>
          </w:p>
        </w:tc>
        <w:tc>
          <w:tcPr>
            <w:tcW w:w="1774"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pPr>
              <w:jc w:val="left"/>
              <w:rPr>
                <w:rFonts w:hint="eastAsia" w:ascii="宋体" w:hAnsi="宋体"/>
                <w:szCs w:val="44"/>
              </w:rPr>
            </w:pPr>
            <w:r>
              <w:rPr>
                <w:rFonts w:hint="eastAsia" w:ascii="宋体" w:hAnsi="宋体"/>
                <w:szCs w:val="44"/>
              </w:rPr>
              <w:t>技术标评委签名：</w:t>
            </w:r>
          </w:p>
          <w:p>
            <w:pPr>
              <w:jc w:val="center"/>
              <w:rPr>
                <w:rFonts w:hint="eastAsia" w:ascii="宋体" w:hAnsi="宋体"/>
                <w:szCs w:val="44"/>
              </w:rPr>
            </w:pPr>
          </w:p>
          <w:p>
            <w:pPr>
              <w:jc w:val="center"/>
              <w:rPr>
                <w:rFonts w:hint="eastAsia" w:ascii="宋体" w:hAnsi="宋体"/>
                <w:szCs w:val="44"/>
              </w:rPr>
            </w:pPr>
          </w:p>
          <w:p>
            <w:pPr>
              <w:jc w:val="center"/>
              <w:rPr>
                <w:rFonts w:hint="eastAsia" w:ascii="宋体" w:hAnsi="宋体"/>
                <w:szCs w:val="44"/>
              </w:rPr>
            </w:pPr>
          </w:p>
        </w:tc>
      </w:tr>
    </w:tbl>
    <w:p>
      <w:pPr>
        <w:ind w:right="420"/>
        <w:jc w:val="right"/>
      </w:pPr>
      <w:r>
        <w:rPr>
          <w:rFonts w:hint="eastAsia"/>
        </w:rPr>
        <w:t xml:space="preserve">日期：    年   </w:t>
      </w:r>
      <w:r>
        <w:t xml:space="preserve"> </w:t>
      </w:r>
      <w:r>
        <w:rPr>
          <w:rFonts w:hint="eastAsia"/>
        </w:rPr>
        <w:t xml:space="preserve"> 月 </w:t>
      </w:r>
      <w:r>
        <w:t xml:space="preserve">  </w:t>
      </w:r>
      <w:r>
        <w:rPr>
          <w:rFonts w:hint="eastAsia"/>
        </w:rPr>
        <w:t xml:space="preserve"> 日</w:t>
      </w:r>
    </w:p>
    <w:bookmarkEnd w:id="836"/>
    <w:p>
      <w:r>
        <w:br w:type="page"/>
      </w:r>
    </w:p>
    <w:p>
      <w:pPr>
        <w:pStyle w:val="31"/>
      </w:pPr>
      <w:bookmarkStart w:id="837" w:name="_Toc165804458"/>
      <w:bookmarkStart w:id="838" w:name="_Toc9240"/>
      <w:bookmarkStart w:id="839" w:name="_Toc256000141"/>
      <w:r>
        <w:rPr>
          <w:rFonts w:hint="eastAsia"/>
        </w:rPr>
        <w:t>附表A-</w:t>
      </w:r>
      <w:r>
        <w:t>12</w:t>
      </w:r>
      <w:r>
        <w:rPr>
          <w:rFonts w:hint="eastAsia"/>
        </w:rPr>
        <w:t>：技术标评审记录表（个人）</w:t>
      </w:r>
      <w:bookmarkEnd w:id="837"/>
      <w:bookmarkEnd w:id="838"/>
      <w:bookmarkEnd w:id="839"/>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技术标评审记录表（个人）</w:t>
      </w:r>
    </w:p>
    <w:p>
      <w:pPr>
        <w:rPr>
          <w:rFonts w:hint="eastAsia" w:ascii="宋体" w:hAnsi="宋体"/>
          <w:szCs w:val="44"/>
        </w:rPr>
      </w:pPr>
      <w:bookmarkStart w:id="840" w:name="_Hlk150332959"/>
      <w:r>
        <w:rPr>
          <w:rFonts w:hint="eastAsia" w:ascii="宋体" w:hAnsi="宋体"/>
          <w:szCs w:val="44"/>
        </w:rPr>
        <w:t>标段名称：</w:t>
      </w:r>
    </w:p>
    <w:p>
      <w:pPr>
        <w:rPr>
          <w:szCs w:val="44"/>
        </w:rPr>
      </w:pPr>
      <w:r>
        <w:rPr>
          <w:rFonts w:hint="eastAsia"/>
          <w:szCs w:val="44"/>
        </w:rPr>
        <w:t>标段唯一标识码：</w:t>
      </w:r>
    </w:p>
    <w:tbl>
      <w:tblPr>
        <w:tblStyle w:val="22"/>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pPr>
              <w:jc w:val="center"/>
              <w:rPr>
                <w:rFonts w:hint="eastAsia" w:ascii="宋体" w:hAnsi="宋体"/>
                <w:b/>
                <w:bCs/>
                <w:szCs w:val="21"/>
              </w:rPr>
            </w:pPr>
            <w:r>
              <w:rPr>
                <w:rFonts w:hint="eastAsia" w:ascii="宋体" w:hAnsi="宋体"/>
                <w:b/>
                <w:bCs/>
                <w:szCs w:val="21"/>
              </w:rPr>
              <w:t>序号</w:t>
            </w:r>
          </w:p>
        </w:tc>
        <w:tc>
          <w:tcPr>
            <w:tcW w:w="2204" w:type="dxa"/>
            <w:vMerge w:val="restart"/>
            <w:vAlign w:val="center"/>
          </w:tcPr>
          <w:p>
            <w:pPr>
              <w:jc w:val="center"/>
              <w:rPr>
                <w:rFonts w:hint="eastAsia" w:ascii="宋体" w:hAnsi="宋体"/>
                <w:b/>
                <w:bCs/>
                <w:szCs w:val="21"/>
              </w:rPr>
            </w:pPr>
            <w:r>
              <w:rPr>
                <w:rFonts w:hint="eastAsia" w:ascii="宋体" w:hAnsi="宋体"/>
                <w:b/>
                <w:bCs/>
                <w:szCs w:val="21"/>
              </w:rPr>
              <w:t>投标人名称</w:t>
            </w:r>
          </w:p>
        </w:tc>
        <w:tc>
          <w:tcPr>
            <w:tcW w:w="9920" w:type="dxa"/>
            <w:gridSpan w:val="18"/>
          </w:tcPr>
          <w:p>
            <w:pPr>
              <w:jc w:val="center"/>
              <w:rPr>
                <w:rFonts w:hint="eastAsia" w:ascii="宋体" w:hAnsi="宋体"/>
                <w:b/>
                <w:bCs/>
                <w:szCs w:val="21"/>
              </w:rPr>
            </w:pPr>
            <w:r>
              <w:rPr>
                <w:rFonts w:hint="eastAsia" w:ascii="宋体" w:hAnsi="宋体"/>
                <w:b/>
                <w:bCs/>
                <w:szCs w:val="21"/>
              </w:rPr>
              <w:t>评审因素及评审得分</w:t>
            </w:r>
          </w:p>
        </w:tc>
        <w:tc>
          <w:tcPr>
            <w:tcW w:w="1198" w:type="dxa"/>
            <w:vMerge w:val="restart"/>
            <w:vAlign w:val="center"/>
          </w:tcPr>
          <w:p>
            <w:pPr>
              <w:jc w:val="center"/>
              <w:rPr>
                <w:rFonts w:hint="eastAsia" w:ascii="宋体" w:hAnsi="宋体"/>
                <w:b/>
                <w:bCs/>
                <w:szCs w:val="21"/>
              </w:rPr>
            </w:pPr>
            <w:r>
              <w:rPr>
                <w:rFonts w:hint="eastAsia" w:ascii="宋体" w:hAnsi="宋体"/>
                <w:b/>
                <w:bCs/>
                <w:szCs w:val="4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pPr>
              <w:jc w:val="center"/>
              <w:rPr>
                <w:rFonts w:hint="eastAsia" w:ascii="宋体" w:hAnsi="宋体"/>
                <w:b/>
                <w:bCs/>
                <w:szCs w:val="21"/>
              </w:rPr>
            </w:pPr>
          </w:p>
        </w:tc>
        <w:tc>
          <w:tcPr>
            <w:tcW w:w="2204" w:type="dxa"/>
            <w:vMerge w:val="continue"/>
          </w:tcPr>
          <w:p>
            <w:pPr>
              <w:jc w:val="center"/>
              <w:rPr>
                <w:rFonts w:hint="eastAsia" w:ascii="宋体" w:hAnsi="宋体"/>
                <w:b/>
                <w:bCs/>
                <w:szCs w:val="21"/>
              </w:rPr>
            </w:pPr>
          </w:p>
        </w:tc>
        <w:tc>
          <w:tcPr>
            <w:tcW w:w="1111" w:type="dxa"/>
            <w:gridSpan w:val="2"/>
            <w:vAlign w:val="center"/>
          </w:tcPr>
          <w:p>
            <w:pPr>
              <w:jc w:val="center"/>
              <w:rPr>
                <w:rFonts w:hint="eastAsia" w:ascii="宋体" w:hAnsi="宋体"/>
                <w:b/>
                <w:bCs/>
                <w:szCs w:val="21"/>
              </w:rPr>
            </w:pPr>
          </w:p>
        </w:tc>
        <w:tc>
          <w:tcPr>
            <w:tcW w:w="1112" w:type="dxa"/>
            <w:gridSpan w:val="2"/>
            <w:vAlign w:val="center"/>
          </w:tcPr>
          <w:p>
            <w:pPr>
              <w:jc w:val="center"/>
              <w:rPr>
                <w:rFonts w:hint="eastAsia" w:ascii="宋体" w:hAnsi="宋体"/>
                <w:b/>
                <w:bCs/>
                <w:szCs w:val="21"/>
              </w:rPr>
            </w:pPr>
          </w:p>
        </w:tc>
        <w:tc>
          <w:tcPr>
            <w:tcW w:w="1112" w:type="dxa"/>
            <w:gridSpan w:val="2"/>
            <w:vAlign w:val="center"/>
          </w:tcPr>
          <w:p>
            <w:pPr>
              <w:jc w:val="center"/>
              <w:rPr>
                <w:rFonts w:hint="eastAsia" w:ascii="宋体" w:hAnsi="宋体"/>
                <w:b/>
                <w:bCs/>
                <w:szCs w:val="21"/>
              </w:rPr>
            </w:pPr>
          </w:p>
        </w:tc>
        <w:tc>
          <w:tcPr>
            <w:tcW w:w="1112" w:type="dxa"/>
            <w:gridSpan w:val="2"/>
            <w:vAlign w:val="center"/>
          </w:tcPr>
          <w:p>
            <w:pPr>
              <w:jc w:val="center"/>
              <w:rPr>
                <w:rFonts w:hint="eastAsia" w:ascii="宋体" w:hAnsi="宋体"/>
                <w:b/>
                <w:bCs/>
                <w:szCs w:val="21"/>
              </w:rPr>
            </w:pPr>
          </w:p>
        </w:tc>
        <w:tc>
          <w:tcPr>
            <w:tcW w:w="1112" w:type="dxa"/>
            <w:gridSpan w:val="2"/>
            <w:vAlign w:val="center"/>
          </w:tcPr>
          <w:p>
            <w:pPr>
              <w:jc w:val="center"/>
              <w:rPr>
                <w:rFonts w:hint="eastAsia" w:ascii="宋体" w:hAnsi="宋体"/>
                <w:b/>
                <w:bCs/>
                <w:szCs w:val="21"/>
              </w:rPr>
            </w:pPr>
          </w:p>
        </w:tc>
        <w:tc>
          <w:tcPr>
            <w:tcW w:w="1111" w:type="dxa"/>
            <w:gridSpan w:val="2"/>
            <w:vAlign w:val="center"/>
          </w:tcPr>
          <w:p>
            <w:pPr>
              <w:jc w:val="center"/>
              <w:rPr>
                <w:rFonts w:hint="eastAsia" w:ascii="宋体" w:hAnsi="宋体"/>
                <w:b/>
                <w:bCs/>
                <w:szCs w:val="21"/>
              </w:rPr>
            </w:pPr>
          </w:p>
        </w:tc>
        <w:tc>
          <w:tcPr>
            <w:tcW w:w="1112" w:type="dxa"/>
            <w:gridSpan w:val="2"/>
            <w:vAlign w:val="center"/>
          </w:tcPr>
          <w:p>
            <w:pPr>
              <w:jc w:val="center"/>
              <w:rPr>
                <w:rFonts w:hint="eastAsia" w:ascii="宋体" w:hAnsi="宋体"/>
                <w:b/>
                <w:bCs/>
                <w:szCs w:val="21"/>
              </w:rPr>
            </w:pPr>
          </w:p>
        </w:tc>
        <w:tc>
          <w:tcPr>
            <w:tcW w:w="1112" w:type="dxa"/>
            <w:gridSpan w:val="2"/>
            <w:vAlign w:val="center"/>
          </w:tcPr>
          <w:p>
            <w:pPr>
              <w:jc w:val="center"/>
              <w:rPr>
                <w:rFonts w:hint="eastAsia" w:ascii="宋体" w:hAnsi="宋体"/>
                <w:b/>
                <w:bCs/>
                <w:szCs w:val="21"/>
              </w:rPr>
            </w:pPr>
          </w:p>
        </w:tc>
        <w:tc>
          <w:tcPr>
            <w:tcW w:w="1026" w:type="dxa"/>
            <w:gridSpan w:val="2"/>
            <w:vAlign w:val="center"/>
          </w:tcPr>
          <w:p>
            <w:pPr>
              <w:jc w:val="center"/>
              <w:rPr>
                <w:rFonts w:hint="eastAsia" w:ascii="宋体" w:hAnsi="宋体"/>
                <w:b/>
                <w:bCs/>
                <w:szCs w:val="21"/>
              </w:rPr>
            </w:pPr>
          </w:p>
        </w:tc>
        <w:tc>
          <w:tcPr>
            <w:tcW w:w="1198" w:type="dxa"/>
            <w:vMerge w:val="continue"/>
            <w:vAlign w:val="center"/>
          </w:tcPr>
          <w:p>
            <w:pPr>
              <w:jc w:val="center"/>
              <w:rPr>
                <w:rFonts w:hint="eastAsia"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pPr>
              <w:jc w:val="center"/>
              <w:rPr>
                <w:rFonts w:hint="eastAsia" w:ascii="宋体" w:hAnsi="宋体"/>
                <w:b/>
                <w:bCs/>
                <w:szCs w:val="21"/>
              </w:rPr>
            </w:pPr>
          </w:p>
        </w:tc>
        <w:tc>
          <w:tcPr>
            <w:tcW w:w="2204" w:type="dxa"/>
            <w:vMerge w:val="continue"/>
          </w:tcPr>
          <w:p>
            <w:pPr>
              <w:jc w:val="center"/>
              <w:rPr>
                <w:rFonts w:hint="eastAsia" w:ascii="宋体" w:hAnsi="宋体"/>
                <w:b/>
                <w:bCs/>
                <w:szCs w:val="21"/>
              </w:rPr>
            </w:pPr>
          </w:p>
        </w:tc>
        <w:tc>
          <w:tcPr>
            <w:tcW w:w="555"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5"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556" w:type="dxa"/>
            <w:vAlign w:val="center"/>
          </w:tcPr>
          <w:p>
            <w:pPr>
              <w:jc w:val="center"/>
              <w:rPr>
                <w:rFonts w:hint="eastAsia" w:ascii="宋体" w:hAnsi="宋体"/>
                <w:b/>
                <w:bCs/>
                <w:szCs w:val="21"/>
              </w:rPr>
            </w:pPr>
            <w:r>
              <w:rPr>
                <w:rFonts w:hint="eastAsia" w:ascii="宋体" w:hAnsi="宋体"/>
                <w:b/>
                <w:bCs/>
                <w:szCs w:val="21"/>
              </w:rPr>
              <w:t>得分</w:t>
            </w:r>
          </w:p>
        </w:tc>
        <w:tc>
          <w:tcPr>
            <w:tcW w:w="556" w:type="dxa"/>
            <w:vAlign w:val="center"/>
          </w:tcPr>
          <w:p>
            <w:pPr>
              <w:jc w:val="center"/>
              <w:rPr>
                <w:rFonts w:hint="eastAsia" w:ascii="宋体" w:hAnsi="宋体"/>
                <w:b/>
                <w:bCs/>
                <w:szCs w:val="21"/>
              </w:rPr>
            </w:pPr>
            <w:r>
              <w:rPr>
                <w:rFonts w:hint="eastAsia" w:ascii="宋体" w:hAnsi="宋体"/>
                <w:b/>
                <w:bCs/>
                <w:szCs w:val="21"/>
              </w:rPr>
              <w:t>暗标编号</w:t>
            </w:r>
          </w:p>
        </w:tc>
        <w:tc>
          <w:tcPr>
            <w:tcW w:w="470" w:type="dxa"/>
            <w:vAlign w:val="center"/>
          </w:tcPr>
          <w:p>
            <w:pPr>
              <w:jc w:val="center"/>
              <w:rPr>
                <w:rFonts w:hint="eastAsia" w:ascii="宋体" w:hAnsi="宋体"/>
                <w:b/>
                <w:bCs/>
                <w:szCs w:val="21"/>
              </w:rPr>
            </w:pPr>
            <w:r>
              <w:rPr>
                <w:rFonts w:hint="eastAsia" w:ascii="宋体" w:hAnsi="宋体"/>
                <w:b/>
                <w:bCs/>
                <w:szCs w:val="21"/>
              </w:rPr>
              <w:t>得分</w:t>
            </w:r>
          </w:p>
        </w:tc>
        <w:tc>
          <w:tcPr>
            <w:tcW w:w="1198" w:type="dxa"/>
            <w:vMerge w:val="continue"/>
            <w:vAlign w:val="center"/>
          </w:tcPr>
          <w:p>
            <w:pPr>
              <w:jc w:val="center"/>
              <w:rPr>
                <w:rFonts w:hint="eastAsia"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szCs w:val="21"/>
              </w:rPr>
            </w:pPr>
            <w:r>
              <w:rPr>
                <w:rFonts w:hint="eastAsia" w:ascii="宋体" w:hAnsi="宋体"/>
                <w:szCs w:val="21"/>
              </w:rPr>
              <w:t>1</w:t>
            </w:r>
          </w:p>
        </w:tc>
        <w:tc>
          <w:tcPr>
            <w:tcW w:w="2204"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470" w:type="dxa"/>
            <w:vAlign w:val="center"/>
          </w:tcPr>
          <w:p>
            <w:pPr>
              <w:jc w:val="center"/>
              <w:rPr>
                <w:rFonts w:hint="eastAsia" w:ascii="宋体" w:hAnsi="宋体"/>
                <w:szCs w:val="21"/>
              </w:rPr>
            </w:pPr>
          </w:p>
        </w:tc>
        <w:tc>
          <w:tcPr>
            <w:tcW w:w="1198"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szCs w:val="21"/>
              </w:rPr>
            </w:pPr>
            <w:r>
              <w:rPr>
                <w:rFonts w:hint="eastAsia" w:ascii="宋体" w:hAnsi="宋体"/>
                <w:szCs w:val="21"/>
              </w:rPr>
              <w:t>2</w:t>
            </w:r>
          </w:p>
        </w:tc>
        <w:tc>
          <w:tcPr>
            <w:tcW w:w="2204"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470" w:type="dxa"/>
            <w:vAlign w:val="center"/>
          </w:tcPr>
          <w:p>
            <w:pPr>
              <w:jc w:val="center"/>
              <w:rPr>
                <w:rFonts w:hint="eastAsia" w:ascii="宋体" w:hAnsi="宋体"/>
                <w:szCs w:val="21"/>
              </w:rPr>
            </w:pPr>
          </w:p>
        </w:tc>
        <w:tc>
          <w:tcPr>
            <w:tcW w:w="1198"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szCs w:val="21"/>
              </w:rPr>
            </w:pPr>
            <w:r>
              <w:rPr>
                <w:rFonts w:hint="eastAsia" w:ascii="宋体" w:hAnsi="宋体"/>
                <w:szCs w:val="21"/>
              </w:rPr>
              <w:t>3</w:t>
            </w:r>
          </w:p>
        </w:tc>
        <w:tc>
          <w:tcPr>
            <w:tcW w:w="2204"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470" w:type="dxa"/>
            <w:vAlign w:val="center"/>
          </w:tcPr>
          <w:p>
            <w:pPr>
              <w:jc w:val="center"/>
              <w:rPr>
                <w:rFonts w:hint="eastAsia" w:ascii="宋体" w:hAnsi="宋体"/>
                <w:szCs w:val="21"/>
              </w:rPr>
            </w:pPr>
          </w:p>
        </w:tc>
        <w:tc>
          <w:tcPr>
            <w:tcW w:w="1198"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szCs w:val="21"/>
              </w:rPr>
            </w:pPr>
            <w:r>
              <w:rPr>
                <w:rFonts w:hint="eastAsia" w:ascii="宋体" w:hAnsi="宋体"/>
                <w:szCs w:val="21"/>
              </w:rPr>
              <w:t>4</w:t>
            </w:r>
          </w:p>
        </w:tc>
        <w:tc>
          <w:tcPr>
            <w:tcW w:w="2204"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470" w:type="dxa"/>
            <w:vAlign w:val="center"/>
          </w:tcPr>
          <w:p>
            <w:pPr>
              <w:jc w:val="center"/>
              <w:rPr>
                <w:rFonts w:hint="eastAsia" w:ascii="宋体" w:hAnsi="宋体"/>
                <w:szCs w:val="21"/>
              </w:rPr>
            </w:pPr>
          </w:p>
        </w:tc>
        <w:tc>
          <w:tcPr>
            <w:tcW w:w="1198"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szCs w:val="21"/>
              </w:rPr>
            </w:pPr>
            <w:r>
              <w:rPr>
                <w:rFonts w:hint="eastAsia" w:ascii="宋体" w:hAnsi="宋体"/>
                <w:szCs w:val="21"/>
              </w:rPr>
              <w:t>5</w:t>
            </w:r>
          </w:p>
        </w:tc>
        <w:tc>
          <w:tcPr>
            <w:tcW w:w="2204"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470" w:type="dxa"/>
            <w:vAlign w:val="center"/>
          </w:tcPr>
          <w:p>
            <w:pPr>
              <w:jc w:val="center"/>
              <w:rPr>
                <w:rFonts w:hint="eastAsia" w:ascii="宋体" w:hAnsi="宋体"/>
                <w:szCs w:val="21"/>
              </w:rPr>
            </w:pPr>
          </w:p>
        </w:tc>
        <w:tc>
          <w:tcPr>
            <w:tcW w:w="1198"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szCs w:val="21"/>
              </w:rPr>
            </w:pPr>
            <w:r>
              <w:rPr>
                <w:rFonts w:hint="eastAsia" w:ascii="黑体" w:hAnsi="黑体" w:eastAsia="黑体"/>
                <w:szCs w:val="44"/>
              </w:rPr>
              <w:t>…</w:t>
            </w:r>
          </w:p>
        </w:tc>
        <w:tc>
          <w:tcPr>
            <w:tcW w:w="2204"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5"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tcPr>
          <w:p>
            <w:pPr>
              <w:jc w:val="center"/>
              <w:rPr>
                <w:rFonts w:hint="eastAsia" w:ascii="宋体" w:hAnsi="宋体"/>
                <w:szCs w:val="21"/>
              </w:rPr>
            </w:pPr>
          </w:p>
        </w:tc>
        <w:tc>
          <w:tcPr>
            <w:tcW w:w="556" w:type="dxa"/>
            <w:vAlign w:val="center"/>
          </w:tcPr>
          <w:p>
            <w:pPr>
              <w:jc w:val="center"/>
              <w:rPr>
                <w:rFonts w:hint="eastAsia" w:ascii="宋体" w:hAnsi="宋体"/>
                <w:szCs w:val="21"/>
              </w:rPr>
            </w:pPr>
          </w:p>
        </w:tc>
        <w:tc>
          <w:tcPr>
            <w:tcW w:w="470" w:type="dxa"/>
            <w:vAlign w:val="center"/>
          </w:tcPr>
          <w:p>
            <w:pPr>
              <w:jc w:val="center"/>
              <w:rPr>
                <w:rFonts w:hint="eastAsia" w:ascii="宋体" w:hAnsi="宋体"/>
                <w:szCs w:val="21"/>
              </w:rPr>
            </w:pPr>
          </w:p>
        </w:tc>
        <w:tc>
          <w:tcPr>
            <w:tcW w:w="1198" w:type="dxa"/>
            <w:vAlign w:val="center"/>
          </w:tcPr>
          <w:p>
            <w:pPr>
              <w:jc w:val="center"/>
              <w:rPr>
                <w:rFonts w:hint="eastAsia" w:ascii="宋体" w:hAnsi="宋体"/>
                <w:szCs w:val="21"/>
              </w:rPr>
            </w:pPr>
          </w:p>
        </w:tc>
      </w:tr>
    </w:tbl>
    <w:p/>
    <w:p>
      <w:r>
        <w:rPr>
          <w:rFonts w:hint="eastAsia"/>
        </w:rPr>
        <w:t>技术标评委签名：</w:t>
      </w:r>
      <w:r>
        <w:rPr>
          <w:rFonts w:hint="eastAsia" w:ascii="宋体" w:hAnsi="宋体"/>
          <w:szCs w:val="44"/>
        </w:rPr>
        <w:t xml:space="preserve"> </w:t>
      </w:r>
      <w:r>
        <w:rPr>
          <w:rFonts w:hint="eastAsia"/>
        </w:rPr>
        <w:t xml:space="preserve">              </w:t>
      </w:r>
      <w:r>
        <w:t xml:space="preserve">                                                                       </w:t>
      </w:r>
      <w:r>
        <w:rPr>
          <w:rFonts w:hint="eastAsia"/>
        </w:rPr>
        <w:t xml:space="preserve"> 日期：      年    月   日</w:t>
      </w:r>
      <w:bookmarkEnd w:id="840"/>
    </w:p>
    <w:p>
      <w:r>
        <w:br w:type="page"/>
      </w:r>
    </w:p>
    <w:p>
      <w:pPr>
        <w:pStyle w:val="31"/>
        <w:rPr>
          <w:rFonts w:ascii="黑体"/>
        </w:rPr>
      </w:pPr>
      <w:bookmarkStart w:id="841" w:name="_Toc256000142"/>
      <w:bookmarkStart w:id="842" w:name="_Toc165804459"/>
      <w:bookmarkStart w:id="843" w:name="_Toc27702"/>
      <w:r>
        <w:rPr>
          <w:rFonts w:hint="eastAsia"/>
        </w:rPr>
        <w:t>附表A-1</w:t>
      </w:r>
      <w:r>
        <w:t>3</w:t>
      </w:r>
      <w:r>
        <w:rPr>
          <w:rFonts w:hint="eastAsia"/>
        </w:rPr>
        <w:t>：</w:t>
      </w:r>
      <w:r>
        <w:rPr>
          <w:rFonts w:hint="eastAsia" w:ascii="宋体" w:hAnsi="宋体"/>
          <w:szCs w:val="21"/>
        </w:rPr>
        <w:t>资信标</w:t>
      </w:r>
      <w:r>
        <w:rPr>
          <w:rFonts w:hint="eastAsia"/>
        </w:rPr>
        <w:t>评审记录表</w:t>
      </w:r>
      <w:bookmarkEnd w:id="841"/>
      <w:bookmarkEnd w:id="842"/>
      <w:bookmarkEnd w:id="843"/>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资信标评审记录表</w:t>
      </w:r>
    </w:p>
    <w:p>
      <w:pPr>
        <w:rPr>
          <w:rFonts w:hint="eastAsia" w:ascii="宋体" w:hAnsi="宋体"/>
          <w:szCs w:val="44"/>
        </w:rPr>
      </w:pPr>
      <w:bookmarkStart w:id="844" w:name="_Hlk150332985"/>
      <w:r>
        <w:rPr>
          <w:rFonts w:hint="eastAsia" w:ascii="宋体" w:hAnsi="宋体"/>
          <w:szCs w:val="44"/>
        </w:rPr>
        <w:t>标段名称：</w:t>
      </w:r>
    </w:p>
    <w:p>
      <w:pPr>
        <w:rPr>
          <w:szCs w:val="44"/>
        </w:rPr>
      </w:pPr>
      <w:r>
        <w:rPr>
          <w:rFonts w:hint="eastAsia"/>
          <w:szCs w:val="44"/>
        </w:rPr>
        <w:t>标段唯一标识码：</w:t>
      </w:r>
    </w:p>
    <w:tbl>
      <w:tblPr>
        <w:tblStyle w:val="22"/>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811"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9504" w:type="dxa"/>
            <w:gridSpan w:val="7"/>
            <w:vAlign w:val="center"/>
          </w:tcPr>
          <w:p>
            <w:pPr>
              <w:jc w:val="center"/>
              <w:rPr>
                <w:rFonts w:hint="eastAsia" w:ascii="宋体" w:hAnsi="宋体"/>
                <w:b/>
                <w:bCs/>
                <w:szCs w:val="44"/>
              </w:rPr>
            </w:pPr>
            <w:r>
              <w:rPr>
                <w:rFonts w:hint="eastAsia" w:ascii="宋体" w:hAnsi="宋体"/>
                <w:b/>
                <w:bCs/>
                <w:szCs w:val="44"/>
              </w:rPr>
              <w:t>评委姓名及得分</w:t>
            </w:r>
          </w:p>
        </w:tc>
        <w:tc>
          <w:tcPr>
            <w:tcW w:w="1793" w:type="dxa"/>
            <w:vMerge w:val="restart"/>
            <w:vAlign w:val="center"/>
          </w:tcPr>
          <w:p>
            <w:pPr>
              <w:jc w:val="center"/>
              <w:rPr>
                <w:rFonts w:hint="eastAsia" w:ascii="宋体" w:hAnsi="宋体"/>
                <w:b/>
                <w:bCs/>
                <w:szCs w:val="44"/>
              </w:rPr>
            </w:pPr>
            <w:r>
              <w:rPr>
                <w:rFonts w:hint="eastAsia" w:ascii="宋体" w:hAnsi="宋体"/>
                <w:b/>
                <w:bCs/>
                <w:szCs w:val="44"/>
              </w:rPr>
              <w:t>资信标最终得分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pPr>
              <w:jc w:val="center"/>
              <w:rPr>
                <w:rFonts w:hint="eastAsia" w:ascii="宋体" w:hAnsi="宋体"/>
                <w:b/>
                <w:bCs/>
                <w:szCs w:val="44"/>
              </w:rPr>
            </w:pPr>
          </w:p>
        </w:tc>
        <w:tc>
          <w:tcPr>
            <w:tcW w:w="1811" w:type="dxa"/>
            <w:vMerge w:val="continue"/>
          </w:tcPr>
          <w:p>
            <w:pPr>
              <w:jc w:val="center"/>
              <w:rPr>
                <w:rFonts w:hint="eastAsia" w:ascii="宋体" w:hAnsi="宋体"/>
                <w:b/>
                <w:bCs/>
                <w:szCs w:val="44"/>
              </w:rPr>
            </w:pPr>
          </w:p>
        </w:tc>
        <w:tc>
          <w:tcPr>
            <w:tcW w:w="1356" w:type="dxa"/>
            <w:vAlign w:val="center"/>
          </w:tcPr>
          <w:p>
            <w:pPr>
              <w:jc w:val="center"/>
              <w:rPr>
                <w:rFonts w:hint="eastAsia" w:ascii="宋体" w:hAnsi="宋体"/>
                <w:b/>
                <w:bCs/>
                <w:szCs w:val="44"/>
              </w:rPr>
            </w:pPr>
            <w:r>
              <w:rPr>
                <w:rFonts w:hint="eastAsia" w:ascii="宋体" w:hAnsi="宋体"/>
                <w:b/>
                <w:bCs/>
                <w:szCs w:val="44"/>
              </w:rPr>
              <w:t>评委1</w:t>
            </w:r>
          </w:p>
        </w:tc>
        <w:tc>
          <w:tcPr>
            <w:tcW w:w="1357" w:type="dxa"/>
            <w:vAlign w:val="center"/>
          </w:tcPr>
          <w:p>
            <w:pPr>
              <w:jc w:val="center"/>
              <w:rPr>
                <w:rFonts w:hint="eastAsia" w:ascii="宋体" w:hAnsi="宋体"/>
                <w:b/>
                <w:bCs/>
                <w:szCs w:val="44"/>
              </w:rPr>
            </w:pPr>
            <w:r>
              <w:rPr>
                <w:rFonts w:hint="eastAsia" w:ascii="宋体" w:hAnsi="宋体"/>
                <w:b/>
                <w:bCs/>
                <w:szCs w:val="44"/>
              </w:rPr>
              <w:t>评委</w:t>
            </w:r>
            <w:r>
              <w:rPr>
                <w:rFonts w:ascii="宋体" w:hAnsi="宋体"/>
                <w:b/>
                <w:bCs/>
                <w:szCs w:val="44"/>
              </w:rPr>
              <w:t>2</w:t>
            </w:r>
          </w:p>
        </w:tc>
        <w:tc>
          <w:tcPr>
            <w:tcW w:w="1357" w:type="dxa"/>
            <w:vAlign w:val="center"/>
          </w:tcPr>
          <w:p>
            <w:pPr>
              <w:jc w:val="center"/>
              <w:rPr>
                <w:rFonts w:hint="eastAsia" w:ascii="宋体" w:hAnsi="宋体"/>
                <w:b/>
                <w:bCs/>
                <w:szCs w:val="44"/>
              </w:rPr>
            </w:pPr>
            <w:r>
              <w:rPr>
                <w:rFonts w:ascii="宋体" w:hAnsi="宋体"/>
                <w:b/>
                <w:bCs/>
                <w:szCs w:val="44"/>
              </w:rPr>
              <w:t>……</w:t>
            </w:r>
          </w:p>
        </w:tc>
        <w:tc>
          <w:tcPr>
            <w:tcW w:w="1356" w:type="dxa"/>
            <w:vAlign w:val="center"/>
          </w:tcPr>
          <w:p>
            <w:pPr>
              <w:jc w:val="center"/>
              <w:rPr>
                <w:rFonts w:hint="eastAsia" w:ascii="宋体" w:hAnsi="宋体"/>
                <w:b/>
                <w:bCs/>
                <w:szCs w:val="44"/>
              </w:rPr>
            </w:pPr>
          </w:p>
        </w:tc>
        <w:tc>
          <w:tcPr>
            <w:tcW w:w="1357" w:type="dxa"/>
            <w:vAlign w:val="center"/>
          </w:tcPr>
          <w:p>
            <w:pPr>
              <w:jc w:val="center"/>
              <w:rPr>
                <w:rFonts w:hint="eastAsia" w:ascii="宋体" w:hAnsi="宋体"/>
                <w:b/>
                <w:bCs/>
                <w:szCs w:val="44"/>
              </w:rPr>
            </w:pPr>
          </w:p>
        </w:tc>
        <w:tc>
          <w:tcPr>
            <w:tcW w:w="1357" w:type="dxa"/>
            <w:vAlign w:val="center"/>
          </w:tcPr>
          <w:p>
            <w:pPr>
              <w:jc w:val="center"/>
              <w:rPr>
                <w:rFonts w:hint="eastAsia" w:ascii="宋体" w:hAnsi="宋体"/>
                <w:b/>
                <w:bCs/>
                <w:szCs w:val="44"/>
              </w:rPr>
            </w:pPr>
          </w:p>
        </w:tc>
        <w:tc>
          <w:tcPr>
            <w:tcW w:w="1364" w:type="dxa"/>
            <w:vAlign w:val="center"/>
          </w:tcPr>
          <w:p>
            <w:pPr>
              <w:jc w:val="center"/>
              <w:rPr>
                <w:rFonts w:hint="eastAsia" w:ascii="宋体" w:hAnsi="宋体"/>
                <w:b/>
                <w:bCs/>
                <w:szCs w:val="44"/>
              </w:rPr>
            </w:pPr>
          </w:p>
        </w:tc>
        <w:tc>
          <w:tcPr>
            <w:tcW w:w="1793" w:type="dxa"/>
            <w:vMerge w:val="continue"/>
            <w:vAlign w:val="center"/>
          </w:tcPr>
          <w:p>
            <w:pPr>
              <w:jc w:val="center"/>
              <w:rPr>
                <w:rFonts w:hint="eastAsia" w:ascii="宋体" w:hAnsi="宋体"/>
                <w:b/>
                <w:bCs/>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1</w:t>
            </w:r>
          </w:p>
        </w:tc>
        <w:tc>
          <w:tcPr>
            <w:tcW w:w="1811" w:type="dxa"/>
            <w:vAlign w:val="center"/>
          </w:tcPr>
          <w:p>
            <w:pPr>
              <w:jc w:val="center"/>
              <w:rPr>
                <w:rFonts w:hint="eastAsia" w:ascii="宋体" w:hAnsi="宋体"/>
                <w:szCs w:val="21"/>
              </w:rPr>
            </w:pPr>
          </w:p>
        </w:tc>
        <w:tc>
          <w:tcPr>
            <w:tcW w:w="1356" w:type="dxa"/>
            <w:vAlign w:val="center"/>
          </w:tcPr>
          <w:p>
            <w:pPr>
              <w:rPr>
                <w:rFonts w:hint="eastAsia" w:ascii="宋体" w:hAnsi="宋体"/>
                <w:szCs w:val="21"/>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2</w:t>
            </w:r>
          </w:p>
        </w:tc>
        <w:tc>
          <w:tcPr>
            <w:tcW w:w="1811" w:type="dxa"/>
            <w:vAlign w:val="center"/>
          </w:tcPr>
          <w:p>
            <w:pPr>
              <w:jc w:val="center"/>
              <w:rPr>
                <w:rFonts w:hint="eastAsia" w:ascii="宋体" w:hAnsi="宋体"/>
                <w:szCs w:val="44"/>
              </w:rPr>
            </w:pPr>
          </w:p>
        </w:tc>
        <w:tc>
          <w:tcPr>
            <w:tcW w:w="1356" w:type="dxa"/>
            <w:vAlign w:val="center"/>
          </w:tcPr>
          <w:p>
            <w:pPr>
              <w:jc w:val="cente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3</w:t>
            </w:r>
          </w:p>
        </w:tc>
        <w:tc>
          <w:tcPr>
            <w:tcW w:w="1811" w:type="dxa"/>
            <w:vAlign w:val="center"/>
          </w:tcPr>
          <w:p>
            <w:pPr>
              <w:jc w:val="center"/>
              <w:rPr>
                <w:rFonts w:hint="eastAsia" w:ascii="宋体" w:hAnsi="宋体"/>
                <w:szCs w:val="44"/>
              </w:rPr>
            </w:pPr>
          </w:p>
        </w:tc>
        <w:tc>
          <w:tcPr>
            <w:tcW w:w="1356" w:type="dxa"/>
            <w:vAlign w:val="center"/>
          </w:tcPr>
          <w:p>
            <w:pPr>
              <w:jc w:val="cente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4</w:t>
            </w:r>
          </w:p>
        </w:tc>
        <w:tc>
          <w:tcPr>
            <w:tcW w:w="1811" w:type="dxa"/>
            <w:vAlign w:val="center"/>
          </w:tcPr>
          <w:p>
            <w:pPr>
              <w:jc w:val="center"/>
              <w:rPr>
                <w:rFonts w:hint="eastAsia" w:ascii="宋体" w:hAnsi="宋体"/>
                <w:szCs w:val="44"/>
              </w:rPr>
            </w:pPr>
          </w:p>
        </w:tc>
        <w:tc>
          <w:tcPr>
            <w:tcW w:w="1356" w:type="dxa"/>
            <w:vAlign w:val="center"/>
          </w:tcPr>
          <w:p>
            <w:pPr>
              <w:jc w:val="cente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5</w:t>
            </w:r>
          </w:p>
        </w:tc>
        <w:tc>
          <w:tcPr>
            <w:tcW w:w="1811" w:type="dxa"/>
            <w:vAlign w:val="center"/>
          </w:tcPr>
          <w:p>
            <w:pPr>
              <w:jc w:val="center"/>
              <w:rPr>
                <w:rFonts w:hint="eastAsia" w:ascii="宋体" w:hAnsi="宋体"/>
                <w:szCs w:val="44"/>
              </w:rPr>
            </w:pPr>
          </w:p>
        </w:tc>
        <w:tc>
          <w:tcPr>
            <w:tcW w:w="1356" w:type="dxa"/>
            <w:vAlign w:val="center"/>
          </w:tcPr>
          <w:p>
            <w:pPr>
              <w:jc w:val="cente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6</w:t>
            </w:r>
          </w:p>
        </w:tc>
        <w:tc>
          <w:tcPr>
            <w:tcW w:w="1811" w:type="dxa"/>
            <w:vAlign w:val="center"/>
          </w:tcPr>
          <w:p>
            <w:pPr>
              <w:jc w:val="center"/>
              <w:rPr>
                <w:rFonts w:hint="eastAsia" w:ascii="宋体" w:hAnsi="宋体"/>
                <w:szCs w:val="44"/>
              </w:rPr>
            </w:pPr>
          </w:p>
        </w:tc>
        <w:tc>
          <w:tcPr>
            <w:tcW w:w="1356" w:type="dxa"/>
            <w:vAlign w:val="center"/>
          </w:tcPr>
          <w:p>
            <w:pPr>
              <w:jc w:val="cente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szCs w:val="44"/>
              </w:rPr>
            </w:pPr>
            <w:r>
              <w:rPr>
                <w:rFonts w:hint="eastAsia" w:ascii="宋体" w:hAnsi="宋体"/>
                <w:szCs w:val="44"/>
              </w:rPr>
              <w:t>…</w:t>
            </w:r>
            <w:r>
              <w:rPr>
                <w:rFonts w:ascii="宋体" w:hAnsi="宋体"/>
                <w:szCs w:val="44"/>
              </w:rPr>
              <w:t>…</w:t>
            </w:r>
          </w:p>
        </w:tc>
        <w:tc>
          <w:tcPr>
            <w:tcW w:w="1811" w:type="dxa"/>
            <w:vAlign w:val="center"/>
          </w:tcPr>
          <w:p>
            <w:pPr>
              <w:rPr>
                <w:rFonts w:hint="eastAsia" w:ascii="宋体" w:hAnsi="宋体"/>
                <w:szCs w:val="21"/>
              </w:rPr>
            </w:pPr>
          </w:p>
        </w:tc>
        <w:tc>
          <w:tcPr>
            <w:tcW w:w="1356" w:type="dxa"/>
            <w:vAlign w:val="center"/>
          </w:tcPr>
          <w:p>
            <w:pPr>
              <w:jc w:val="cente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6"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57" w:type="dxa"/>
            <w:vAlign w:val="center"/>
          </w:tcPr>
          <w:p>
            <w:pPr>
              <w:jc w:val="center"/>
              <w:rPr>
                <w:rFonts w:hint="eastAsia" w:ascii="宋体" w:hAnsi="宋体"/>
                <w:szCs w:val="44"/>
              </w:rPr>
            </w:pPr>
          </w:p>
        </w:tc>
        <w:tc>
          <w:tcPr>
            <w:tcW w:w="1364" w:type="dxa"/>
            <w:vAlign w:val="center"/>
          </w:tcPr>
          <w:p>
            <w:pPr>
              <w:jc w:val="center"/>
              <w:rPr>
                <w:rFonts w:hint="eastAsia" w:ascii="宋体" w:hAnsi="宋体"/>
                <w:szCs w:val="44"/>
              </w:rPr>
            </w:pPr>
          </w:p>
        </w:tc>
        <w:tc>
          <w:tcPr>
            <w:tcW w:w="1793"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r>
              <w:rPr>
                <w:rFonts w:hint="eastAsia" w:ascii="宋体" w:hAnsi="宋体"/>
                <w:szCs w:val="21"/>
              </w:rPr>
              <w:t>资信标</w:t>
            </w:r>
            <w:r>
              <w:rPr>
                <w:rFonts w:hint="eastAsia"/>
              </w:rPr>
              <w:t>评委签名：</w:t>
            </w:r>
          </w:p>
          <w:p/>
          <w:p>
            <w:pPr>
              <w:rPr>
                <w:rFonts w:hint="eastAsia" w:ascii="宋体" w:hAnsi="宋体"/>
                <w:szCs w:val="44"/>
              </w:rPr>
            </w:pPr>
          </w:p>
          <w:p>
            <w:pPr>
              <w:jc w:val="center"/>
              <w:rPr>
                <w:rFonts w:hint="eastAsia" w:ascii="宋体" w:hAnsi="宋体"/>
                <w:szCs w:val="44"/>
              </w:rPr>
            </w:pPr>
          </w:p>
        </w:tc>
      </w:tr>
    </w:tbl>
    <w:p>
      <w:pPr>
        <w:rPr>
          <w:rFonts w:hint="eastAsia" w:ascii="宋体" w:hAnsi="宋体"/>
          <w:szCs w:val="44"/>
        </w:rPr>
      </w:pPr>
    </w:p>
    <w:p>
      <w:pPr>
        <w:jc w:val="right"/>
      </w:pPr>
      <w:r>
        <w:rPr>
          <w:rFonts w:hint="eastAsia"/>
        </w:rPr>
        <w:t xml:space="preserve">                   日期：      年    月   日</w:t>
      </w:r>
    </w:p>
    <w:p/>
    <w:bookmarkEnd w:id="844"/>
    <w:p>
      <w:pPr>
        <w:pStyle w:val="31"/>
        <w:rPr>
          <w:rFonts w:ascii="黑体"/>
        </w:rPr>
      </w:pPr>
      <w:bookmarkStart w:id="845" w:name="_Toc256000143"/>
      <w:bookmarkStart w:id="846" w:name="_Toc165804460"/>
      <w:bookmarkStart w:id="847" w:name="_Toc31302"/>
      <w:r>
        <w:rPr>
          <w:rFonts w:hint="eastAsia"/>
        </w:rPr>
        <w:t>附表A-1</w:t>
      </w:r>
      <w:r>
        <w:t>4</w:t>
      </w:r>
      <w:r>
        <w:rPr>
          <w:rFonts w:hint="eastAsia"/>
        </w:rPr>
        <w:t>：其他因素评审记录表</w:t>
      </w:r>
      <w:bookmarkEnd w:id="845"/>
      <w:bookmarkEnd w:id="846"/>
      <w:bookmarkEnd w:id="847"/>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其他因素评审记录表</w:t>
      </w:r>
    </w:p>
    <w:p>
      <w:pPr>
        <w:ind w:firstLine="210" w:firstLineChars="100"/>
        <w:rPr>
          <w:rFonts w:hint="eastAsia" w:ascii="宋体" w:hAnsi="宋体"/>
          <w:szCs w:val="44"/>
        </w:rPr>
      </w:pPr>
      <w:bookmarkStart w:id="848" w:name="_Hlk150333006"/>
      <w:r>
        <w:rPr>
          <w:rFonts w:hint="eastAsia" w:ascii="宋体" w:hAnsi="宋体"/>
          <w:szCs w:val="44"/>
        </w:rPr>
        <w:t>标段名称：</w:t>
      </w:r>
    </w:p>
    <w:p>
      <w:pPr>
        <w:ind w:firstLine="210" w:firstLineChars="100"/>
        <w:rPr>
          <w:szCs w:val="44"/>
        </w:rPr>
      </w:pPr>
      <w:r>
        <w:rPr>
          <w:rFonts w:hint="eastAsia"/>
          <w:szCs w:val="44"/>
        </w:rPr>
        <w:t>标段唯一标识码：</w:t>
      </w:r>
    </w:p>
    <w:tbl>
      <w:tblPr>
        <w:tblStyle w:val="22"/>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pPr>
              <w:jc w:val="center"/>
              <w:rPr>
                <w:rFonts w:hint="eastAsia" w:ascii="宋体" w:hAnsi="宋体"/>
                <w:b/>
                <w:bCs/>
                <w:szCs w:val="44"/>
              </w:rPr>
            </w:pPr>
            <w:r>
              <w:rPr>
                <w:rFonts w:hint="eastAsia" w:ascii="宋体" w:hAnsi="宋体"/>
                <w:b/>
                <w:bCs/>
                <w:szCs w:val="44"/>
              </w:rPr>
              <w:t>序号</w:t>
            </w:r>
          </w:p>
        </w:tc>
        <w:tc>
          <w:tcPr>
            <w:tcW w:w="1753" w:type="dxa"/>
            <w:vMerge w:val="restart"/>
            <w:vAlign w:val="center"/>
          </w:tcPr>
          <w:p>
            <w:pPr>
              <w:jc w:val="center"/>
              <w:rPr>
                <w:rFonts w:hint="eastAsia" w:ascii="宋体" w:hAnsi="宋体"/>
                <w:b/>
                <w:bCs/>
                <w:szCs w:val="44"/>
              </w:rPr>
            </w:pPr>
            <w:r>
              <w:rPr>
                <w:rFonts w:hint="eastAsia" w:ascii="宋体" w:hAnsi="宋体"/>
                <w:b/>
                <w:bCs/>
                <w:szCs w:val="44"/>
              </w:rPr>
              <w:t>投标人名称</w:t>
            </w:r>
          </w:p>
        </w:tc>
        <w:tc>
          <w:tcPr>
            <w:tcW w:w="9061" w:type="dxa"/>
            <w:gridSpan w:val="7"/>
            <w:vAlign w:val="center"/>
          </w:tcPr>
          <w:p>
            <w:pPr>
              <w:jc w:val="center"/>
              <w:rPr>
                <w:rFonts w:hint="eastAsia" w:ascii="宋体" w:hAnsi="宋体"/>
                <w:b/>
                <w:bCs/>
                <w:szCs w:val="44"/>
              </w:rPr>
            </w:pPr>
            <w:r>
              <w:rPr>
                <w:rFonts w:hint="eastAsia" w:ascii="宋体" w:hAnsi="宋体"/>
                <w:b/>
                <w:bCs/>
                <w:szCs w:val="44"/>
              </w:rPr>
              <w:t>评委姓名及得分</w:t>
            </w:r>
          </w:p>
        </w:tc>
        <w:tc>
          <w:tcPr>
            <w:tcW w:w="2020" w:type="dxa"/>
            <w:vMerge w:val="restart"/>
            <w:vAlign w:val="center"/>
          </w:tcPr>
          <w:p>
            <w:pPr>
              <w:jc w:val="center"/>
              <w:rPr>
                <w:rFonts w:hint="eastAsia" w:ascii="宋体" w:hAnsi="宋体"/>
                <w:b/>
                <w:bCs/>
                <w:szCs w:val="44"/>
              </w:rPr>
            </w:pPr>
            <w:r>
              <w:rPr>
                <w:rFonts w:hint="eastAsia" w:ascii="宋体" w:hAnsi="宋体"/>
                <w:b/>
                <w:bCs/>
                <w:szCs w:val="44"/>
              </w:rPr>
              <w:t>其他因素最终得分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pPr>
              <w:jc w:val="center"/>
              <w:rPr>
                <w:rFonts w:hint="eastAsia" w:ascii="宋体" w:hAnsi="宋体"/>
                <w:b/>
                <w:bCs/>
                <w:szCs w:val="44"/>
              </w:rPr>
            </w:pPr>
          </w:p>
        </w:tc>
        <w:tc>
          <w:tcPr>
            <w:tcW w:w="1753" w:type="dxa"/>
            <w:vMerge w:val="continue"/>
          </w:tcPr>
          <w:p>
            <w:pPr>
              <w:jc w:val="center"/>
              <w:rPr>
                <w:rFonts w:hint="eastAsia" w:ascii="宋体" w:hAnsi="宋体"/>
                <w:b/>
                <w:bCs/>
                <w:szCs w:val="44"/>
              </w:rPr>
            </w:pPr>
          </w:p>
        </w:tc>
        <w:tc>
          <w:tcPr>
            <w:tcW w:w="1313" w:type="dxa"/>
            <w:vAlign w:val="center"/>
          </w:tcPr>
          <w:p>
            <w:pPr>
              <w:jc w:val="center"/>
              <w:rPr>
                <w:rFonts w:hint="eastAsia" w:ascii="宋体" w:hAnsi="宋体"/>
                <w:b/>
                <w:bCs/>
                <w:szCs w:val="44"/>
              </w:rPr>
            </w:pPr>
            <w:r>
              <w:rPr>
                <w:rFonts w:hint="eastAsia" w:ascii="宋体" w:hAnsi="宋体"/>
                <w:b/>
                <w:bCs/>
                <w:szCs w:val="44"/>
              </w:rPr>
              <w:t>评委1</w:t>
            </w:r>
          </w:p>
        </w:tc>
        <w:tc>
          <w:tcPr>
            <w:tcW w:w="1314" w:type="dxa"/>
            <w:vAlign w:val="center"/>
          </w:tcPr>
          <w:p>
            <w:pPr>
              <w:jc w:val="center"/>
              <w:rPr>
                <w:rFonts w:hint="eastAsia" w:ascii="宋体" w:hAnsi="宋体"/>
                <w:b/>
                <w:bCs/>
                <w:szCs w:val="44"/>
              </w:rPr>
            </w:pPr>
            <w:r>
              <w:rPr>
                <w:rFonts w:hint="eastAsia" w:ascii="宋体" w:hAnsi="宋体"/>
                <w:b/>
                <w:bCs/>
                <w:szCs w:val="44"/>
              </w:rPr>
              <w:t>评委</w:t>
            </w:r>
            <w:r>
              <w:rPr>
                <w:rFonts w:ascii="宋体" w:hAnsi="宋体"/>
                <w:b/>
                <w:bCs/>
                <w:szCs w:val="44"/>
              </w:rPr>
              <w:t>2</w:t>
            </w:r>
          </w:p>
        </w:tc>
        <w:tc>
          <w:tcPr>
            <w:tcW w:w="1314" w:type="dxa"/>
            <w:vAlign w:val="center"/>
          </w:tcPr>
          <w:p>
            <w:pPr>
              <w:jc w:val="center"/>
              <w:rPr>
                <w:rFonts w:hint="eastAsia" w:ascii="宋体" w:hAnsi="宋体"/>
                <w:b/>
                <w:bCs/>
                <w:szCs w:val="44"/>
              </w:rPr>
            </w:pPr>
            <w:r>
              <w:rPr>
                <w:rFonts w:ascii="宋体" w:hAnsi="宋体"/>
                <w:b/>
                <w:bCs/>
                <w:szCs w:val="44"/>
              </w:rPr>
              <w:t>……</w:t>
            </w:r>
          </w:p>
        </w:tc>
        <w:tc>
          <w:tcPr>
            <w:tcW w:w="1313" w:type="dxa"/>
            <w:vAlign w:val="center"/>
          </w:tcPr>
          <w:p>
            <w:pPr>
              <w:jc w:val="center"/>
              <w:rPr>
                <w:rFonts w:hint="eastAsia" w:ascii="宋体" w:hAnsi="宋体"/>
                <w:b/>
                <w:bCs/>
                <w:szCs w:val="44"/>
              </w:rPr>
            </w:pPr>
          </w:p>
        </w:tc>
        <w:tc>
          <w:tcPr>
            <w:tcW w:w="1314" w:type="dxa"/>
            <w:vAlign w:val="center"/>
          </w:tcPr>
          <w:p>
            <w:pPr>
              <w:jc w:val="center"/>
              <w:rPr>
                <w:rFonts w:hint="eastAsia" w:ascii="宋体" w:hAnsi="宋体"/>
                <w:b/>
                <w:bCs/>
                <w:szCs w:val="44"/>
              </w:rPr>
            </w:pPr>
          </w:p>
        </w:tc>
        <w:tc>
          <w:tcPr>
            <w:tcW w:w="1314" w:type="dxa"/>
            <w:vAlign w:val="center"/>
          </w:tcPr>
          <w:p>
            <w:pPr>
              <w:jc w:val="center"/>
              <w:rPr>
                <w:rFonts w:hint="eastAsia" w:ascii="宋体" w:hAnsi="宋体"/>
                <w:b/>
                <w:bCs/>
                <w:szCs w:val="44"/>
              </w:rPr>
            </w:pPr>
          </w:p>
        </w:tc>
        <w:tc>
          <w:tcPr>
            <w:tcW w:w="1179" w:type="dxa"/>
            <w:vAlign w:val="center"/>
          </w:tcPr>
          <w:p>
            <w:pPr>
              <w:jc w:val="center"/>
              <w:rPr>
                <w:rFonts w:hint="eastAsia" w:ascii="宋体" w:hAnsi="宋体"/>
                <w:b/>
                <w:bCs/>
                <w:szCs w:val="44"/>
              </w:rPr>
            </w:pPr>
          </w:p>
        </w:tc>
        <w:tc>
          <w:tcPr>
            <w:tcW w:w="2020" w:type="dxa"/>
            <w:vMerge w:val="continue"/>
            <w:vAlign w:val="center"/>
          </w:tcPr>
          <w:p>
            <w:pPr>
              <w:jc w:val="center"/>
              <w:rPr>
                <w:rFonts w:hint="eastAsia" w:ascii="宋体" w:hAnsi="宋体"/>
                <w:b/>
                <w:bCs/>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szCs w:val="44"/>
              </w:rPr>
            </w:pPr>
            <w:r>
              <w:rPr>
                <w:rFonts w:hint="eastAsia" w:ascii="宋体" w:hAnsi="宋体"/>
                <w:szCs w:val="44"/>
              </w:rPr>
              <w:t>1</w:t>
            </w:r>
          </w:p>
        </w:tc>
        <w:tc>
          <w:tcPr>
            <w:tcW w:w="1753" w:type="dxa"/>
            <w:vAlign w:val="center"/>
          </w:tcPr>
          <w:p>
            <w:pPr>
              <w:jc w:val="center"/>
              <w:rPr>
                <w:rFonts w:hint="eastAsia" w:ascii="宋体" w:hAnsi="宋体"/>
                <w:szCs w:val="21"/>
              </w:rPr>
            </w:pPr>
          </w:p>
        </w:tc>
        <w:tc>
          <w:tcPr>
            <w:tcW w:w="1313" w:type="dxa"/>
            <w:vAlign w:val="center"/>
          </w:tcPr>
          <w:p>
            <w:pPr>
              <w:rPr>
                <w:rFonts w:hint="eastAsia" w:ascii="宋体" w:hAnsi="宋体"/>
                <w:szCs w:val="21"/>
              </w:rP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3"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179" w:type="dxa"/>
            <w:vAlign w:val="center"/>
          </w:tcPr>
          <w:p>
            <w:pPr>
              <w:jc w:val="center"/>
              <w:rPr>
                <w:rFonts w:hint="eastAsia" w:ascii="宋体" w:hAnsi="宋体"/>
                <w:szCs w:val="44"/>
              </w:rPr>
            </w:pPr>
          </w:p>
        </w:tc>
        <w:tc>
          <w:tcPr>
            <w:tcW w:w="2020"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szCs w:val="44"/>
              </w:rPr>
            </w:pPr>
            <w:r>
              <w:rPr>
                <w:rFonts w:hint="eastAsia" w:ascii="宋体" w:hAnsi="宋体"/>
                <w:szCs w:val="44"/>
              </w:rPr>
              <w:t>2</w:t>
            </w:r>
          </w:p>
        </w:tc>
        <w:tc>
          <w:tcPr>
            <w:tcW w:w="1753" w:type="dxa"/>
            <w:vAlign w:val="center"/>
          </w:tcPr>
          <w:p>
            <w:pPr>
              <w:jc w:val="center"/>
              <w:rPr>
                <w:rFonts w:hint="eastAsia" w:ascii="宋体" w:hAnsi="宋体"/>
                <w:szCs w:val="44"/>
              </w:rPr>
            </w:pPr>
          </w:p>
        </w:tc>
        <w:tc>
          <w:tcPr>
            <w:tcW w:w="1313" w:type="dxa"/>
            <w:vAlign w:val="center"/>
          </w:tcPr>
          <w:p>
            <w:pPr>
              <w:jc w:val="cente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3"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179" w:type="dxa"/>
            <w:vAlign w:val="center"/>
          </w:tcPr>
          <w:p>
            <w:pPr>
              <w:jc w:val="center"/>
              <w:rPr>
                <w:rFonts w:hint="eastAsia" w:ascii="宋体" w:hAnsi="宋体"/>
                <w:szCs w:val="44"/>
              </w:rPr>
            </w:pPr>
          </w:p>
        </w:tc>
        <w:tc>
          <w:tcPr>
            <w:tcW w:w="2020"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szCs w:val="44"/>
              </w:rPr>
            </w:pPr>
            <w:r>
              <w:rPr>
                <w:rFonts w:hint="eastAsia" w:ascii="宋体" w:hAnsi="宋体"/>
                <w:szCs w:val="44"/>
              </w:rPr>
              <w:t>3</w:t>
            </w:r>
          </w:p>
        </w:tc>
        <w:tc>
          <w:tcPr>
            <w:tcW w:w="1753" w:type="dxa"/>
            <w:vAlign w:val="center"/>
          </w:tcPr>
          <w:p>
            <w:pPr>
              <w:jc w:val="center"/>
              <w:rPr>
                <w:rFonts w:hint="eastAsia" w:ascii="宋体" w:hAnsi="宋体"/>
                <w:szCs w:val="44"/>
              </w:rPr>
            </w:pPr>
          </w:p>
        </w:tc>
        <w:tc>
          <w:tcPr>
            <w:tcW w:w="1313" w:type="dxa"/>
            <w:vAlign w:val="center"/>
          </w:tcPr>
          <w:p>
            <w:pPr>
              <w:jc w:val="cente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3"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179" w:type="dxa"/>
            <w:vAlign w:val="center"/>
          </w:tcPr>
          <w:p>
            <w:pPr>
              <w:jc w:val="center"/>
              <w:rPr>
                <w:rFonts w:hint="eastAsia" w:ascii="宋体" w:hAnsi="宋体"/>
                <w:szCs w:val="44"/>
              </w:rPr>
            </w:pPr>
          </w:p>
        </w:tc>
        <w:tc>
          <w:tcPr>
            <w:tcW w:w="2020"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szCs w:val="44"/>
              </w:rPr>
            </w:pPr>
            <w:r>
              <w:rPr>
                <w:rFonts w:hint="eastAsia" w:ascii="宋体" w:hAnsi="宋体"/>
                <w:szCs w:val="44"/>
              </w:rPr>
              <w:t>4</w:t>
            </w:r>
          </w:p>
        </w:tc>
        <w:tc>
          <w:tcPr>
            <w:tcW w:w="1753" w:type="dxa"/>
            <w:vAlign w:val="center"/>
          </w:tcPr>
          <w:p>
            <w:pPr>
              <w:jc w:val="center"/>
              <w:rPr>
                <w:rFonts w:hint="eastAsia" w:ascii="宋体" w:hAnsi="宋体"/>
                <w:szCs w:val="44"/>
              </w:rPr>
            </w:pPr>
          </w:p>
        </w:tc>
        <w:tc>
          <w:tcPr>
            <w:tcW w:w="1313" w:type="dxa"/>
            <w:vAlign w:val="center"/>
          </w:tcPr>
          <w:p>
            <w:pPr>
              <w:jc w:val="cente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3"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314" w:type="dxa"/>
            <w:vAlign w:val="center"/>
          </w:tcPr>
          <w:p>
            <w:pPr>
              <w:jc w:val="center"/>
              <w:rPr>
                <w:rFonts w:hint="eastAsia" w:ascii="宋体" w:hAnsi="宋体"/>
                <w:szCs w:val="44"/>
              </w:rPr>
            </w:pPr>
          </w:p>
        </w:tc>
        <w:tc>
          <w:tcPr>
            <w:tcW w:w="1179" w:type="dxa"/>
            <w:vAlign w:val="center"/>
          </w:tcPr>
          <w:p>
            <w:pPr>
              <w:jc w:val="center"/>
              <w:rPr>
                <w:rFonts w:hint="eastAsia" w:ascii="宋体" w:hAnsi="宋体"/>
                <w:szCs w:val="44"/>
              </w:rPr>
            </w:pPr>
          </w:p>
        </w:tc>
        <w:tc>
          <w:tcPr>
            <w:tcW w:w="2020" w:type="dxa"/>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pPr>
              <w:jc w:val="center"/>
              <w:rPr>
                <w:rFonts w:hint="eastAsia" w:ascii="宋体" w:hAnsi="宋体"/>
                <w:szCs w:val="44"/>
              </w:rPr>
            </w:pPr>
            <w:r>
              <w:rPr>
                <w:rFonts w:hint="eastAsia" w:ascii="宋体" w:hAnsi="宋体"/>
                <w:szCs w:val="44"/>
              </w:rPr>
              <w:t>5</w:t>
            </w:r>
          </w:p>
        </w:tc>
        <w:tc>
          <w:tcPr>
            <w:tcW w:w="1753" w:type="dxa"/>
            <w:tcBorders>
              <w:bottom w:val="single" w:color="auto" w:sz="4" w:space="0"/>
            </w:tcBorders>
            <w:vAlign w:val="center"/>
          </w:tcPr>
          <w:p>
            <w:pPr>
              <w:jc w:val="center"/>
              <w:rPr>
                <w:rFonts w:hint="eastAsia" w:ascii="宋体" w:hAnsi="宋体"/>
                <w:szCs w:val="44"/>
              </w:rPr>
            </w:pPr>
          </w:p>
        </w:tc>
        <w:tc>
          <w:tcPr>
            <w:tcW w:w="1313" w:type="dxa"/>
            <w:tcBorders>
              <w:bottom w:val="single" w:color="auto" w:sz="4" w:space="0"/>
            </w:tcBorders>
            <w:vAlign w:val="center"/>
          </w:tcPr>
          <w:p>
            <w:pPr>
              <w:jc w:val="center"/>
            </w:pPr>
          </w:p>
        </w:tc>
        <w:tc>
          <w:tcPr>
            <w:tcW w:w="1314" w:type="dxa"/>
            <w:tcBorders>
              <w:bottom w:val="single" w:color="auto" w:sz="4" w:space="0"/>
            </w:tcBorders>
            <w:vAlign w:val="center"/>
          </w:tcPr>
          <w:p>
            <w:pPr>
              <w:jc w:val="center"/>
              <w:rPr>
                <w:rFonts w:hint="eastAsia" w:ascii="宋体" w:hAnsi="宋体"/>
                <w:szCs w:val="44"/>
              </w:rPr>
            </w:pPr>
          </w:p>
        </w:tc>
        <w:tc>
          <w:tcPr>
            <w:tcW w:w="1314" w:type="dxa"/>
            <w:tcBorders>
              <w:bottom w:val="single" w:color="auto" w:sz="4" w:space="0"/>
            </w:tcBorders>
            <w:vAlign w:val="center"/>
          </w:tcPr>
          <w:p>
            <w:pPr>
              <w:jc w:val="center"/>
              <w:rPr>
                <w:rFonts w:hint="eastAsia" w:ascii="宋体" w:hAnsi="宋体"/>
                <w:szCs w:val="44"/>
              </w:rPr>
            </w:pPr>
          </w:p>
        </w:tc>
        <w:tc>
          <w:tcPr>
            <w:tcW w:w="1313" w:type="dxa"/>
            <w:tcBorders>
              <w:bottom w:val="single" w:color="auto" w:sz="4" w:space="0"/>
            </w:tcBorders>
            <w:vAlign w:val="center"/>
          </w:tcPr>
          <w:p>
            <w:pPr>
              <w:jc w:val="center"/>
              <w:rPr>
                <w:rFonts w:hint="eastAsia" w:ascii="宋体" w:hAnsi="宋体"/>
                <w:szCs w:val="44"/>
              </w:rPr>
            </w:pPr>
          </w:p>
        </w:tc>
        <w:tc>
          <w:tcPr>
            <w:tcW w:w="1314" w:type="dxa"/>
            <w:tcBorders>
              <w:bottom w:val="single" w:color="auto" w:sz="4" w:space="0"/>
            </w:tcBorders>
            <w:vAlign w:val="center"/>
          </w:tcPr>
          <w:p>
            <w:pPr>
              <w:jc w:val="center"/>
              <w:rPr>
                <w:rFonts w:hint="eastAsia" w:ascii="宋体" w:hAnsi="宋体"/>
                <w:szCs w:val="44"/>
              </w:rPr>
            </w:pPr>
          </w:p>
        </w:tc>
        <w:tc>
          <w:tcPr>
            <w:tcW w:w="1314" w:type="dxa"/>
            <w:tcBorders>
              <w:bottom w:val="single" w:color="auto" w:sz="4" w:space="0"/>
            </w:tcBorders>
            <w:vAlign w:val="center"/>
          </w:tcPr>
          <w:p>
            <w:pPr>
              <w:jc w:val="center"/>
              <w:rPr>
                <w:rFonts w:hint="eastAsia" w:ascii="宋体" w:hAnsi="宋体"/>
                <w:szCs w:val="44"/>
              </w:rPr>
            </w:pPr>
          </w:p>
        </w:tc>
        <w:tc>
          <w:tcPr>
            <w:tcW w:w="1179" w:type="dxa"/>
            <w:tcBorders>
              <w:bottom w:val="single" w:color="auto" w:sz="4" w:space="0"/>
            </w:tcBorders>
            <w:vAlign w:val="center"/>
          </w:tcPr>
          <w:p>
            <w:pPr>
              <w:jc w:val="center"/>
              <w:rPr>
                <w:rFonts w:hint="eastAsia" w:ascii="宋体" w:hAnsi="宋体"/>
                <w:szCs w:val="44"/>
              </w:rPr>
            </w:pPr>
          </w:p>
        </w:tc>
        <w:tc>
          <w:tcPr>
            <w:tcW w:w="2020" w:type="dxa"/>
            <w:tcBorders>
              <w:bottom w:val="single" w:color="auto" w:sz="4" w:space="0"/>
            </w:tcBorders>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r>
              <w:rPr>
                <w:rFonts w:hint="eastAsia" w:ascii="宋体" w:hAnsi="宋体"/>
                <w:szCs w:val="44"/>
              </w:rPr>
              <w:t>…</w:t>
            </w:r>
            <w:r>
              <w:rPr>
                <w:rFonts w:ascii="宋体" w:hAnsi="宋体"/>
                <w:szCs w:val="44"/>
              </w:rPr>
              <w:t>…</w:t>
            </w:r>
          </w:p>
        </w:tc>
        <w:tc>
          <w:tcPr>
            <w:tcW w:w="175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szCs w:val="21"/>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c>
          <w:tcPr>
            <w:tcW w:w="20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szCs w:val="44"/>
              </w:rPr>
            </w:pPr>
            <w:r>
              <w:rPr>
                <w:rFonts w:hint="eastAsia"/>
              </w:rPr>
              <w:t xml:space="preserve">评标委员会全体成员签名： </w:t>
            </w:r>
            <w:r>
              <w:rPr>
                <w:rFonts w:hint="eastAsia" w:ascii="宋体" w:hAnsi="宋体"/>
                <w:szCs w:val="44"/>
              </w:rPr>
              <w:t xml:space="preserve"> </w:t>
            </w:r>
          </w:p>
          <w:p>
            <w:pPr>
              <w:jc w:val="left"/>
              <w:rPr>
                <w:rFonts w:hint="eastAsia" w:ascii="宋体" w:hAnsi="宋体"/>
                <w:szCs w:val="44"/>
              </w:rPr>
            </w:pPr>
          </w:p>
          <w:p>
            <w:pPr>
              <w:jc w:val="left"/>
              <w:rPr>
                <w:rFonts w:hint="eastAsia" w:ascii="宋体" w:hAnsi="宋体"/>
                <w:szCs w:val="44"/>
              </w:rPr>
            </w:pPr>
          </w:p>
          <w:p>
            <w:pPr>
              <w:jc w:val="center"/>
              <w:rPr>
                <w:rFonts w:hint="eastAsia" w:ascii="宋体" w:hAnsi="宋体"/>
                <w:szCs w:val="44"/>
              </w:rPr>
            </w:pPr>
          </w:p>
        </w:tc>
      </w:tr>
    </w:tbl>
    <w:p>
      <w:pPr>
        <w:ind w:right="420"/>
        <w:jc w:val="right"/>
      </w:pPr>
      <w:r>
        <w:rPr>
          <w:rFonts w:hint="eastAsia"/>
        </w:rPr>
        <w:t xml:space="preserve">   日期：      年    月   日</w:t>
      </w:r>
    </w:p>
    <w:bookmarkEnd w:id="848"/>
    <w:p/>
    <w:p>
      <w:r>
        <w:br w:type="page"/>
      </w:r>
    </w:p>
    <w:p>
      <w:pPr>
        <w:pStyle w:val="31"/>
        <w:rPr>
          <w:rFonts w:ascii="黑体"/>
        </w:rPr>
      </w:pPr>
      <w:bookmarkStart w:id="849" w:name="_Toc24970"/>
      <w:bookmarkStart w:id="850" w:name="_Toc165804461"/>
      <w:bookmarkStart w:id="851" w:name="_Toc256000144"/>
      <w:r>
        <w:rPr>
          <w:rFonts w:hint="eastAsia"/>
        </w:rPr>
        <w:t>附表A-1</w:t>
      </w:r>
      <w:r>
        <w:t>5</w:t>
      </w:r>
      <w:r>
        <w:rPr>
          <w:rFonts w:hint="eastAsia"/>
        </w:rPr>
        <w:t>：详细评审评分汇总表</w:t>
      </w:r>
      <w:bookmarkEnd w:id="849"/>
      <w:bookmarkEnd w:id="850"/>
      <w:bookmarkEnd w:id="851"/>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详细评审评分汇总表</w:t>
      </w:r>
    </w:p>
    <w:p>
      <w:pPr>
        <w:rPr>
          <w:rFonts w:hint="eastAsia" w:ascii="宋体" w:hAnsi="宋体"/>
          <w:szCs w:val="44"/>
        </w:rPr>
      </w:pPr>
      <w:bookmarkStart w:id="852" w:name="_Hlk150333034"/>
      <w:r>
        <w:rPr>
          <w:rFonts w:hint="eastAsia" w:ascii="宋体" w:hAnsi="宋体"/>
          <w:szCs w:val="44"/>
        </w:rPr>
        <w:t>标段名称：</w:t>
      </w:r>
    </w:p>
    <w:p>
      <w:pPr>
        <w:rPr>
          <w:szCs w:val="44"/>
        </w:rPr>
      </w:pPr>
      <w:r>
        <w:rPr>
          <w:rFonts w:hint="eastAsia"/>
          <w:szCs w:val="44"/>
        </w:rPr>
        <w:t>标段唯一标识码：</w:t>
      </w:r>
    </w:p>
    <w:tbl>
      <w:tblPr>
        <w:tblStyle w:val="22"/>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pPr>
              <w:jc w:val="center"/>
              <w:rPr>
                <w:rFonts w:hint="eastAsia" w:ascii="宋体" w:hAnsi="宋体"/>
                <w:b/>
                <w:bCs/>
                <w:szCs w:val="21"/>
              </w:rPr>
            </w:pPr>
            <w:r>
              <w:rPr>
                <w:rFonts w:hint="eastAsia" w:ascii="宋体" w:hAnsi="宋体"/>
                <w:b/>
                <w:bCs/>
                <w:szCs w:val="21"/>
              </w:rPr>
              <w:t>序号</w:t>
            </w:r>
          </w:p>
        </w:tc>
        <w:tc>
          <w:tcPr>
            <w:tcW w:w="2963" w:type="dxa"/>
            <w:vMerge w:val="restart"/>
            <w:vAlign w:val="center"/>
          </w:tcPr>
          <w:p>
            <w:pPr>
              <w:jc w:val="center"/>
              <w:rPr>
                <w:rFonts w:hint="eastAsia" w:ascii="宋体" w:hAnsi="宋体"/>
                <w:b/>
                <w:bCs/>
                <w:szCs w:val="21"/>
              </w:rPr>
            </w:pPr>
            <w:r>
              <w:rPr>
                <w:rFonts w:hint="eastAsia" w:ascii="宋体" w:hAnsi="宋体"/>
                <w:b/>
                <w:bCs/>
                <w:szCs w:val="21"/>
              </w:rPr>
              <w:t>投标人名称</w:t>
            </w:r>
          </w:p>
        </w:tc>
        <w:tc>
          <w:tcPr>
            <w:tcW w:w="7568" w:type="dxa"/>
            <w:gridSpan w:val="4"/>
            <w:vAlign w:val="center"/>
          </w:tcPr>
          <w:p>
            <w:pPr>
              <w:jc w:val="center"/>
              <w:rPr>
                <w:rFonts w:hint="eastAsia" w:ascii="宋体" w:hAnsi="宋体"/>
                <w:b/>
                <w:bCs/>
                <w:szCs w:val="21"/>
              </w:rPr>
            </w:pPr>
            <w:r>
              <w:rPr>
                <w:rFonts w:hint="eastAsia" w:ascii="宋体" w:hAnsi="宋体"/>
                <w:b/>
                <w:bCs/>
                <w:szCs w:val="21"/>
              </w:rPr>
              <w:t>评审类别评审得分</w:t>
            </w:r>
          </w:p>
        </w:tc>
        <w:tc>
          <w:tcPr>
            <w:tcW w:w="1221" w:type="dxa"/>
            <w:vMerge w:val="restart"/>
            <w:vAlign w:val="center"/>
          </w:tcPr>
          <w:p>
            <w:pPr>
              <w:jc w:val="center"/>
              <w:rPr>
                <w:rFonts w:hint="eastAsia" w:ascii="宋体" w:hAnsi="宋体"/>
                <w:b/>
                <w:bCs/>
                <w:szCs w:val="21"/>
              </w:rPr>
            </w:pPr>
            <w:r>
              <w:rPr>
                <w:rFonts w:hint="eastAsia" w:ascii="宋体" w:hAnsi="宋体"/>
                <w:b/>
                <w:bCs/>
                <w:szCs w:val="21"/>
              </w:rPr>
              <w:t>评审得分汇总</w:t>
            </w:r>
          </w:p>
        </w:tc>
        <w:tc>
          <w:tcPr>
            <w:tcW w:w="1298" w:type="dxa"/>
            <w:vMerge w:val="restart"/>
            <w:vAlign w:val="center"/>
          </w:tcPr>
          <w:p>
            <w:pPr>
              <w:jc w:val="center"/>
              <w:rPr>
                <w:rFonts w:hint="eastAsia" w:ascii="宋体" w:hAnsi="宋体"/>
                <w:b/>
                <w:bCs/>
                <w:szCs w:val="21"/>
              </w:rPr>
            </w:pPr>
            <w:r>
              <w:rPr>
                <w:rFonts w:hint="eastAsia" w:ascii="宋体" w:hAnsi="宋体"/>
                <w:b/>
                <w:bCs/>
                <w:szCs w:val="21"/>
              </w:rPr>
              <w:t>投标人排名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pPr>
              <w:jc w:val="center"/>
              <w:rPr>
                <w:rFonts w:hint="eastAsia" w:ascii="宋体" w:hAnsi="宋体"/>
                <w:b/>
                <w:bCs/>
                <w:szCs w:val="21"/>
              </w:rPr>
            </w:pPr>
          </w:p>
        </w:tc>
        <w:tc>
          <w:tcPr>
            <w:tcW w:w="2963" w:type="dxa"/>
            <w:vMerge w:val="continue"/>
          </w:tcPr>
          <w:p>
            <w:pPr>
              <w:jc w:val="center"/>
              <w:rPr>
                <w:rFonts w:hint="eastAsia" w:ascii="宋体" w:hAnsi="宋体"/>
                <w:b/>
                <w:bCs/>
                <w:szCs w:val="21"/>
              </w:rPr>
            </w:pPr>
          </w:p>
        </w:tc>
        <w:tc>
          <w:tcPr>
            <w:tcW w:w="1892" w:type="dxa"/>
            <w:vAlign w:val="center"/>
          </w:tcPr>
          <w:p>
            <w:pPr>
              <w:jc w:val="center"/>
              <w:rPr>
                <w:rFonts w:hint="eastAsia" w:ascii="宋体" w:hAnsi="宋体"/>
                <w:b/>
                <w:bCs/>
                <w:szCs w:val="21"/>
              </w:rPr>
            </w:pPr>
            <w:r>
              <w:rPr>
                <w:rFonts w:hint="eastAsia"/>
                <w:b/>
                <w:bCs/>
              </w:rPr>
              <w:t>投标报价</w:t>
            </w:r>
          </w:p>
        </w:tc>
        <w:tc>
          <w:tcPr>
            <w:tcW w:w="1892" w:type="dxa"/>
            <w:vAlign w:val="center"/>
          </w:tcPr>
          <w:p>
            <w:pPr>
              <w:jc w:val="center"/>
              <w:rPr>
                <w:rFonts w:hint="eastAsia" w:ascii="宋体" w:hAnsi="宋体"/>
                <w:b/>
                <w:bCs/>
                <w:szCs w:val="21"/>
              </w:rPr>
            </w:pPr>
            <w:r>
              <w:rPr>
                <w:rFonts w:hint="eastAsia"/>
                <w:b/>
                <w:bCs/>
              </w:rPr>
              <w:t>技术标</w:t>
            </w:r>
          </w:p>
        </w:tc>
        <w:tc>
          <w:tcPr>
            <w:tcW w:w="1892" w:type="dxa"/>
            <w:vAlign w:val="center"/>
          </w:tcPr>
          <w:p>
            <w:pPr>
              <w:jc w:val="center"/>
              <w:rPr>
                <w:rFonts w:hint="eastAsia" w:ascii="宋体" w:hAnsi="宋体"/>
                <w:b/>
                <w:bCs/>
                <w:szCs w:val="21"/>
              </w:rPr>
            </w:pPr>
            <w:r>
              <w:rPr>
                <w:rFonts w:hint="eastAsia"/>
                <w:b/>
                <w:bCs/>
              </w:rPr>
              <w:t>资信标</w:t>
            </w:r>
          </w:p>
        </w:tc>
        <w:tc>
          <w:tcPr>
            <w:tcW w:w="1892" w:type="dxa"/>
            <w:tcBorders>
              <w:right w:val="single" w:color="auto" w:sz="4" w:space="0"/>
            </w:tcBorders>
            <w:vAlign w:val="center"/>
          </w:tcPr>
          <w:p>
            <w:pPr>
              <w:jc w:val="center"/>
              <w:rPr>
                <w:rFonts w:hint="eastAsia" w:ascii="宋体" w:hAnsi="宋体"/>
                <w:b/>
                <w:bCs/>
                <w:szCs w:val="21"/>
              </w:rPr>
            </w:pPr>
            <w:r>
              <w:rPr>
                <w:rFonts w:hint="eastAsia" w:ascii="宋体" w:hAnsi="宋体"/>
                <w:b/>
                <w:bCs/>
                <w:szCs w:val="21"/>
              </w:rPr>
              <w:t>其他因素</w:t>
            </w:r>
          </w:p>
        </w:tc>
        <w:tc>
          <w:tcPr>
            <w:tcW w:w="1221" w:type="dxa"/>
            <w:vMerge w:val="continue"/>
            <w:vAlign w:val="center"/>
          </w:tcPr>
          <w:p>
            <w:pPr>
              <w:jc w:val="center"/>
              <w:rPr>
                <w:rFonts w:hint="eastAsia" w:ascii="宋体" w:hAnsi="宋体"/>
                <w:b/>
                <w:bCs/>
                <w:szCs w:val="21"/>
              </w:rPr>
            </w:pPr>
          </w:p>
        </w:tc>
        <w:tc>
          <w:tcPr>
            <w:tcW w:w="1298" w:type="dxa"/>
            <w:vMerge w:val="continue"/>
            <w:vAlign w:val="center"/>
          </w:tcPr>
          <w:p>
            <w:pPr>
              <w:jc w:val="center"/>
              <w:rPr>
                <w:rFonts w:hint="eastAsia"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szCs w:val="21"/>
              </w:rPr>
            </w:pPr>
            <w:r>
              <w:rPr>
                <w:rFonts w:hint="eastAsia" w:ascii="宋体" w:hAnsi="宋体"/>
                <w:szCs w:val="21"/>
              </w:rPr>
              <w:t>1</w:t>
            </w:r>
          </w:p>
        </w:tc>
        <w:tc>
          <w:tcPr>
            <w:tcW w:w="2963"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tcBorders>
              <w:right w:val="single" w:color="auto" w:sz="4" w:space="0"/>
            </w:tcBorders>
            <w:vAlign w:val="center"/>
          </w:tcPr>
          <w:p>
            <w:pPr>
              <w:jc w:val="center"/>
              <w:rPr>
                <w:rFonts w:hint="eastAsia" w:ascii="宋体" w:hAnsi="宋体"/>
                <w:szCs w:val="21"/>
              </w:rPr>
            </w:pPr>
          </w:p>
        </w:tc>
        <w:tc>
          <w:tcPr>
            <w:tcW w:w="1221" w:type="dxa"/>
            <w:tcBorders>
              <w:right w:val="single" w:color="auto" w:sz="4" w:space="0"/>
            </w:tcBorders>
            <w:vAlign w:val="center"/>
          </w:tcPr>
          <w:p>
            <w:pPr>
              <w:jc w:val="center"/>
              <w:rPr>
                <w:rFonts w:hint="eastAsia" w:ascii="宋体" w:hAnsi="宋体"/>
                <w:szCs w:val="21"/>
              </w:rPr>
            </w:pPr>
          </w:p>
        </w:tc>
        <w:tc>
          <w:tcPr>
            <w:tcW w:w="1298" w:type="dxa"/>
            <w:tcBorders>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szCs w:val="21"/>
              </w:rPr>
            </w:pPr>
            <w:r>
              <w:rPr>
                <w:rFonts w:hint="eastAsia" w:ascii="宋体" w:hAnsi="宋体"/>
                <w:szCs w:val="21"/>
              </w:rPr>
              <w:t>2</w:t>
            </w:r>
          </w:p>
        </w:tc>
        <w:tc>
          <w:tcPr>
            <w:tcW w:w="2963"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tcBorders>
              <w:right w:val="single" w:color="auto" w:sz="4" w:space="0"/>
            </w:tcBorders>
            <w:vAlign w:val="center"/>
          </w:tcPr>
          <w:p>
            <w:pPr>
              <w:jc w:val="center"/>
              <w:rPr>
                <w:rFonts w:hint="eastAsia" w:ascii="宋体" w:hAnsi="宋体"/>
                <w:szCs w:val="21"/>
              </w:rPr>
            </w:pPr>
          </w:p>
        </w:tc>
        <w:tc>
          <w:tcPr>
            <w:tcW w:w="1221" w:type="dxa"/>
            <w:tcBorders>
              <w:right w:val="single" w:color="auto" w:sz="4" w:space="0"/>
            </w:tcBorders>
            <w:vAlign w:val="center"/>
          </w:tcPr>
          <w:p>
            <w:pPr>
              <w:jc w:val="center"/>
              <w:rPr>
                <w:rFonts w:hint="eastAsia" w:ascii="宋体" w:hAnsi="宋体"/>
                <w:szCs w:val="21"/>
              </w:rPr>
            </w:pPr>
          </w:p>
        </w:tc>
        <w:tc>
          <w:tcPr>
            <w:tcW w:w="1298" w:type="dxa"/>
            <w:tcBorders>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szCs w:val="21"/>
              </w:rPr>
            </w:pPr>
            <w:r>
              <w:rPr>
                <w:rFonts w:hint="eastAsia" w:ascii="宋体" w:hAnsi="宋体"/>
                <w:szCs w:val="21"/>
              </w:rPr>
              <w:t>3</w:t>
            </w:r>
          </w:p>
        </w:tc>
        <w:tc>
          <w:tcPr>
            <w:tcW w:w="2963"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tcBorders>
              <w:right w:val="single" w:color="auto" w:sz="4" w:space="0"/>
            </w:tcBorders>
            <w:vAlign w:val="center"/>
          </w:tcPr>
          <w:p>
            <w:pPr>
              <w:jc w:val="center"/>
              <w:rPr>
                <w:rFonts w:hint="eastAsia" w:ascii="宋体" w:hAnsi="宋体"/>
                <w:szCs w:val="21"/>
              </w:rPr>
            </w:pPr>
          </w:p>
        </w:tc>
        <w:tc>
          <w:tcPr>
            <w:tcW w:w="1221" w:type="dxa"/>
            <w:tcBorders>
              <w:right w:val="single" w:color="auto" w:sz="4" w:space="0"/>
            </w:tcBorders>
            <w:vAlign w:val="center"/>
          </w:tcPr>
          <w:p>
            <w:pPr>
              <w:jc w:val="center"/>
              <w:rPr>
                <w:rFonts w:hint="eastAsia" w:ascii="宋体" w:hAnsi="宋体"/>
                <w:szCs w:val="21"/>
              </w:rPr>
            </w:pPr>
          </w:p>
        </w:tc>
        <w:tc>
          <w:tcPr>
            <w:tcW w:w="1298" w:type="dxa"/>
            <w:tcBorders>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szCs w:val="21"/>
              </w:rPr>
            </w:pPr>
            <w:r>
              <w:rPr>
                <w:rFonts w:hint="eastAsia" w:ascii="宋体" w:hAnsi="宋体"/>
                <w:szCs w:val="21"/>
              </w:rPr>
              <w:t>4</w:t>
            </w:r>
          </w:p>
        </w:tc>
        <w:tc>
          <w:tcPr>
            <w:tcW w:w="2963"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tcBorders>
              <w:right w:val="single" w:color="auto" w:sz="4" w:space="0"/>
            </w:tcBorders>
            <w:vAlign w:val="center"/>
          </w:tcPr>
          <w:p>
            <w:pPr>
              <w:jc w:val="center"/>
              <w:rPr>
                <w:rFonts w:hint="eastAsia" w:ascii="宋体" w:hAnsi="宋体"/>
                <w:szCs w:val="21"/>
              </w:rPr>
            </w:pPr>
          </w:p>
        </w:tc>
        <w:tc>
          <w:tcPr>
            <w:tcW w:w="1221" w:type="dxa"/>
            <w:tcBorders>
              <w:right w:val="single" w:color="auto" w:sz="4" w:space="0"/>
            </w:tcBorders>
            <w:vAlign w:val="center"/>
          </w:tcPr>
          <w:p>
            <w:pPr>
              <w:jc w:val="center"/>
              <w:rPr>
                <w:rFonts w:hint="eastAsia" w:ascii="宋体" w:hAnsi="宋体"/>
                <w:szCs w:val="21"/>
              </w:rPr>
            </w:pPr>
          </w:p>
        </w:tc>
        <w:tc>
          <w:tcPr>
            <w:tcW w:w="1298" w:type="dxa"/>
            <w:tcBorders>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szCs w:val="21"/>
              </w:rPr>
            </w:pPr>
            <w:r>
              <w:rPr>
                <w:rFonts w:hint="eastAsia" w:ascii="宋体" w:hAnsi="宋体"/>
                <w:szCs w:val="21"/>
              </w:rPr>
              <w:t>5</w:t>
            </w:r>
          </w:p>
        </w:tc>
        <w:tc>
          <w:tcPr>
            <w:tcW w:w="2963"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tcBorders>
              <w:right w:val="single" w:color="auto" w:sz="4" w:space="0"/>
            </w:tcBorders>
            <w:vAlign w:val="center"/>
          </w:tcPr>
          <w:p>
            <w:pPr>
              <w:jc w:val="center"/>
              <w:rPr>
                <w:rFonts w:hint="eastAsia" w:ascii="宋体" w:hAnsi="宋体"/>
                <w:szCs w:val="21"/>
              </w:rPr>
            </w:pPr>
          </w:p>
        </w:tc>
        <w:tc>
          <w:tcPr>
            <w:tcW w:w="1221" w:type="dxa"/>
            <w:tcBorders>
              <w:right w:val="single" w:color="auto" w:sz="4" w:space="0"/>
            </w:tcBorders>
            <w:vAlign w:val="center"/>
          </w:tcPr>
          <w:p>
            <w:pPr>
              <w:jc w:val="center"/>
              <w:rPr>
                <w:rFonts w:hint="eastAsia" w:ascii="宋体" w:hAnsi="宋体"/>
                <w:szCs w:val="21"/>
              </w:rPr>
            </w:pPr>
          </w:p>
        </w:tc>
        <w:tc>
          <w:tcPr>
            <w:tcW w:w="1298" w:type="dxa"/>
            <w:tcBorders>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szCs w:val="21"/>
              </w:rPr>
            </w:pPr>
            <w:r>
              <w:rPr>
                <w:rFonts w:hint="eastAsia" w:ascii="宋体" w:hAnsi="宋体"/>
                <w:szCs w:val="44"/>
              </w:rPr>
              <w:t>…</w:t>
            </w:r>
          </w:p>
        </w:tc>
        <w:tc>
          <w:tcPr>
            <w:tcW w:w="2963"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vAlign w:val="center"/>
          </w:tcPr>
          <w:p>
            <w:pPr>
              <w:jc w:val="center"/>
              <w:rPr>
                <w:rFonts w:hint="eastAsia" w:ascii="宋体" w:hAnsi="宋体"/>
                <w:szCs w:val="21"/>
              </w:rPr>
            </w:pPr>
          </w:p>
        </w:tc>
        <w:tc>
          <w:tcPr>
            <w:tcW w:w="1892" w:type="dxa"/>
            <w:tcBorders>
              <w:right w:val="single" w:color="auto" w:sz="4" w:space="0"/>
            </w:tcBorders>
            <w:vAlign w:val="center"/>
          </w:tcPr>
          <w:p>
            <w:pPr>
              <w:jc w:val="center"/>
              <w:rPr>
                <w:rFonts w:hint="eastAsia" w:ascii="宋体" w:hAnsi="宋体"/>
                <w:szCs w:val="21"/>
              </w:rPr>
            </w:pPr>
          </w:p>
        </w:tc>
        <w:tc>
          <w:tcPr>
            <w:tcW w:w="1221" w:type="dxa"/>
            <w:tcBorders>
              <w:right w:val="single" w:color="auto" w:sz="4" w:space="0"/>
            </w:tcBorders>
            <w:vAlign w:val="center"/>
          </w:tcPr>
          <w:p>
            <w:pPr>
              <w:jc w:val="center"/>
              <w:rPr>
                <w:rFonts w:hint="eastAsia" w:ascii="宋体" w:hAnsi="宋体"/>
                <w:szCs w:val="21"/>
              </w:rPr>
            </w:pPr>
          </w:p>
        </w:tc>
        <w:tc>
          <w:tcPr>
            <w:tcW w:w="1298" w:type="dxa"/>
            <w:tcBorders>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pPr>
              <w:jc w:val="left"/>
              <w:rPr>
                <w:rFonts w:hint="eastAsia" w:ascii="宋体" w:hAnsi="宋体"/>
                <w:szCs w:val="44"/>
              </w:rPr>
            </w:pPr>
            <w:r>
              <w:rPr>
                <w:rFonts w:hint="eastAsia"/>
              </w:rPr>
              <w:t xml:space="preserve">评标委员会全体成员签名： </w:t>
            </w:r>
            <w:r>
              <w:rPr>
                <w:rFonts w:hint="eastAsia" w:ascii="宋体" w:hAnsi="宋体"/>
                <w:szCs w:val="44"/>
              </w:rPr>
              <w:t xml:space="preserve">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pPr>
          </w:p>
        </w:tc>
      </w:tr>
    </w:tbl>
    <w:p/>
    <w:p>
      <w:pPr>
        <w:ind w:firstLine="5250" w:firstLineChars="2500"/>
        <w:sectPr>
          <w:pgSz w:w="16838" w:h="11906" w:orient="landscape"/>
          <w:pgMar w:top="1797" w:right="1440" w:bottom="1797" w:left="1440" w:header="851" w:footer="851" w:gutter="0"/>
          <w:cols w:space="720" w:num="1"/>
          <w:docGrid w:linePitch="312" w:charSpace="0"/>
        </w:sectPr>
      </w:pPr>
      <w:r>
        <w:rPr>
          <w:rFonts w:hint="eastAsia" w:ascii="宋体" w:hAnsi="宋体"/>
          <w:szCs w:val="44"/>
        </w:rPr>
        <w:t xml:space="preserve">         </w:t>
      </w:r>
      <w:r>
        <w:rPr>
          <w:rFonts w:hint="eastAsia"/>
        </w:rPr>
        <w:t xml:space="preserve">         </w:t>
      </w:r>
      <w:r>
        <w:t xml:space="preserve">                                                                                         </w:t>
      </w:r>
      <w:r>
        <w:rPr>
          <w:rFonts w:hint="eastAsia"/>
        </w:rPr>
        <w:t xml:space="preserve">日期： </w:t>
      </w:r>
      <w:r>
        <w:t xml:space="preserve">    </w:t>
      </w:r>
      <w:r>
        <w:rPr>
          <w:rFonts w:hint="eastAsia"/>
        </w:rPr>
        <w:t xml:space="preserve">年   </w:t>
      </w:r>
      <w:r>
        <w:t xml:space="preserve">   </w:t>
      </w:r>
      <w:r>
        <w:rPr>
          <w:rFonts w:hint="eastAsia"/>
        </w:rPr>
        <w:t xml:space="preserve">月 </w:t>
      </w:r>
      <w:r>
        <w:t xml:space="preserve">   </w:t>
      </w:r>
      <w:r>
        <w:rPr>
          <w:rFonts w:hint="eastAsia"/>
        </w:rPr>
        <w:t xml:space="preserve"> 日</w:t>
      </w:r>
    </w:p>
    <w:bookmarkEnd w:id="852"/>
    <w:p>
      <w:pPr>
        <w:ind w:firstLine="5250" w:firstLineChars="2500"/>
      </w:pPr>
    </w:p>
    <w:p/>
    <w:p>
      <w:pPr>
        <w:pStyle w:val="31"/>
        <w:rPr>
          <w:rFonts w:ascii="黑体"/>
        </w:rPr>
      </w:pPr>
      <w:bookmarkStart w:id="853" w:name="_Toc165804462"/>
      <w:bookmarkStart w:id="854" w:name="_Toc26963"/>
      <w:bookmarkStart w:id="855" w:name="_Toc256000145"/>
      <w:bookmarkStart w:id="856" w:name="_Hlk150782230"/>
      <w:r>
        <w:rPr>
          <w:rFonts w:hint="eastAsia"/>
        </w:rPr>
        <w:t>附表A-1</w:t>
      </w:r>
      <w:r>
        <w:t>6</w:t>
      </w:r>
      <w:r>
        <w:rPr>
          <w:rFonts w:hint="eastAsia"/>
        </w:rPr>
        <w:t>：评标结果汇总表</w:t>
      </w:r>
      <w:bookmarkEnd w:id="853"/>
      <w:bookmarkEnd w:id="854"/>
      <w:bookmarkEnd w:id="855"/>
    </w:p>
    <w:p>
      <w:pPr>
        <w:spacing w:after="240" w:afterLines="100"/>
        <w:jc w:val="center"/>
        <w:rPr>
          <w:rFonts w:ascii="黑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评标结果汇总表</w:t>
      </w:r>
    </w:p>
    <w:p>
      <w:pPr>
        <w:spacing w:line="400" w:lineRule="exact"/>
        <w:jc w:val="center"/>
        <w:rPr>
          <w:rFonts w:hint="eastAsia" w:ascii="宋体" w:hAnsi="宋体"/>
          <w:szCs w:val="44"/>
        </w:rPr>
      </w:pPr>
      <w:bookmarkStart w:id="857" w:name="_Hlk150875312"/>
      <w:r>
        <w:rPr>
          <w:rFonts w:hint="eastAsia" w:ascii="黑体" w:hAnsi="宋体" w:eastAsia="黑体"/>
          <w:sz w:val="36"/>
          <w:szCs w:val="36"/>
        </w:rPr>
        <w:t>（适用于经评审的最低投标价法）</w:t>
      </w:r>
    </w:p>
    <w:p>
      <w:pPr>
        <w:rPr>
          <w:rFonts w:hint="eastAsia" w:ascii="宋体" w:hAnsi="宋体"/>
          <w:szCs w:val="21"/>
        </w:rPr>
      </w:pPr>
      <w:r>
        <w:rPr>
          <w:rFonts w:hint="eastAsia" w:ascii="宋体" w:hAnsi="宋体"/>
          <w:szCs w:val="21"/>
        </w:rPr>
        <w:t xml:space="preserve">标段名称： </w:t>
      </w:r>
      <w:r>
        <w:rPr>
          <w:rFonts w:ascii="宋体" w:hAnsi="宋体"/>
          <w:szCs w:val="21"/>
        </w:rPr>
        <w:t xml:space="preserve"> </w:t>
      </w:r>
    </w:p>
    <w:p>
      <w:pPr>
        <w:rPr>
          <w:rFonts w:hint="eastAsia" w:ascii="宋体" w:hAnsi="宋体"/>
          <w:szCs w:val="21"/>
        </w:rPr>
      </w:pPr>
      <w:r>
        <w:rPr>
          <w:rFonts w:hint="eastAsia" w:ascii="宋体" w:hAnsi="宋体"/>
          <w:szCs w:val="21"/>
        </w:rPr>
        <w:t xml:space="preserve">标段唯一标识码：  </w:t>
      </w:r>
      <w:r>
        <w:rPr>
          <w:rFonts w:ascii="宋体" w:hAnsi="宋体"/>
          <w:szCs w:val="21"/>
        </w:rPr>
        <w:t xml:space="preserve">                                         </w:t>
      </w:r>
      <w:r>
        <w:rPr>
          <w:rFonts w:hint="eastAsia" w:ascii="宋体" w:hAnsi="宋体"/>
          <w:szCs w:val="21"/>
        </w:rPr>
        <w:t xml:space="preserve">  单位：人民币元</w:t>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pPr>
              <w:jc w:val="center"/>
              <w:rPr>
                <w:rFonts w:hint="eastAsia" w:ascii="宋体" w:hAnsi="宋体"/>
                <w:b/>
                <w:bCs/>
              </w:rPr>
            </w:pPr>
            <w:bookmarkStart w:id="858" w:name="_Hlk150334502"/>
            <w:r>
              <w:rPr>
                <w:rFonts w:hint="eastAsia" w:ascii="宋体" w:hAnsi="宋体"/>
                <w:b/>
                <w:bCs/>
              </w:rPr>
              <w:t>投标人名称</w:t>
            </w:r>
          </w:p>
        </w:tc>
        <w:tc>
          <w:tcPr>
            <w:tcW w:w="7399" w:type="dxa"/>
            <w:gridSpan w:val="6"/>
            <w:vAlign w:val="center"/>
          </w:tcPr>
          <w:p>
            <w:pPr>
              <w:jc w:val="center"/>
              <w:rPr>
                <w:rFonts w:hint="eastAsia" w:ascii="宋体" w:hAnsi="宋体"/>
                <w:b/>
                <w:bCs/>
              </w:rPr>
            </w:pPr>
            <w:r>
              <w:rPr>
                <w:rFonts w:hint="eastAsia" w:ascii="宋体" w:hAnsi="宋体"/>
                <w:b/>
                <w:bCs/>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pPr>
              <w:jc w:val="center"/>
              <w:rPr>
                <w:rFonts w:hint="eastAsia" w:ascii="宋体" w:hAnsi="宋体"/>
                <w:b/>
                <w:bCs/>
              </w:rPr>
            </w:pPr>
          </w:p>
        </w:tc>
        <w:tc>
          <w:tcPr>
            <w:tcW w:w="978" w:type="dxa"/>
            <w:vAlign w:val="center"/>
          </w:tcPr>
          <w:p>
            <w:pPr>
              <w:jc w:val="center"/>
              <w:rPr>
                <w:rFonts w:hint="eastAsia" w:ascii="宋体" w:hAnsi="宋体"/>
                <w:b/>
                <w:bCs/>
              </w:rPr>
            </w:pPr>
            <w:r>
              <w:rPr>
                <w:rFonts w:hint="eastAsia" w:ascii="宋体" w:hAnsi="宋体"/>
                <w:b/>
                <w:bCs/>
              </w:rPr>
              <w:t>投标报价</w:t>
            </w:r>
          </w:p>
        </w:tc>
        <w:tc>
          <w:tcPr>
            <w:tcW w:w="1560" w:type="dxa"/>
            <w:vAlign w:val="center"/>
          </w:tcPr>
          <w:p>
            <w:pPr>
              <w:jc w:val="center"/>
              <w:rPr>
                <w:rFonts w:hint="eastAsia" w:ascii="宋体" w:hAnsi="宋体"/>
                <w:b/>
                <w:bCs/>
              </w:rPr>
            </w:pPr>
            <w:r>
              <w:rPr>
                <w:rFonts w:hint="eastAsia" w:ascii="宋体" w:hAnsi="宋体"/>
                <w:b/>
                <w:bCs/>
                <w:szCs w:val="21"/>
              </w:rPr>
              <w:t>修正后投标报价（如有）</w:t>
            </w:r>
          </w:p>
        </w:tc>
        <w:tc>
          <w:tcPr>
            <w:tcW w:w="1275" w:type="dxa"/>
            <w:vAlign w:val="center"/>
          </w:tcPr>
          <w:p>
            <w:pPr>
              <w:jc w:val="center"/>
              <w:rPr>
                <w:rFonts w:hint="eastAsia" w:ascii="宋体" w:hAnsi="宋体"/>
                <w:b/>
                <w:bCs/>
              </w:rPr>
            </w:pPr>
            <w:r>
              <w:rPr>
                <w:rFonts w:hint="eastAsia" w:ascii="宋体" w:hAnsi="宋体"/>
                <w:b/>
                <w:bCs/>
                <w:szCs w:val="21"/>
              </w:rPr>
              <w:t>有效评标价</w:t>
            </w:r>
          </w:p>
        </w:tc>
        <w:tc>
          <w:tcPr>
            <w:tcW w:w="993" w:type="dxa"/>
            <w:vAlign w:val="center"/>
          </w:tcPr>
          <w:p>
            <w:pPr>
              <w:jc w:val="center"/>
              <w:rPr>
                <w:rFonts w:hint="eastAsia" w:ascii="宋体" w:hAnsi="宋体"/>
                <w:b/>
                <w:bCs/>
              </w:rPr>
            </w:pPr>
            <w:r>
              <w:rPr>
                <w:rFonts w:hint="eastAsia" w:ascii="宋体" w:hAnsi="宋体"/>
                <w:b/>
                <w:bCs/>
              </w:rPr>
              <w:t>最高投标限价</w:t>
            </w:r>
          </w:p>
        </w:tc>
        <w:tc>
          <w:tcPr>
            <w:tcW w:w="1196" w:type="dxa"/>
            <w:vAlign w:val="center"/>
          </w:tcPr>
          <w:p>
            <w:pPr>
              <w:jc w:val="center"/>
              <w:rPr>
                <w:rFonts w:hint="eastAsia" w:ascii="宋体" w:hAnsi="宋体"/>
                <w:b/>
                <w:bCs/>
              </w:rPr>
            </w:pPr>
            <w:r>
              <w:rPr>
                <w:rFonts w:hint="eastAsia" w:ascii="宋体" w:hAnsi="宋体"/>
                <w:b/>
                <w:bCs/>
                <w:szCs w:val="21"/>
              </w:rPr>
              <w:t>确定</w:t>
            </w:r>
            <w:r>
              <w:rPr>
                <w:rFonts w:hint="eastAsia" w:ascii="宋体" w:hAnsi="宋体"/>
                <w:b/>
                <w:bCs/>
              </w:rPr>
              <w:t>有效评标价</w:t>
            </w:r>
          </w:p>
        </w:tc>
        <w:tc>
          <w:tcPr>
            <w:tcW w:w="1397" w:type="dxa"/>
            <w:vAlign w:val="center"/>
          </w:tcPr>
          <w:p>
            <w:pPr>
              <w:jc w:val="center"/>
              <w:rPr>
                <w:rFonts w:hint="eastAsia" w:ascii="宋体" w:hAnsi="宋体"/>
                <w:b/>
                <w:bCs/>
              </w:rPr>
            </w:pPr>
            <w:r>
              <w:rPr>
                <w:rFonts w:hint="eastAsia" w:ascii="宋体" w:hAnsi="宋体"/>
                <w:b/>
                <w:bCs/>
              </w:rPr>
              <w:t>有效评标价排序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pPr>
              <w:jc w:val="center"/>
              <w:rPr>
                <w:rFonts w:hint="eastAsia" w:ascii="宋体" w:hAnsi="宋体"/>
              </w:rPr>
            </w:pPr>
          </w:p>
        </w:tc>
        <w:tc>
          <w:tcPr>
            <w:tcW w:w="978" w:type="dxa"/>
            <w:vAlign w:val="center"/>
          </w:tcPr>
          <w:p>
            <w:pPr>
              <w:jc w:val="center"/>
              <w:rPr>
                <w:rFonts w:hint="eastAsia" w:ascii="宋体" w:hAnsi="宋体"/>
              </w:rPr>
            </w:pPr>
          </w:p>
        </w:tc>
        <w:tc>
          <w:tcPr>
            <w:tcW w:w="1560" w:type="dxa"/>
            <w:vAlign w:val="center"/>
          </w:tcPr>
          <w:p>
            <w:pPr>
              <w:jc w:val="center"/>
              <w:rPr>
                <w:rFonts w:hint="eastAsia" w:ascii="宋体" w:hAnsi="宋体"/>
              </w:rPr>
            </w:pPr>
          </w:p>
        </w:tc>
        <w:tc>
          <w:tcPr>
            <w:tcW w:w="1275" w:type="dxa"/>
            <w:vAlign w:val="center"/>
          </w:tcPr>
          <w:p>
            <w:pPr>
              <w:jc w:val="center"/>
              <w:rPr>
                <w:rFonts w:hint="eastAsia" w:ascii="宋体" w:hAnsi="宋体"/>
              </w:rPr>
            </w:pPr>
          </w:p>
        </w:tc>
        <w:tc>
          <w:tcPr>
            <w:tcW w:w="993" w:type="dxa"/>
            <w:vMerge w:val="restart"/>
            <w:vAlign w:val="center"/>
          </w:tcPr>
          <w:p>
            <w:pPr>
              <w:jc w:val="center"/>
              <w:rPr>
                <w:rFonts w:hint="eastAsia" w:ascii="宋体" w:hAnsi="宋体"/>
              </w:rPr>
            </w:pPr>
          </w:p>
        </w:tc>
        <w:tc>
          <w:tcPr>
            <w:tcW w:w="1196" w:type="dxa"/>
            <w:vAlign w:val="center"/>
          </w:tcPr>
          <w:p>
            <w:pPr>
              <w:jc w:val="center"/>
              <w:rPr>
                <w:rFonts w:hint="eastAsia" w:ascii="宋体" w:hAnsi="宋体"/>
              </w:rPr>
            </w:pPr>
          </w:p>
        </w:tc>
        <w:tc>
          <w:tcPr>
            <w:tcW w:w="1397"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pPr>
              <w:spacing w:after="120" w:afterLines="50"/>
              <w:jc w:val="center"/>
              <w:rPr>
                <w:rFonts w:hint="eastAsia" w:ascii="宋体" w:hAnsi="宋体"/>
                <w:szCs w:val="21"/>
              </w:rPr>
            </w:pPr>
          </w:p>
        </w:tc>
        <w:tc>
          <w:tcPr>
            <w:tcW w:w="978" w:type="dxa"/>
            <w:vAlign w:val="center"/>
          </w:tcPr>
          <w:p>
            <w:pPr>
              <w:jc w:val="center"/>
              <w:rPr>
                <w:rFonts w:hint="eastAsia" w:ascii="宋体" w:hAnsi="宋体"/>
              </w:rPr>
            </w:pPr>
          </w:p>
        </w:tc>
        <w:tc>
          <w:tcPr>
            <w:tcW w:w="1560" w:type="dxa"/>
            <w:vAlign w:val="center"/>
          </w:tcPr>
          <w:p>
            <w:pPr>
              <w:jc w:val="center"/>
              <w:rPr>
                <w:rFonts w:hint="eastAsia" w:ascii="宋体" w:hAnsi="宋体"/>
              </w:rPr>
            </w:pPr>
          </w:p>
        </w:tc>
        <w:tc>
          <w:tcPr>
            <w:tcW w:w="1275" w:type="dxa"/>
            <w:vAlign w:val="center"/>
          </w:tcPr>
          <w:p>
            <w:pPr>
              <w:jc w:val="center"/>
              <w:rPr>
                <w:rFonts w:hint="eastAsia" w:ascii="宋体" w:hAnsi="宋体"/>
              </w:rPr>
            </w:pPr>
          </w:p>
        </w:tc>
        <w:tc>
          <w:tcPr>
            <w:tcW w:w="993" w:type="dxa"/>
            <w:vMerge w:val="continue"/>
            <w:vAlign w:val="center"/>
          </w:tcPr>
          <w:p>
            <w:pPr>
              <w:jc w:val="center"/>
              <w:rPr>
                <w:rFonts w:hint="eastAsia" w:ascii="宋体" w:hAnsi="宋体"/>
              </w:rPr>
            </w:pPr>
          </w:p>
        </w:tc>
        <w:tc>
          <w:tcPr>
            <w:tcW w:w="1196" w:type="dxa"/>
            <w:vAlign w:val="center"/>
          </w:tcPr>
          <w:p>
            <w:pPr>
              <w:jc w:val="center"/>
              <w:rPr>
                <w:rFonts w:hint="eastAsia" w:ascii="宋体" w:hAnsi="宋体"/>
              </w:rPr>
            </w:pPr>
          </w:p>
        </w:tc>
        <w:tc>
          <w:tcPr>
            <w:tcW w:w="1397"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pPr>
              <w:jc w:val="center"/>
              <w:rPr>
                <w:rFonts w:hint="eastAsia" w:ascii="宋体" w:hAnsi="宋体"/>
              </w:rPr>
            </w:pPr>
          </w:p>
        </w:tc>
        <w:tc>
          <w:tcPr>
            <w:tcW w:w="978" w:type="dxa"/>
            <w:vAlign w:val="center"/>
          </w:tcPr>
          <w:p>
            <w:pPr>
              <w:jc w:val="center"/>
              <w:rPr>
                <w:rFonts w:hint="eastAsia" w:ascii="宋体" w:hAnsi="宋体"/>
              </w:rPr>
            </w:pPr>
          </w:p>
        </w:tc>
        <w:tc>
          <w:tcPr>
            <w:tcW w:w="1560" w:type="dxa"/>
            <w:vAlign w:val="center"/>
          </w:tcPr>
          <w:p>
            <w:pPr>
              <w:jc w:val="center"/>
              <w:rPr>
                <w:rFonts w:hint="eastAsia" w:ascii="宋体" w:hAnsi="宋体"/>
              </w:rPr>
            </w:pPr>
          </w:p>
        </w:tc>
        <w:tc>
          <w:tcPr>
            <w:tcW w:w="1275" w:type="dxa"/>
            <w:vAlign w:val="center"/>
          </w:tcPr>
          <w:p>
            <w:pPr>
              <w:jc w:val="center"/>
              <w:rPr>
                <w:rFonts w:hint="eastAsia" w:ascii="宋体" w:hAnsi="宋体"/>
              </w:rPr>
            </w:pPr>
          </w:p>
        </w:tc>
        <w:tc>
          <w:tcPr>
            <w:tcW w:w="993" w:type="dxa"/>
            <w:vMerge w:val="continue"/>
            <w:vAlign w:val="center"/>
          </w:tcPr>
          <w:p>
            <w:pPr>
              <w:jc w:val="center"/>
              <w:rPr>
                <w:rFonts w:hint="eastAsia" w:ascii="宋体" w:hAnsi="宋体"/>
              </w:rPr>
            </w:pPr>
          </w:p>
        </w:tc>
        <w:tc>
          <w:tcPr>
            <w:tcW w:w="1196" w:type="dxa"/>
            <w:vAlign w:val="center"/>
          </w:tcPr>
          <w:p>
            <w:pPr>
              <w:jc w:val="center"/>
              <w:rPr>
                <w:rFonts w:hint="eastAsia" w:ascii="宋体" w:hAnsi="宋体"/>
              </w:rPr>
            </w:pPr>
          </w:p>
        </w:tc>
        <w:tc>
          <w:tcPr>
            <w:tcW w:w="1397"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pPr>
              <w:jc w:val="center"/>
              <w:rPr>
                <w:rFonts w:hint="eastAsia" w:ascii="宋体" w:hAnsi="宋体"/>
              </w:rPr>
            </w:pPr>
          </w:p>
        </w:tc>
        <w:tc>
          <w:tcPr>
            <w:tcW w:w="978" w:type="dxa"/>
            <w:vAlign w:val="center"/>
          </w:tcPr>
          <w:p>
            <w:pPr>
              <w:jc w:val="center"/>
              <w:rPr>
                <w:rFonts w:hint="eastAsia" w:ascii="宋体" w:hAnsi="宋体"/>
              </w:rPr>
            </w:pPr>
          </w:p>
        </w:tc>
        <w:tc>
          <w:tcPr>
            <w:tcW w:w="1560" w:type="dxa"/>
            <w:vAlign w:val="center"/>
          </w:tcPr>
          <w:p>
            <w:pPr>
              <w:jc w:val="center"/>
              <w:rPr>
                <w:rFonts w:hint="eastAsia" w:ascii="宋体" w:hAnsi="宋体"/>
              </w:rPr>
            </w:pPr>
          </w:p>
        </w:tc>
        <w:tc>
          <w:tcPr>
            <w:tcW w:w="1275" w:type="dxa"/>
            <w:vAlign w:val="center"/>
          </w:tcPr>
          <w:p>
            <w:pPr>
              <w:jc w:val="center"/>
              <w:rPr>
                <w:rFonts w:hint="eastAsia" w:ascii="宋体" w:hAnsi="宋体"/>
              </w:rPr>
            </w:pPr>
          </w:p>
        </w:tc>
        <w:tc>
          <w:tcPr>
            <w:tcW w:w="993" w:type="dxa"/>
            <w:vMerge w:val="continue"/>
            <w:vAlign w:val="center"/>
          </w:tcPr>
          <w:p>
            <w:pPr>
              <w:jc w:val="center"/>
              <w:rPr>
                <w:rFonts w:hint="eastAsia" w:ascii="宋体" w:hAnsi="宋体"/>
              </w:rPr>
            </w:pPr>
          </w:p>
        </w:tc>
        <w:tc>
          <w:tcPr>
            <w:tcW w:w="1196" w:type="dxa"/>
            <w:vAlign w:val="center"/>
          </w:tcPr>
          <w:p>
            <w:pPr>
              <w:jc w:val="center"/>
              <w:rPr>
                <w:rFonts w:hint="eastAsia" w:ascii="宋体" w:hAnsi="宋体"/>
              </w:rPr>
            </w:pPr>
          </w:p>
        </w:tc>
        <w:tc>
          <w:tcPr>
            <w:tcW w:w="1397"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pPr>
              <w:jc w:val="center"/>
              <w:rPr>
                <w:rFonts w:hint="eastAsia" w:ascii="宋体" w:hAnsi="宋体"/>
              </w:rPr>
            </w:pPr>
          </w:p>
        </w:tc>
        <w:tc>
          <w:tcPr>
            <w:tcW w:w="978" w:type="dxa"/>
            <w:vAlign w:val="center"/>
          </w:tcPr>
          <w:p>
            <w:pPr>
              <w:jc w:val="center"/>
              <w:rPr>
                <w:rFonts w:hint="eastAsia" w:ascii="宋体" w:hAnsi="宋体"/>
              </w:rPr>
            </w:pPr>
          </w:p>
        </w:tc>
        <w:tc>
          <w:tcPr>
            <w:tcW w:w="1560" w:type="dxa"/>
            <w:vAlign w:val="center"/>
          </w:tcPr>
          <w:p>
            <w:pPr>
              <w:jc w:val="center"/>
              <w:rPr>
                <w:rFonts w:hint="eastAsia" w:ascii="宋体" w:hAnsi="宋体"/>
              </w:rPr>
            </w:pPr>
          </w:p>
        </w:tc>
        <w:tc>
          <w:tcPr>
            <w:tcW w:w="1275" w:type="dxa"/>
            <w:vAlign w:val="center"/>
          </w:tcPr>
          <w:p>
            <w:pPr>
              <w:jc w:val="center"/>
              <w:rPr>
                <w:rFonts w:hint="eastAsia" w:ascii="宋体" w:hAnsi="宋体"/>
              </w:rPr>
            </w:pPr>
          </w:p>
        </w:tc>
        <w:tc>
          <w:tcPr>
            <w:tcW w:w="993" w:type="dxa"/>
            <w:vMerge w:val="continue"/>
            <w:vAlign w:val="center"/>
          </w:tcPr>
          <w:p>
            <w:pPr>
              <w:jc w:val="center"/>
              <w:rPr>
                <w:rFonts w:hint="eastAsia" w:ascii="宋体" w:hAnsi="宋体"/>
              </w:rPr>
            </w:pPr>
          </w:p>
        </w:tc>
        <w:tc>
          <w:tcPr>
            <w:tcW w:w="1196" w:type="dxa"/>
            <w:vAlign w:val="center"/>
          </w:tcPr>
          <w:p>
            <w:pPr>
              <w:jc w:val="center"/>
              <w:rPr>
                <w:rFonts w:hint="eastAsia" w:ascii="宋体" w:hAnsi="宋体"/>
              </w:rPr>
            </w:pPr>
          </w:p>
        </w:tc>
        <w:tc>
          <w:tcPr>
            <w:tcW w:w="1397"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pPr>
              <w:rPr>
                <w:rFonts w:hint="eastAsia" w:ascii="宋体" w:hAnsi="宋体"/>
              </w:rPr>
            </w:pPr>
            <w:r>
              <w:rPr>
                <w:rFonts w:hint="eastAsia" w:ascii="宋体" w:hAnsi="宋体"/>
              </w:rPr>
              <w:t>评标委员会成员签名：</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tc>
      </w:tr>
      <w:bookmarkEnd w:id="858"/>
    </w:tbl>
    <w:p>
      <w:pPr>
        <w:jc w:val="right"/>
      </w:pPr>
      <w:r>
        <w:rPr>
          <w:rFonts w:hint="eastAsia" w:ascii="宋体" w:hAnsi="宋体"/>
          <w:szCs w:val="21"/>
        </w:rPr>
        <w:t xml:space="preserve">日期：  </w:t>
      </w:r>
      <w:r>
        <w:rPr>
          <w:rFonts w:ascii="宋体" w:hAnsi="宋体"/>
          <w:szCs w:val="21"/>
        </w:rPr>
        <w:t xml:space="preserve">    </w:t>
      </w:r>
      <w:r>
        <w:rPr>
          <w:rFonts w:hint="eastAsia" w:ascii="宋体" w:hAnsi="宋体"/>
          <w:szCs w:val="21"/>
        </w:rPr>
        <w:t xml:space="preserve">  年 </w:t>
      </w:r>
      <w:r>
        <w:rPr>
          <w:rFonts w:ascii="宋体" w:hAnsi="宋体"/>
          <w:szCs w:val="21"/>
        </w:rPr>
        <w:t xml:space="preserve">    </w:t>
      </w:r>
      <w:r>
        <w:rPr>
          <w:rFonts w:hint="eastAsia" w:ascii="宋体" w:hAnsi="宋体"/>
          <w:szCs w:val="21"/>
        </w:rPr>
        <w:t xml:space="preserve">  月 </w:t>
      </w:r>
      <w:r>
        <w:rPr>
          <w:rFonts w:ascii="宋体" w:hAnsi="宋体"/>
          <w:szCs w:val="21"/>
        </w:rPr>
        <w:t xml:space="preserve">    </w:t>
      </w:r>
      <w:r>
        <w:rPr>
          <w:rFonts w:hint="eastAsia" w:ascii="宋体" w:hAnsi="宋体"/>
          <w:szCs w:val="21"/>
        </w:rPr>
        <w:t xml:space="preserve"> 日</w:t>
      </w:r>
      <w:bookmarkEnd w:id="857"/>
    </w:p>
    <w:bookmarkEnd w:id="856"/>
    <w:p/>
    <w:p/>
    <w:p/>
    <w:p/>
    <w:p>
      <w:r>
        <w:br w:type="page"/>
      </w:r>
    </w:p>
    <w:p>
      <w:pPr>
        <w:pStyle w:val="31"/>
        <w:rPr>
          <w:rFonts w:ascii="黑体"/>
        </w:rPr>
      </w:pPr>
      <w:bookmarkStart w:id="859" w:name="_Toc256000146"/>
      <w:bookmarkStart w:id="860" w:name="_Toc874"/>
      <w:bookmarkStart w:id="861" w:name="_Toc165804463"/>
      <w:r>
        <w:rPr>
          <w:rFonts w:hint="eastAsia"/>
        </w:rPr>
        <w:t>附表A-1</w:t>
      </w:r>
      <w:r>
        <w:t>7</w:t>
      </w:r>
      <w:r>
        <w:rPr>
          <w:rFonts w:hint="eastAsia"/>
        </w:rPr>
        <w:t>：推荐中标候选人一览表</w:t>
      </w:r>
      <w:bookmarkEnd w:id="859"/>
      <w:bookmarkEnd w:id="860"/>
      <w:bookmarkEnd w:id="861"/>
    </w:p>
    <w:p>
      <w:pPr>
        <w:spacing w:after="240" w:afterLines="100"/>
        <w:jc w:val="center"/>
        <w:rPr>
          <w:rFonts w:ascii="黑体" w:eastAsia="黑体"/>
          <w:sz w:val="36"/>
          <w:szCs w:val="36"/>
        </w:rPr>
      </w:pPr>
    </w:p>
    <w:p>
      <w:pPr>
        <w:adjustRightInd w:val="0"/>
        <w:snapToGrid w:val="0"/>
        <w:spacing w:before="240" w:beforeLines="100" w:after="240" w:afterLines="100" w:line="440" w:lineRule="exact"/>
        <w:jc w:val="center"/>
        <w:rPr>
          <w:rFonts w:hint="eastAsia" w:ascii="黑体" w:hAnsi="黑体" w:eastAsia="黑体"/>
          <w:sz w:val="36"/>
          <w:szCs w:val="36"/>
        </w:rPr>
      </w:pPr>
      <w:r>
        <w:rPr>
          <w:rFonts w:hint="eastAsia" w:ascii="黑体" w:hAnsi="黑体" w:eastAsia="黑体"/>
          <w:sz w:val="36"/>
          <w:szCs w:val="36"/>
        </w:rPr>
        <w:t>推荐中标候选人一览表</w:t>
      </w:r>
    </w:p>
    <w:p>
      <w:pPr>
        <w:rPr>
          <w:rFonts w:hint="eastAsia" w:ascii="宋体" w:hAnsi="宋体"/>
          <w:szCs w:val="44"/>
        </w:rPr>
      </w:pPr>
      <w:r>
        <w:rPr>
          <w:rFonts w:hint="eastAsia" w:ascii="宋体" w:hAnsi="宋体"/>
          <w:szCs w:val="44"/>
        </w:rPr>
        <w:t>标段名称：</w:t>
      </w:r>
    </w:p>
    <w:p>
      <w:pPr>
        <w:rPr>
          <w:szCs w:val="44"/>
        </w:rPr>
      </w:pPr>
      <w:r>
        <w:rPr>
          <w:rFonts w:hint="eastAsia"/>
          <w:szCs w:val="44"/>
        </w:rPr>
        <w:t>标段唯一标识码：</w:t>
      </w:r>
      <w:r>
        <w:rPr>
          <w:szCs w:val="44"/>
        </w:rPr>
        <w:t xml:space="preserve">                                          </w:t>
      </w:r>
      <w:r>
        <w:rPr>
          <w:rFonts w:hint="eastAsia"/>
          <w:szCs w:val="44"/>
        </w:rPr>
        <w:t>单位：人民币元</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bookmarkStart w:id="862" w:name="_Hlk166065593"/>
            <w:r>
              <w:rPr>
                <w:rFonts w:hint="eastAsia"/>
                <w:b/>
                <w:bCs/>
              </w:rPr>
              <w:t>排名</w:t>
            </w:r>
          </w:p>
        </w:tc>
        <w:tc>
          <w:tcPr>
            <w:tcW w:w="1537" w:type="dxa"/>
            <w:vAlign w:val="center"/>
          </w:tcPr>
          <w:p>
            <w:pPr>
              <w:jc w:val="center"/>
              <w:rPr>
                <w:b/>
                <w:bCs/>
              </w:rPr>
            </w:pPr>
            <w:r>
              <w:rPr>
                <w:rFonts w:hint="eastAsia"/>
                <w:b/>
                <w:bCs/>
              </w:rPr>
              <w:t>投标人名称</w:t>
            </w:r>
          </w:p>
        </w:tc>
        <w:tc>
          <w:tcPr>
            <w:tcW w:w="1390" w:type="dxa"/>
            <w:vAlign w:val="center"/>
          </w:tcPr>
          <w:p>
            <w:pPr>
              <w:jc w:val="center"/>
              <w:rPr>
                <w:b/>
                <w:bCs/>
              </w:rPr>
            </w:pPr>
            <w:r>
              <w:rPr>
                <w:rFonts w:hint="eastAsia"/>
                <w:b/>
                <w:bCs/>
              </w:rPr>
              <w:t>投标报价</w:t>
            </w:r>
          </w:p>
        </w:tc>
        <w:tc>
          <w:tcPr>
            <w:tcW w:w="2031" w:type="dxa"/>
            <w:vAlign w:val="center"/>
          </w:tcPr>
          <w:p>
            <w:pPr>
              <w:jc w:val="center"/>
              <w:rPr>
                <w:b/>
                <w:bCs/>
              </w:rPr>
            </w:pPr>
            <w:r>
              <w:rPr>
                <w:rFonts w:hint="eastAsia"/>
                <w:b/>
                <w:bCs/>
              </w:rPr>
              <w:t>评审得分</w:t>
            </w:r>
          </w:p>
          <w:p>
            <w:pPr>
              <w:jc w:val="center"/>
              <w:rPr>
                <w:b/>
                <w:bCs/>
              </w:rPr>
            </w:pPr>
            <w:r>
              <w:rPr>
                <w:rFonts w:hint="eastAsia"/>
                <w:b/>
                <w:bCs/>
              </w:rPr>
              <w:t>（有效评标价）</w:t>
            </w:r>
          </w:p>
        </w:tc>
        <w:tc>
          <w:tcPr>
            <w:tcW w:w="2495" w:type="dxa"/>
            <w:vAlign w:val="center"/>
          </w:tcPr>
          <w:p>
            <w:pPr>
              <w:jc w:val="center"/>
              <w:rPr>
                <w:b/>
                <w:bCs/>
              </w:rPr>
            </w:pPr>
            <w:r>
              <w:rPr>
                <w:rFonts w:hint="eastAsia"/>
                <w:b/>
                <w:bCs/>
              </w:rPr>
              <w:t>推荐意见和建议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r>
              <w:rPr>
                <w:rFonts w:hint="eastAsia"/>
              </w:rPr>
              <w:t>1</w:t>
            </w:r>
          </w:p>
        </w:tc>
        <w:tc>
          <w:tcPr>
            <w:tcW w:w="1537" w:type="dxa"/>
            <w:vAlign w:val="center"/>
          </w:tcPr>
          <w:p>
            <w:pPr>
              <w:jc w:val="center"/>
              <w:rPr>
                <w:b/>
                <w:bCs/>
              </w:rPr>
            </w:pPr>
          </w:p>
        </w:tc>
        <w:tc>
          <w:tcPr>
            <w:tcW w:w="1390" w:type="dxa"/>
            <w:vAlign w:val="center"/>
          </w:tcPr>
          <w:p>
            <w:pPr>
              <w:jc w:val="center"/>
              <w:rPr>
                <w:b/>
                <w:bCs/>
              </w:rPr>
            </w:pPr>
          </w:p>
        </w:tc>
        <w:tc>
          <w:tcPr>
            <w:tcW w:w="2031" w:type="dxa"/>
            <w:vAlign w:val="center"/>
          </w:tcPr>
          <w:p>
            <w:pPr>
              <w:jc w:val="center"/>
              <w:rPr>
                <w:b/>
                <w:bCs/>
              </w:rPr>
            </w:pPr>
          </w:p>
        </w:tc>
        <w:tc>
          <w:tcPr>
            <w:tcW w:w="2495"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r>
              <w:rPr>
                <w:rFonts w:hint="eastAsia"/>
              </w:rPr>
              <w:t>2</w:t>
            </w:r>
          </w:p>
        </w:tc>
        <w:tc>
          <w:tcPr>
            <w:tcW w:w="1537" w:type="dxa"/>
            <w:vAlign w:val="center"/>
          </w:tcPr>
          <w:p>
            <w:pPr>
              <w:jc w:val="center"/>
              <w:rPr>
                <w:b/>
                <w:bCs/>
              </w:rPr>
            </w:pPr>
          </w:p>
        </w:tc>
        <w:tc>
          <w:tcPr>
            <w:tcW w:w="1390" w:type="dxa"/>
            <w:vAlign w:val="center"/>
          </w:tcPr>
          <w:p>
            <w:pPr>
              <w:jc w:val="center"/>
              <w:rPr>
                <w:b/>
                <w:bCs/>
              </w:rPr>
            </w:pPr>
          </w:p>
        </w:tc>
        <w:tc>
          <w:tcPr>
            <w:tcW w:w="2031" w:type="dxa"/>
            <w:vAlign w:val="center"/>
          </w:tcPr>
          <w:p>
            <w:pPr>
              <w:jc w:val="center"/>
              <w:rPr>
                <w:b/>
                <w:bCs/>
              </w:rPr>
            </w:pPr>
          </w:p>
        </w:tc>
        <w:tc>
          <w:tcPr>
            <w:tcW w:w="2495"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r>
              <w:rPr>
                <w:rFonts w:hint="eastAsia"/>
              </w:rPr>
              <w:t>3</w:t>
            </w:r>
          </w:p>
        </w:tc>
        <w:tc>
          <w:tcPr>
            <w:tcW w:w="1537" w:type="dxa"/>
            <w:vAlign w:val="center"/>
          </w:tcPr>
          <w:p>
            <w:pPr>
              <w:jc w:val="center"/>
              <w:rPr>
                <w:b/>
                <w:bCs/>
              </w:rPr>
            </w:pPr>
          </w:p>
        </w:tc>
        <w:tc>
          <w:tcPr>
            <w:tcW w:w="1390" w:type="dxa"/>
            <w:vAlign w:val="center"/>
          </w:tcPr>
          <w:p>
            <w:pPr>
              <w:jc w:val="center"/>
              <w:rPr>
                <w:b/>
                <w:bCs/>
              </w:rPr>
            </w:pPr>
          </w:p>
        </w:tc>
        <w:tc>
          <w:tcPr>
            <w:tcW w:w="2031" w:type="dxa"/>
            <w:vAlign w:val="center"/>
          </w:tcPr>
          <w:p>
            <w:pPr>
              <w:jc w:val="center"/>
              <w:rPr>
                <w:b/>
                <w:bCs/>
              </w:rPr>
            </w:pPr>
          </w:p>
        </w:tc>
        <w:tc>
          <w:tcPr>
            <w:tcW w:w="2495"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r>
              <w:rPr>
                <w:rFonts w:hint="eastAsia"/>
              </w:rPr>
              <w:t>4</w:t>
            </w:r>
          </w:p>
        </w:tc>
        <w:tc>
          <w:tcPr>
            <w:tcW w:w="1537" w:type="dxa"/>
            <w:vAlign w:val="center"/>
          </w:tcPr>
          <w:p>
            <w:pPr>
              <w:jc w:val="center"/>
              <w:rPr>
                <w:b/>
                <w:bCs/>
              </w:rPr>
            </w:pPr>
          </w:p>
        </w:tc>
        <w:tc>
          <w:tcPr>
            <w:tcW w:w="1390" w:type="dxa"/>
            <w:vAlign w:val="center"/>
          </w:tcPr>
          <w:p>
            <w:pPr>
              <w:jc w:val="center"/>
              <w:rPr>
                <w:b/>
                <w:bCs/>
              </w:rPr>
            </w:pPr>
          </w:p>
        </w:tc>
        <w:tc>
          <w:tcPr>
            <w:tcW w:w="2031" w:type="dxa"/>
            <w:vAlign w:val="center"/>
          </w:tcPr>
          <w:p>
            <w:pPr>
              <w:jc w:val="center"/>
              <w:rPr>
                <w:b/>
                <w:bCs/>
              </w:rPr>
            </w:pPr>
          </w:p>
        </w:tc>
        <w:tc>
          <w:tcPr>
            <w:tcW w:w="2495"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r>
              <w:rPr>
                <w:rFonts w:hint="eastAsia"/>
              </w:rPr>
              <w:t>5</w:t>
            </w:r>
          </w:p>
        </w:tc>
        <w:tc>
          <w:tcPr>
            <w:tcW w:w="1537" w:type="dxa"/>
            <w:vAlign w:val="center"/>
          </w:tcPr>
          <w:p>
            <w:pPr>
              <w:jc w:val="center"/>
              <w:rPr>
                <w:b/>
                <w:bCs/>
              </w:rPr>
            </w:pPr>
          </w:p>
        </w:tc>
        <w:tc>
          <w:tcPr>
            <w:tcW w:w="1390" w:type="dxa"/>
            <w:vAlign w:val="center"/>
          </w:tcPr>
          <w:p>
            <w:pPr>
              <w:jc w:val="center"/>
              <w:rPr>
                <w:b/>
                <w:bCs/>
              </w:rPr>
            </w:pPr>
          </w:p>
        </w:tc>
        <w:tc>
          <w:tcPr>
            <w:tcW w:w="2031" w:type="dxa"/>
            <w:vAlign w:val="center"/>
          </w:tcPr>
          <w:p>
            <w:pPr>
              <w:jc w:val="center"/>
              <w:rPr>
                <w:b/>
                <w:bCs/>
              </w:rPr>
            </w:pPr>
          </w:p>
        </w:tc>
        <w:tc>
          <w:tcPr>
            <w:tcW w:w="2495"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rPr>
            </w:pPr>
            <w:r>
              <w:rPr>
                <w:rFonts w:hint="eastAsia" w:ascii="宋体" w:hAnsi="宋体"/>
              </w:rPr>
              <w:t>…</w:t>
            </w:r>
          </w:p>
        </w:tc>
        <w:tc>
          <w:tcPr>
            <w:tcW w:w="1537" w:type="dxa"/>
            <w:vAlign w:val="center"/>
          </w:tcPr>
          <w:p>
            <w:pPr>
              <w:jc w:val="center"/>
              <w:rPr>
                <w:b/>
                <w:bCs/>
              </w:rPr>
            </w:pPr>
          </w:p>
        </w:tc>
        <w:tc>
          <w:tcPr>
            <w:tcW w:w="1390" w:type="dxa"/>
            <w:vAlign w:val="center"/>
          </w:tcPr>
          <w:p>
            <w:pPr>
              <w:jc w:val="center"/>
              <w:rPr>
                <w:b/>
                <w:bCs/>
              </w:rPr>
            </w:pPr>
          </w:p>
        </w:tc>
        <w:tc>
          <w:tcPr>
            <w:tcW w:w="2031" w:type="dxa"/>
            <w:vAlign w:val="center"/>
          </w:tcPr>
          <w:p>
            <w:pPr>
              <w:jc w:val="center"/>
              <w:rPr>
                <w:b/>
                <w:bCs/>
              </w:rPr>
            </w:pPr>
          </w:p>
        </w:tc>
        <w:tc>
          <w:tcPr>
            <w:tcW w:w="2495"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pPr>
              <w:jc w:val="left"/>
              <w:rPr>
                <w:rFonts w:hint="eastAsia" w:ascii="宋体" w:hAnsi="宋体"/>
                <w:szCs w:val="44"/>
              </w:rPr>
            </w:pPr>
            <w:r>
              <w:rPr>
                <w:rFonts w:hint="eastAsia"/>
              </w:rPr>
              <w:t>评标委员会全体成员签名：</w:t>
            </w:r>
            <w:r>
              <w:t xml:space="preserve"> </w:t>
            </w: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rPr>
                <w:rFonts w:hint="eastAsia" w:ascii="宋体" w:hAnsi="宋体"/>
                <w:szCs w:val="44"/>
              </w:rPr>
            </w:pPr>
          </w:p>
          <w:p>
            <w:pPr>
              <w:jc w:val="left"/>
            </w:pPr>
          </w:p>
        </w:tc>
      </w:tr>
      <w:bookmarkEnd w:id="862"/>
    </w:tbl>
    <w:p/>
    <w:p>
      <w:pPr>
        <w:ind w:left="210" w:leftChars="100" w:firstLine="5460" w:firstLineChars="2600"/>
        <w:rPr>
          <w:szCs w:val="44"/>
        </w:rPr>
      </w:pPr>
      <w:r>
        <w:rPr>
          <w:rFonts w:hint="eastAsia"/>
        </w:rPr>
        <w:t xml:space="preserve">日期：  </w:t>
      </w:r>
      <w:r>
        <w:t xml:space="preserve">  </w:t>
      </w:r>
      <w:r>
        <w:rPr>
          <w:rFonts w:hint="eastAsia"/>
        </w:rPr>
        <w:t xml:space="preserve">  年   月 </w:t>
      </w:r>
      <w:r>
        <w:t xml:space="preserve">  </w:t>
      </w:r>
      <w:r>
        <w:rPr>
          <w:rFonts w:hint="eastAsia"/>
        </w:rPr>
        <w:t xml:space="preserve">  日</w:t>
      </w:r>
    </w:p>
    <w:p/>
    <w:p/>
    <w:p>
      <w:pPr>
        <w:sectPr>
          <w:pgSz w:w="11906" w:h="16838"/>
          <w:pgMar w:top="1440" w:right="1797" w:bottom="1440" w:left="1797" w:header="851" w:footer="851" w:gutter="0"/>
          <w:cols w:space="720" w:num="1"/>
          <w:docGrid w:linePitch="312" w:charSpace="0"/>
        </w:sectPr>
      </w:pPr>
    </w:p>
    <w:p>
      <w:pPr>
        <w:pStyle w:val="31"/>
      </w:pPr>
      <w:bookmarkStart w:id="863" w:name="_Toc165804464"/>
      <w:bookmarkStart w:id="864" w:name="_Toc8770"/>
      <w:bookmarkStart w:id="865" w:name="_Toc256000147"/>
      <w:r>
        <w:rPr>
          <w:rFonts w:hint="eastAsia"/>
        </w:rPr>
        <w:t>附表</w:t>
      </w:r>
      <w:r>
        <w:t>C</w:t>
      </w:r>
      <w:r>
        <w:rPr>
          <w:rFonts w:hint="eastAsia"/>
        </w:rPr>
        <w:t>-1：成本评审结论记录表</w:t>
      </w:r>
      <w:bookmarkEnd w:id="863"/>
      <w:bookmarkEnd w:id="864"/>
      <w:bookmarkEnd w:id="865"/>
    </w:p>
    <w:p>
      <w:pPr>
        <w:spacing w:before="312" w:beforeLines="100" w:after="312" w:afterLines="100"/>
        <w:jc w:val="center"/>
        <w:rPr>
          <w:rFonts w:ascii="黑体" w:eastAsia="黑体"/>
          <w:sz w:val="32"/>
          <w:szCs w:val="32"/>
        </w:rPr>
      </w:pPr>
      <w:r>
        <w:rPr>
          <w:rFonts w:hint="eastAsia" w:ascii="黑体" w:eastAsia="黑体"/>
          <w:sz w:val="32"/>
          <w:szCs w:val="32"/>
        </w:rPr>
        <w:t>成本评审结论记录表</w:t>
      </w:r>
    </w:p>
    <w:p>
      <w:pPr>
        <w:rPr>
          <w:rFonts w:hint="eastAsia" w:ascii="宋体" w:hAnsi="宋体"/>
          <w:szCs w:val="21"/>
        </w:rPr>
      </w:pPr>
      <w:r>
        <w:rPr>
          <w:rFonts w:hint="eastAsia" w:ascii="宋体" w:hAnsi="宋体"/>
          <w:szCs w:val="21"/>
        </w:rPr>
        <w:t>投标人名称：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0" w:hRule="atLeast"/>
        </w:trPr>
        <w:tc>
          <w:tcPr>
            <w:tcW w:w="8720" w:type="dxa"/>
            <w:gridSpan w:val="2"/>
          </w:tcPr>
          <w:p>
            <w:pPr>
              <w:spacing w:before="93" w:beforeLines="30"/>
              <w:rPr>
                <w:rFonts w:hint="eastAsia" w:ascii="宋体" w:hAnsi="宋体"/>
                <w:szCs w:val="21"/>
              </w:rPr>
            </w:pPr>
            <w:r>
              <w:rPr>
                <w:rFonts w:hint="eastAsia" w:ascii="宋体" w:hAnsi="宋体"/>
                <w:szCs w:val="21"/>
              </w:rPr>
              <w:t>需投标人澄清和说明的主要事项概要：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3" w:beforeLines="30"/>
              <w:rPr>
                <w:rFonts w:hint="eastAsia" w:ascii="宋体" w:hAnsi="宋体"/>
                <w:szCs w:val="21"/>
              </w:rPr>
            </w:pPr>
            <w:r>
              <w:rPr>
                <w:rFonts w:hint="eastAsia" w:ascii="宋体" w:hAnsi="宋体"/>
                <w:szCs w:val="21"/>
              </w:rPr>
              <w:t>投标人澄清、说明、补正和提供</w:t>
            </w:r>
            <w:r>
              <w:rPr>
                <w:rFonts w:hint="eastAsia" w:hAnsi="宋体"/>
              </w:rPr>
              <w:t>证明材料</w:t>
            </w:r>
            <w:r>
              <w:rPr>
                <w:rFonts w:hint="eastAsia" w:ascii="宋体" w:hAnsi="宋体"/>
                <w:szCs w:val="21"/>
              </w:rPr>
              <w:t>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pPr>
              <w:jc w:val="center"/>
              <w:rPr>
                <w:rFonts w:hint="eastAsia" w:ascii="宋体" w:hAnsi="宋体"/>
                <w:szCs w:val="21"/>
              </w:rPr>
            </w:pPr>
            <w:r>
              <w:rPr>
                <w:rFonts w:hint="eastAsia" w:ascii="宋体" w:hAnsi="宋体"/>
                <w:szCs w:val="21"/>
              </w:rPr>
              <w:t>评审结论</w:t>
            </w:r>
          </w:p>
        </w:tc>
        <w:tc>
          <w:tcPr>
            <w:tcW w:w="7532" w:type="dxa"/>
            <w:vAlign w:val="center"/>
          </w:tcPr>
          <w:p>
            <w:pPr>
              <w:ind w:firstLine="210" w:firstLineChars="100"/>
              <w:rPr>
                <w:rFonts w:hint="eastAsia" w:ascii="宋体" w:hAnsi="宋体"/>
                <w:szCs w:val="21"/>
              </w:rPr>
            </w:pPr>
            <w:r>
              <w:rPr>
                <w:rFonts w:hint="eastAsia" w:ascii="宋体" w:hAnsi="宋体"/>
                <w:szCs w:val="21"/>
              </w:rPr>
              <w:t xml:space="preserve"> □低于成本     □不低于成本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pPr>
              <w:jc w:val="center"/>
              <w:rPr>
                <w:rFonts w:hint="eastAsia" w:ascii="宋体" w:hAnsi="宋体"/>
                <w:szCs w:val="21"/>
              </w:rPr>
            </w:pPr>
            <w:r>
              <w:rPr>
                <w:rFonts w:hint="eastAsia" w:ascii="宋体" w:hAnsi="宋体"/>
                <w:szCs w:val="21"/>
              </w:rPr>
              <w:t>评</w:t>
            </w:r>
          </w:p>
          <w:p>
            <w:pPr>
              <w:jc w:val="center"/>
              <w:rPr>
                <w:rFonts w:hint="eastAsia" w:ascii="宋体" w:hAnsi="宋体"/>
                <w:szCs w:val="21"/>
              </w:rPr>
            </w:pPr>
            <w:r>
              <w:rPr>
                <w:rFonts w:hint="eastAsia" w:ascii="宋体" w:hAnsi="宋体"/>
                <w:szCs w:val="21"/>
              </w:rPr>
              <w:t>审</w:t>
            </w:r>
          </w:p>
          <w:p>
            <w:pPr>
              <w:jc w:val="center"/>
              <w:rPr>
                <w:rFonts w:hint="eastAsia" w:ascii="宋体" w:hAnsi="宋体"/>
                <w:szCs w:val="21"/>
              </w:rPr>
            </w:pPr>
            <w:r>
              <w:rPr>
                <w:rFonts w:hint="eastAsia" w:ascii="宋体" w:hAnsi="宋体"/>
                <w:szCs w:val="21"/>
              </w:rPr>
              <w:t>意</w:t>
            </w:r>
          </w:p>
          <w:p>
            <w:pPr>
              <w:jc w:val="center"/>
              <w:rPr>
                <w:rFonts w:hint="eastAsia" w:ascii="宋体" w:hAnsi="宋体"/>
                <w:szCs w:val="21"/>
              </w:rPr>
            </w:pPr>
            <w:r>
              <w:rPr>
                <w:rFonts w:hint="eastAsia" w:ascii="宋体" w:hAnsi="宋体"/>
                <w:szCs w:val="21"/>
              </w:rPr>
              <w:t>见</w:t>
            </w:r>
          </w:p>
          <w:p>
            <w:pPr>
              <w:jc w:val="center"/>
              <w:rPr>
                <w:rFonts w:hint="eastAsia" w:ascii="宋体" w:hAnsi="宋体"/>
                <w:szCs w:val="21"/>
              </w:rPr>
            </w:pPr>
            <w:r>
              <w:rPr>
                <w:rFonts w:hint="eastAsia" w:ascii="宋体" w:hAnsi="宋体"/>
                <w:szCs w:val="21"/>
              </w:rPr>
              <w:t>概</w:t>
            </w:r>
          </w:p>
          <w:p>
            <w:pPr>
              <w:jc w:val="center"/>
              <w:rPr>
                <w:rFonts w:hint="eastAsia" w:ascii="宋体" w:hAnsi="宋体"/>
                <w:szCs w:val="21"/>
              </w:rPr>
            </w:pPr>
            <w:r>
              <w:rPr>
                <w:rFonts w:hint="eastAsia" w:ascii="宋体" w:hAnsi="宋体"/>
                <w:szCs w:val="21"/>
              </w:rPr>
              <w:t>要</w:t>
            </w:r>
          </w:p>
        </w:tc>
        <w:tc>
          <w:tcPr>
            <w:tcW w:w="753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pPr>
              <w:jc w:val="center"/>
              <w:rPr>
                <w:rFonts w:hint="eastAsia" w:ascii="宋体" w:hAnsi="宋体"/>
                <w:szCs w:val="21"/>
              </w:rPr>
            </w:pPr>
            <w:r>
              <w:rPr>
                <w:rFonts w:hint="eastAsia" w:ascii="宋体" w:hAnsi="宋体"/>
                <w:szCs w:val="21"/>
              </w:rPr>
              <w:t>评</w:t>
            </w:r>
          </w:p>
          <w:p>
            <w:pPr>
              <w:jc w:val="center"/>
              <w:rPr>
                <w:rFonts w:hint="eastAsia" w:ascii="宋体" w:hAnsi="宋体"/>
                <w:szCs w:val="21"/>
              </w:rPr>
            </w:pPr>
            <w:r>
              <w:rPr>
                <w:rFonts w:hint="eastAsia" w:ascii="宋体" w:hAnsi="宋体"/>
                <w:szCs w:val="21"/>
              </w:rPr>
              <w:t>标</w:t>
            </w:r>
          </w:p>
          <w:p>
            <w:pPr>
              <w:jc w:val="center"/>
              <w:rPr>
                <w:rFonts w:hint="eastAsia" w:ascii="宋体" w:hAnsi="宋体"/>
                <w:szCs w:val="21"/>
              </w:rPr>
            </w:pPr>
            <w:r>
              <w:rPr>
                <w:rFonts w:hint="eastAsia" w:ascii="宋体" w:hAnsi="宋体"/>
                <w:szCs w:val="21"/>
              </w:rPr>
              <w:t>委</w:t>
            </w:r>
          </w:p>
          <w:p>
            <w:pPr>
              <w:jc w:val="center"/>
              <w:rPr>
                <w:rFonts w:hint="eastAsia" w:ascii="宋体" w:hAnsi="宋体"/>
                <w:szCs w:val="21"/>
              </w:rPr>
            </w:pPr>
            <w:r>
              <w:rPr>
                <w:rFonts w:hint="eastAsia" w:ascii="宋体" w:hAnsi="宋体"/>
                <w:szCs w:val="21"/>
              </w:rPr>
              <w:t>员</w:t>
            </w:r>
          </w:p>
          <w:p>
            <w:pPr>
              <w:jc w:val="center"/>
              <w:rPr>
                <w:rFonts w:hint="eastAsia" w:ascii="宋体" w:hAnsi="宋体"/>
                <w:szCs w:val="21"/>
              </w:rPr>
            </w:pPr>
            <w:r>
              <w:rPr>
                <w:rFonts w:hint="eastAsia" w:ascii="宋体" w:hAnsi="宋体"/>
                <w:szCs w:val="21"/>
              </w:rPr>
              <w:t>会</w:t>
            </w:r>
          </w:p>
          <w:p>
            <w:pPr>
              <w:jc w:val="center"/>
              <w:rPr>
                <w:rFonts w:hint="eastAsia" w:ascii="宋体" w:hAnsi="宋体"/>
                <w:szCs w:val="21"/>
              </w:rPr>
            </w:pPr>
            <w:r>
              <w:rPr>
                <w:rFonts w:hint="eastAsia" w:ascii="宋体" w:hAnsi="宋体"/>
                <w:szCs w:val="21"/>
              </w:rPr>
              <w:t>全</w:t>
            </w:r>
          </w:p>
          <w:p>
            <w:pPr>
              <w:jc w:val="center"/>
              <w:rPr>
                <w:rFonts w:hint="eastAsia" w:ascii="宋体" w:hAnsi="宋体"/>
                <w:szCs w:val="21"/>
              </w:rPr>
            </w:pPr>
            <w:r>
              <w:rPr>
                <w:rFonts w:hint="eastAsia" w:ascii="宋体" w:hAnsi="宋体"/>
                <w:szCs w:val="21"/>
              </w:rPr>
              <w:t>体</w:t>
            </w:r>
          </w:p>
          <w:p>
            <w:pPr>
              <w:jc w:val="center"/>
              <w:rPr>
                <w:rFonts w:hint="eastAsia" w:ascii="宋体" w:hAnsi="宋体"/>
                <w:szCs w:val="21"/>
              </w:rPr>
            </w:pPr>
            <w:r>
              <w:rPr>
                <w:rFonts w:hint="eastAsia" w:ascii="宋体" w:hAnsi="宋体"/>
                <w:szCs w:val="21"/>
              </w:rPr>
              <w:t>成</w:t>
            </w:r>
          </w:p>
          <w:p>
            <w:pPr>
              <w:jc w:val="center"/>
              <w:rPr>
                <w:rFonts w:hint="eastAsia" w:ascii="宋体" w:hAnsi="宋体"/>
                <w:szCs w:val="21"/>
              </w:rPr>
            </w:pPr>
            <w:r>
              <w:rPr>
                <w:rFonts w:hint="eastAsia" w:ascii="宋体" w:hAnsi="宋体"/>
                <w:szCs w:val="21"/>
              </w:rPr>
              <w:t>员</w:t>
            </w:r>
          </w:p>
          <w:p>
            <w:pPr>
              <w:jc w:val="center"/>
              <w:rPr>
                <w:rFonts w:hint="eastAsia" w:ascii="宋体" w:hAnsi="宋体"/>
                <w:szCs w:val="21"/>
              </w:rPr>
            </w:pPr>
            <w:r>
              <w:rPr>
                <w:rFonts w:hint="eastAsia" w:ascii="宋体" w:hAnsi="宋体"/>
                <w:szCs w:val="21"/>
              </w:rPr>
              <w:t>签</w:t>
            </w:r>
          </w:p>
          <w:p>
            <w:pPr>
              <w:jc w:val="center"/>
              <w:rPr>
                <w:rFonts w:hint="eastAsia" w:ascii="宋体" w:hAnsi="宋体"/>
                <w:szCs w:val="21"/>
              </w:rPr>
            </w:pPr>
            <w:r>
              <w:rPr>
                <w:rFonts w:hint="eastAsia" w:ascii="宋体" w:hAnsi="宋体"/>
                <w:szCs w:val="21"/>
              </w:rPr>
              <w:t>名</w:t>
            </w:r>
          </w:p>
        </w:tc>
        <w:tc>
          <w:tcPr>
            <w:tcW w:w="7532" w:type="dxa"/>
            <w:vAlign w:val="bottom"/>
          </w:tcPr>
          <w:p>
            <w:pPr>
              <w:wordWrap w:val="0"/>
              <w:spacing w:after="156" w:afterLines="50"/>
              <w:jc w:val="right"/>
              <w:rPr>
                <w:rFonts w:hint="eastAsia" w:ascii="宋体" w:hAnsi="宋体"/>
                <w:szCs w:val="21"/>
              </w:rPr>
            </w:pPr>
            <w:r>
              <w:rPr>
                <w:rFonts w:hint="eastAsia" w:ascii="宋体" w:hAnsi="宋体"/>
                <w:szCs w:val="21"/>
              </w:rPr>
              <w:t xml:space="preserve">年   月   日       </w:t>
            </w:r>
          </w:p>
        </w:tc>
      </w:tr>
    </w:tbl>
    <w:p>
      <w:pPr>
        <w:sectPr>
          <w:footerReference r:id="rId16" w:type="default"/>
          <w:pgSz w:w="11906" w:h="16838"/>
          <w:pgMar w:top="1440" w:right="1800" w:bottom="1440" w:left="1800" w:header="851" w:footer="992" w:gutter="0"/>
          <w:cols w:space="425" w:num="1"/>
          <w:docGrid w:type="lines" w:linePitch="312" w:charSpace="0"/>
        </w:sectPr>
      </w:pPr>
    </w:p>
    <w:p>
      <w:bookmarkStart w:id="866" w:name="_Toc152264507"/>
    </w:p>
    <w:p/>
    <w:p/>
    <w:p/>
    <w:p/>
    <w:p/>
    <w:p/>
    <w:p/>
    <w:p/>
    <w:p/>
    <w:p/>
    <w:p/>
    <w:p/>
    <w:p/>
    <w:p/>
    <w:p/>
    <w:p/>
    <w:p>
      <w:pPr>
        <w:pStyle w:val="4"/>
        <w:spacing w:before="120" w:after="120" w:line="400" w:lineRule="exact"/>
        <w:jc w:val="center"/>
        <w:rPr>
          <w:rFonts w:hint="eastAsia" w:ascii="黑体" w:hAnsi="黑体" w:eastAsia="黑体"/>
          <w:b w:val="0"/>
          <w:bCs w:val="0"/>
          <w:sz w:val="32"/>
        </w:rPr>
      </w:pPr>
      <w:bookmarkStart w:id="867" w:name="_Toc256000148"/>
      <w:bookmarkStart w:id="868" w:name="_Toc14872"/>
      <w:r>
        <w:rPr>
          <w:rFonts w:hint="eastAsia" w:ascii="黑体" w:hAnsi="黑体" w:eastAsia="黑体"/>
          <w:b w:val="0"/>
          <w:bCs w:val="0"/>
          <w:sz w:val="32"/>
        </w:rPr>
        <w:t>第四章  合同条款及格式</w:t>
      </w:r>
      <w:bookmarkEnd w:id="866"/>
      <w:bookmarkEnd w:id="867"/>
      <w:bookmarkEnd w:id="868"/>
    </w:p>
    <w:p>
      <w:pPr>
        <w:jc w:val="center"/>
        <w:rPr>
          <w:rFonts w:ascii="黑体" w:eastAsia="黑体"/>
          <w:sz w:val="30"/>
          <w:szCs w:val="30"/>
        </w:rPr>
      </w:pPr>
    </w:p>
    <w:p>
      <w:pPr>
        <w:pStyle w:val="2"/>
        <w:ind w:firstLine="600"/>
        <w:rPr>
          <w:rFonts w:ascii="黑体" w:eastAsia="黑体"/>
          <w:sz w:val="30"/>
          <w:szCs w:val="30"/>
        </w:rPr>
      </w:pPr>
    </w:p>
    <w:p>
      <w:pPr>
        <w:pStyle w:val="3"/>
        <w:rPr>
          <w:rFonts w:ascii="黑体" w:eastAsia="黑体"/>
          <w:sz w:val="30"/>
          <w:szCs w:val="30"/>
        </w:rPr>
      </w:pPr>
    </w:p>
    <w:p>
      <w:pPr>
        <w:rPr>
          <w:rFonts w:ascii="黑体" w:eastAsia="黑体"/>
          <w:sz w:val="30"/>
          <w:szCs w:val="30"/>
        </w:rPr>
      </w:pPr>
    </w:p>
    <w:p>
      <w:pPr>
        <w:pStyle w:val="2"/>
        <w:ind w:firstLine="600"/>
        <w:rPr>
          <w:rFonts w:ascii="黑体" w:eastAsia="黑体"/>
          <w:sz w:val="30"/>
          <w:szCs w:val="30"/>
        </w:rPr>
      </w:pPr>
    </w:p>
    <w:p>
      <w:pPr>
        <w:pStyle w:val="3"/>
        <w:rPr>
          <w:rFonts w:ascii="黑体" w:eastAsia="黑体"/>
          <w:sz w:val="30"/>
          <w:szCs w:val="30"/>
        </w:rPr>
      </w:pPr>
    </w:p>
    <w:p>
      <w:pPr>
        <w:rPr>
          <w:rFonts w:ascii="黑体" w:eastAsia="黑体"/>
          <w:sz w:val="30"/>
          <w:szCs w:val="30"/>
        </w:rPr>
      </w:pPr>
    </w:p>
    <w:p>
      <w:pPr>
        <w:pStyle w:val="2"/>
        <w:ind w:firstLine="600"/>
        <w:rPr>
          <w:rFonts w:ascii="黑体" w:eastAsia="黑体"/>
          <w:sz w:val="30"/>
          <w:szCs w:val="30"/>
        </w:rPr>
      </w:pPr>
    </w:p>
    <w:p>
      <w:pPr>
        <w:pStyle w:val="3"/>
        <w:rPr>
          <w:rFonts w:ascii="黑体" w:eastAsia="黑体"/>
          <w:sz w:val="30"/>
          <w:szCs w:val="30"/>
        </w:rPr>
      </w:pPr>
    </w:p>
    <w:p>
      <w:pPr>
        <w:rPr>
          <w:rFonts w:ascii="黑体" w:eastAsia="黑体"/>
          <w:sz w:val="30"/>
          <w:szCs w:val="30"/>
        </w:rPr>
      </w:pPr>
    </w:p>
    <w:p>
      <w:pPr>
        <w:pStyle w:val="2"/>
        <w:ind w:firstLine="600"/>
        <w:rPr>
          <w:rFonts w:ascii="黑体" w:eastAsia="黑体"/>
          <w:sz w:val="30"/>
          <w:szCs w:val="30"/>
        </w:rPr>
      </w:pPr>
    </w:p>
    <w:p>
      <w:pPr>
        <w:pStyle w:val="3"/>
        <w:rPr>
          <w:rFonts w:ascii="黑体" w:eastAsia="黑体"/>
          <w:sz w:val="30"/>
          <w:szCs w:val="30"/>
        </w:rPr>
      </w:pPr>
    </w:p>
    <w:p>
      <w:pPr>
        <w:rPr>
          <w:rFonts w:ascii="黑体" w:eastAsia="黑体"/>
          <w:sz w:val="30"/>
          <w:szCs w:val="30"/>
        </w:rPr>
      </w:pPr>
    </w:p>
    <w:p>
      <w:pPr>
        <w:pStyle w:val="2"/>
      </w:pPr>
    </w:p>
    <w:p>
      <w:pPr>
        <w:spacing w:line="360" w:lineRule="auto"/>
        <w:jc w:val="center"/>
        <w:rPr>
          <w:rFonts w:hint="eastAsia" w:ascii="宋体" w:hAnsi="宋体" w:cs="宋体"/>
          <w:b/>
          <w:sz w:val="52"/>
          <w:szCs w:val="52"/>
        </w:rPr>
      </w:pPr>
      <w:r>
        <w:rPr>
          <w:rFonts w:hint="eastAsia" w:ascii="宋体" w:hAnsi="宋体" w:cs="宋体"/>
          <w:b/>
          <w:sz w:val="52"/>
          <w:szCs w:val="52"/>
        </w:rPr>
        <w:t>建设工程施工合同</w:t>
      </w:r>
      <w:r>
        <w:rPr>
          <w:rFonts w:hint="eastAsia" w:ascii="宋体" w:hAnsi="宋体" w:cs="宋体"/>
          <w:b/>
          <w:sz w:val="52"/>
          <w:szCs w:val="52"/>
        </w:rPr>
        <w:br w:type="textWrapping"/>
      </w:r>
    </w:p>
    <w:p>
      <w:pPr>
        <w:tabs>
          <w:tab w:val="left" w:pos="1276"/>
        </w:tabs>
        <w:spacing w:before="312" w:beforeLines="100" w:after="156" w:afterLines="50" w:line="360" w:lineRule="auto"/>
        <w:ind w:left="2354" w:leftChars="100" w:right="210" w:rightChars="100" w:hanging="2144" w:hangingChars="800"/>
        <w:jc w:val="left"/>
        <w:rPr>
          <w:rFonts w:hint="eastAsia" w:ascii="宋体" w:hAnsi="宋体" w:cs="宋体"/>
          <w:sz w:val="32"/>
          <w:szCs w:val="32"/>
          <w:u w:val="single"/>
        </w:rPr>
      </w:pPr>
      <w:r>
        <w:rPr>
          <w:rFonts w:hint="eastAsia" w:ascii="宋体" w:hAnsi="宋体" w:cs="宋体"/>
          <w:bCs/>
          <w:spacing w:val="-26"/>
          <w:sz w:val="32"/>
          <w:szCs w:val="32"/>
        </w:rPr>
        <w:t>合  同  名  称：</w:t>
      </w:r>
      <w:r>
        <w:rPr>
          <w:rFonts w:hint="eastAsia" w:ascii="宋体" w:hAnsi="宋体" w:cs="宋体"/>
          <w:sz w:val="32"/>
          <w:szCs w:val="32"/>
          <w:u w:val="single"/>
        </w:rPr>
        <w:t>营口建发盛海磷化工有限公司精制磷酸及磷酸铁前驱体项目全厂道路、管廊、地管、事故水池、防雷接地施工</w:t>
      </w:r>
    </w:p>
    <w:p>
      <w:pPr>
        <w:tabs>
          <w:tab w:val="left" w:pos="1276"/>
        </w:tabs>
        <w:spacing w:before="312" w:beforeLines="100" w:after="156" w:afterLines="50" w:line="360" w:lineRule="auto"/>
        <w:ind w:left="2354" w:leftChars="100" w:right="210" w:rightChars="100" w:hanging="2144" w:hangingChars="800"/>
        <w:rPr>
          <w:rFonts w:hint="eastAsia" w:ascii="宋体" w:hAnsi="宋体" w:cs="宋体"/>
          <w:bCs/>
          <w:spacing w:val="-26"/>
          <w:sz w:val="32"/>
          <w:szCs w:val="32"/>
        </w:rPr>
      </w:pPr>
      <w:r>
        <w:rPr>
          <w:rFonts w:hint="eastAsia" w:ascii="宋体" w:hAnsi="宋体" w:cs="宋体"/>
          <w:bCs/>
          <w:spacing w:val="-26"/>
          <w:sz w:val="32"/>
          <w:szCs w:val="32"/>
        </w:rPr>
        <w:t>发    包    人：</w:t>
      </w:r>
      <w:r>
        <w:rPr>
          <w:rFonts w:hint="eastAsia" w:ascii="宋体" w:hAnsi="宋体" w:cs="宋体"/>
          <w:sz w:val="32"/>
          <w:szCs w:val="32"/>
          <w:u w:val="single"/>
        </w:rPr>
        <w:t>营口建发盛海磷化工有限公司</w:t>
      </w:r>
      <w:r>
        <w:rPr>
          <w:rFonts w:hint="eastAsia" w:ascii="宋体" w:hAnsi="宋体" w:cs="宋体"/>
          <w:bCs/>
          <w:spacing w:val="-26"/>
          <w:sz w:val="32"/>
          <w:szCs w:val="32"/>
          <w:u w:val="single"/>
        </w:rPr>
        <w:t xml:space="preserve">             </w:t>
      </w:r>
    </w:p>
    <w:p>
      <w:pPr>
        <w:spacing w:before="312" w:beforeLines="100" w:after="156" w:afterLines="50" w:line="360" w:lineRule="auto"/>
        <w:ind w:left="210" w:leftChars="100" w:right="210" w:rightChars="100"/>
        <w:rPr>
          <w:rFonts w:hint="eastAsia" w:ascii="宋体" w:hAnsi="宋体" w:cs="宋体"/>
          <w:bCs/>
          <w:spacing w:val="-26"/>
          <w:sz w:val="32"/>
          <w:szCs w:val="32"/>
          <w:u w:val="single"/>
        </w:rPr>
      </w:pPr>
      <w:r>
        <w:rPr>
          <w:rFonts w:hint="eastAsia" w:ascii="宋体" w:hAnsi="宋体" w:cs="宋体"/>
          <w:bCs/>
          <w:spacing w:val="-26"/>
          <w:sz w:val="32"/>
          <w:szCs w:val="32"/>
        </w:rPr>
        <w:t>承    包    人：</w:t>
      </w:r>
      <w:r>
        <w:rPr>
          <w:rFonts w:hint="eastAsia" w:ascii="宋体" w:hAnsi="宋体" w:cs="宋体"/>
          <w:bCs/>
          <w:spacing w:val="-26"/>
          <w:sz w:val="32"/>
          <w:szCs w:val="32"/>
          <w:u w:val="single"/>
        </w:rPr>
        <w:t xml:space="preserve">                            </w:t>
      </w:r>
      <w:r>
        <w:rPr>
          <w:rFonts w:hint="eastAsia" w:ascii="宋体" w:hAnsi="宋体" w:cs="宋体"/>
          <w:b/>
          <w:sz w:val="24"/>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bCs/>
          <w:spacing w:val="-26"/>
          <w:sz w:val="32"/>
          <w:szCs w:val="32"/>
        </w:rPr>
      </w:pPr>
      <w:r>
        <w:rPr>
          <w:rFonts w:hint="eastAsia" w:ascii="宋体" w:hAnsi="宋体" w:cs="宋体"/>
          <w:sz w:val="32"/>
          <w:szCs w:val="32"/>
          <w:u w:val="single"/>
        </w:rPr>
        <w:t>发包人合同编号</w:t>
      </w:r>
      <w:r>
        <w:rPr>
          <w:rFonts w:hint="eastAsia" w:ascii="宋体" w:hAnsi="宋体" w:cs="宋体"/>
          <w:bCs/>
          <w:spacing w:val="-26"/>
          <w:sz w:val="32"/>
          <w:szCs w:val="32"/>
        </w:rPr>
        <w:t>：</w:t>
      </w:r>
      <w:r>
        <w:rPr>
          <w:rFonts w:hint="eastAsia" w:ascii="宋体" w:hAnsi="宋体" w:cs="宋体"/>
          <w:b/>
          <w:sz w:val="24"/>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sz w:val="32"/>
          <w:szCs w:val="32"/>
          <w:u w:val="single"/>
        </w:rPr>
      </w:pPr>
      <w:r>
        <w:rPr>
          <w:rFonts w:hint="eastAsia" w:ascii="宋体" w:hAnsi="宋体" w:cs="宋体"/>
          <w:sz w:val="32"/>
          <w:szCs w:val="32"/>
          <w:u w:val="single"/>
        </w:rPr>
        <w:t xml:space="preserve">承包人合同编号：                            </w:t>
      </w:r>
    </w:p>
    <w:p>
      <w:pPr>
        <w:spacing w:before="312" w:beforeLines="100" w:after="156" w:afterLines="50" w:line="360" w:lineRule="auto"/>
        <w:ind w:left="210" w:leftChars="100" w:right="210" w:rightChars="100"/>
        <w:rPr>
          <w:rFonts w:hint="eastAsia" w:ascii="宋体" w:hAnsi="宋体" w:cs="宋体"/>
          <w:b/>
          <w:sz w:val="24"/>
          <w:u w:val="single"/>
        </w:rPr>
      </w:pPr>
      <w:r>
        <w:rPr>
          <w:rFonts w:hint="eastAsia" w:ascii="宋体" w:hAnsi="宋体" w:cs="宋体"/>
          <w:bCs/>
          <w:spacing w:val="-26"/>
          <w:sz w:val="32"/>
          <w:szCs w:val="32"/>
        </w:rPr>
        <w:t>签  订  地  点：</w:t>
      </w:r>
      <w:r>
        <w:rPr>
          <w:rFonts w:hint="eastAsia" w:ascii="宋体" w:hAnsi="宋体" w:cs="宋体"/>
          <w:sz w:val="32"/>
          <w:szCs w:val="32"/>
          <w:u w:val="single"/>
        </w:rPr>
        <w:t>辽宁省营口市西市区</w:t>
      </w:r>
      <w:r>
        <w:rPr>
          <w:rFonts w:hint="eastAsia" w:ascii="宋体" w:hAnsi="宋体" w:cs="宋体"/>
          <w:b/>
          <w:sz w:val="24"/>
          <w:u w:val="single"/>
        </w:rPr>
        <w:t xml:space="preserve">                          </w:t>
      </w:r>
    </w:p>
    <w:p>
      <w:pPr>
        <w:spacing w:before="312" w:beforeLines="100" w:after="156" w:afterLines="50" w:line="360" w:lineRule="auto"/>
        <w:ind w:left="210" w:leftChars="100" w:right="210" w:rightChars="100"/>
        <w:rPr>
          <w:rFonts w:hint="eastAsia" w:ascii="宋体" w:hAnsi="宋体" w:cs="宋体"/>
          <w:bCs/>
          <w:spacing w:val="-26"/>
          <w:sz w:val="32"/>
          <w:szCs w:val="32"/>
          <w:u w:val="single"/>
        </w:rPr>
      </w:pPr>
      <w:r>
        <w:rPr>
          <w:rFonts w:hint="eastAsia" w:ascii="宋体" w:hAnsi="宋体" w:cs="宋体"/>
          <w:bCs/>
          <w:spacing w:val="-26"/>
          <w:sz w:val="32"/>
          <w:szCs w:val="32"/>
        </w:rPr>
        <w:t>签  订  日  期：</w:t>
      </w:r>
      <w:r>
        <w:rPr>
          <w:rFonts w:hint="eastAsia" w:ascii="宋体" w:hAnsi="宋体" w:cs="宋体"/>
          <w:bCs/>
          <w:spacing w:val="-26"/>
          <w:sz w:val="32"/>
          <w:szCs w:val="32"/>
          <w:u w:val="single"/>
        </w:rPr>
        <w:t xml:space="preserve">     2025年     月      日 </w:t>
      </w:r>
    </w:p>
    <w:p>
      <w:pPr>
        <w:spacing w:before="312" w:beforeLines="100" w:after="156" w:afterLines="50"/>
        <w:ind w:left="210" w:leftChars="100" w:right="210" w:rightChars="100"/>
        <w:contextualSpacing/>
        <w:rPr>
          <w:rFonts w:hint="eastAsia" w:ascii="宋体" w:hAnsi="宋体"/>
          <w:b/>
        </w:rPr>
      </w:pPr>
    </w:p>
    <w:p>
      <w:pPr>
        <w:spacing w:before="312" w:beforeLines="100" w:after="156" w:afterLines="50"/>
        <w:ind w:left="210" w:leftChars="100" w:right="210" w:rightChars="100"/>
        <w:contextualSpacing/>
        <w:rPr>
          <w:rFonts w:hint="eastAsia" w:ascii="宋体" w:hAnsi="宋体"/>
          <w:b/>
        </w:rPr>
      </w:pPr>
    </w:p>
    <w:p>
      <w:pPr>
        <w:contextualSpacing/>
        <w:rPr>
          <w:rFonts w:hint="eastAsia" w:ascii="宋体" w:hAnsi="宋体"/>
          <w:b/>
        </w:rPr>
      </w:pPr>
    </w:p>
    <w:p>
      <w:pPr>
        <w:contextualSpacing/>
        <w:rPr>
          <w:rFonts w:hint="eastAsia" w:ascii="宋体" w:hAnsi="宋体"/>
          <w:b/>
        </w:rPr>
      </w:pPr>
    </w:p>
    <w:p>
      <w:pPr>
        <w:contextualSpacing/>
        <w:rPr>
          <w:rFonts w:hint="eastAsia" w:ascii="宋体" w:hAnsi="宋体"/>
          <w:b/>
        </w:rPr>
      </w:pPr>
    </w:p>
    <w:p>
      <w:pPr>
        <w:contextualSpacing/>
        <w:rPr>
          <w:rFonts w:hint="eastAsia" w:ascii="宋体" w:hAnsi="宋体"/>
          <w:b/>
        </w:rPr>
      </w:pPr>
    </w:p>
    <w:p>
      <w:pPr>
        <w:contextualSpacing/>
        <w:rPr>
          <w:rFonts w:hint="eastAsia" w:ascii="宋体" w:hAnsi="宋体"/>
          <w:b/>
        </w:rPr>
      </w:pPr>
    </w:p>
    <w:p>
      <w:pPr>
        <w:pStyle w:val="37"/>
        <w:spacing w:before="0" w:after="0" w:line="240" w:lineRule="auto"/>
        <w:jc w:val="center"/>
        <w:outlineLvl w:val="0"/>
        <w:rPr>
          <w:rFonts w:eastAsia="华文中宋"/>
          <w:b w:val="0"/>
          <w:lang w:val="zh-CN"/>
        </w:rPr>
      </w:pPr>
      <w:r>
        <w:rPr>
          <w:b w:val="0"/>
          <w:color w:val="000000"/>
        </w:rPr>
        <w:br w:type="page"/>
      </w:r>
      <w:bookmarkStart w:id="869" w:name="_Toc8810"/>
      <w:r>
        <w:rPr>
          <w:rFonts w:hint="eastAsia" w:eastAsia="华文中宋"/>
          <w:b w:val="0"/>
          <w:lang w:val="zh-CN"/>
        </w:rPr>
        <w:t>说  明</w:t>
      </w:r>
      <w:bookmarkEnd w:id="869"/>
    </w:p>
    <w:p>
      <w:pPr>
        <w:ind w:firstLine="600" w:firstLineChars="200"/>
        <w:rPr>
          <w:rFonts w:ascii="仿宋_GB2312" w:eastAsia="仿宋_GB2312"/>
          <w:sz w:val="30"/>
          <w:szCs w:val="30"/>
        </w:rPr>
      </w:pPr>
      <w:r>
        <w:rPr>
          <w:rFonts w:hint="eastAsia" w:ascii="仿宋_GB2312" w:eastAsia="仿宋_GB2312"/>
          <w:sz w:val="30"/>
          <w:szCs w:val="30"/>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ind w:firstLine="600" w:firstLineChars="200"/>
        <w:outlineLvl w:val="0"/>
        <w:rPr>
          <w:rFonts w:hint="eastAsia" w:ascii="黑体" w:hAnsi="黑体" w:eastAsia="黑体"/>
          <w:bCs/>
          <w:sz w:val="30"/>
          <w:szCs w:val="30"/>
        </w:rPr>
      </w:pPr>
      <w:bookmarkStart w:id="870" w:name="_Toc29477"/>
      <w:r>
        <w:rPr>
          <w:rFonts w:hint="eastAsia" w:ascii="黑体" w:hAnsi="黑体" w:eastAsia="黑体"/>
          <w:bCs/>
          <w:sz w:val="30"/>
          <w:szCs w:val="30"/>
        </w:rPr>
        <w:t>一、《示范文本》的组成</w:t>
      </w:r>
      <w:bookmarkEnd w:id="870"/>
    </w:p>
    <w:p>
      <w:pPr>
        <w:ind w:firstLine="600" w:firstLineChars="200"/>
        <w:rPr>
          <w:rFonts w:ascii="仿宋_GB2312" w:eastAsia="仿宋_GB2312"/>
          <w:sz w:val="30"/>
          <w:szCs w:val="30"/>
        </w:rPr>
      </w:pPr>
      <w:r>
        <w:rPr>
          <w:rFonts w:hint="eastAsia" w:ascii="仿宋_GB2312" w:eastAsia="仿宋_GB2312"/>
          <w:sz w:val="30"/>
          <w:szCs w:val="30"/>
        </w:rPr>
        <w:t>《示范文本》由合同协议书、通用合同条款和专用合同条款三部分组成。</w:t>
      </w:r>
    </w:p>
    <w:p>
      <w:pPr>
        <w:ind w:firstLine="600" w:firstLineChars="200"/>
        <w:outlineLvl w:val="0"/>
        <w:rPr>
          <w:rFonts w:ascii="仿宋_GB2312" w:eastAsia="仿宋_GB2312"/>
          <w:sz w:val="30"/>
          <w:szCs w:val="30"/>
        </w:rPr>
      </w:pPr>
      <w:bookmarkStart w:id="871" w:name="_Toc22607"/>
      <w:r>
        <w:rPr>
          <w:rFonts w:hint="eastAsia" w:ascii="仿宋_GB2312" w:eastAsia="仿宋_GB2312"/>
          <w:sz w:val="30"/>
          <w:szCs w:val="30"/>
        </w:rPr>
        <w:t>（一）合同协议书</w:t>
      </w:r>
      <w:bookmarkEnd w:id="871"/>
    </w:p>
    <w:p>
      <w:pPr>
        <w:ind w:firstLine="600" w:firstLineChars="200"/>
        <w:rPr>
          <w:rFonts w:ascii="仿宋_GB2312" w:eastAsia="仿宋_GB2312"/>
          <w:sz w:val="30"/>
          <w:szCs w:val="30"/>
        </w:rPr>
      </w:pPr>
      <w:r>
        <w:rPr>
          <w:rFonts w:hint="eastAsia" w:ascii="仿宋_GB2312" w:eastAsia="仿宋_GB2312"/>
          <w:sz w:val="30"/>
          <w:szCs w:val="30"/>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ind w:firstLine="600" w:firstLineChars="200"/>
        <w:outlineLvl w:val="0"/>
        <w:rPr>
          <w:rFonts w:ascii="仿宋_GB2312" w:eastAsia="仿宋_GB2312"/>
          <w:sz w:val="30"/>
          <w:szCs w:val="30"/>
        </w:rPr>
      </w:pPr>
      <w:bookmarkStart w:id="872" w:name="_Toc1398"/>
      <w:r>
        <w:rPr>
          <w:rFonts w:hint="eastAsia" w:ascii="仿宋_GB2312" w:eastAsia="仿宋_GB2312"/>
          <w:sz w:val="30"/>
          <w:szCs w:val="30"/>
        </w:rPr>
        <w:t>（二）通用合同条款</w:t>
      </w:r>
      <w:bookmarkEnd w:id="872"/>
    </w:p>
    <w:p>
      <w:pPr>
        <w:ind w:firstLine="600" w:firstLineChars="200"/>
        <w:rPr>
          <w:rFonts w:ascii="仿宋_GB2312" w:eastAsia="仿宋_GB2312"/>
          <w:sz w:val="30"/>
          <w:szCs w:val="30"/>
        </w:rPr>
      </w:pPr>
      <w:r>
        <w:rPr>
          <w:rFonts w:hint="eastAsia" w:ascii="仿宋_GB2312" w:eastAsia="仿宋_GB2312"/>
          <w:sz w:val="30"/>
          <w:szCs w:val="30"/>
        </w:rPr>
        <w:t>通用合同条款是合同当事人根据《中华人民共和国建筑法》、《中华人民共和国民法典》等法律法规的规定，就工程建设的实施及相关事项，对合同当事人的权利义务作出的原则性约定。</w:t>
      </w:r>
    </w:p>
    <w:p>
      <w:pPr>
        <w:ind w:firstLine="600" w:firstLineChars="200"/>
        <w:rPr>
          <w:rFonts w:ascii="仿宋_GB2312" w:eastAsia="仿宋_GB2312"/>
          <w:sz w:val="30"/>
          <w:szCs w:val="30"/>
        </w:rPr>
      </w:pPr>
      <w:r>
        <w:rPr>
          <w:rFonts w:hint="eastAsia" w:ascii="仿宋_GB2312" w:eastAsia="仿宋_GB2312"/>
          <w:sz w:val="30"/>
          <w:szCs w:val="30"/>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ind w:firstLine="600" w:firstLineChars="200"/>
        <w:outlineLvl w:val="0"/>
        <w:rPr>
          <w:rFonts w:ascii="仿宋_GB2312" w:eastAsia="仿宋_GB2312"/>
          <w:sz w:val="30"/>
          <w:szCs w:val="30"/>
        </w:rPr>
      </w:pPr>
      <w:bookmarkStart w:id="873" w:name="_Toc1"/>
      <w:r>
        <w:rPr>
          <w:rFonts w:hint="eastAsia" w:ascii="仿宋_GB2312" w:eastAsia="仿宋_GB2312"/>
          <w:sz w:val="30"/>
          <w:szCs w:val="30"/>
        </w:rPr>
        <w:t>（三）专用合同条款</w:t>
      </w:r>
      <w:bookmarkEnd w:id="873"/>
    </w:p>
    <w:p>
      <w:pPr>
        <w:ind w:firstLine="600" w:firstLineChars="200"/>
        <w:rPr>
          <w:rFonts w:ascii="仿宋_GB2312" w:eastAsia="仿宋_GB2312"/>
          <w:sz w:val="30"/>
          <w:szCs w:val="30"/>
        </w:rPr>
      </w:pPr>
      <w:r>
        <w:rPr>
          <w:rFonts w:hint="eastAsia" w:ascii="仿宋_GB2312" w:eastAsia="仿宋_GB2312"/>
          <w:sz w:val="30"/>
          <w:szCs w:val="30"/>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ind w:right="25" w:rightChars="12" w:firstLine="600" w:firstLineChars="200"/>
        <w:rPr>
          <w:rFonts w:ascii="仿宋_GB2312" w:eastAsia="仿宋_GB2312"/>
          <w:sz w:val="30"/>
          <w:szCs w:val="30"/>
        </w:rPr>
      </w:pPr>
      <w:r>
        <w:rPr>
          <w:rFonts w:hint="eastAsia" w:ascii="仿宋_GB2312" w:eastAsia="仿宋_GB2312"/>
          <w:sz w:val="30"/>
          <w:szCs w:val="30"/>
        </w:rPr>
        <w:t>1.专用合同条款的编号应与相应的通用合同条款的编号一致；</w:t>
      </w:r>
    </w:p>
    <w:p>
      <w:pPr>
        <w:ind w:firstLine="600" w:firstLineChars="200"/>
        <w:rPr>
          <w:rFonts w:ascii="仿宋_GB2312" w:eastAsia="仿宋_GB2312"/>
          <w:sz w:val="30"/>
          <w:szCs w:val="30"/>
        </w:rPr>
      </w:pPr>
      <w:r>
        <w:rPr>
          <w:rFonts w:hint="eastAsia" w:ascii="仿宋_GB2312" w:eastAsia="仿宋_GB2312"/>
          <w:sz w:val="30"/>
          <w:szCs w:val="30"/>
        </w:rPr>
        <w:t>2.合同当事人可以通过对专用合同条款的修改，满足具体建设工程的特殊要求，避免直接修改通用合同条款；</w:t>
      </w:r>
    </w:p>
    <w:p>
      <w:pPr>
        <w:ind w:firstLine="600" w:firstLineChars="200"/>
        <w:rPr>
          <w:rFonts w:ascii="仿宋_GB2312" w:eastAsia="仿宋_GB2312"/>
          <w:sz w:val="30"/>
          <w:szCs w:val="30"/>
        </w:rPr>
      </w:pPr>
      <w:r>
        <w:rPr>
          <w:rFonts w:hint="eastAsia" w:ascii="仿宋_GB2312" w:eastAsia="仿宋_GB2312"/>
          <w:sz w:val="30"/>
          <w:szCs w:val="30"/>
        </w:rPr>
        <w:t>3.在专用合同条款中有横道线的地方，合同当事人可针对相应的通用合同条款进行细化、完善、补充、修改或另行约定；如无细化、完善、补充、修改或另行约定，则填写“无”或划“/”。</w:t>
      </w:r>
    </w:p>
    <w:p>
      <w:pPr>
        <w:ind w:firstLine="600" w:firstLineChars="200"/>
        <w:outlineLvl w:val="0"/>
        <w:rPr>
          <w:rFonts w:ascii="仿宋_GB2312" w:eastAsia="仿宋_GB2312"/>
          <w:b/>
          <w:sz w:val="30"/>
          <w:szCs w:val="30"/>
        </w:rPr>
      </w:pPr>
      <w:bookmarkStart w:id="874" w:name="_Toc655"/>
      <w:r>
        <w:rPr>
          <w:rFonts w:hint="eastAsia" w:ascii="黑体" w:hAnsi="黑体" w:eastAsia="黑体"/>
          <w:bCs/>
          <w:sz w:val="30"/>
          <w:szCs w:val="30"/>
        </w:rPr>
        <w:t>二、《示范文本》的性质和适用范围</w:t>
      </w:r>
      <w:bookmarkEnd w:id="874"/>
    </w:p>
    <w:p>
      <w:pPr>
        <w:ind w:firstLine="600" w:firstLineChars="200"/>
        <w:rPr>
          <w:rFonts w:ascii="仿宋_GB2312" w:eastAsia="仿宋_GB2312"/>
          <w:sz w:val="30"/>
          <w:szCs w:val="30"/>
        </w:rPr>
        <w:sectPr>
          <w:footerReference r:id="rId17" w:type="default"/>
          <w:pgSz w:w="11906" w:h="16838"/>
          <w:pgMar w:top="1418" w:right="1555" w:bottom="1418" w:left="1531" w:header="851" w:footer="992" w:gutter="0"/>
          <w:pgNumType w:start="0"/>
          <w:cols w:space="720" w:num="1"/>
          <w:titlePg/>
          <w:docGrid w:type="lines" w:linePitch="312" w:charSpace="0"/>
        </w:sectPr>
      </w:pPr>
      <w:r>
        <w:rPr>
          <w:rFonts w:hint="eastAsia" w:ascii="仿宋_GB2312" w:eastAsia="仿宋_GB2312"/>
          <w:sz w:val="30"/>
          <w:szCs w:val="30"/>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
      <w:pPr>
        <w:pStyle w:val="6"/>
        <w:jc w:val="center"/>
        <w:rPr>
          <w:rFonts w:eastAsia="华文中宋"/>
          <w:b w:val="0"/>
          <w:color w:val="000000"/>
          <w:sz w:val="44"/>
          <w:szCs w:val="44"/>
        </w:rPr>
      </w:pPr>
      <w:bookmarkStart w:id="875" w:name="_Toc31688"/>
      <w:r>
        <w:rPr>
          <w:rFonts w:ascii="华文中宋" w:hAnsi="华文中宋" w:eastAsia="华文中宋"/>
          <w:sz w:val="44"/>
          <w:szCs w:val="44"/>
        </w:rPr>
        <w:t>第一部分 合同协议书</w:t>
      </w:r>
      <w:bookmarkEnd w:id="875"/>
    </w:p>
    <w:p>
      <w:pPr>
        <w:spacing w:line="360" w:lineRule="auto"/>
        <w:rPr>
          <w:rFonts w:eastAsia="仿宋_GB2312"/>
          <w:b/>
          <w:color w:val="000000"/>
          <w:sz w:val="30"/>
          <w:szCs w:val="30"/>
          <w:u w:val="single"/>
        </w:rPr>
      </w:pPr>
      <w:r>
        <w:rPr>
          <w:rFonts w:eastAsia="仿宋_GB2312"/>
          <w:b/>
          <w:color w:val="000000"/>
          <w:sz w:val="30"/>
          <w:szCs w:val="30"/>
        </w:rPr>
        <w:t>发包人（全称）</w:t>
      </w:r>
      <w:r>
        <w:rPr>
          <w:rFonts w:hint="eastAsia" w:eastAsia="仿宋_GB2312"/>
          <w:b/>
          <w:color w:val="000000"/>
          <w:sz w:val="30"/>
          <w:szCs w:val="30"/>
        </w:rPr>
        <w:t>：</w:t>
      </w:r>
      <w:r>
        <w:rPr>
          <w:rFonts w:eastAsia="仿宋_GB2312"/>
          <w:b/>
          <w:color w:val="000000"/>
          <w:sz w:val="30"/>
          <w:szCs w:val="30"/>
          <w:u w:val="single"/>
        </w:rPr>
        <w:t></w:t>
      </w:r>
      <w:r>
        <w:rPr>
          <w:rFonts w:hint="eastAsia" w:ascii="宋体" w:hAnsi="宋体" w:cs="宋体"/>
          <w:b/>
          <w:sz w:val="24"/>
          <w:u w:val="single"/>
        </w:rPr>
        <w:t>营口建发盛海磷化工有限公司</w:t>
      </w:r>
      <w:r>
        <w:rPr>
          <w:rFonts w:eastAsia="仿宋_GB2312"/>
          <w:b/>
          <w:color w:val="000000"/>
          <w:sz w:val="30"/>
          <w:szCs w:val="30"/>
          <w:u w:val="single"/>
        </w:rPr>
        <w:t></w:t>
      </w:r>
      <w:r>
        <w:rPr>
          <w:rFonts w:hint="eastAsia" w:eastAsia="仿宋_GB2312"/>
          <w:b/>
          <w:color w:val="000000"/>
          <w:sz w:val="30"/>
          <w:szCs w:val="30"/>
          <w:u w:val="single"/>
        </w:rPr>
        <w:t xml:space="preserve"> </w:t>
      </w:r>
      <w:r>
        <w:rPr>
          <w:rFonts w:eastAsia="仿宋_GB2312"/>
          <w:b/>
          <w:color w:val="000000"/>
          <w:sz w:val="30"/>
          <w:szCs w:val="30"/>
          <w:u w:val="single"/>
        </w:rPr>
        <w:t></w:t>
      </w:r>
      <w:r>
        <w:rPr>
          <w:rFonts w:hint="eastAsia" w:eastAsia="仿宋_GB2312"/>
          <w:b/>
          <w:color w:val="000000"/>
          <w:sz w:val="30"/>
          <w:szCs w:val="30"/>
          <w:u w:val="single"/>
        </w:rPr>
        <w:t xml:space="preserve"> </w:t>
      </w:r>
      <w:r>
        <w:rPr>
          <w:rFonts w:eastAsia="仿宋_GB2312"/>
          <w:b/>
          <w:color w:val="000000"/>
          <w:sz w:val="30"/>
          <w:szCs w:val="30"/>
          <w:u w:val="single"/>
        </w:rPr>
        <w:t></w:t>
      </w:r>
    </w:p>
    <w:p>
      <w:pPr>
        <w:spacing w:line="360" w:lineRule="auto"/>
        <w:rPr>
          <w:rFonts w:eastAsia="仿宋_GB2312"/>
          <w:b/>
          <w:color w:val="000000"/>
          <w:sz w:val="30"/>
          <w:szCs w:val="30"/>
          <w:u w:val="single"/>
        </w:rPr>
      </w:pPr>
      <w:r>
        <w:rPr>
          <w:rFonts w:eastAsia="仿宋_GB2312"/>
          <w:b/>
          <w:color w:val="000000"/>
          <w:sz w:val="30"/>
          <w:szCs w:val="30"/>
        </w:rPr>
        <w:t>承包人（全称）：</w:t>
      </w:r>
      <w:r>
        <w:rPr>
          <w:rFonts w:eastAsia="仿宋_GB2312"/>
          <w:b/>
          <w:color w:val="000000"/>
          <w:sz w:val="30"/>
          <w:szCs w:val="30"/>
          <w:u w:val="single"/>
        </w:rPr>
        <w:t xml:space="preserve">  </w:t>
      </w:r>
      <w:r>
        <w:rPr>
          <w:rFonts w:hint="eastAsia" w:eastAsia="仿宋_GB2312"/>
          <w:b/>
          <w:color w:val="000000"/>
          <w:sz w:val="30"/>
          <w:szCs w:val="30"/>
          <w:u w:val="single"/>
        </w:rPr>
        <w:t xml:space="preserve"> </w:t>
      </w:r>
      <w:r>
        <w:rPr>
          <w:rFonts w:eastAsia="仿宋_GB2312"/>
          <w:b/>
          <w:color w:val="000000"/>
          <w:sz w:val="30"/>
          <w:szCs w:val="30"/>
          <w:u w:val="single"/>
        </w:rPr>
        <w:t xml:space="preserve">       </w:t>
      </w:r>
      <w:r>
        <w:rPr>
          <w:rFonts w:hint="eastAsia" w:eastAsia="仿宋_GB2312"/>
          <w:b/>
          <w:color w:val="000000"/>
          <w:sz w:val="30"/>
          <w:szCs w:val="30"/>
          <w:u w:val="single"/>
        </w:rPr>
        <w:t xml:space="preserve"> </w:t>
      </w:r>
      <w:r>
        <w:rPr>
          <w:rFonts w:eastAsia="仿宋_GB2312"/>
          <w:b/>
          <w:color w:val="000000"/>
          <w:sz w:val="30"/>
          <w:szCs w:val="30"/>
          <w:u w:val="single"/>
        </w:rPr>
        <w:t xml:space="preserve">   </w:t>
      </w:r>
      <w:r>
        <w:rPr>
          <w:rFonts w:hint="eastAsia" w:eastAsia="仿宋_GB2312"/>
          <w:b/>
          <w:color w:val="000000"/>
          <w:sz w:val="30"/>
          <w:szCs w:val="30"/>
          <w:u w:val="single"/>
        </w:rPr>
        <w:t xml:space="preserve">   </w:t>
      </w:r>
      <w:r>
        <w:rPr>
          <w:rFonts w:eastAsia="仿宋_GB2312"/>
          <w:b/>
          <w:color w:val="000000"/>
          <w:sz w:val="30"/>
          <w:szCs w:val="30"/>
          <w:u w:val="single"/>
        </w:rPr>
        <w:t xml:space="preserve"> </w:t>
      </w:r>
      <w:r>
        <w:rPr>
          <w:rFonts w:hint="eastAsia" w:eastAsia="仿宋_GB2312"/>
          <w:b/>
          <w:color w:val="000000"/>
          <w:sz w:val="30"/>
          <w:szCs w:val="30"/>
          <w:u w:val="single"/>
        </w:rPr>
        <w:t xml:space="preserve">  </w:t>
      </w:r>
      <w:r>
        <w:rPr>
          <w:rFonts w:eastAsia="仿宋_GB2312"/>
          <w:b/>
          <w:color w:val="000000"/>
          <w:sz w:val="30"/>
          <w:szCs w:val="30"/>
          <w:u w:val="single"/>
        </w:rPr>
        <w:t></w:t>
      </w:r>
      <w:r>
        <w:rPr>
          <w:rFonts w:hint="eastAsia" w:eastAsia="仿宋_GB2312"/>
          <w:b/>
          <w:color w:val="000000"/>
          <w:sz w:val="30"/>
          <w:szCs w:val="30"/>
          <w:u w:val="single"/>
        </w:rPr>
        <w:t xml:space="preserve">  </w:t>
      </w:r>
      <w:r>
        <w:rPr>
          <w:rFonts w:eastAsia="仿宋_GB2312"/>
          <w:b/>
          <w:color w:val="000000"/>
          <w:sz w:val="30"/>
          <w:szCs w:val="30"/>
          <w:u w:val="single"/>
        </w:rPr>
        <w:t></w:t>
      </w:r>
    </w:p>
    <w:p>
      <w:pPr>
        <w:spacing w:line="360" w:lineRule="auto"/>
        <w:ind w:firstLine="600" w:firstLineChars="200"/>
        <w:rPr>
          <w:rFonts w:eastAsia="仿宋_GB2312"/>
          <w:color w:val="000000"/>
          <w:sz w:val="30"/>
          <w:szCs w:val="30"/>
        </w:rPr>
      </w:pPr>
      <w:r>
        <w:rPr>
          <w:rFonts w:eastAsia="仿宋_GB2312"/>
          <w:color w:val="000000"/>
          <w:sz w:val="30"/>
          <w:szCs w:val="30"/>
        </w:rPr>
        <w:t>根据《中华人民共和国</w:t>
      </w:r>
      <w:r>
        <w:rPr>
          <w:rFonts w:hint="eastAsia" w:eastAsia="仿宋_GB2312"/>
          <w:color w:val="000000"/>
          <w:sz w:val="30"/>
          <w:szCs w:val="30"/>
        </w:rPr>
        <w:t>民法典</w:t>
      </w:r>
      <w:r>
        <w:rPr>
          <w:rFonts w:eastAsia="仿宋_GB2312"/>
          <w:color w:val="000000"/>
          <w:sz w:val="30"/>
          <w:szCs w:val="30"/>
        </w:rPr>
        <w:t>》、《中华人民共和国建筑法》及有关法律规定，遵循平等、自愿、公平和诚实信用的原则，双方就</w:t>
      </w:r>
      <w:r>
        <w:rPr>
          <w:rFonts w:hint="eastAsia" w:eastAsia="仿宋_GB2312"/>
          <w:color w:val="000000"/>
          <w:sz w:val="30"/>
          <w:szCs w:val="30"/>
          <w:u w:val="single"/>
        </w:rPr>
        <w:t>营口建发盛海磷化工有限公司精制磷酸及磷酸铁前驱体项目全厂道路、管廊、地管、事故水池、防雷接地施工</w:t>
      </w:r>
      <w:r>
        <w:rPr>
          <w:rFonts w:eastAsia="仿宋_GB2312"/>
          <w:color w:val="000000"/>
          <w:sz w:val="30"/>
          <w:szCs w:val="30"/>
        </w:rPr>
        <w:t>工程施工及有关事项协商一致</w:t>
      </w:r>
      <w:r>
        <w:rPr>
          <w:rFonts w:hint="eastAsia" w:eastAsia="仿宋_GB2312"/>
          <w:color w:val="000000"/>
          <w:sz w:val="30"/>
          <w:szCs w:val="30"/>
        </w:rPr>
        <w:t>，</w:t>
      </w:r>
      <w:r>
        <w:rPr>
          <w:rFonts w:eastAsia="仿宋_GB2312"/>
          <w:color w:val="000000"/>
          <w:sz w:val="30"/>
          <w:szCs w:val="30"/>
        </w:rPr>
        <w:t>共同达成如下协议：</w:t>
      </w:r>
    </w:p>
    <w:p>
      <w:pPr>
        <w:pStyle w:val="7"/>
        <w:spacing w:before="120" w:after="120" w:line="360" w:lineRule="auto"/>
        <w:jc w:val="left"/>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一、工程概况</w:t>
      </w:r>
    </w:p>
    <w:p>
      <w:pPr>
        <w:tabs>
          <w:tab w:val="left" w:pos="1276"/>
        </w:tabs>
        <w:spacing w:line="360" w:lineRule="auto"/>
        <w:ind w:left="1995" w:leftChars="-193" w:right="-94" w:rightChars="-45" w:hanging="2400" w:hangingChars="800"/>
        <w:jc w:val="left"/>
        <w:rPr>
          <w:rFonts w:eastAsia="仿宋_GB2312"/>
          <w:color w:val="000000"/>
          <w:sz w:val="30"/>
          <w:szCs w:val="30"/>
        </w:rPr>
      </w:pPr>
      <w:r>
        <w:rPr>
          <w:rFonts w:eastAsia="仿宋_GB2312"/>
          <w:bCs/>
          <w:color w:val="000000"/>
          <w:sz w:val="30"/>
          <w:szCs w:val="30"/>
        </w:rPr>
        <w:t>1.工程名称</w:t>
      </w:r>
      <w:r>
        <w:rPr>
          <w:rFonts w:eastAsia="仿宋_GB2312"/>
          <w:color w:val="000000"/>
          <w:sz w:val="30"/>
          <w:szCs w:val="30"/>
        </w:rPr>
        <w:t>：</w:t>
      </w:r>
      <w:r>
        <w:rPr>
          <w:rFonts w:hint="eastAsia" w:eastAsia="仿宋_GB2312"/>
          <w:color w:val="000000"/>
          <w:sz w:val="30"/>
          <w:szCs w:val="30"/>
          <w:u w:val="single"/>
        </w:rPr>
        <w:t>营口建发盛海磷化工有限公司精制磷酸及磷酸铁前驱体项目全厂道路、管廊、地管、事故水池、防雷接地施工</w:t>
      </w:r>
      <w:r>
        <w:rPr>
          <w:rFonts w:eastAsia="仿宋_GB2312"/>
          <w:color w:val="000000"/>
          <w:sz w:val="30"/>
          <w:szCs w:val="30"/>
        </w:rPr>
        <w:t>。</w:t>
      </w:r>
    </w:p>
    <w:p>
      <w:pPr>
        <w:tabs>
          <w:tab w:val="left" w:pos="1276"/>
        </w:tabs>
        <w:spacing w:line="360" w:lineRule="auto"/>
        <w:ind w:left="1995" w:leftChars="-193" w:right="-94" w:rightChars="-45" w:hanging="2400" w:hangingChars="800"/>
        <w:jc w:val="left"/>
        <w:rPr>
          <w:rFonts w:eastAsia="仿宋_GB2312"/>
          <w:color w:val="000000"/>
          <w:sz w:val="30"/>
          <w:szCs w:val="30"/>
        </w:rPr>
      </w:pPr>
      <w:r>
        <w:rPr>
          <w:rFonts w:eastAsia="仿宋_GB2312"/>
          <w:bCs/>
          <w:color w:val="000000"/>
          <w:sz w:val="30"/>
          <w:szCs w:val="30"/>
        </w:rPr>
        <w:t>2.工程地点：</w:t>
      </w:r>
      <w:r>
        <w:rPr>
          <w:rFonts w:hint="eastAsia" w:eastAsia="仿宋_GB2312"/>
          <w:color w:val="000000"/>
          <w:sz w:val="30"/>
          <w:szCs w:val="30"/>
          <w:u w:val="single"/>
        </w:rPr>
        <w:t>辽宁省营口市沿海产业基地辽宁省营口市沿海产业基地冶金化工重装备区</w:t>
      </w:r>
      <w:r>
        <w:rPr>
          <w:rFonts w:eastAsia="仿宋_GB2312"/>
          <w:color w:val="000000"/>
          <w:sz w:val="30"/>
          <w:szCs w:val="30"/>
        </w:rPr>
        <w:t>。</w:t>
      </w:r>
    </w:p>
    <w:p>
      <w:pPr>
        <w:tabs>
          <w:tab w:val="left" w:pos="1276"/>
        </w:tabs>
        <w:spacing w:line="360" w:lineRule="auto"/>
        <w:ind w:left="1995" w:leftChars="-193" w:right="-94" w:rightChars="-45" w:hanging="2400" w:hangingChars="800"/>
        <w:jc w:val="left"/>
        <w:rPr>
          <w:rFonts w:eastAsia="仿宋_GB2312"/>
          <w:bCs/>
          <w:color w:val="000000"/>
          <w:sz w:val="30"/>
          <w:szCs w:val="30"/>
        </w:rPr>
      </w:pPr>
      <w:r>
        <w:rPr>
          <w:rFonts w:eastAsia="仿宋_GB2312"/>
          <w:bCs/>
          <w:color w:val="000000"/>
          <w:sz w:val="30"/>
          <w:szCs w:val="30"/>
        </w:rPr>
        <w:t>3.工程立项批准文号：</w:t>
      </w:r>
      <w:r>
        <w:rPr>
          <w:rFonts w:eastAsia="仿宋_GB2312"/>
          <w:color w:val="000000"/>
          <w:sz w:val="30"/>
          <w:szCs w:val="30"/>
          <w:u w:val="single"/>
        </w:rPr>
        <w:t></w:t>
      </w:r>
      <w:r>
        <w:rPr>
          <w:rFonts w:hint="eastAsia" w:eastAsia="仿宋_GB2312"/>
          <w:color w:val="000000"/>
          <w:sz w:val="30"/>
          <w:szCs w:val="30"/>
          <w:u w:val="single"/>
        </w:rPr>
        <w:t>营沿审备（2025）34号</w:t>
      </w:r>
      <w:r>
        <w:rPr>
          <w:rFonts w:eastAsia="仿宋_GB2312"/>
          <w:bCs/>
          <w:color w:val="000000"/>
          <w:sz w:val="30"/>
          <w:szCs w:val="30"/>
        </w:rPr>
        <w:t>。</w:t>
      </w:r>
    </w:p>
    <w:p>
      <w:pPr>
        <w:tabs>
          <w:tab w:val="left" w:pos="1276"/>
        </w:tabs>
        <w:spacing w:line="360" w:lineRule="auto"/>
        <w:ind w:left="1995" w:leftChars="-193" w:right="-94" w:rightChars="-45" w:hanging="2400" w:hangingChars="800"/>
        <w:jc w:val="left"/>
        <w:rPr>
          <w:rFonts w:eastAsia="仿宋_GB2312"/>
          <w:bCs/>
          <w:color w:val="000000"/>
          <w:sz w:val="30"/>
          <w:szCs w:val="30"/>
        </w:rPr>
      </w:pPr>
      <w:r>
        <w:rPr>
          <w:rFonts w:eastAsia="仿宋_GB2312"/>
          <w:bCs/>
          <w:color w:val="000000"/>
          <w:sz w:val="30"/>
          <w:szCs w:val="30"/>
        </w:rPr>
        <w:t>4.资金来源：</w:t>
      </w:r>
      <w:r>
        <w:rPr>
          <w:rFonts w:hint="eastAsia" w:eastAsia="仿宋_GB2312"/>
          <w:color w:val="000000"/>
          <w:sz w:val="30"/>
          <w:szCs w:val="30"/>
          <w:u w:val="single"/>
        </w:rPr>
        <w:t xml:space="preserve">自筹    </w:t>
      </w:r>
      <w:r>
        <w:rPr>
          <w:rFonts w:eastAsia="仿宋_GB2312"/>
          <w:color w:val="000000"/>
          <w:sz w:val="30"/>
          <w:szCs w:val="30"/>
          <w:u w:val="single"/>
        </w:rPr>
        <w:t xml:space="preserve"> </w:t>
      </w:r>
      <w:r>
        <w:rPr>
          <w:rFonts w:eastAsia="仿宋_GB2312"/>
          <w:bCs/>
          <w:color w:val="000000"/>
          <w:sz w:val="30"/>
          <w:szCs w:val="30"/>
        </w:rPr>
        <w:t>。</w:t>
      </w:r>
    </w:p>
    <w:p>
      <w:pPr>
        <w:tabs>
          <w:tab w:val="left" w:pos="1276"/>
        </w:tabs>
        <w:spacing w:line="360" w:lineRule="auto"/>
        <w:rPr>
          <w:rFonts w:eastAsia="仿宋_GB2312"/>
          <w:bCs/>
          <w:color w:val="000000"/>
          <w:sz w:val="30"/>
          <w:szCs w:val="30"/>
          <w:u w:val="single"/>
        </w:rPr>
      </w:pPr>
      <w:r>
        <w:rPr>
          <w:rFonts w:hint="eastAsia" w:eastAsia="仿宋_GB2312"/>
          <w:bCs/>
          <w:color w:val="000000"/>
          <w:sz w:val="30"/>
          <w:szCs w:val="30"/>
        </w:rPr>
        <w:t>5.工程内容：</w:t>
      </w:r>
      <w:r>
        <w:rPr>
          <w:rFonts w:hint="eastAsia" w:eastAsia="仿宋_GB2312"/>
          <w:color w:val="000000"/>
          <w:sz w:val="30"/>
          <w:szCs w:val="30"/>
          <w:u w:val="single"/>
        </w:rPr>
        <w:t>按照《营口建发盛海磷化工有限公司精制磷酸及磷酸铁前驱体项目全厂道路、管廊、地管、事故水池、防雷接地施工（PC）招标文件》、澄清文件、答疑文件、设计变更等内容要求，完成全部施工工作并验收。</w:t>
      </w:r>
    </w:p>
    <w:p>
      <w:pPr>
        <w:tabs>
          <w:tab w:val="left" w:pos="1276"/>
        </w:tabs>
        <w:spacing w:line="360" w:lineRule="auto"/>
        <w:rPr>
          <w:rFonts w:eastAsia="仿宋_GB2312"/>
          <w:color w:val="000000"/>
          <w:sz w:val="30"/>
          <w:szCs w:val="30"/>
          <w:u w:val="single"/>
        </w:rPr>
      </w:pPr>
      <w:r>
        <w:rPr>
          <w:rFonts w:hint="eastAsia" w:eastAsia="仿宋_GB2312"/>
          <w:color w:val="000000"/>
          <w:sz w:val="30"/>
          <w:szCs w:val="30"/>
          <w:u w:val="single"/>
        </w:rPr>
        <w:t>主要包括营口建发盛海磷化工有限公司精制磷酸及磷酸铁前驱体项目全厂道路、管廊、地管、事故水池、防雷接地施工工程的施工内容、检验、试验以及验收。</w:t>
      </w:r>
    </w:p>
    <w:p>
      <w:pPr>
        <w:tabs>
          <w:tab w:val="left" w:pos="1276"/>
        </w:tabs>
        <w:spacing w:line="360" w:lineRule="auto"/>
        <w:jc w:val="left"/>
        <w:rPr>
          <w:rFonts w:eastAsia="仿宋_GB2312"/>
          <w:bCs/>
          <w:color w:val="000000"/>
          <w:sz w:val="30"/>
          <w:szCs w:val="30"/>
          <w:u w:val="single"/>
        </w:rPr>
      </w:pPr>
      <w:r>
        <w:rPr>
          <w:rFonts w:hint="eastAsia" w:eastAsia="仿宋_GB2312"/>
          <w:bCs/>
          <w:color w:val="000000"/>
          <w:sz w:val="30"/>
          <w:szCs w:val="30"/>
          <w:u w:val="single"/>
        </w:rPr>
        <w:t>6.工程承包范围：</w:t>
      </w:r>
    </w:p>
    <w:p>
      <w:pPr>
        <w:tabs>
          <w:tab w:val="left" w:pos="1276"/>
        </w:tabs>
        <w:spacing w:line="360" w:lineRule="auto"/>
        <w:ind w:firstLine="600" w:firstLineChars="200"/>
        <w:rPr>
          <w:rFonts w:eastAsia="仿宋_GB2312"/>
          <w:color w:val="000000"/>
          <w:spacing w:val="0"/>
          <w:sz w:val="30"/>
          <w:szCs w:val="30"/>
          <w:u w:val="single"/>
        </w:rPr>
      </w:pPr>
      <w:r>
        <w:rPr>
          <w:rFonts w:hint="eastAsia" w:eastAsia="仿宋_GB2312"/>
          <w:color w:val="000000"/>
          <w:spacing w:val="0"/>
          <w:sz w:val="30"/>
          <w:szCs w:val="30"/>
          <w:u w:val="single"/>
        </w:rPr>
        <w:t>全厂道路：总承包范围内的路面（沥青路面、人行道、引道）施工；总承包范围以外的重载道路、轻载道路、引道、重载地坪、轻载地坪、路缘石、人行道</w:t>
      </w:r>
      <w:r>
        <w:rPr>
          <w:rFonts w:hint="eastAsia" w:eastAsia="仿宋_GB2312"/>
          <w:color w:val="000000"/>
          <w:sz w:val="30"/>
          <w:szCs w:val="30"/>
          <w:u w:val="single"/>
        </w:rPr>
        <w:t>、路灯基础</w:t>
      </w:r>
      <w:r>
        <w:rPr>
          <w:rFonts w:hint="eastAsia" w:eastAsia="仿宋_GB2312"/>
          <w:color w:val="000000"/>
          <w:spacing w:val="0"/>
          <w:sz w:val="30"/>
          <w:szCs w:val="30"/>
          <w:u w:val="single"/>
        </w:rPr>
        <w:t>等，不含路面划线施工，具体范围及做法见施工图纸。</w:t>
      </w:r>
      <w:r>
        <w:rPr>
          <w:rFonts w:hint="eastAsia" w:eastAsia="仿宋_GB2312"/>
          <w:color w:val="000000"/>
          <w:sz w:val="30"/>
          <w:szCs w:val="30"/>
          <w:u w:val="single"/>
        </w:rPr>
        <w:t>道路与人行道相邻的部分，人行道路缘石与道路一侧路缘石共用。道路路基换填投标人自行考虑工程量，包含在总价中，施工过程中只做技术认可。</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管廊：现场管廊界区划分见后附说明，桩基图中F12-F33、G1-G10 段桩基采购及沉桩施工不在本次招标范围内，此部分的清理桩芯、灌桩芯、截桩头等包含在本次招标范围内。</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地管：包含地管设计图纸中全部内容，包含管道采购及施工，其中消防管道及附属设备需满足消防验收标准并配合进行消防验收。地管材料表中有品牌要求的，投标人需标明投标的品牌。</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雨水监控/事故水池：包含建筑图纸、结构图纸全部内容。包含给排水施工图中阀门井、埋地管道及预埋套管，不包含阀门等。</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防雷接地：本次招标仅包含长度1000m防雷接地的开挖及回填，防雷接地涉及的材料与施工不在本次招标范围内。</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投标人需综合考虑以上施工内容的土方开挖回填。避免造成二次开挖。</w:t>
      </w:r>
    </w:p>
    <w:p>
      <w:pPr>
        <w:tabs>
          <w:tab w:val="left" w:pos="1276"/>
        </w:tabs>
        <w:spacing w:line="360" w:lineRule="auto"/>
        <w:ind w:left="1995" w:leftChars="-193" w:right="-94" w:rightChars="-45" w:hanging="2400" w:hangingChars="800"/>
        <w:rPr>
          <w:rFonts w:eastAsia="仿宋_GB2312"/>
          <w:color w:val="000000"/>
          <w:sz w:val="30"/>
          <w:szCs w:val="30"/>
          <w:u w:val="single"/>
        </w:rPr>
      </w:pPr>
      <w:r>
        <w:rPr>
          <w:rFonts w:hint="eastAsia" w:eastAsia="仿宋_GB2312"/>
          <w:color w:val="000000"/>
          <w:sz w:val="30"/>
          <w:szCs w:val="30"/>
          <w:u w:val="single"/>
        </w:rPr>
        <w:t>施工要求</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（1）现场开挖淤泥土不得用于回填，建筑垃圾及余土外运由承包方自行找地方处理，发生费用由其承担。</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（2）本工程涉及到的相关检测费用由发包人负责，承包人须配合检测过程中所需人员、机械器具等。</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（3）发包人有权依据合同、工程建设文件、国家有关法律法规和标准、规范等相关规定对合同的执行情况进行监督。</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（4）要求承包人安全、文明施工，在施工期间执行发包人的各项管理规定。</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（5）施工前承包人须按规定办理施工许可证及其他法律法规规定的手续。</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（6）发包人有权结合生产经验对施工不合理部分提出修改、变更。</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（7）承包人必须承诺进场后现场配备的管理人员与本投标文件配备的项目管理人员一致。</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（8）承包人工程实施前，必须充分熟悉施工图纸，如发现问题及时提出，若因承包人未及时发现问题造成损失，承包人人应承担相应责任。</w:t>
      </w:r>
    </w:p>
    <w:p>
      <w:pPr>
        <w:tabs>
          <w:tab w:val="left" w:pos="1276"/>
        </w:tabs>
        <w:spacing w:line="360" w:lineRule="auto"/>
        <w:ind w:firstLine="600" w:firstLineChars="200"/>
        <w:rPr>
          <w:rFonts w:eastAsia="仿宋_GB2312"/>
          <w:color w:val="000000"/>
          <w:sz w:val="30"/>
          <w:szCs w:val="30"/>
          <w:u w:val="single"/>
        </w:rPr>
      </w:pPr>
      <w:r>
        <w:rPr>
          <w:rFonts w:hint="eastAsia" w:eastAsia="仿宋_GB2312"/>
          <w:color w:val="000000"/>
          <w:sz w:val="30"/>
          <w:szCs w:val="30"/>
          <w:u w:val="single"/>
        </w:rPr>
        <w:t>（9）合同最终解释权归承包人</w:t>
      </w:r>
    </w:p>
    <w:p>
      <w:pPr>
        <w:pStyle w:val="7"/>
        <w:spacing w:before="120" w:after="120" w:line="360" w:lineRule="auto"/>
        <w:jc w:val="left"/>
        <w:rPr>
          <w:rFonts w:ascii="Times New Roman" w:hAnsi="Times New Roman" w:eastAsia="黑体"/>
          <w:b w:val="0"/>
          <w:color w:val="000000"/>
          <w:sz w:val="32"/>
          <w:szCs w:val="32"/>
        </w:rPr>
      </w:pPr>
      <w:r>
        <w:rPr>
          <w:rFonts w:ascii="Times New Roman" w:hAnsi="Times New Roman" w:eastAsia="黑体"/>
          <w:b w:val="0"/>
          <w:color w:val="000000"/>
          <w:sz w:val="32"/>
          <w:szCs w:val="32"/>
        </w:rPr>
        <w:t xml:space="preserve">   二、合同工期</w:t>
      </w:r>
    </w:p>
    <w:p>
      <w:pPr>
        <w:spacing w:line="360" w:lineRule="auto"/>
        <w:ind w:firstLine="459"/>
        <w:jc w:val="left"/>
        <w:rPr>
          <w:rFonts w:eastAsia="仿宋_GB2312"/>
          <w:color w:val="000000"/>
          <w:sz w:val="30"/>
          <w:szCs w:val="30"/>
        </w:rPr>
      </w:pPr>
      <w:r>
        <w:rPr>
          <w:rFonts w:eastAsia="仿宋_GB2312"/>
          <w:color w:val="000000"/>
          <w:sz w:val="30"/>
          <w:szCs w:val="30"/>
        </w:rPr>
        <w:t>计划开工日期：</w:t>
      </w:r>
      <w:r>
        <w:rPr>
          <w:rFonts w:eastAsia="仿宋_GB2312"/>
          <w:color w:val="000000"/>
          <w:sz w:val="30"/>
          <w:szCs w:val="30"/>
          <w:u w:val="single"/>
        </w:rPr>
        <w:t></w:t>
      </w:r>
      <w:r>
        <w:rPr>
          <w:rFonts w:eastAsia="仿宋_GB2312"/>
          <w:color w:val="000000"/>
          <w:sz w:val="30"/>
          <w:szCs w:val="30"/>
        </w:rPr>
        <w:t>年</w:t>
      </w:r>
      <w:r>
        <w:rPr>
          <w:rFonts w:eastAsia="仿宋_GB2312"/>
          <w:color w:val="000000"/>
          <w:sz w:val="30"/>
          <w:szCs w:val="30"/>
          <w:u w:val="single"/>
        </w:rPr>
        <w:t></w:t>
      </w:r>
      <w:r>
        <w:rPr>
          <w:rFonts w:eastAsia="仿宋_GB2312"/>
          <w:color w:val="000000"/>
          <w:sz w:val="30"/>
          <w:szCs w:val="30"/>
        </w:rPr>
        <w:t>月</w:t>
      </w:r>
      <w:r>
        <w:rPr>
          <w:rFonts w:eastAsia="仿宋_GB2312"/>
          <w:color w:val="000000"/>
          <w:sz w:val="30"/>
          <w:szCs w:val="30"/>
          <w:u w:val="single"/>
        </w:rPr>
        <w:t></w:t>
      </w:r>
      <w:r>
        <w:rPr>
          <w:rFonts w:eastAsia="仿宋_GB2312"/>
          <w:color w:val="000000"/>
          <w:sz w:val="30"/>
          <w:szCs w:val="30"/>
        </w:rPr>
        <w:t>日。</w:t>
      </w:r>
    </w:p>
    <w:p>
      <w:pPr>
        <w:spacing w:line="360" w:lineRule="auto"/>
        <w:ind w:firstLine="459"/>
        <w:jc w:val="left"/>
        <w:rPr>
          <w:rFonts w:eastAsia="仿宋_GB2312"/>
          <w:color w:val="000000"/>
          <w:sz w:val="30"/>
          <w:szCs w:val="30"/>
        </w:rPr>
      </w:pPr>
      <w:r>
        <w:rPr>
          <w:rFonts w:eastAsia="仿宋_GB2312"/>
          <w:color w:val="000000"/>
          <w:sz w:val="30"/>
          <w:szCs w:val="30"/>
        </w:rPr>
        <w:t>计划竣工日期：</w:t>
      </w:r>
      <w:r>
        <w:rPr>
          <w:rFonts w:eastAsia="仿宋_GB2312"/>
          <w:color w:val="000000"/>
          <w:sz w:val="30"/>
          <w:szCs w:val="30"/>
          <w:u w:val="single"/>
        </w:rPr>
        <w:t></w:t>
      </w:r>
      <w:r>
        <w:rPr>
          <w:rFonts w:eastAsia="仿宋_GB2312"/>
          <w:color w:val="000000"/>
          <w:sz w:val="30"/>
          <w:szCs w:val="30"/>
        </w:rPr>
        <w:t>年</w:t>
      </w:r>
      <w:r>
        <w:rPr>
          <w:rFonts w:eastAsia="仿宋_GB2312"/>
          <w:color w:val="000000"/>
          <w:sz w:val="30"/>
          <w:szCs w:val="30"/>
          <w:u w:val="single"/>
        </w:rPr>
        <w:t></w:t>
      </w:r>
      <w:r>
        <w:rPr>
          <w:rFonts w:eastAsia="仿宋_GB2312"/>
          <w:color w:val="000000"/>
          <w:sz w:val="30"/>
          <w:szCs w:val="30"/>
        </w:rPr>
        <w:t>月</w:t>
      </w:r>
      <w:r>
        <w:rPr>
          <w:rFonts w:eastAsia="仿宋_GB2312"/>
          <w:color w:val="000000"/>
          <w:sz w:val="30"/>
          <w:szCs w:val="30"/>
          <w:u w:val="single"/>
        </w:rPr>
        <w:t></w:t>
      </w:r>
      <w:r>
        <w:rPr>
          <w:rFonts w:eastAsia="仿宋_GB2312"/>
          <w:color w:val="000000"/>
          <w:sz w:val="30"/>
          <w:szCs w:val="30"/>
        </w:rPr>
        <w:t>日。</w:t>
      </w:r>
    </w:p>
    <w:p>
      <w:pPr>
        <w:spacing w:line="360" w:lineRule="auto"/>
        <w:ind w:firstLine="459"/>
        <w:jc w:val="left"/>
        <w:rPr>
          <w:rFonts w:eastAsia="仿宋_GB2312"/>
          <w:color w:val="000000"/>
          <w:sz w:val="30"/>
          <w:szCs w:val="30"/>
        </w:rPr>
      </w:pPr>
      <w:r>
        <w:rPr>
          <w:rFonts w:eastAsia="仿宋_GB2312"/>
          <w:color w:val="000000"/>
          <w:sz w:val="30"/>
          <w:szCs w:val="30"/>
        </w:rPr>
        <w:t>工期总日历天数：</w:t>
      </w:r>
      <w:r>
        <w:rPr>
          <w:rFonts w:eastAsia="仿宋_GB2312"/>
          <w:color w:val="000000"/>
          <w:sz w:val="30"/>
          <w:szCs w:val="30"/>
          <w:u w:val="single"/>
        </w:rPr>
        <w:t></w:t>
      </w:r>
      <w:r>
        <w:rPr>
          <w:rFonts w:hint="eastAsia" w:eastAsia="仿宋_GB2312"/>
          <w:color w:val="000000"/>
          <w:sz w:val="30"/>
          <w:szCs w:val="30"/>
          <w:u w:val="single"/>
        </w:rPr>
        <w:t>90</w:t>
      </w:r>
      <w:r>
        <w:rPr>
          <w:rFonts w:eastAsia="仿宋_GB2312"/>
          <w:color w:val="000000"/>
          <w:sz w:val="30"/>
          <w:szCs w:val="30"/>
          <w:u w:val="single"/>
        </w:rPr>
        <w:t></w:t>
      </w:r>
      <w:r>
        <w:rPr>
          <w:rFonts w:eastAsia="仿宋_GB2312"/>
          <w:color w:val="000000"/>
          <w:sz w:val="30"/>
          <w:szCs w:val="30"/>
        </w:rPr>
        <w:t>天。工期总日历天数与根据前述计划开竣工日期计算的工期天数不一致的，以工期总日历天数为准。</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三、质量标准</w:t>
      </w:r>
    </w:p>
    <w:p>
      <w:pPr>
        <w:spacing w:line="360" w:lineRule="auto"/>
        <w:ind w:firstLine="459"/>
        <w:rPr>
          <w:rFonts w:eastAsia="仿宋_GB2312"/>
          <w:color w:val="000000"/>
          <w:sz w:val="30"/>
          <w:szCs w:val="30"/>
        </w:rPr>
      </w:pPr>
      <w:r>
        <w:rPr>
          <w:rFonts w:eastAsia="仿宋_GB2312"/>
          <w:color w:val="000000"/>
          <w:sz w:val="30"/>
          <w:szCs w:val="30"/>
        </w:rPr>
        <w:t>工程质量符合</w:t>
      </w:r>
      <w:r>
        <w:rPr>
          <w:rFonts w:eastAsia="仿宋_GB2312"/>
          <w:color w:val="000000"/>
          <w:sz w:val="30"/>
          <w:szCs w:val="30"/>
          <w:u w:val="single"/>
        </w:rPr>
        <w:t></w:t>
      </w:r>
      <w:r>
        <w:rPr>
          <w:rFonts w:hint="eastAsia" w:eastAsia="仿宋_GB2312"/>
          <w:color w:val="000000"/>
          <w:sz w:val="30"/>
          <w:szCs w:val="30"/>
          <w:u w:val="single"/>
        </w:rPr>
        <w:t>合格</w:t>
      </w:r>
      <w:r>
        <w:rPr>
          <w:rFonts w:eastAsia="仿宋_GB2312"/>
          <w:color w:val="000000"/>
          <w:sz w:val="30"/>
          <w:szCs w:val="30"/>
          <w:u w:val="single"/>
        </w:rPr>
        <w:t></w:t>
      </w:r>
      <w:r>
        <w:rPr>
          <w:rFonts w:eastAsia="仿宋_GB2312"/>
          <w:color w:val="000000"/>
          <w:sz w:val="30"/>
          <w:szCs w:val="30"/>
        </w:rPr>
        <w:t>标准。</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四、签约合同价与合同价格形式</w:t>
      </w:r>
      <w:r>
        <w:rPr>
          <w:rFonts w:ascii="Times New Roman" w:hAnsi="Times New Roman" w:eastAsia="黑体"/>
          <w:b w:val="0"/>
          <w:color w:val="000000"/>
          <w:sz w:val="32"/>
          <w:szCs w:val="32"/>
        </w:rPr>
        <w:tab/>
      </w:r>
    </w:p>
    <w:p>
      <w:pPr>
        <w:spacing w:line="360" w:lineRule="auto"/>
        <w:ind w:firstLine="600" w:firstLineChars="200"/>
        <w:rPr>
          <w:rFonts w:eastAsia="仿宋_GB2312"/>
          <w:color w:val="000000"/>
          <w:sz w:val="30"/>
          <w:szCs w:val="30"/>
        </w:rPr>
      </w:pPr>
      <w:r>
        <w:rPr>
          <w:rFonts w:eastAsia="仿宋_GB2312"/>
          <w:color w:val="000000"/>
          <w:sz w:val="30"/>
          <w:szCs w:val="30"/>
        </w:rPr>
        <w:t>1.签约合同价为：</w:t>
      </w:r>
    </w:p>
    <w:p>
      <w:pPr>
        <w:spacing w:line="360" w:lineRule="auto"/>
        <w:ind w:firstLine="750" w:firstLineChars="250"/>
        <w:rPr>
          <w:rFonts w:eastAsia="仿宋_GB2312"/>
          <w:color w:val="000000"/>
          <w:sz w:val="30"/>
          <w:szCs w:val="30"/>
        </w:rPr>
      </w:pPr>
      <w:r>
        <w:rPr>
          <w:rFonts w:eastAsia="仿宋_GB2312"/>
          <w:color w:val="000000"/>
          <w:sz w:val="30"/>
          <w:szCs w:val="30"/>
        </w:rPr>
        <w:t>人民币（大写）</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eastAsia="仿宋_GB2312"/>
          <w:color w:val="000000"/>
          <w:sz w:val="30"/>
          <w:szCs w:val="30"/>
        </w:rPr>
        <w:t>(¥</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eastAsia="仿宋_GB2312"/>
          <w:color w:val="000000"/>
          <w:sz w:val="30"/>
          <w:szCs w:val="30"/>
        </w:rPr>
        <w:t>元)；</w:t>
      </w:r>
    </w:p>
    <w:p>
      <w:pPr>
        <w:spacing w:line="360" w:lineRule="auto"/>
        <w:ind w:firstLine="600" w:firstLineChars="200"/>
        <w:rPr>
          <w:rFonts w:eastAsia="仿宋_GB2312"/>
          <w:color w:val="000000"/>
          <w:sz w:val="30"/>
          <w:szCs w:val="30"/>
        </w:rPr>
      </w:pPr>
      <w:r>
        <w:rPr>
          <w:rFonts w:eastAsia="仿宋_GB2312"/>
          <w:color w:val="000000"/>
          <w:sz w:val="30"/>
          <w:szCs w:val="30"/>
        </w:rPr>
        <w:t>其中：</w:t>
      </w:r>
    </w:p>
    <w:p>
      <w:pPr>
        <w:spacing w:line="360" w:lineRule="auto"/>
        <w:ind w:firstLine="600" w:firstLineChars="200"/>
        <w:rPr>
          <w:rFonts w:eastAsia="仿宋_GB2312"/>
          <w:color w:val="000000"/>
          <w:sz w:val="30"/>
          <w:szCs w:val="30"/>
        </w:rPr>
      </w:pPr>
      <w:r>
        <w:rPr>
          <w:rFonts w:eastAsia="仿宋_GB2312"/>
          <w:color w:val="000000"/>
          <w:sz w:val="30"/>
          <w:szCs w:val="30"/>
        </w:rPr>
        <w:t>（1）安全文明施工费：</w:t>
      </w:r>
    </w:p>
    <w:p>
      <w:pPr>
        <w:spacing w:line="360" w:lineRule="auto"/>
        <w:ind w:firstLine="1350" w:firstLineChars="450"/>
        <w:rPr>
          <w:rFonts w:eastAsia="仿宋_GB2312"/>
          <w:color w:val="000000"/>
          <w:sz w:val="30"/>
          <w:szCs w:val="30"/>
        </w:rPr>
      </w:pPr>
      <w:r>
        <w:rPr>
          <w:rFonts w:eastAsia="仿宋_GB2312"/>
          <w:color w:val="000000"/>
          <w:sz w:val="30"/>
          <w:szCs w:val="30"/>
        </w:rPr>
        <w:t>人民币（大写）</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eastAsia="仿宋_GB2312"/>
          <w:color w:val="000000"/>
          <w:sz w:val="30"/>
          <w:szCs w:val="30"/>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rPr>
        <w:t>元)；</w:t>
      </w:r>
    </w:p>
    <w:p>
      <w:pPr>
        <w:spacing w:line="360" w:lineRule="auto"/>
        <w:ind w:firstLine="600" w:firstLineChars="200"/>
        <w:rPr>
          <w:rFonts w:eastAsia="仿宋_GB2312"/>
          <w:color w:val="000000"/>
          <w:sz w:val="30"/>
          <w:szCs w:val="30"/>
        </w:rPr>
      </w:pPr>
      <w:r>
        <w:rPr>
          <w:rFonts w:eastAsia="仿宋_GB2312"/>
          <w:color w:val="000000"/>
          <w:sz w:val="30"/>
          <w:szCs w:val="30"/>
        </w:rPr>
        <w:t>（2）材料和工程设备暂估价金额：</w:t>
      </w:r>
    </w:p>
    <w:p>
      <w:pPr>
        <w:spacing w:line="360" w:lineRule="auto"/>
        <w:ind w:firstLine="1350" w:firstLineChars="450"/>
        <w:rPr>
          <w:rFonts w:eastAsia="仿宋_GB2312"/>
          <w:color w:val="000000"/>
          <w:sz w:val="30"/>
          <w:szCs w:val="30"/>
        </w:rPr>
      </w:pPr>
      <w:r>
        <w:rPr>
          <w:rFonts w:eastAsia="仿宋_GB2312"/>
          <w:color w:val="000000"/>
          <w:sz w:val="30"/>
          <w:szCs w:val="30"/>
        </w:rPr>
        <w:t>人民币（大写）</w:t>
      </w:r>
      <w:r>
        <w:rPr>
          <w:rFonts w:eastAsia="仿宋_GB2312"/>
          <w:color w:val="000000"/>
          <w:sz w:val="30"/>
          <w:szCs w:val="30"/>
          <w:u w:val="single"/>
        </w:rPr>
        <w:t xml:space="preserve">    </w:t>
      </w:r>
      <w:r>
        <w:rPr>
          <w:rFonts w:hint="eastAsia" w:eastAsia="仿宋_GB2312"/>
          <w:color w:val="000000"/>
          <w:sz w:val="30"/>
          <w:szCs w:val="30"/>
          <w:u w:val="single"/>
        </w:rPr>
        <w:t xml:space="preserve">  /      </w:t>
      </w:r>
      <w:r>
        <w:rPr>
          <w:rFonts w:eastAsia="仿宋_GB2312"/>
          <w:color w:val="000000"/>
          <w:sz w:val="30"/>
          <w:szCs w:val="30"/>
          <w:u w:val="single"/>
        </w:rPr>
        <w:t xml:space="preserve">  </w:t>
      </w:r>
      <w:r>
        <w:rPr>
          <w:rFonts w:eastAsia="仿宋_GB2312"/>
          <w:color w:val="000000"/>
          <w:sz w:val="30"/>
          <w:szCs w:val="30"/>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eastAsia="仿宋_GB2312"/>
          <w:color w:val="000000"/>
          <w:sz w:val="30"/>
          <w:szCs w:val="30"/>
        </w:rPr>
        <w:t>元)；</w:t>
      </w:r>
    </w:p>
    <w:p>
      <w:pPr>
        <w:spacing w:line="360" w:lineRule="auto"/>
        <w:ind w:firstLine="600" w:firstLineChars="200"/>
        <w:rPr>
          <w:rFonts w:eastAsia="仿宋_GB2312"/>
          <w:color w:val="000000"/>
          <w:sz w:val="30"/>
          <w:szCs w:val="30"/>
        </w:rPr>
      </w:pPr>
      <w:r>
        <w:rPr>
          <w:rFonts w:eastAsia="仿宋_GB2312"/>
          <w:color w:val="000000"/>
          <w:sz w:val="30"/>
          <w:szCs w:val="30"/>
        </w:rPr>
        <w:t>（3）专业工程暂估价金额：</w:t>
      </w:r>
    </w:p>
    <w:p>
      <w:pPr>
        <w:spacing w:line="360" w:lineRule="auto"/>
        <w:ind w:firstLine="1350" w:firstLineChars="450"/>
        <w:rPr>
          <w:rFonts w:eastAsia="仿宋_GB2312"/>
          <w:color w:val="000000"/>
          <w:sz w:val="30"/>
          <w:szCs w:val="30"/>
        </w:rPr>
      </w:pPr>
      <w:r>
        <w:rPr>
          <w:rFonts w:eastAsia="仿宋_GB2312"/>
          <w:color w:val="000000"/>
          <w:sz w:val="30"/>
          <w:szCs w:val="30"/>
        </w:rPr>
        <w:t>人民币（大写）</w:t>
      </w:r>
      <w:r>
        <w:rPr>
          <w:rFonts w:eastAsia="仿宋_GB2312"/>
          <w:color w:val="000000"/>
          <w:sz w:val="30"/>
          <w:szCs w:val="30"/>
          <w:u w:val="single"/>
        </w:rPr>
        <w:t xml:space="preserve">    </w:t>
      </w:r>
      <w:r>
        <w:rPr>
          <w:rFonts w:hint="eastAsia" w:eastAsia="仿宋_GB2312"/>
          <w:color w:val="000000"/>
          <w:sz w:val="30"/>
          <w:szCs w:val="30"/>
          <w:u w:val="single"/>
        </w:rPr>
        <w:t xml:space="preserve">      /  </w:t>
      </w:r>
      <w:r>
        <w:rPr>
          <w:rFonts w:eastAsia="仿宋_GB2312"/>
          <w:color w:val="000000"/>
          <w:sz w:val="30"/>
          <w:szCs w:val="30"/>
          <w:u w:val="single"/>
        </w:rPr>
        <w:t xml:space="preserve">  </w:t>
      </w:r>
      <w:r>
        <w:rPr>
          <w:rFonts w:eastAsia="仿宋_GB2312"/>
          <w:color w:val="000000"/>
          <w:sz w:val="30"/>
          <w:szCs w:val="30"/>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eastAsia="仿宋_GB2312"/>
          <w:color w:val="000000"/>
          <w:sz w:val="30"/>
          <w:szCs w:val="30"/>
        </w:rPr>
        <w:t>元)；</w:t>
      </w:r>
    </w:p>
    <w:p>
      <w:pPr>
        <w:spacing w:line="360" w:lineRule="auto"/>
        <w:ind w:firstLine="600" w:firstLineChars="200"/>
        <w:rPr>
          <w:rFonts w:eastAsia="仿宋_GB2312"/>
          <w:color w:val="000000"/>
          <w:sz w:val="30"/>
          <w:szCs w:val="30"/>
        </w:rPr>
      </w:pPr>
      <w:r>
        <w:rPr>
          <w:rFonts w:eastAsia="仿宋_GB2312"/>
          <w:color w:val="000000"/>
          <w:sz w:val="30"/>
          <w:szCs w:val="30"/>
        </w:rPr>
        <w:t>（4）暂列金额：</w:t>
      </w:r>
    </w:p>
    <w:p>
      <w:pPr>
        <w:spacing w:line="360" w:lineRule="auto"/>
        <w:ind w:firstLine="1350" w:firstLineChars="450"/>
        <w:rPr>
          <w:rFonts w:eastAsia="仿宋_GB2312"/>
          <w:color w:val="000000"/>
          <w:sz w:val="30"/>
          <w:szCs w:val="30"/>
        </w:rPr>
      </w:pPr>
      <w:r>
        <w:rPr>
          <w:rFonts w:eastAsia="仿宋_GB2312"/>
          <w:color w:val="000000"/>
          <w:sz w:val="30"/>
          <w:szCs w:val="30"/>
        </w:rPr>
        <w:t>人民币（大写）</w:t>
      </w:r>
      <w:r>
        <w:rPr>
          <w:rFonts w:eastAsia="仿宋_GB2312"/>
          <w:color w:val="000000"/>
          <w:sz w:val="30"/>
          <w:szCs w:val="30"/>
          <w:u w:val="single"/>
        </w:rPr>
        <w:t xml:space="preserve">    </w:t>
      </w:r>
      <w:r>
        <w:rPr>
          <w:rFonts w:hint="eastAsia" w:eastAsia="仿宋_GB2312"/>
          <w:color w:val="000000"/>
          <w:sz w:val="30"/>
          <w:szCs w:val="30"/>
          <w:u w:val="single"/>
        </w:rPr>
        <w:t xml:space="preserve">   /     </w:t>
      </w:r>
      <w:r>
        <w:rPr>
          <w:rFonts w:eastAsia="仿宋_GB2312"/>
          <w:color w:val="000000"/>
          <w:sz w:val="30"/>
          <w:szCs w:val="30"/>
          <w:u w:val="single"/>
        </w:rPr>
        <w:t xml:space="preserve">  </w:t>
      </w:r>
      <w:r>
        <w:rPr>
          <w:rFonts w:eastAsia="仿宋_GB2312"/>
          <w:color w:val="000000"/>
          <w:sz w:val="30"/>
          <w:szCs w:val="30"/>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eastAsia="仿宋_GB2312"/>
          <w:color w:val="000000"/>
          <w:sz w:val="30"/>
          <w:szCs w:val="30"/>
        </w:rPr>
        <w:t>元)。</w:t>
      </w:r>
    </w:p>
    <w:p>
      <w:pPr>
        <w:spacing w:line="360" w:lineRule="auto"/>
        <w:ind w:firstLine="600" w:firstLineChars="200"/>
        <w:rPr>
          <w:rFonts w:eastAsia="仿宋_GB2312"/>
          <w:color w:val="000000"/>
          <w:sz w:val="30"/>
          <w:szCs w:val="30"/>
        </w:rPr>
      </w:pPr>
      <w:r>
        <w:rPr>
          <w:rFonts w:eastAsia="仿宋_GB2312"/>
          <w:color w:val="000000"/>
          <w:sz w:val="30"/>
          <w:szCs w:val="30"/>
        </w:rPr>
        <w:t>2.合同价格形式：</w:t>
      </w:r>
      <w:r>
        <w:rPr>
          <w:rFonts w:eastAsia="仿宋_GB2312"/>
          <w:color w:val="000000"/>
          <w:sz w:val="30"/>
          <w:szCs w:val="30"/>
          <w:u w:val="single"/>
        </w:rPr>
        <w:t></w:t>
      </w:r>
      <w:r>
        <w:rPr>
          <w:rFonts w:hint="eastAsia" w:eastAsia="仿宋_GB2312"/>
          <w:color w:val="000000"/>
          <w:sz w:val="30"/>
          <w:szCs w:val="30"/>
          <w:u w:val="single"/>
        </w:rPr>
        <w:t>固定总价合同</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rPr>
        <w:t>。</w:t>
      </w:r>
    </w:p>
    <w:p>
      <w:pPr>
        <w:pStyle w:val="7"/>
        <w:spacing w:before="120" w:after="120" w:line="360" w:lineRule="auto"/>
        <w:rPr>
          <w:rFonts w:ascii="Times New Roman" w:hAnsi="Times New Roman" w:eastAsia="黑体"/>
          <w:b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876" w:name="_Toc351203485"/>
      <w:r>
        <w:rPr>
          <w:rFonts w:ascii="Times New Roman" w:hAnsi="Times New Roman" w:eastAsia="黑体"/>
          <w:b w:val="0"/>
          <w:color w:val="000000"/>
          <w:sz w:val="32"/>
          <w:szCs w:val="32"/>
        </w:rPr>
        <w:t>五、</w:t>
      </w:r>
      <w:bookmarkEnd w:id="876"/>
      <w:r>
        <w:rPr>
          <w:rFonts w:ascii="Times New Roman" w:hAnsi="Times New Roman" w:eastAsia="黑体"/>
          <w:b w:val="0"/>
          <w:color w:val="000000"/>
          <w:sz w:val="32"/>
          <w:szCs w:val="32"/>
        </w:rPr>
        <w:t>项目经理</w:t>
      </w:r>
    </w:p>
    <w:p>
      <w:pPr>
        <w:spacing w:line="360" w:lineRule="auto"/>
        <w:ind w:firstLine="600" w:firstLineChars="200"/>
        <w:rPr>
          <w:rFonts w:eastAsia="仿宋_GB2312"/>
          <w:color w:val="000000"/>
          <w:sz w:val="30"/>
          <w:szCs w:val="30"/>
        </w:rPr>
      </w:pPr>
      <w:r>
        <w:rPr>
          <w:rFonts w:eastAsia="仿宋_GB2312"/>
          <w:color w:val="000000"/>
          <w:sz w:val="30"/>
          <w:szCs w:val="30"/>
        </w:rPr>
        <w:t>承包人项目经理：</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eastAsia="仿宋_GB2312"/>
          <w:color w:val="000000"/>
          <w:sz w:val="30"/>
          <w:szCs w:val="30"/>
          <w:u w:val="single"/>
        </w:rPr>
        <w:t>    </w:t>
      </w:r>
      <w:r>
        <w:rPr>
          <w:rFonts w:eastAsia="仿宋_GB2312"/>
          <w:color w:val="000000"/>
          <w:sz w:val="30"/>
          <w:szCs w:val="30"/>
        </w:rPr>
        <w:t>。</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六、合同文件构成</w:t>
      </w:r>
    </w:p>
    <w:p>
      <w:pPr>
        <w:spacing w:line="360" w:lineRule="auto"/>
        <w:ind w:firstLine="600" w:firstLineChars="200"/>
        <w:rPr>
          <w:rFonts w:eastAsia="仿宋_GB2312"/>
          <w:b/>
          <w:color w:val="FF0000"/>
          <w:sz w:val="30"/>
          <w:szCs w:val="30"/>
        </w:rPr>
      </w:pPr>
      <w:r>
        <w:rPr>
          <w:rFonts w:eastAsia="仿宋_GB2312"/>
          <w:bCs/>
          <w:color w:val="000000"/>
          <w:sz w:val="30"/>
          <w:szCs w:val="30"/>
        </w:rPr>
        <w:t>本协议书与下列文件一起构成合同文件</w:t>
      </w:r>
      <w:r>
        <w:rPr>
          <w:rFonts w:hint="eastAsia" w:eastAsia="仿宋_GB2312"/>
          <w:bCs/>
          <w:color w:val="000000"/>
          <w:sz w:val="30"/>
          <w:szCs w:val="30"/>
        </w:rPr>
        <w:t>：</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（1）中标通知书（如果有）；</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 xml:space="preserve">（2）投标函及其附录（如果有）； </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（3）专用合同条款及其附件；</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（4）通用合同条款；</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（5）技术标准和要求；</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（6）图纸；</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（7）已标价工程量清单或预算书；</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（8）其他合同文件。</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在合同订立及履行过程中形成的与合同有关的文件均构成合同文件组成部分。</w:t>
      </w:r>
    </w:p>
    <w:p>
      <w:pPr>
        <w:autoSpaceDE w:val="0"/>
        <w:autoSpaceDN w:val="0"/>
        <w:adjustRightInd w:val="0"/>
        <w:spacing w:line="360" w:lineRule="auto"/>
        <w:ind w:firstLine="600" w:firstLineChars="200"/>
        <w:jc w:val="left"/>
        <w:rPr>
          <w:rFonts w:eastAsia="仿宋_GB2312"/>
          <w:color w:val="000000"/>
          <w:sz w:val="30"/>
          <w:szCs w:val="30"/>
          <w:highlight w:val="yellow"/>
        </w:rPr>
      </w:pPr>
      <w:r>
        <w:rPr>
          <w:rFonts w:eastAsia="仿宋_GB2312"/>
          <w:color w:val="000000"/>
          <w:sz w:val="30"/>
          <w:szCs w:val="30"/>
          <w:highlight w:val="yellow"/>
        </w:rPr>
        <w:t>专用合同条款及其附件</w:t>
      </w:r>
      <w:r>
        <w:rPr>
          <w:rFonts w:hint="eastAsia" w:eastAsia="仿宋_GB2312"/>
          <w:color w:val="000000"/>
          <w:sz w:val="30"/>
          <w:szCs w:val="30"/>
          <w:highlight w:val="yellow"/>
        </w:rPr>
        <w:t>与</w:t>
      </w:r>
      <w:r>
        <w:rPr>
          <w:rFonts w:eastAsia="仿宋_GB2312"/>
          <w:color w:val="000000"/>
          <w:sz w:val="30"/>
          <w:szCs w:val="30"/>
          <w:highlight w:val="yellow"/>
        </w:rPr>
        <w:t>通用合同条款</w:t>
      </w:r>
      <w:r>
        <w:rPr>
          <w:rFonts w:hint="eastAsia" w:eastAsia="仿宋_GB2312"/>
          <w:color w:val="000000"/>
          <w:sz w:val="30"/>
          <w:szCs w:val="30"/>
          <w:highlight w:val="yellow"/>
        </w:rPr>
        <w:t>不一致时，执行</w:t>
      </w:r>
      <w:r>
        <w:rPr>
          <w:rFonts w:eastAsia="仿宋_GB2312"/>
          <w:color w:val="000000"/>
          <w:sz w:val="30"/>
          <w:szCs w:val="30"/>
          <w:highlight w:val="yellow"/>
        </w:rPr>
        <w:t>专用合同条款及其附件</w:t>
      </w:r>
      <w:r>
        <w:rPr>
          <w:rFonts w:hint="eastAsia" w:eastAsia="仿宋_GB2312"/>
          <w:color w:val="000000"/>
          <w:sz w:val="30"/>
          <w:szCs w:val="30"/>
          <w:highlight w:val="yellow"/>
        </w:rPr>
        <w:t>约定。</w:t>
      </w:r>
    </w:p>
    <w:p>
      <w:pPr>
        <w:autoSpaceDE w:val="0"/>
        <w:autoSpaceDN w:val="0"/>
        <w:adjustRightInd w:val="0"/>
        <w:spacing w:line="360" w:lineRule="auto"/>
        <w:ind w:firstLine="600" w:firstLineChars="200"/>
        <w:jc w:val="left"/>
        <w:rPr>
          <w:rFonts w:eastAsia="仿宋_GB2312"/>
          <w:color w:val="000000"/>
          <w:sz w:val="30"/>
          <w:szCs w:val="30"/>
        </w:rPr>
      </w:pPr>
      <w:r>
        <w:rPr>
          <w:rFonts w:eastAsia="仿宋_GB2312"/>
          <w:color w:val="000000"/>
          <w:sz w:val="30"/>
          <w:szCs w:val="30"/>
        </w:rPr>
        <w:t>上述各项合同文件包括合同当事人就该项合同文件所作出的补充和修改，属于同一类内容的文件，应以最新签署的为准。</w:t>
      </w:r>
      <w:r>
        <w:rPr>
          <w:rFonts w:hint="eastAsia" w:eastAsia="仿宋_GB2312"/>
          <w:color w:val="000000"/>
          <w:sz w:val="30"/>
          <w:szCs w:val="30"/>
        </w:rPr>
        <w:t>专用合同条款及其附件须经合同当事人签字或盖章。</w:t>
      </w:r>
    </w:p>
    <w:p>
      <w:pPr>
        <w:pStyle w:val="7"/>
        <w:spacing w:before="120" w:after="120" w:line="360" w:lineRule="auto"/>
        <w:rPr>
          <w:rFonts w:ascii="Times New Roman" w:hAnsi="Times New Roman" w:eastAsia="黑体"/>
          <w:b w:val="0"/>
          <w:bCs w:val="0"/>
          <w:color w:val="000000"/>
          <w:sz w:val="32"/>
          <w:szCs w:val="32"/>
        </w:rPr>
      </w:pPr>
      <w:r>
        <w:rPr>
          <w:rFonts w:ascii="Times New Roman" w:hAnsi="Times New Roman" w:eastAsia="黑体"/>
          <w:b w:val="0"/>
          <w:bCs w:val="0"/>
          <w:color w:val="000000"/>
          <w:sz w:val="32"/>
          <w:szCs w:val="32"/>
        </w:rPr>
        <w:t xml:space="preserve">   </w:t>
      </w:r>
      <w:r>
        <w:rPr>
          <w:rFonts w:ascii="Times New Roman" w:hAnsi="Times New Roman" w:eastAsia="黑体"/>
          <w:b w:val="0"/>
          <w:color w:val="000000"/>
          <w:sz w:val="32"/>
          <w:szCs w:val="32"/>
        </w:rPr>
        <w:t xml:space="preserve"> 七、承诺</w:t>
      </w:r>
    </w:p>
    <w:p>
      <w:pPr>
        <w:spacing w:line="360" w:lineRule="auto"/>
        <w:ind w:firstLine="600" w:firstLineChars="200"/>
        <w:rPr>
          <w:rFonts w:eastAsia="仿宋_GB2312"/>
          <w:bCs/>
          <w:color w:val="000000"/>
          <w:sz w:val="30"/>
          <w:szCs w:val="30"/>
        </w:rPr>
      </w:pPr>
      <w:r>
        <w:rPr>
          <w:rFonts w:eastAsia="仿宋_GB2312"/>
          <w:bCs/>
          <w:color w:val="000000"/>
          <w:sz w:val="30"/>
          <w:szCs w:val="30"/>
        </w:rPr>
        <w:t>1.发包人承诺按照法律规定履行项目审批手续、筹集工程建设资金并按照合同约定的期限和方式支付合同价款。</w:t>
      </w:r>
    </w:p>
    <w:p>
      <w:pPr>
        <w:spacing w:line="360" w:lineRule="auto"/>
        <w:ind w:firstLine="600" w:firstLineChars="200"/>
        <w:rPr>
          <w:rFonts w:eastAsia="仿宋_GB2312"/>
          <w:bCs/>
          <w:color w:val="000000"/>
          <w:sz w:val="30"/>
          <w:szCs w:val="30"/>
        </w:rPr>
      </w:pPr>
      <w:r>
        <w:rPr>
          <w:rFonts w:eastAsia="仿宋_GB2312"/>
          <w:bCs/>
          <w:color w:val="000000"/>
          <w:sz w:val="30"/>
          <w:szCs w:val="30"/>
        </w:rPr>
        <w:t>2.承包人承诺按照法律规定及合同约定组织完成工程施工，确保工程质量和安全，不进行转包及违法分包，并在缺陷责任期及保修期内承担相应的工程维修责任。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eastAsia="仿宋_GB2312"/>
          <w:bCs/>
          <w:color w:val="000000"/>
          <w:sz w:val="30"/>
          <w:szCs w:val="30"/>
        </w:rPr>
      </w:pPr>
      <w:r>
        <w:rPr>
          <w:rFonts w:eastAsia="仿宋_GB2312"/>
          <w:bCs/>
          <w:color w:val="000000"/>
          <w:sz w:val="30"/>
          <w:szCs w:val="30"/>
        </w:rPr>
        <w:t>3.发包人和承包人通过招投标形式签订合同的，双方理解并</w:t>
      </w:r>
      <w:r>
        <w:rPr>
          <w:rFonts w:hint="eastAsia" w:eastAsia="仿宋_GB2312"/>
          <w:bCs/>
          <w:color w:val="000000"/>
          <w:sz w:val="30"/>
          <w:szCs w:val="30"/>
        </w:rPr>
        <w:t>承诺</w:t>
      </w:r>
      <w:r>
        <w:rPr>
          <w:rFonts w:eastAsia="仿宋_GB2312"/>
          <w:bCs/>
          <w:color w:val="000000"/>
          <w:sz w:val="30"/>
          <w:szCs w:val="30"/>
        </w:rPr>
        <w:t>不再就同一工程另行签订与合同实质性内容相背离的协议。</w:t>
      </w:r>
    </w:p>
    <w:p>
      <w:pPr>
        <w:spacing w:line="360" w:lineRule="auto"/>
        <w:rPr>
          <w:rFonts w:eastAsia="黑体"/>
          <w:bCs/>
          <w:color w:val="000000"/>
          <w:sz w:val="32"/>
          <w:szCs w:val="32"/>
        </w:rPr>
      </w:pPr>
      <w:r>
        <w:rPr>
          <w:rFonts w:hint="eastAsia" w:eastAsia="黑体"/>
          <w:b/>
          <w:color w:val="000000"/>
          <w:sz w:val="32"/>
          <w:szCs w:val="32"/>
        </w:rPr>
        <w:t xml:space="preserve">    </w:t>
      </w:r>
      <w:r>
        <w:rPr>
          <w:rFonts w:eastAsia="黑体"/>
          <w:b/>
          <w:color w:val="000000"/>
          <w:sz w:val="32"/>
          <w:szCs w:val="32"/>
        </w:rPr>
        <w:t>八、词语含义</w:t>
      </w:r>
    </w:p>
    <w:p>
      <w:pPr>
        <w:spacing w:line="360" w:lineRule="auto"/>
        <w:ind w:firstLine="600" w:firstLineChars="200"/>
        <w:rPr>
          <w:rFonts w:eastAsia="仿宋_GB2312"/>
          <w:bCs/>
          <w:color w:val="000000"/>
          <w:sz w:val="30"/>
          <w:szCs w:val="30"/>
        </w:rPr>
      </w:pPr>
      <w:r>
        <w:rPr>
          <w:rFonts w:eastAsia="仿宋_GB2312"/>
          <w:bCs/>
          <w:color w:val="000000"/>
          <w:sz w:val="30"/>
          <w:szCs w:val="30"/>
        </w:rPr>
        <w:t>本协议书中词语含义与第二部分通用合同条款中赋予的含义相同。</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九、签订时间</w:t>
      </w:r>
    </w:p>
    <w:p>
      <w:pPr>
        <w:spacing w:line="360" w:lineRule="auto"/>
        <w:ind w:firstLine="600" w:firstLineChars="200"/>
        <w:rPr>
          <w:rFonts w:eastAsia="仿宋_GB2312"/>
          <w:bCs/>
          <w:color w:val="000000"/>
          <w:sz w:val="30"/>
          <w:szCs w:val="30"/>
        </w:rPr>
      </w:pPr>
      <w:r>
        <w:rPr>
          <w:rFonts w:eastAsia="仿宋_GB2312"/>
          <w:bCs/>
          <w:color w:val="000000"/>
          <w:sz w:val="30"/>
          <w:szCs w:val="30"/>
        </w:rPr>
        <w:t>本合同于</w:t>
      </w:r>
      <w:r>
        <w:rPr>
          <w:rFonts w:eastAsia="仿宋_GB2312"/>
          <w:bCs/>
          <w:color w:val="000000"/>
          <w:sz w:val="30"/>
          <w:szCs w:val="30"/>
          <w:u w:val="single"/>
        </w:rPr>
        <w:t xml:space="preserve">  </w:t>
      </w:r>
      <w:r>
        <w:rPr>
          <w:rFonts w:hint="eastAsia" w:eastAsia="仿宋_GB2312"/>
          <w:bCs/>
          <w:color w:val="000000"/>
          <w:sz w:val="30"/>
          <w:szCs w:val="30"/>
          <w:u w:val="single"/>
        </w:rPr>
        <w:t>2025</w:t>
      </w:r>
      <w:r>
        <w:rPr>
          <w:rFonts w:eastAsia="仿宋_GB2312"/>
          <w:bCs/>
          <w:color w:val="000000"/>
          <w:sz w:val="30"/>
          <w:szCs w:val="30"/>
          <w:u w:val="single"/>
        </w:rPr>
        <w:t xml:space="preserve">       </w:t>
      </w:r>
      <w:r>
        <w:rPr>
          <w:rFonts w:eastAsia="仿宋_GB2312"/>
          <w:bCs/>
          <w:color w:val="000000"/>
          <w:sz w:val="30"/>
          <w:szCs w:val="30"/>
        </w:rPr>
        <w:t>年</w:t>
      </w:r>
      <w:r>
        <w:rPr>
          <w:rFonts w:eastAsia="仿宋_GB2312"/>
          <w:bCs/>
          <w:color w:val="000000"/>
          <w:sz w:val="30"/>
          <w:szCs w:val="30"/>
          <w:u w:val="single"/>
        </w:rPr>
        <w:t xml:space="preserve">    </w:t>
      </w:r>
      <w:r>
        <w:rPr>
          <w:rFonts w:eastAsia="仿宋_GB2312"/>
          <w:bCs/>
          <w:color w:val="000000"/>
          <w:sz w:val="30"/>
          <w:szCs w:val="30"/>
        </w:rPr>
        <w:t>月</w:t>
      </w:r>
      <w:r>
        <w:rPr>
          <w:rFonts w:eastAsia="仿宋_GB2312"/>
          <w:bCs/>
          <w:color w:val="000000"/>
          <w:sz w:val="30"/>
          <w:szCs w:val="30"/>
          <w:u w:val="single"/>
        </w:rPr>
        <w:t xml:space="preserve">    </w:t>
      </w:r>
      <w:r>
        <w:rPr>
          <w:rFonts w:eastAsia="仿宋_GB2312"/>
          <w:bCs/>
          <w:color w:val="000000"/>
          <w:sz w:val="30"/>
          <w:szCs w:val="30"/>
        </w:rPr>
        <w:t>日签订。</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十、签订地点</w:t>
      </w:r>
    </w:p>
    <w:p>
      <w:pPr>
        <w:spacing w:line="360" w:lineRule="auto"/>
        <w:ind w:firstLine="600" w:firstLineChars="200"/>
        <w:rPr>
          <w:rFonts w:eastAsia="仿宋_GB2312"/>
          <w:bCs/>
          <w:color w:val="000000"/>
          <w:sz w:val="30"/>
          <w:szCs w:val="30"/>
        </w:rPr>
      </w:pPr>
      <w:r>
        <w:rPr>
          <w:rFonts w:eastAsia="仿宋_GB2312"/>
          <w:bCs/>
          <w:color w:val="000000"/>
          <w:sz w:val="30"/>
          <w:szCs w:val="30"/>
        </w:rPr>
        <w:t>本合同在</w:t>
      </w:r>
      <w:r>
        <w:rPr>
          <w:rFonts w:eastAsia="仿宋_GB2312"/>
          <w:bCs/>
          <w:color w:val="000000"/>
          <w:sz w:val="30"/>
          <w:szCs w:val="30"/>
          <w:u w:val="single"/>
        </w:rPr>
        <w:t xml:space="preserve">   </w:t>
      </w:r>
      <w:r>
        <w:rPr>
          <w:rFonts w:hint="eastAsia" w:eastAsia="仿宋_GB2312"/>
          <w:bCs/>
          <w:color w:val="000000"/>
          <w:sz w:val="30"/>
          <w:szCs w:val="30"/>
          <w:u w:val="single"/>
        </w:rPr>
        <w:t>营口市西市区</w:t>
      </w:r>
      <w:r>
        <w:rPr>
          <w:rFonts w:eastAsia="仿宋_GB2312"/>
          <w:bCs/>
          <w:color w:val="000000"/>
          <w:sz w:val="30"/>
          <w:szCs w:val="30"/>
          <w:u w:val="single"/>
        </w:rPr>
        <w:t xml:space="preserve">              </w:t>
      </w:r>
      <w:r>
        <w:rPr>
          <w:rFonts w:eastAsia="仿宋_GB2312"/>
          <w:bCs/>
          <w:color w:val="000000"/>
          <w:sz w:val="30"/>
          <w:szCs w:val="30"/>
        </w:rPr>
        <w:t>签订。</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十一、补充协议</w:t>
      </w:r>
    </w:p>
    <w:p>
      <w:pPr>
        <w:spacing w:line="360" w:lineRule="auto"/>
        <w:ind w:firstLine="600" w:firstLineChars="200"/>
        <w:rPr>
          <w:rFonts w:eastAsia="仿宋_GB2312"/>
          <w:b/>
          <w:bCs/>
          <w:color w:val="000000"/>
          <w:sz w:val="30"/>
          <w:szCs w:val="30"/>
        </w:rPr>
      </w:pPr>
      <w:r>
        <w:rPr>
          <w:rFonts w:eastAsia="仿宋_GB2312"/>
          <w:bCs/>
          <w:color w:val="000000"/>
          <w:sz w:val="30"/>
          <w:szCs w:val="30"/>
        </w:rPr>
        <w:t>合同未尽事宜，合同当事人另行签订补充协议</w:t>
      </w:r>
      <w:r>
        <w:rPr>
          <w:rFonts w:hint="eastAsia" w:eastAsia="仿宋_GB2312"/>
          <w:bCs/>
          <w:color w:val="000000"/>
          <w:sz w:val="30"/>
          <w:szCs w:val="30"/>
        </w:rPr>
        <w:t>，</w:t>
      </w:r>
      <w:r>
        <w:rPr>
          <w:rFonts w:eastAsia="仿宋_GB2312"/>
          <w:bCs/>
          <w:color w:val="000000"/>
          <w:sz w:val="30"/>
          <w:szCs w:val="30"/>
        </w:rPr>
        <w:t>补充协议是合同的组成部分。</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十二、合同生效</w:t>
      </w:r>
    </w:p>
    <w:p>
      <w:pPr>
        <w:spacing w:line="360" w:lineRule="auto"/>
        <w:ind w:firstLine="600" w:firstLineChars="200"/>
        <w:rPr>
          <w:rFonts w:eastAsia="仿宋_GB2312"/>
          <w:bCs/>
          <w:color w:val="000000"/>
          <w:sz w:val="30"/>
          <w:szCs w:val="30"/>
        </w:rPr>
      </w:pPr>
      <w:r>
        <w:rPr>
          <w:rFonts w:eastAsia="仿宋_GB2312"/>
          <w:bCs/>
          <w:color w:val="000000"/>
          <w:sz w:val="30"/>
          <w:szCs w:val="30"/>
        </w:rPr>
        <w:t>本合同自</w:t>
      </w:r>
      <w:r>
        <w:rPr>
          <w:rFonts w:eastAsia="仿宋_GB2312"/>
          <w:bCs/>
          <w:color w:val="000000"/>
          <w:sz w:val="30"/>
          <w:szCs w:val="30"/>
          <w:u w:val="single"/>
        </w:rPr>
        <w:t xml:space="preserve"> </w:t>
      </w:r>
      <w:r>
        <w:rPr>
          <w:rFonts w:hint="eastAsia" w:eastAsia="仿宋_GB2312"/>
          <w:bCs/>
          <w:color w:val="000000"/>
          <w:sz w:val="30"/>
          <w:szCs w:val="30"/>
          <w:u w:val="single"/>
        </w:rPr>
        <w:t>双方签章之日起</w:t>
      </w:r>
      <w:r>
        <w:rPr>
          <w:rFonts w:eastAsia="仿宋_GB2312"/>
          <w:bCs/>
          <w:color w:val="000000"/>
          <w:sz w:val="30"/>
          <w:szCs w:val="30"/>
          <w:u w:val="single"/>
        </w:rPr>
        <w:t xml:space="preserve">               </w:t>
      </w:r>
      <w:r>
        <w:rPr>
          <w:rFonts w:eastAsia="仿宋_GB2312"/>
          <w:bCs/>
          <w:color w:val="000000"/>
          <w:sz w:val="30"/>
          <w:szCs w:val="30"/>
        </w:rPr>
        <w:t>生效。</w:t>
      </w:r>
    </w:p>
    <w:p>
      <w:pPr>
        <w:pStyle w:val="7"/>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十三、合同份数</w:t>
      </w:r>
    </w:p>
    <w:p>
      <w:pPr>
        <w:spacing w:line="360" w:lineRule="auto"/>
        <w:ind w:firstLine="600" w:firstLineChars="200"/>
        <w:rPr>
          <w:rFonts w:eastAsia="仿宋_GB2312"/>
          <w:bCs/>
          <w:color w:val="000000"/>
          <w:sz w:val="30"/>
          <w:szCs w:val="30"/>
        </w:rPr>
      </w:pPr>
      <w:r>
        <w:rPr>
          <w:rFonts w:eastAsia="仿宋_GB2312"/>
          <w:bCs/>
          <w:color w:val="000000"/>
          <w:sz w:val="30"/>
          <w:szCs w:val="30"/>
        </w:rPr>
        <w:t>本合同一式</w:t>
      </w:r>
      <w:r>
        <w:rPr>
          <w:rFonts w:eastAsia="仿宋_GB2312"/>
          <w:bCs/>
          <w:color w:val="000000"/>
          <w:sz w:val="30"/>
          <w:szCs w:val="30"/>
          <w:u w:val="single"/>
        </w:rPr>
        <w:t xml:space="preserve">  </w:t>
      </w:r>
      <w:r>
        <w:rPr>
          <w:rFonts w:hint="eastAsia" w:eastAsia="仿宋_GB2312"/>
          <w:bCs/>
          <w:color w:val="000000"/>
          <w:sz w:val="30"/>
          <w:szCs w:val="30"/>
          <w:u w:val="single"/>
        </w:rPr>
        <w:t xml:space="preserve"> 陆</w:t>
      </w:r>
      <w:r>
        <w:rPr>
          <w:rFonts w:eastAsia="仿宋_GB2312"/>
          <w:bCs/>
          <w:color w:val="000000"/>
          <w:sz w:val="30"/>
          <w:szCs w:val="30"/>
          <w:u w:val="single"/>
        </w:rPr>
        <w:t xml:space="preserve"> </w:t>
      </w:r>
      <w:r>
        <w:rPr>
          <w:rFonts w:eastAsia="仿宋_GB2312"/>
          <w:bCs/>
          <w:color w:val="000000"/>
          <w:sz w:val="30"/>
          <w:szCs w:val="30"/>
        </w:rPr>
        <w:t>份，均具有同等法律效力，发包人执</w:t>
      </w:r>
      <w:r>
        <w:rPr>
          <w:rFonts w:eastAsia="仿宋_GB2312"/>
          <w:bCs/>
          <w:color w:val="000000"/>
          <w:sz w:val="30"/>
          <w:szCs w:val="30"/>
          <w:u w:val="single"/>
        </w:rPr>
        <w:t xml:space="preserve">  </w:t>
      </w:r>
      <w:r>
        <w:rPr>
          <w:rFonts w:hint="eastAsia" w:eastAsia="仿宋_GB2312"/>
          <w:bCs/>
          <w:color w:val="000000"/>
          <w:sz w:val="30"/>
          <w:szCs w:val="30"/>
          <w:u w:val="single"/>
        </w:rPr>
        <w:t xml:space="preserve">肆份 </w:t>
      </w:r>
      <w:r>
        <w:rPr>
          <w:rFonts w:eastAsia="仿宋_GB2312"/>
          <w:bCs/>
          <w:color w:val="000000"/>
          <w:sz w:val="30"/>
          <w:szCs w:val="30"/>
          <w:u w:val="single"/>
        </w:rPr>
        <w:t xml:space="preserve"> </w:t>
      </w:r>
      <w:r>
        <w:rPr>
          <w:rFonts w:eastAsia="仿宋_GB2312"/>
          <w:bCs/>
          <w:color w:val="000000"/>
          <w:sz w:val="30"/>
          <w:szCs w:val="30"/>
        </w:rPr>
        <w:t>份，承包人执</w:t>
      </w:r>
      <w:r>
        <w:rPr>
          <w:rFonts w:eastAsia="仿宋_GB2312"/>
          <w:bCs/>
          <w:color w:val="000000"/>
          <w:sz w:val="30"/>
          <w:szCs w:val="30"/>
          <w:u w:val="single"/>
        </w:rPr>
        <w:t xml:space="preserve">  </w:t>
      </w:r>
      <w:r>
        <w:rPr>
          <w:rFonts w:hint="eastAsia" w:eastAsia="仿宋_GB2312"/>
          <w:bCs/>
          <w:color w:val="000000"/>
          <w:sz w:val="30"/>
          <w:szCs w:val="30"/>
          <w:u w:val="single"/>
        </w:rPr>
        <w:t xml:space="preserve">贰 </w:t>
      </w:r>
      <w:r>
        <w:rPr>
          <w:rFonts w:eastAsia="仿宋_GB2312"/>
          <w:bCs/>
          <w:color w:val="000000"/>
          <w:sz w:val="30"/>
          <w:szCs w:val="30"/>
          <w:u w:val="single"/>
        </w:rPr>
        <w:t xml:space="preserve"> </w:t>
      </w:r>
      <w:r>
        <w:rPr>
          <w:rFonts w:eastAsia="仿宋_GB2312"/>
          <w:bCs/>
          <w:color w:val="000000"/>
          <w:sz w:val="30"/>
          <w:szCs w:val="30"/>
        </w:rPr>
        <w:t>份。</w:t>
      </w:r>
    </w:p>
    <w:p>
      <w:pPr>
        <w:spacing w:line="360" w:lineRule="auto"/>
        <w:ind w:firstLine="600" w:firstLineChars="200"/>
        <w:rPr>
          <w:rFonts w:eastAsia="仿宋_GB2312"/>
          <w:bCs/>
          <w:color w:val="000000"/>
          <w:sz w:val="30"/>
          <w:szCs w:val="30"/>
        </w:rPr>
      </w:pPr>
      <w:r>
        <w:rPr>
          <w:rFonts w:hint="eastAsia" w:eastAsia="仿宋_GB2312"/>
          <w:bCs/>
          <w:color w:val="000000"/>
          <w:sz w:val="30"/>
          <w:szCs w:val="30"/>
        </w:rPr>
        <w:t>（以下无正文，为签章页）</w:t>
      </w:r>
    </w:p>
    <w:p>
      <w:pPr>
        <w:spacing w:line="360" w:lineRule="auto"/>
        <w:ind w:firstLine="600" w:firstLineChars="200"/>
        <w:rPr>
          <w:rFonts w:eastAsia="仿宋_GB2312"/>
          <w:bCs/>
          <w:color w:val="000000"/>
          <w:sz w:val="30"/>
          <w:szCs w:val="30"/>
        </w:rPr>
      </w:pPr>
    </w:p>
    <w:p>
      <w:pPr>
        <w:pStyle w:val="2"/>
        <w:ind w:firstLine="600"/>
        <w:rPr>
          <w:rFonts w:eastAsia="仿宋_GB2312"/>
          <w:color w:val="000000"/>
          <w:sz w:val="30"/>
          <w:szCs w:val="30"/>
        </w:rPr>
      </w:pPr>
    </w:p>
    <w:p>
      <w:pPr>
        <w:pStyle w:val="2"/>
        <w:ind w:firstLine="600"/>
        <w:rPr>
          <w:rFonts w:eastAsia="仿宋_GB2312"/>
          <w:color w:val="000000"/>
          <w:sz w:val="30"/>
          <w:szCs w:val="30"/>
        </w:rPr>
      </w:pPr>
    </w:p>
    <w:p>
      <w:pPr>
        <w:pStyle w:val="2"/>
        <w:ind w:firstLine="600"/>
        <w:rPr>
          <w:rFonts w:eastAsia="仿宋_GB2312"/>
          <w:color w:val="000000"/>
          <w:sz w:val="30"/>
          <w:szCs w:val="30"/>
        </w:rPr>
      </w:pPr>
    </w:p>
    <w:p>
      <w:pPr>
        <w:pStyle w:val="2"/>
        <w:ind w:firstLine="0" w:firstLineChars="0"/>
        <w:rPr>
          <w:rFonts w:eastAsia="仿宋_GB2312"/>
          <w:color w:val="000000"/>
          <w:sz w:val="30"/>
          <w:szCs w:val="30"/>
        </w:rPr>
      </w:pPr>
    </w:p>
    <w:p>
      <w:pPr>
        <w:pStyle w:val="2"/>
        <w:ind w:firstLine="600"/>
        <w:rPr>
          <w:rFonts w:eastAsia="仿宋_GB2312"/>
          <w:color w:val="000000"/>
          <w:sz w:val="30"/>
          <w:szCs w:val="30"/>
        </w:rPr>
      </w:pPr>
    </w:p>
    <w:p>
      <w:pPr>
        <w:pStyle w:val="2"/>
        <w:ind w:firstLine="600"/>
        <w:rPr>
          <w:rFonts w:eastAsia="仿宋_GB2312"/>
          <w:color w:val="000000"/>
          <w:sz w:val="30"/>
          <w:szCs w:val="30"/>
        </w:rPr>
      </w:pPr>
    </w:p>
    <w:p>
      <w:pPr>
        <w:pStyle w:val="2"/>
        <w:ind w:firstLine="600"/>
        <w:rPr>
          <w:rFonts w:eastAsia="仿宋_GB2312"/>
          <w:color w:val="000000"/>
          <w:sz w:val="30"/>
          <w:szCs w:val="30"/>
        </w:rPr>
      </w:pPr>
    </w:p>
    <w:p>
      <w:pPr>
        <w:spacing w:line="360" w:lineRule="auto"/>
        <w:rPr>
          <w:rFonts w:hint="eastAsia" w:ascii="宋体" w:hAnsi="宋体" w:cs="宋体"/>
          <w:sz w:val="24"/>
          <w:u w:val="single"/>
        </w:rPr>
      </w:pPr>
      <w:r>
        <w:rPr>
          <w:rFonts w:hint="eastAsia" w:ascii="宋体" w:hAnsi="宋体" w:cs="宋体"/>
          <w:sz w:val="24"/>
          <w:u w:val="single"/>
        </w:rPr>
        <w:t>发包人：  (公章)             承包人：  (公章)</w:t>
      </w:r>
    </w:p>
    <w:p>
      <w:pPr>
        <w:spacing w:line="360" w:lineRule="auto"/>
        <w:rPr>
          <w:rFonts w:hint="eastAsia" w:ascii="宋体" w:hAnsi="宋体" w:cs="宋体"/>
          <w:sz w:val="24"/>
          <w:u w:val="single"/>
        </w:rPr>
      </w:pPr>
      <w:r>
        <w:rPr>
          <w:rFonts w:hint="eastAsia" w:ascii="宋体" w:hAnsi="宋体" w:cs="宋体"/>
          <w:sz w:val="24"/>
          <w:u w:val="single"/>
        </w:rPr>
        <w:t xml:space="preserve">营口建发盛海磷化工有限公司                                 </w:t>
      </w:r>
    </w:p>
    <w:p>
      <w:pPr>
        <w:spacing w:line="360" w:lineRule="auto"/>
        <w:rPr>
          <w:rFonts w:hint="eastAsia" w:ascii="宋体" w:hAnsi="宋体" w:cs="宋体"/>
          <w:sz w:val="24"/>
          <w:u w:val="single"/>
        </w:rPr>
      </w:pPr>
      <w:r>
        <w:rPr>
          <w:rFonts w:hint="eastAsia" w:ascii="宋体" w:hAnsi="宋体" w:cs="宋体"/>
          <w:sz w:val="24"/>
          <w:u w:val="single"/>
        </w:rPr>
        <w:t>法定代表人或其委托代理人：  法定代表人或其委托代理人：</w:t>
      </w:r>
    </w:p>
    <w:p>
      <w:pPr>
        <w:spacing w:line="360" w:lineRule="auto"/>
        <w:rPr>
          <w:rFonts w:hint="eastAsia" w:ascii="宋体" w:hAnsi="宋体" w:cs="宋体"/>
          <w:sz w:val="24"/>
          <w:u w:val="single"/>
        </w:rPr>
      </w:pPr>
      <w:r>
        <w:rPr>
          <w:rFonts w:hint="eastAsia" w:ascii="宋体" w:hAnsi="宋体" w:cs="宋体"/>
          <w:sz w:val="24"/>
          <w:u w:val="single"/>
        </w:rPr>
        <w:t>（签字）                    （签字）</w:t>
      </w:r>
    </w:p>
    <w:p>
      <w:pPr>
        <w:spacing w:line="360" w:lineRule="auto"/>
        <w:rPr>
          <w:rFonts w:hint="eastAsia" w:ascii="宋体" w:hAnsi="宋体" w:cs="宋体"/>
          <w:sz w:val="24"/>
          <w:u w:val="single"/>
        </w:rPr>
      </w:pPr>
    </w:p>
    <w:p>
      <w:pPr>
        <w:spacing w:line="360" w:lineRule="auto"/>
        <w:rPr>
          <w:rFonts w:hint="eastAsia" w:ascii="宋体" w:hAnsi="宋体" w:cs="宋体"/>
          <w:sz w:val="24"/>
          <w:u w:val="single"/>
        </w:rPr>
      </w:pPr>
      <w:r>
        <w:rPr>
          <w:rFonts w:hint="eastAsia" w:ascii="宋体" w:hAnsi="宋体" w:cs="宋体"/>
          <w:sz w:val="24"/>
          <w:u w:val="single"/>
        </w:rPr>
        <w:t xml:space="preserve">组织机构代码：         组织机构代码：           </w:t>
      </w:r>
    </w:p>
    <w:p>
      <w:pPr>
        <w:spacing w:line="360" w:lineRule="auto"/>
        <w:rPr>
          <w:rFonts w:hint="eastAsia" w:ascii="宋体" w:hAnsi="宋体" w:cs="宋体"/>
          <w:sz w:val="24"/>
          <w:u w:val="single"/>
        </w:rPr>
      </w:pPr>
      <w:r>
        <w:rPr>
          <w:rFonts w:hint="eastAsia" w:ascii="宋体" w:hAnsi="宋体" w:cs="宋体"/>
          <w:sz w:val="24"/>
          <w:u w:val="single"/>
        </w:rPr>
        <w:t xml:space="preserve">地  址： 辽宁省营口市辽宁（营口   地  址：      </w:t>
      </w:r>
    </w:p>
    <w:p>
      <w:pPr>
        <w:spacing w:line="360" w:lineRule="auto"/>
        <w:rPr>
          <w:rFonts w:hint="eastAsia" w:ascii="宋体" w:hAnsi="宋体" w:cs="宋体"/>
          <w:sz w:val="24"/>
          <w:u w:val="single"/>
        </w:rPr>
      </w:pPr>
      <w:r>
        <w:rPr>
          <w:rFonts w:hint="eastAsia" w:ascii="宋体" w:hAnsi="宋体" w:cs="宋体"/>
          <w:sz w:val="24"/>
          <w:u w:val="single"/>
        </w:rPr>
        <w:t xml:space="preserve">）沿海产业基地新联大街195号 </w:t>
      </w:r>
    </w:p>
    <w:p>
      <w:pPr>
        <w:spacing w:line="360" w:lineRule="auto"/>
        <w:rPr>
          <w:rFonts w:hint="eastAsia" w:ascii="宋体" w:hAnsi="宋体" w:cs="宋体"/>
          <w:sz w:val="24"/>
          <w:u w:val="single"/>
        </w:rPr>
      </w:pPr>
      <w:r>
        <w:rPr>
          <w:rFonts w:hint="eastAsia" w:ascii="宋体" w:hAnsi="宋体" w:cs="宋体"/>
          <w:sz w:val="24"/>
          <w:u w:val="single"/>
        </w:rPr>
        <w:t xml:space="preserve">邮政编码： 115000  邮政编码：   </w:t>
      </w:r>
    </w:p>
    <w:p>
      <w:pPr>
        <w:spacing w:line="360" w:lineRule="auto"/>
        <w:rPr>
          <w:rFonts w:hint="eastAsia" w:ascii="宋体" w:hAnsi="宋体" w:cs="宋体"/>
          <w:sz w:val="24"/>
          <w:u w:val="single"/>
        </w:rPr>
      </w:pPr>
      <w:r>
        <w:rPr>
          <w:rFonts w:hint="eastAsia" w:ascii="宋体" w:hAnsi="宋体" w:cs="宋体"/>
          <w:sz w:val="24"/>
          <w:u w:val="single"/>
        </w:rPr>
        <w:t xml:space="preserve">法定代表人：陈明盛         法定代表人：             </w:t>
      </w:r>
    </w:p>
    <w:p>
      <w:pPr>
        <w:spacing w:line="360" w:lineRule="auto"/>
        <w:rPr>
          <w:rFonts w:hint="eastAsia" w:ascii="宋体" w:hAnsi="宋体" w:cs="宋体"/>
          <w:sz w:val="24"/>
          <w:u w:val="single"/>
        </w:rPr>
      </w:pPr>
      <w:r>
        <w:rPr>
          <w:rFonts w:hint="eastAsia" w:ascii="宋体" w:hAnsi="宋体" w:cs="宋体"/>
          <w:sz w:val="24"/>
          <w:u w:val="single"/>
        </w:rPr>
        <w:t xml:space="preserve">委托代理人：             委托代理人：             </w:t>
      </w:r>
    </w:p>
    <w:p>
      <w:pPr>
        <w:spacing w:line="360" w:lineRule="auto"/>
        <w:rPr>
          <w:rFonts w:hint="eastAsia" w:ascii="宋体" w:hAnsi="宋体" w:cs="宋体"/>
          <w:sz w:val="24"/>
          <w:u w:val="single"/>
        </w:rPr>
      </w:pPr>
      <w:r>
        <w:rPr>
          <w:rFonts w:hint="eastAsia" w:ascii="宋体" w:hAnsi="宋体" w:cs="宋体"/>
          <w:sz w:val="24"/>
          <w:u w:val="single"/>
        </w:rPr>
        <w:t xml:space="preserve">电  话：     电  话：     </w:t>
      </w:r>
    </w:p>
    <w:p>
      <w:pPr>
        <w:spacing w:line="360" w:lineRule="auto"/>
        <w:rPr>
          <w:rFonts w:hint="eastAsia" w:ascii="宋体" w:hAnsi="宋体" w:cs="宋体"/>
          <w:sz w:val="24"/>
          <w:u w:val="single"/>
        </w:rPr>
      </w:pPr>
      <w:r>
        <w:rPr>
          <w:rFonts w:hint="eastAsia" w:ascii="宋体" w:hAnsi="宋体" w:cs="宋体"/>
          <w:sz w:val="24"/>
          <w:u w:val="single"/>
        </w:rPr>
        <w:t xml:space="preserve">传  真：/     传  真：     </w:t>
      </w:r>
    </w:p>
    <w:p>
      <w:pPr>
        <w:spacing w:line="360" w:lineRule="auto"/>
        <w:rPr>
          <w:rFonts w:hint="eastAsia" w:ascii="宋体" w:hAnsi="宋体" w:cs="宋体"/>
          <w:sz w:val="24"/>
          <w:u w:val="single"/>
        </w:rPr>
      </w:pPr>
      <w:r>
        <w:rPr>
          <w:rFonts w:hint="eastAsia" w:ascii="宋体" w:hAnsi="宋体" w:cs="宋体"/>
          <w:sz w:val="24"/>
          <w:u w:val="single"/>
        </w:rPr>
        <w:t xml:space="preserve">电子信箱：                   电子信箱：   </w:t>
      </w:r>
    </w:p>
    <w:p>
      <w:pPr>
        <w:spacing w:line="360" w:lineRule="auto"/>
        <w:rPr>
          <w:rFonts w:hint="eastAsia" w:ascii="宋体" w:hAnsi="宋体" w:cs="宋体"/>
          <w:sz w:val="24"/>
          <w:u w:val="single"/>
        </w:rPr>
      </w:pPr>
      <w:r>
        <w:rPr>
          <w:rFonts w:hint="eastAsia" w:ascii="宋体" w:hAnsi="宋体" w:cs="宋体"/>
          <w:sz w:val="24"/>
          <w:u w:val="single"/>
        </w:rPr>
        <w:t xml:space="preserve">开户银行：中国银行股份有限公司营口分行  开户银行：   </w:t>
      </w:r>
    </w:p>
    <w:p>
      <w:pPr>
        <w:spacing w:line="360" w:lineRule="auto"/>
        <w:rPr>
          <w:rFonts w:eastAsia="仿宋_GB2312"/>
          <w:color w:val="000000"/>
          <w:sz w:val="30"/>
          <w:szCs w:val="30"/>
        </w:rPr>
      </w:pPr>
      <w:r>
        <w:rPr>
          <w:rFonts w:hint="eastAsia" w:ascii="宋体" w:hAnsi="宋体" w:cs="宋体"/>
          <w:sz w:val="24"/>
          <w:u w:val="single"/>
        </w:rPr>
        <w:t>账  号：</w:t>
      </w:r>
      <w:r>
        <w:rPr>
          <w:rFonts w:hint="eastAsia"/>
          <w:u w:val="single"/>
        </w:rPr>
        <w:t>302586920440</w:t>
      </w:r>
      <w:r>
        <w:rPr>
          <w:rFonts w:hint="eastAsia" w:ascii="宋体" w:hAnsi="宋体" w:cs="宋体"/>
          <w:sz w:val="24"/>
          <w:u w:val="single"/>
        </w:rPr>
        <w:t>          账  号：</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p>
    <w:p>
      <w:pPr>
        <w:pStyle w:val="6"/>
        <w:jc w:val="center"/>
        <w:rPr>
          <w:rFonts w:hint="eastAsia" w:ascii="华文中宋" w:hAnsi="华文中宋" w:eastAsia="华文中宋"/>
          <w:sz w:val="44"/>
          <w:szCs w:val="44"/>
        </w:rPr>
      </w:pPr>
      <w:r>
        <w:rPr>
          <w:rFonts w:eastAsia="仿宋_GB2312"/>
        </w:rPr>
        <w:br w:type="page"/>
      </w:r>
      <w:bookmarkStart w:id="877" w:name="_Toc351203494"/>
      <w:bookmarkStart w:id="878" w:name="_Toc18211"/>
      <w:r>
        <w:rPr>
          <w:rFonts w:ascii="华文中宋" w:hAnsi="华文中宋" w:eastAsia="华文中宋"/>
          <w:sz w:val="44"/>
          <w:szCs w:val="44"/>
        </w:rPr>
        <w:t>第二部分 通用合同条款</w:t>
      </w:r>
      <w:bookmarkEnd w:id="877"/>
      <w:bookmarkEnd w:id="878"/>
      <w:bookmarkStart w:id="879" w:name="_Toc337558727"/>
    </w:p>
    <w:p>
      <w:pPr>
        <w:pStyle w:val="7"/>
        <w:spacing w:before="120" w:after="120" w:line="360" w:lineRule="auto"/>
        <w:rPr>
          <w:rFonts w:ascii="Times New Roman" w:hAnsi="Times New Roman" w:eastAsia="黑体"/>
          <w:b w:val="0"/>
          <w:color w:val="000000"/>
          <w:sz w:val="32"/>
          <w:szCs w:val="32"/>
        </w:rPr>
      </w:pPr>
      <w:bookmarkStart w:id="880" w:name="_Toc351203495"/>
      <w:r>
        <w:rPr>
          <w:rFonts w:ascii="Times New Roman" w:hAnsi="Times New Roman" w:eastAsia="黑体"/>
          <w:b w:val="0"/>
          <w:color w:val="000000"/>
          <w:sz w:val="32"/>
          <w:szCs w:val="32"/>
        </w:rPr>
        <w:t>1.</w:t>
      </w:r>
      <w:bookmarkStart w:id="881" w:name="_Toc303538975"/>
      <w:bookmarkEnd w:id="881"/>
      <w:bookmarkStart w:id="882" w:name="_Toc303538976"/>
      <w:bookmarkEnd w:id="882"/>
      <w:bookmarkStart w:id="883" w:name="_Toc303538972"/>
      <w:bookmarkEnd w:id="883"/>
      <w:bookmarkStart w:id="884" w:name="_Toc303538974"/>
      <w:bookmarkEnd w:id="884"/>
      <w:bookmarkStart w:id="885" w:name="_Toc303538973"/>
      <w:bookmarkEnd w:id="885"/>
      <w:bookmarkStart w:id="886" w:name="_Toc296503027"/>
      <w:bookmarkStart w:id="887" w:name="_Toc296346528"/>
      <w:r>
        <w:rPr>
          <w:rFonts w:ascii="Times New Roman" w:hAnsi="Times New Roman" w:eastAsia="黑体"/>
          <w:b w:val="0"/>
          <w:color w:val="000000"/>
          <w:sz w:val="32"/>
          <w:szCs w:val="32"/>
        </w:rPr>
        <w:t xml:space="preserve"> 一般约定</w:t>
      </w:r>
      <w:bookmarkEnd w:id="879"/>
      <w:bookmarkEnd w:id="880"/>
      <w:bookmarkEnd w:id="886"/>
      <w:bookmarkEnd w:id="887"/>
    </w:p>
    <w:p>
      <w:pPr>
        <w:pStyle w:val="8"/>
        <w:spacing w:before="120" w:after="120" w:line="360" w:lineRule="auto"/>
        <w:ind w:firstLine="600" w:firstLineChars="200"/>
        <w:rPr>
          <w:rFonts w:eastAsia="黑体"/>
          <w:b w:val="0"/>
          <w:color w:val="000000"/>
          <w:sz w:val="30"/>
          <w:szCs w:val="32"/>
        </w:rPr>
      </w:pPr>
      <w:bookmarkStart w:id="888" w:name="_Toc296503028"/>
      <w:bookmarkStart w:id="889" w:name="_Toc296346529"/>
      <w:bookmarkStart w:id="890" w:name="_Toc337558728"/>
      <w:bookmarkStart w:id="891" w:name="_Toc351203496"/>
      <w:r>
        <w:rPr>
          <w:rFonts w:eastAsia="黑体"/>
          <w:b w:val="0"/>
          <w:color w:val="000000"/>
          <w:sz w:val="30"/>
          <w:szCs w:val="32"/>
        </w:rPr>
        <w:t>1.1词语定义</w:t>
      </w:r>
      <w:bookmarkEnd w:id="888"/>
      <w:bookmarkEnd w:id="889"/>
      <w:bookmarkEnd w:id="890"/>
      <w:r>
        <w:rPr>
          <w:rFonts w:eastAsia="黑体"/>
          <w:b w:val="0"/>
          <w:color w:val="000000"/>
          <w:sz w:val="30"/>
          <w:szCs w:val="32"/>
        </w:rPr>
        <w:t>与解释</w:t>
      </w:r>
      <w:bookmarkEnd w:id="891"/>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合同协议书、通用合同条款、专用合同条款中的下列词语具有本款所赋予的含义：</w:t>
      </w:r>
    </w:p>
    <w:p>
      <w:pPr>
        <w:autoSpaceDE w:val="0"/>
        <w:autoSpaceDN w:val="0"/>
        <w:adjustRightInd w:val="0"/>
        <w:spacing w:line="360" w:lineRule="auto"/>
        <w:jc w:val="left"/>
        <w:rPr>
          <w:rFonts w:eastAsia="仿宋_GB2312"/>
          <w:color w:val="000000"/>
          <w:kern w:val="0"/>
          <w:sz w:val="30"/>
          <w:szCs w:val="32"/>
        </w:rPr>
      </w:pPr>
      <w:r>
        <w:rPr>
          <w:rFonts w:eastAsia="仿宋_GB2312"/>
          <w:color w:val="000000"/>
          <w:kern w:val="0"/>
          <w:sz w:val="30"/>
          <w:szCs w:val="32"/>
        </w:rPr>
        <w:t xml:space="preserve">    1.1.1 合同</w:t>
      </w:r>
    </w:p>
    <w:p>
      <w:pPr>
        <w:autoSpaceDE w:val="0"/>
        <w:autoSpaceDN w:val="0"/>
        <w:adjustRightInd w:val="0"/>
        <w:spacing w:line="360" w:lineRule="auto"/>
        <w:ind w:firstLine="600" w:firstLineChars="200"/>
        <w:jc w:val="left"/>
        <w:rPr>
          <w:rFonts w:eastAsia="仿宋_GB2312"/>
          <w:color w:val="000000"/>
          <w:kern w:val="0"/>
          <w:sz w:val="30"/>
          <w:szCs w:val="30"/>
        </w:rPr>
      </w:pPr>
      <w:r>
        <w:rPr>
          <w:rFonts w:eastAsia="仿宋_GB2312"/>
          <w:color w:val="000000"/>
          <w:kern w:val="0"/>
          <w:sz w:val="30"/>
          <w:szCs w:val="30"/>
        </w:rPr>
        <w:t>1.1.1.1 合同：是指根据法律规定和合同当事人约定具有约束力的文件，构成合同的文件包括合同协议书、中标通知书（如果有）、投标函及其附录（如果有）、专用合同条款</w:t>
      </w:r>
      <w:r>
        <w:rPr>
          <w:rFonts w:eastAsia="仿宋_GB2312"/>
          <w:color w:val="000000"/>
          <w:sz w:val="30"/>
          <w:szCs w:val="30"/>
        </w:rPr>
        <w:t>及其附件</w:t>
      </w:r>
      <w:r>
        <w:rPr>
          <w:rFonts w:eastAsia="仿宋_GB2312"/>
          <w:color w:val="000000"/>
          <w:kern w:val="0"/>
          <w:sz w:val="30"/>
          <w:szCs w:val="30"/>
        </w:rPr>
        <w:t>、通用合同条款、技术标准和要求、图纸、已标价工程量清单或预算书以及其他合同文件。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1.1.1.2 合同协议书：是指构成合同的由发包人和承包人共同签署的称为“合同协议书”的书面文件</w:t>
      </w:r>
      <w:r>
        <w:rPr>
          <w:rFonts w:hint="eastAsia"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1.1.1.3 中标通知书：是指构成合同的</w:t>
      </w:r>
      <w:r>
        <w:rPr>
          <w:rFonts w:hint="eastAsia" w:eastAsia="仿宋_GB2312"/>
          <w:color w:val="000000"/>
          <w:kern w:val="0"/>
          <w:sz w:val="30"/>
          <w:szCs w:val="32"/>
        </w:rPr>
        <w:t>由</w:t>
      </w:r>
      <w:r>
        <w:rPr>
          <w:rFonts w:eastAsia="仿宋_GB2312"/>
          <w:color w:val="000000"/>
          <w:kern w:val="0"/>
          <w:sz w:val="30"/>
          <w:szCs w:val="32"/>
        </w:rPr>
        <w:t>发包人通知承包人中标的书面文件。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1.1.1.4 投标函：是指构成合同的由承包人填写并签署的用于投标的称为“投标函”的文件。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1.1.1.5 投标函附录：是指构成合同的附在投标函后的称为“投标函附录”的文件。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1.1.1.6 技术标准和要求：是指构成合同的施工应当遵守的或指导施工的国家、行业或地方的技术标准和要求，以及合同约定的技术标准和要求。</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1.1.1.7 图纸：是指构成合同的图纸，包括由发包人按照合同约定提供或经发包人批准的设计文件、</w:t>
      </w:r>
      <w:r>
        <w:rPr>
          <w:rFonts w:hint="eastAsia" w:eastAsia="仿宋_GB2312"/>
          <w:color w:val="000000"/>
          <w:kern w:val="0"/>
          <w:sz w:val="30"/>
          <w:szCs w:val="32"/>
        </w:rPr>
        <w:t>施工图、</w:t>
      </w:r>
      <w:r>
        <w:rPr>
          <w:rFonts w:eastAsia="仿宋_GB2312"/>
          <w:color w:val="000000"/>
          <w:kern w:val="0"/>
          <w:sz w:val="30"/>
          <w:szCs w:val="32"/>
        </w:rPr>
        <w:t>鸟瞰图及模型等，</w:t>
      </w:r>
      <w:r>
        <w:rPr>
          <w:rFonts w:hint="eastAsia" w:eastAsia="仿宋_GB2312"/>
          <w:color w:val="000000"/>
          <w:kern w:val="0"/>
          <w:sz w:val="30"/>
          <w:szCs w:val="32"/>
        </w:rPr>
        <w:t>以及在合同履行过程中形成的图纸文件。图纸</w:t>
      </w:r>
      <w:r>
        <w:rPr>
          <w:rFonts w:eastAsia="仿宋_GB2312"/>
          <w:color w:val="000000"/>
          <w:kern w:val="0"/>
          <w:sz w:val="30"/>
          <w:szCs w:val="32"/>
        </w:rPr>
        <w:t>应当按照法律规定审查合格。</w:t>
      </w:r>
    </w:p>
    <w:p>
      <w:pPr>
        <w:autoSpaceDE w:val="0"/>
        <w:autoSpaceDN w:val="0"/>
        <w:adjustRightInd w:val="0"/>
        <w:spacing w:line="360" w:lineRule="auto"/>
        <w:ind w:firstLine="585" w:firstLineChars="195"/>
        <w:jc w:val="left"/>
        <w:rPr>
          <w:rFonts w:eastAsia="仿宋_GB2312"/>
          <w:color w:val="000000"/>
          <w:kern w:val="0"/>
          <w:sz w:val="30"/>
          <w:szCs w:val="32"/>
        </w:rPr>
      </w:pPr>
      <w:r>
        <w:rPr>
          <w:rFonts w:eastAsia="仿宋_GB2312"/>
          <w:color w:val="000000"/>
          <w:kern w:val="0"/>
          <w:sz w:val="30"/>
          <w:szCs w:val="32"/>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585" w:firstLineChars="195"/>
        <w:jc w:val="left"/>
        <w:rPr>
          <w:rFonts w:eastAsia="仿宋_GB2312"/>
          <w:color w:val="000000"/>
          <w:kern w:val="0"/>
          <w:sz w:val="30"/>
          <w:szCs w:val="32"/>
        </w:rPr>
      </w:pPr>
      <w:r>
        <w:rPr>
          <w:rFonts w:eastAsia="仿宋_GB2312"/>
          <w:color w:val="000000"/>
          <w:kern w:val="0"/>
          <w:sz w:val="30"/>
          <w:szCs w:val="32"/>
        </w:rPr>
        <w:t>1.1.1.9 预算书：是指构成合同的由承包人按照发包人规定的格式和要求编制的工程预算文件。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eastAsia="仿宋_GB2312"/>
          <w:color w:val="000000"/>
          <w:kern w:val="0"/>
          <w:sz w:val="30"/>
          <w:szCs w:val="32"/>
        </w:rPr>
      </w:pPr>
      <w:r>
        <w:rPr>
          <w:rFonts w:eastAsia="仿宋_GB2312"/>
          <w:color w:val="000000"/>
          <w:kern w:val="0"/>
          <w:sz w:val="30"/>
          <w:szCs w:val="32"/>
        </w:rPr>
        <w:t xml:space="preserve">    1.1.2 合同当事人及其他相关方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1.1.2.1 合同当事人：是指发包人和（或）承包人。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1.1.2.2 发包人：是指与承包人签订合同协议书的当事人及取得该当事人资格的合法继承人。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1.1.2.4 监理人：是指在专用合同条款中指明的，受发包人委托按照法律规定进行工程监督管理的法人或其他组织。</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1.1.2.5 设计人：是指在专用合同条款中指明的，受发包人委托负责工程设计并具备相应工程设计资质的法人或其他组织。</w:t>
      </w:r>
    </w:p>
    <w:p>
      <w:pPr>
        <w:spacing w:line="360" w:lineRule="auto"/>
        <w:ind w:firstLine="585" w:firstLineChars="195"/>
        <w:jc w:val="left"/>
        <w:rPr>
          <w:rFonts w:eastAsia="仿宋_GB2312"/>
          <w:color w:val="000000"/>
          <w:kern w:val="0"/>
          <w:sz w:val="30"/>
          <w:szCs w:val="32"/>
        </w:rPr>
      </w:pPr>
      <w:r>
        <w:rPr>
          <w:rFonts w:eastAsia="仿宋_GB2312"/>
          <w:color w:val="000000"/>
          <w:kern w:val="0"/>
          <w:sz w:val="30"/>
          <w:szCs w:val="32"/>
        </w:rPr>
        <w:t>1.1.2.6 分包人：</w:t>
      </w:r>
      <w:bookmarkStart w:id="892" w:name="#go5"/>
      <w:bookmarkEnd w:id="892"/>
      <w:r>
        <w:rPr>
          <w:rFonts w:eastAsia="仿宋_GB2312"/>
          <w:color w:val="000000"/>
          <w:kern w:val="0"/>
          <w:sz w:val="30"/>
          <w:szCs w:val="32"/>
        </w:rPr>
        <w:t>是指</w:t>
      </w:r>
      <w:r>
        <w:rPr>
          <w:rFonts w:hint="eastAsia" w:eastAsia="仿宋_GB2312"/>
          <w:color w:val="000000"/>
          <w:kern w:val="0"/>
          <w:sz w:val="30"/>
          <w:szCs w:val="32"/>
        </w:rPr>
        <w:t>按照法律规定和</w:t>
      </w:r>
      <w:r>
        <w:rPr>
          <w:rFonts w:eastAsia="仿宋_GB2312"/>
          <w:color w:val="000000"/>
          <w:kern w:val="0"/>
          <w:sz w:val="30"/>
          <w:szCs w:val="32"/>
        </w:rPr>
        <w:t>合同约定，分包</w:t>
      </w:r>
      <w:r>
        <w:rPr>
          <w:rFonts w:hint="eastAsia" w:eastAsia="仿宋_GB2312"/>
          <w:color w:val="000000"/>
          <w:kern w:val="0"/>
          <w:sz w:val="30"/>
          <w:szCs w:val="32"/>
        </w:rPr>
        <w:t>部分</w:t>
      </w:r>
      <w:r>
        <w:rPr>
          <w:rFonts w:eastAsia="仿宋_GB2312"/>
          <w:color w:val="000000"/>
          <w:kern w:val="0"/>
          <w:sz w:val="30"/>
          <w:szCs w:val="32"/>
        </w:rPr>
        <w:t>工程</w:t>
      </w:r>
      <w:r>
        <w:rPr>
          <w:rFonts w:hint="eastAsia" w:eastAsia="仿宋_GB2312"/>
          <w:color w:val="000000"/>
          <w:kern w:val="0"/>
          <w:sz w:val="30"/>
          <w:szCs w:val="32"/>
        </w:rPr>
        <w:t>或工作</w:t>
      </w:r>
      <w:r>
        <w:rPr>
          <w:rFonts w:eastAsia="仿宋_GB2312"/>
          <w:color w:val="000000"/>
          <w:kern w:val="0"/>
          <w:sz w:val="30"/>
          <w:szCs w:val="32"/>
        </w:rPr>
        <w:t>，并与</w:t>
      </w:r>
      <w:r>
        <w:rPr>
          <w:rFonts w:hint="eastAsia" w:eastAsia="仿宋_GB2312"/>
          <w:color w:val="000000"/>
          <w:kern w:val="0"/>
          <w:sz w:val="30"/>
          <w:szCs w:val="32"/>
        </w:rPr>
        <w:t>承包人</w:t>
      </w:r>
      <w:r>
        <w:rPr>
          <w:rFonts w:eastAsia="仿宋_GB2312"/>
          <w:color w:val="000000"/>
          <w:kern w:val="0"/>
          <w:sz w:val="30"/>
          <w:szCs w:val="32"/>
        </w:rPr>
        <w:t>签订分包合同的具有相应资质的法人。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1.1.2.7 发包人代表：是指由发包人任命并派驻施工现场在发包人授权范围内行使发包人权利的人。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1.1.2.8 项目经理：是指由承包人任命并派驻施工现场，在承包人授权范围内负责合同履行，且按照法律规定具有相应资格的</w:t>
      </w:r>
      <w:r>
        <w:rPr>
          <w:rFonts w:hint="eastAsia" w:eastAsia="仿宋_GB2312"/>
          <w:color w:val="000000"/>
          <w:kern w:val="0"/>
          <w:sz w:val="30"/>
          <w:szCs w:val="32"/>
        </w:rPr>
        <w:t>项目负责</w:t>
      </w:r>
      <w:r>
        <w:rPr>
          <w:rFonts w:eastAsia="仿宋_GB2312"/>
          <w:color w:val="000000"/>
          <w:kern w:val="0"/>
          <w:sz w:val="30"/>
          <w:szCs w:val="32"/>
        </w:rPr>
        <w:t>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1.1.2.9 总监理工程师：是指由监理人任命并派驻施工现场进行工程监理的总负责人。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 工程和设备</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1.1.3.1 工程：是指与合同协议书中工程承包范围对应的永久工程和（或）临时工程。</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1.1.3.2 永久工程：是指按合同约定建造并移交给发包人的工程，包括工程设备。</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1.1.3.3 临时工程：是指为完成合同约定的永久工程所修建的各类临时性工程，不包括施工设备。</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1.1.3.4 单位工程：是指在</w:t>
      </w:r>
      <w:r>
        <w:rPr>
          <w:rFonts w:hint="eastAsia" w:eastAsia="仿宋_GB2312"/>
          <w:color w:val="000000"/>
          <w:kern w:val="0"/>
          <w:sz w:val="30"/>
          <w:szCs w:val="32"/>
        </w:rPr>
        <w:t>合同协议书</w:t>
      </w:r>
      <w:r>
        <w:rPr>
          <w:rFonts w:eastAsia="仿宋_GB2312"/>
          <w:color w:val="000000"/>
          <w:kern w:val="0"/>
          <w:sz w:val="30"/>
          <w:szCs w:val="32"/>
        </w:rPr>
        <w:t>中指明的，具备独立施工条件并能形成独立使用功能的永久工程。</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1.1.3.5 工程设备：是指构成永久工程的机电设备、金属结构设备、仪器及其他类似的设备和装置。</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1.1.3.6 施工设备：是指为完成合同约定的各项工作所需的设备、器具和其他物品，但不包括工程设备、临时工程和材料。</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1.1.3.7 施工现场：是指用于工程施工的场所，以及在专用合同条款中</w:t>
      </w:r>
      <w:r>
        <w:rPr>
          <w:rFonts w:hint="eastAsia" w:eastAsia="仿宋_GB2312"/>
          <w:color w:val="000000"/>
          <w:kern w:val="0"/>
          <w:sz w:val="30"/>
          <w:szCs w:val="32"/>
        </w:rPr>
        <w:t>指</w:t>
      </w:r>
      <w:r>
        <w:rPr>
          <w:rFonts w:eastAsia="仿宋_GB2312"/>
          <w:color w:val="000000"/>
          <w:kern w:val="0"/>
          <w:sz w:val="30"/>
          <w:szCs w:val="32"/>
        </w:rPr>
        <w:t>明作为施工场所组成部分的其他场所，包括永久占地和临时占地。</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1.1.3.8临时设施：是指为完成合同约定的各项工作所服务的临时性生产和生活设施。</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1.1.3.9 永久占地：是指专用合同条款中指明为实施工程需永久占用的土地。</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1.1.3.10 临时占地：是指专用合同条款中指明为实施工程需要临时占用的土地。</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 日期和期限</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1.1.4.1 开工日期：包括计划开工日期和实际开工日期。计划开工日期是指合同协议书约定的开工日期；实际开工日期是指监理人按照第7.3.2项</w:t>
      </w:r>
      <w:r>
        <w:rPr>
          <w:rFonts w:hint="eastAsia" w:eastAsia="仿宋_GB2312"/>
          <w:color w:val="000000"/>
          <w:kern w:val="0"/>
          <w:sz w:val="30"/>
          <w:szCs w:val="32"/>
        </w:rPr>
        <w:t>〔</w:t>
      </w:r>
      <w:r>
        <w:rPr>
          <w:rFonts w:eastAsia="仿宋_GB2312"/>
          <w:color w:val="000000"/>
          <w:kern w:val="0"/>
          <w:sz w:val="30"/>
          <w:szCs w:val="32"/>
        </w:rPr>
        <w:t>开工通知</w:t>
      </w:r>
      <w:r>
        <w:rPr>
          <w:rFonts w:hint="eastAsia" w:eastAsia="仿宋_GB2312"/>
          <w:color w:val="000000"/>
          <w:kern w:val="0"/>
          <w:sz w:val="30"/>
          <w:szCs w:val="32"/>
        </w:rPr>
        <w:t>〕</w:t>
      </w:r>
      <w:r>
        <w:rPr>
          <w:rFonts w:eastAsia="仿宋_GB2312"/>
          <w:color w:val="000000"/>
          <w:kern w:val="0"/>
          <w:sz w:val="30"/>
          <w:szCs w:val="32"/>
        </w:rPr>
        <w:t>约定发出的符合法律规定的开工通知中载明的开工日期。</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1.1.4.2 竣工日期：包括计划竣工日期和实际竣工日期。计划竣工日期是指合同协议书约定的竣工日期</w:t>
      </w:r>
      <w:r>
        <w:rPr>
          <w:rFonts w:hint="eastAsia" w:eastAsia="仿宋_GB2312"/>
          <w:color w:val="000000"/>
          <w:kern w:val="0"/>
          <w:sz w:val="30"/>
          <w:szCs w:val="32"/>
        </w:rPr>
        <w:t>；</w:t>
      </w:r>
      <w:r>
        <w:rPr>
          <w:rFonts w:eastAsia="仿宋_GB2312"/>
          <w:color w:val="000000"/>
          <w:kern w:val="0"/>
          <w:sz w:val="30"/>
          <w:szCs w:val="32"/>
        </w:rPr>
        <w:t>实际竣工日期按照第13.2.3项</w:t>
      </w:r>
      <w:r>
        <w:rPr>
          <w:rFonts w:hint="eastAsia" w:eastAsia="仿宋_GB2312"/>
          <w:color w:val="000000"/>
          <w:kern w:val="0"/>
          <w:sz w:val="30"/>
          <w:szCs w:val="32"/>
        </w:rPr>
        <w:t>〔</w:t>
      </w:r>
      <w:r>
        <w:rPr>
          <w:rFonts w:eastAsia="仿宋_GB2312"/>
          <w:color w:val="000000"/>
          <w:kern w:val="0"/>
          <w:sz w:val="30"/>
          <w:szCs w:val="32"/>
        </w:rPr>
        <w:t>竣工日期</w:t>
      </w:r>
      <w:r>
        <w:rPr>
          <w:rFonts w:hint="eastAsia" w:eastAsia="仿宋_GB2312"/>
          <w:color w:val="000000"/>
          <w:kern w:val="0"/>
          <w:sz w:val="30"/>
          <w:szCs w:val="32"/>
        </w:rPr>
        <w:t>〕</w:t>
      </w:r>
      <w:r>
        <w:rPr>
          <w:rFonts w:eastAsia="仿宋_GB2312"/>
          <w:color w:val="000000"/>
          <w:kern w:val="0"/>
          <w:sz w:val="30"/>
          <w:szCs w:val="32"/>
        </w:rPr>
        <w:t xml:space="preserve">的约定确定。 </w:t>
      </w:r>
    </w:p>
    <w:p>
      <w:pPr>
        <w:spacing w:line="360" w:lineRule="auto"/>
        <w:ind w:firstLine="608" w:firstLineChars="203"/>
        <w:rPr>
          <w:rFonts w:eastAsia="仿宋_GB2312"/>
          <w:color w:val="000000"/>
          <w:sz w:val="30"/>
          <w:szCs w:val="32"/>
        </w:rPr>
      </w:pPr>
      <w:r>
        <w:rPr>
          <w:rFonts w:eastAsia="仿宋_GB2312"/>
          <w:color w:val="000000"/>
          <w:kern w:val="0"/>
          <w:sz w:val="30"/>
          <w:szCs w:val="32"/>
        </w:rPr>
        <w:t>1.1.4.3 工期：是指在合同协议书约定的承包人完成工程所需的期限，包括按照合同约定所作的</w:t>
      </w:r>
      <w:r>
        <w:rPr>
          <w:rFonts w:hint="eastAsia" w:eastAsia="仿宋_GB2312"/>
          <w:color w:val="000000"/>
          <w:kern w:val="0"/>
          <w:sz w:val="30"/>
          <w:szCs w:val="32"/>
        </w:rPr>
        <w:t>期限</w:t>
      </w:r>
      <w:r>
        <w:rPr>
          <w:rFonts w:eastAsia="仿宋_GB2312"/>
          <w:color w:val="000000"/>
          <w:kern w:val="0"/>
          <w:sz w:val="30"/>
          <w:szCs w:val="32"/>
        </w:rPr>
        <w:t>变更。</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1.1.4.4 缺陷责任期：是指承包人按照合同约定承担缺陷修复义务，且发包人</w:t>
      </w:r>
      <w:r>
        <w:rPr>
          <w:rFonts w:hint="eastAsia" w:eastAsia="仿宋_GB2312"/>
          <w:color w:val="000000"/>
          <w:kern w:val="0"/>
          <w:sz w:val="30"/>
          <w:szCs w:val="32"/>
        </w:rPr>
        <w:t>预</w:t>
      </w:r>
      <w:r>
        <w:rPr>
          <w:rFonts w:eastAsia="仿宋_GB2312"/>
          <w:color w:val="000000"/>
          <w:kern w:val="0"/>
          <w:sz w:val="30"/>
          <w:szCs w:val="32"/>
        </w:rPr>
        <w:t>留质量保证金</w:t>
      </w:r>
      <w:r>
        <w:rPr>
          <w:rFonts w:hint="eastAsia" w:eastAsia="仿宋_GB2312"/>
          <w:color w:val="000000"/>
          <w:kern w:val="0"/>
          <w:sz w:val="30"/>
          <w:szCs w:val="32"/>
        </w:rPr>
        <w:t>（已</w:t>
      </w:r>
      <w:r>
        <w:rPr>
          <w:rFonts w:eastAsia="仿宋_GB2312"/>
          <w:color w:val="000000"/>
          <w:kern w:val="0"/>
          <w:sz w:val="30"/>
          <w:szCs w:val="32"/>
        </w:rPr>
        <w:t>缴纳履约保证金的除外</w:t>
      </w:r>
      <w:r>
        <w:rPr>
          <w:rFonts w:hint="eastAsia" w:eastAsia="仿宋_GB2312"/>
          <w:color w:val="000000"/>
          <w:kern w:val="0"/>
          <w:sz w:val="30"/>
          <w:szCs w:val="32"/>
        </w:rPr>
        <w:t>）</w:t>
      </w:r>
      <w:r>
        <w:rPr>
          <w:rFonts w:eastAsia="仿宋_GB2312"/>
          <w:color w:val="000000"/>
          <w:kern w:val="0"/>
          <w:sz w:val="30"/>
          <w:szCs w:val="32"/>
        </w:rPr>
        <w:t>的期限，</w:t>
      </w:r>
      <w:r>
        <w:rPr>
          <w:rFonts w:hint="eastAsia" w:eastAsia="仿宋_GB2312"/>
          <w:color w:val="000000"/>
          <w:kern w:val="0"/>
          <w:sz w:val="30"/>
          <w:szCs w:val="32"/>
        </w:rPr>
        <w:t>自</w:t>
      </w:r>
      <w:r>
        <w:rPr>
          <w:rFonts w:eastAsia="仿宋_GB2312"/>
          <w:color w:val="000000"/>
          <w:kern w:val="0"/>
          <w:sz w:val="30"/>
          <w:szCs w:val="32"/>
        </w:rPr>
        <w:t>工程</w:t>
      </w:r>
      <w:r>
        <w:rPr>
          <w:rFonts w:hint="eastAsia" w:eastAsia="仿宋_GB2312"/>
          <w:color w:val="000000"/>
          <w:kern w:val="0"/>
          <w:sz w:val="30"/>
          <w:szCs w:val="32"/>
        </w:rPr>
        <w:t>实际竣工日期</w:t>
      </w:r>
      <w:r>
        <w:rPr>
          <w:rFonts w:eastAsia="仿宋_GB2312"/>
          <w:color w:val="000000"/>
          <w:kern w:val="0"/>
          <w:sz w:val="30"/>
          <w:szCs w:val="32"/>
        </w:rPr>
        <w:t>起计算。</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1.1.4.5 保修期：是指承包人按照合同约定对工程承担保修责任的期限，从工程竣工验收合格之日起计算。</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1.1.4.6 基准日期：招标发包的工程以投标截止日前28天的日期为基准日</w:t>
      </w:r>
      <w:r>
        <w:rPr>
          <w:rFonts w:hint="eastAsia" w:eastAsia="仿宋_GB2312"/>
          <w:color w:val="000000"/>
          <w:kern w:val="0"/>
          <w:sz w:val="30"/>
          <w:szCs w:val="32"/>
        </w:rPr>
        <w:t>期</w:t>
      </w:r>
      <w:r>
        <w:rPr>
          <w:rFonts w:eastAsia="仿宋_GB2312"/>
          <w:color w:val="000000"/>
          <w:kern w:val="0"/>
          <w:sz w:val="30"/>
          <w:szCs w:val="32"/>
        </w:rPr>
        <w:t>，直接发包的工程以合同签订日前28天的日期为基准日</w:t>
      </w:r>
      <w:r>
        <w:rPr>
          <w:rFonts w:hint="eastAsia" w:eastAsia="仿宋_GB2312"/>
          <w:color w:val="000000"/>
          <w:kern w:val="0"/>
          <w:sz w:val="30"/>
          <w:szCs w:val="32"/>
        </w:rPr>
        <w:t>期</w:t>
      </w:r>
      <w:r>
        <w:rPr>
          <w:rFonts w:eastAsia="仿宋_GB2312"/>
          <w:color w:val="000000"/>
          <w:kern w:val="0"/>
          <w:sz w:val="30"/>
          <w:szCs w:val="32"/>
        </w:rPr>
        <w:t>。</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1.1.4.7 天：除特别指明外，均指日历天。合同中按天计算时间的，开始当天不计入，从次日开始计算，期限最后一天的截止时间为当天24:00时。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 合同价格和费用</w:t>
      </w:r>
    </w:p>
    <w:p>
      <w:pPr>
        <w:spacing w:line="360" w:lineRule="auto"/>
        <w:ind w:firstLine="600" w:firstLineChars="200"/>
        <w:jc w:val="left"/>
        <w:rPr>
          <w:rFonts w:eastAsia="仿宋_GB2312"/>
          <w:color w:val="000000"/>
          <w:sz w:val="30"/>
          <w:szCs w:val="32"/>
        </w:rPr>
      </w:pPr>
      <w:r>
        <w:rPr>
          <w:rFonts w:eastAsia="仿宋_GB2312"/>
          <w:color w:val="000000"/>
          <w:kern w:val="0"/>
          <w:sz w:val="30"/>
          <w:szCs w:val="32"/>
        </w:rPr>
        <w:t>1.1.5.1 签约合同价：是指</w:t>
      </w:r>
      <w:r>
        <w:rPr>
          <w:rFonts w:eastAsia="仿宋_GB2312"/>
          <w:color w:val="000000"/>
          <w:sz w:val="30"/>
          <w:szCs w:val="32"/>
        </w:rPr>
        <w:t>发包人和承包人在合同协议书中确定的总金额，包括安全文明施工费、暂估价及暂列金额等。</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1.1.5.2 合同价格：是指发包人用于支付承包人按照合同约定完成承包范围内全部工作的金额，包括合同履行过程中按合同约定</w:t>
      </w:r>
      <w:r>
        <w:rPr>
          <w:rFonts w:hint="eastAsia" w:eastAsia="仿宋_GB2312"/>
          <w:color w:val="000000"/>
          <w:kern w:val="0"/>
          <w:sz w:val="30"/>
          <w:szCs w:val="32"/>
        </w:rPr>
        <w:t>发生的价格变化。</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1.1.5.3 费用：是指为履行合同所发生的或将要发生的所有必需的开支，包括管理费和应分摊的其他费用，但不包括利润。</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1.1.5.4 暂估价：是指发包人在工程量清单或预算书中提供的用于支付必然发生但暂时不能确定价格的材料、工程设备的单价</w:t>
      </w:r>
      <w:r>
        <w:rPr>
          <w:rFonts w:hint="eastAsia" w:eastAsia="仿宋_GB2312"/>
          <w:color w:val="000000"/>
          <w:kern w:val="0"/>
          <w:sz w:val="30"/>
          <w:szCs w:val="32"/>
        </w:rPr>
        <w:t>、</w:t>
      </w:r>
      <w:r>
        <w:rPr>
          <w:rFonts w:eastAsia="仿宋_GB2312"/>
          <w:color w:val="000000"/>
          <w:kern w:val="0"/>
          <w:sz w:val="30"/>
          <w:szCs w:val="32"/>
        </w:rPr>
        <w:t>专业工程以及</w:t>
      </w:r>
      <w:r>
        <w:rPr>
          <w:rFonts w:hint="eastAsia" w:eastAsia="仿宋_GB2312"/>
          <w:color w:val="000000"/>
          <w:kern w:val="0"/>
          <w:sz w:val="30"/>
          <w:szCs w:val="32"/>
        </w:rPr>
        <w:t>服务工作</w:t>
      </w:r>
      <w:r>
        <w:rPr>
          <w:rFonts w:eastAsia="仿宋_GB2312"/>
          <w:color w:val="000000"/>
          <w:kern w:val="0"/>
          <w:sz w:val="30"/>
          <w:szCs w:val="32"/>
        </w:rPr>
        <w:t>的金额。</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1.1.5.5 暂列金额：是指发包人在工程量清单或预算书中暂定并包括在合同价格中的一笔款项</w:t>
      </w:r>
      <w:r>
        <w:rPr>
          <w:rFonts w:hint="eastAsia" w:eastAsia="仿宋_GB2312"/>
          <w:color w:val="000000"/>
          <w:kern w:val="0"/>
          <w:sz w:val="30"/>
          <w:szCs w:val="32"/>
        </w:rPr>
        <w:t>，</w:t>
      </w:r>
      <w:r>
        <w:rPr>
          <w:rFonts w:eastAsia="仿宋_GB2312"/>
          <w:color w:val="000000"/>
          <w:kern w:val="0"/>
          <w:sz w:val="30"/>
          <w:szCs w:val="32"/>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1.1.5.6 计日工：是指合同履行过程中，承包人完成发包人提出的零星工作或需要采用计日工计价的变更工作时，按合同中约定的单价计价的一种方式。</w:t>
      </w:r>
    </w:p>
    <w:p>
      <w:pPr>
        <w:spacing w:line="360" w:lineRule="auto"/>
        <w:ind w:firstLine="600" w:firstLineChars="200"/>
        <w:jc w:val="left"/>
        <w:rPr>
          <w:rFonts w:eastAsia="仿宋_GB2312"/>
          <w:color w:val="000000"/>
          <w:sz w:val="30"/>
          <w:szCs w:val="32"/>
        </w:rPr>
      </w:pPr>
      <w:r>
        <w:rPr>
          <w:rFonts w:eastAsia="仿宋_GB2312"/>
          <w:color w:val="000000"/>
          <w:kern w:val="0"/>
          <w:sz w:val="30"/>
          <w:szCs w:val="32"/>
        </w:rPr>
        <w:t>1.1.5.7 质量保证金</w:t>
      </w:r>
      <w:bookmarkStart w:id="893" w:name="#go2"/>
      <w:bookmarkEnd w:id="893"/>
      <w:r>
        <w:rPr>
          <w:rFonts w:eastAsia="仿宋_GB2312"/>
          <w:color w:val="000000"/>
          <w:kern w:val="0"/>
          <w:sz w:val="30"/>
          <w:szCs w:val="32"/>
        </w:rPr>
        <w:t>：是指按照第15.3款</w:t>
      </w:r>
      <w:r>
        <w:rPr>
          <w:rFonts w:hint="eastAsia" w:eastAsia="仿宋_GB2312"/>
          <w:color w:val="000000"/>
          <w:kern w:val="0"/>
          <w:sz w:val="30"/>
          <w:szCs w:val="32"/>
        </w:rPr>
        <w:t>〔</w:t>
      </w:r>
      <w:r>
        <w:rPr>
          <w:rFonts w:eastAsia="仿宋_GB2312"/>
          <w:color w:val="000000"/>
          <w:kern w:val="0"/>
          <w:sz w:val="30"/>
          <w:szCs w:val="32"/>
        </w:rPr>
        <w:t>质量保证金</w:t>
      </w:r>
      <w:r>
        <w:rPr>
          <w:rFonts w:hint="eastAsia" w:eastAsia="仿宋_GB2312"/>
          <w:color w:val="000000"/>
          <w:kern w:val="0"/>
          <w:sz w:val="30"/>
          <w:szCs w:val="32"/>
        </w:rPr>
        <w:t>〕</w:t>
      </w:r>
      <w:r>
        <w:rPr>
          <w:rFonts w:eastAsia="仿宋_GB2312"/>
          <w:color w:val="000000"/>
          <w:kern w:val="0"/>
          <w:sz w:val="30"/>
          <w:szCs w:val="32"/>
        </w:rPr>
        <w:t>约定承包人用于保证其在缺陷责任期内履行缺陷修补义务的担保</w:t>
      </w:r>
      <w:r>
        <w:rPr>
          <w:rFonts w:eastAsia="仿宋_GB2312"/>
          <w:color w:val="000000"/>
          <w:sz w:val="30"/>
          <w:szCs w:val="32"/>
        </w:rPr>
        <w:t>。</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1.1.5.8 总价项目：是指在现行国家、行业以及地方的计量规则中无工程量计算规则，在已标价工程量清单或预算书中以总价或以费率形式计算的项目。</w:t>
      </w:r>
    </w:p>
    <w:p>
      <w:pPr>
        <w:spacing w:line="360" w:lineRule="auto"/>
        <w:ind w:firstLine="600" w:firstLineChars="200"/>
        <w:jc w:val="left"/>
        <w:rPr>
          <w:rFonts w:eastAsia="仿宋_GB2312"/>
          <w:color w:val="000000"/>
          <w:sz w:val="30"/>
          <w:szCs w:val="32"/>
        </w:rPr>
      </w:pPr>
      <w:r>
        <w:rPr>
          <w:rFonts w:eastAsia="仿宋_GB2312"/>
          <w:color w:val="000000"/>
          <w:sz w:val="30"/>
          <w:szCs w:val="32"/>
        </w:rPr>
        <w:t>1.1.6 其他</w:t>
      </w:r>
    </w:p>
    <w:p>
      <w:pPr>
        <w:spacing w:line="360" w:lineRule="auto"/>
        <w:ind w:firstLine="600" w:firstLineChars="200"/>
        <w:jc w:val="left"/>
        <w:rPr>
          <w:rFonts w:eastAsia="仿宋_GB2312"/>
          <w:color w:val="000000"/>
          <w:sz w:val="30"/>
          <w:szCs w:val="32"/>
        </w:rPr>
      </w:pPr>
      <w:r>
        <w:rPr>
          <w:rFonts w:eastAsia="仿宋_GB2312"/>
          <w:color w:val="000000"/>
          <w:sz w:val="30"/>
          <w:szCs w:val="32"/>
        </w:rPr>
        <w:t>1.1.6.1 书面形式：是指合同文件、信函、电报、传真等可以有形地表现所载内容的形式。</w:t>
      </w:r>
    </w:p>
    <w:p>
      <w:pPr>
        <w:pStyle w:val="8"/>
        <w:spacing w:before="120" w:after="120" w:line="360" w:lineRule="auto"/>
        <w:rPr>
          <w:rFonts w:eastAsia="黑体"/>
          <w:b w:val="0"/>
          <w:color w:val="000000"/>
          <w:sz w:val="30"/>
          <w:szCs w:val="32"/>
        </w:rPr>
      </w:pPr>
      <w:r>
        <w:rPr>
          <w:rFonts w:eastAsia="黑体"/>
          <w:b w:val="0"/>
          <w:color w:val="000000"/>
          <w:sz w:val="30"/>
          <w:szCs w:val="32"/>
        </w:rPr>
        <w:t xml:space="preserve">    </w:t>
      </w:r>
      <w:bookmarkStart w:id="894" w:name="_Toc296346530"/>
      <w:bookmarkStart w:id="895" w:name="_Toc351203497"/>
      <w:bookmarkStart w:id="896" w:name="_Toc337558729"/>
      <w:bookmarkStart w:id="897" w:name="_Toc296503029"/>
      <w:r>
        <w:rPr>
          <w:rFonts w:eastAsia="黑体"/>
          <w:b w:val="0"/>
          <w:color w:val="000000"/>
          <w:sz w:val="30"/>
          <w:szCs w:val="32"/>
        </w:rPr>
        <w:t>1.2语言文字</w:t>
      </w:r>
      <w:bookmarkEnd w:id="894"/>
      <w:bookmarkEnd w:id="895"/>
      <w:bookmarkEnd w:id="896"/>
      <w:bookmarkEnd w:id="897"/>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合同以中国的汉语简体文字编写、解释和说明。合同当事人在专用合同条款中约定使用两种以上语言时，汉语为优先解释和说明合同的语言。</w:t>
      </w:r>
    </w:p>
    <w:p>
      <w:pPr>
        <w:pStyle w:val="8"/>
        <w:spacing w:before="120" w:after="120" w:line="360" w:lineRule="auto"/>
        <w:ind w:firstLine="600" w:firstLineChars="200"/>
        <w:rPr>
          <w:rFonts w:eastAsia="黑体"/>
          <w:b w:val="0"/>
          <w:color w:val="000000"/>
          <w:sz w:val="30"/>
          <w:szCs w:val="32"/>
        </w:rPr>
      </w:pPr>
      <w:bookmarkStart w:id="898" w:name="_Toc296503030"/>
      <w:bookmarkStart w:id="899" w:name="_Toc296346531"/>
      <w:bookmarkStart w:id="900" w:name="_Toc351203498"/>
      <w:bookmarkStart w:id="901" w:name="_Toc337558730"/>
      <w:r>
        <w:rPr>
          <w:rFonts w:eastAsia="黑体"/>
          <w:b w:val="0"/>
          <w:color w:val="000000"/>
          <w:sz w:val="30"/>
          <w:szCs w:val="32"/>
        </w:rPr>
        <w:t>1.3法律</w:t>
      </w:r>
      <w:bookmarkEnd w:id="898"/>
      <w:bookmarkEnd w:id="899"/>
      <w:bookmarkEnd w:id="900"/>
      <w:bookmarkEnd w:id="901"/>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合同当事人可以在专用合同条款中约定合同适用的其他规范性文件。</w:t>
      </w:r>
    </w:p>
    <w:p>
      <w:pPr>
        <w:pStyle w:val="8"/>
        <w:spacing w:before="120" w:after="120" w:line="360" w:lineRule="auto"/>
        <w:ind w:firstLine="600" w:firstLineChars="200"/>
        <w:rPr>
          <w:rFonts w:eastAsia="黑体"/>
          <w:b w:val="0"/>
          <w:color w:val="000000"/>
          <w:sz w:val="30"/>
          <w:szCs w:val="32"/>
        </w:rPr>
      </w:pPr>
      <w:bookmarkStart w:id="902" w:name="_Toc351203499"/>
      <w:r>
        <w:rPr>
          <w:rFonts w:eastAsia="黑体"/>
          <w:b w:val="0"/>
          <w:color w:val="000000"/>
          <w:sz w:val="30"/>
          <w:szCs w:val="32"/>
        </w:rPr>
        <w:t>1.4 标准和规范</w:t>
      </w:r>
      <w:bookmarkEnd w:id="902"/>
    </w:p>
    <w:p>
      <w:pPr>
        <w:autoSpaceDE w:val="0"/>
        <w:autoSpaceDN w:val="0"/>
        <w:adjustRightInd w:val="0"/>
        <w:spacing w:line="360" w:lineRule="auto"/>
        <w:ind w:firstLine="640"/>
        <w:jc w:val="left"/>
        <w:rPr>
          <w:rFonts w:eastAsia="仿宋_GB2312"/>
          <w:color w:val="000000"/>
          <w:kern w:val="0"/>
          <w:sz w:val="30"/>
          <w:szCs w:val="32"/>
        </w:rPr>
      </w:pPr>
      <w:r>
        <w:rPr>
          <w:rFonts w:eastAsia="仿宋_GB2312"/>
          <w:color w:val="000000"/>
          <w:kern w:val="0"/>
          <w:sz w:val="30"/>
          <w:szCs w:val="32"/>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eastAsia="仿宋_GB2312"/>
          <w:color w:val="000000"/>
          <w:kern w:val="0"/>
          <w:sz w:val="30"/>
          <w:szCs w:val="32"/>
        </w:rPr>
      </w:pPr>
      <w:r>
        <w:rPr>
          <w:rFonts w:eastAsia="仿宋_GB2312"/>
          <w:color w:val="000000"/>
          <w:kern w:val="0"/>
          <w:sz w:val="30"/>
          <w:szCs w:val="32"/>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eastAsia="仿宋_GB2312"/>
          <w:color w:val="000000"/>
          <w:kern w:val="0"/>
          <w:sz w:val="30"/>
          <w:szCs w:val="32"/>
        </w:rPr>
      </w:pPr>
      <w:r>
        <w:rPr>
          <w:rFonts w:eastAsia="仿宋_GB2312"/>
          <w:color w:val="000000"/>
          <w:kern w:val="0"/>
          <w:sz w:val="30"/>
          <w:szCs w:val="32"/>
        </w:rPr>
        <w:t>1.4.3 发包人对工程的技术标准、功能要求高于或严于现行国家、行业或地方标准的，应当在专用合同条款中予以明确。除专用合同条款另有约定外，应视为</w:t>
      </w:r>
      <w:r>
        <w:rPr>
          <w:rFonts w:hint="eastAsia" w:eastAsia="仿宋_GB2312"/>
          <w:color w:val="000000"/>
          <w:kern w:val="0"/>
          <w:sz w:val="30"/>
          <w:szCs w:val="32"/>
        </w:rPr>
        <w:t>承包人</w:t>
      </w:r>
      <w:r>
        <w:rPr>
          <w:rFonts w:eastAsia="仿宋_GB2312"/>
          <w:color w:val="000000"/>
          <w:kern w:val="0"/>
          <w:sz w:val="30"/>
          <w:szCs w:val="32"/>
        </w:rPr>
        <w:t>在签订合同前已充分预见前述技术标准和功能要求的复杂程度，签约合同价中已包含由此产生的费用。</w:t>
      </w:r>
    </w:p>
    <w:p>
      <w:pPr>
        <w:pStyle w:val="8"/>
        <w:spacing w:before="120" w:after="120" w:line="360" w:lineRule="auto"/>
        <w:ind w:firstLine="600" w:firstLineChars="200"/>
        <w:rPr>
          <w:rFonts w:eastAsia="黑体"/>
          <w:b w:val="0"/>
          <w:color w:val="000000"/>
          <w:sz w:val="30"/>
          <w:szCs w:val="32"/>
        </w:rPr>
      </w:pPr>
      <w:bookmarkStart w:id="903" w:name="_Toc351203500"/>
      <w:r>
        <w:rPr>
          <w:rFonts w:eastAsia="黑体"/>
          <w:b w:val="0"/>
          <w:color w:val="000000"/>
          <w:sz w:val="30"/>
          <w:szCs w:val="32"/>
        </w:rPr>
        <w:t>1</w:t>
      </w:r>
      <w:bookmarkStart w:id="904" w:name="_Toc337558731"/>
      <w:bookmarkStart w:id="905" w:name="_Toc296503031"/>
      <w:bookmarkStart w:id="906" w:name="_Toc296346532"/>
      <w:r>
        <w:rPr>
          <w:rFonts w:eastAsia="黑体"/>
          <w:b w:val="0"/>
          <w:color w:val="000000"/>
          <w:sz w:val="30"/>
          <w:szCs w:val="32"/>
        </w:rPr>
        <w:t>.5 合同文件的优先顺序</w:t>
      </w:r>
      <w:bookmarkEnd w:id="903"/>
    </w:p>
    <w:bookmarkEnd w:id="904"/>
    <w:bookmarkEnd w:id="905"/>
    <w:bookmarkEnd w:id="90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组成合同的各项文件应互相解释，互为说明。除专用合同条款另有约定外，解释合同文件的优先顺序如下：</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（1）合同协议书；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（2）中标通知书（如果有）；</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（3）投标函及其附录（如果有）；</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（4）专用合同条款</w:t>
      </w:r>
      <w:r>
        <w:rPr>
          <w:rFonts w:eastAsia="仿宋_GB2312"/>
          <w:color w:val="000000"/>
          <w:sz w:val="30"/>
          <w:szCs w:val="32"/>
        </w:rPr>
        <w:t>及其附件</w:t>
      </w:r>
      <w:r>
        <w:rPr>
          <w:rFonts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（5）通用合同条款；</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（6）技术标准和要求；</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（7）图纸；</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（8）已标价工程量清单或预算书；</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kern w:val="0"/>
          <w:sz w:val="30"/>
          <w:szCs w:val="32"/>
        </w:rPr>
        <w:t>（9）其他合同文件。</w:t>
      </w:r>
    </w:p>
    <w:p>
      <w:pPr>
        <w:spacing w:line="360" w:lineRule="auto"/>
        <w:ind w:firstLine="639" w:firstLineChars="213"/>
        <w:rPr>
          <w:rFonts w:eastAsia="仿宋_GB2312"/>
          <w:color w:val="000000"/>
          <w:sz w:val="30"/>
          <w:szCs w:val="32"/>
        </w:rPr>
      </w:pPr>
      <w:r>
        <w:rPr>
          <w:rFonts w:eastAsia="仿宋_GB2312"/>
          <w:color w:val="000000"/>
          <w:sz w:val="30"/>
          <w:szCs w:val="32"/>
        </w:rPr>
        <w:t>上述各项合同文件包括合同当事人就该项合同文件所作出的补充和修改，属于同一类内容的文件，应以最新签署的为准。</w:t>
      </w:r>
    </w:p>
    <w:p>
      <w:pPr>
        <w:spacing w:line="360" w:lineRule="auto"/>
        <w:ind w:firstLine="639" w:firstLineChars="213"/>
        <w:rPr>
          <w:rFonts w:eastAsia="仿宋_GB2312"/>
          <w:color w:val="000000"/>
          <w:sz w:val="30"/>
          <w:szCs w:val="32"/>
        </w:rPr>
      </w:pPr>
      <w:r>
        <w:rPr>
          <w:rFonts w:eastAsia="仿宋_GB2312"/>
          <w:color w:val="000000"/>
          <w:sz w:val="30"/>
          <w:szCs w:val="32"/>
        </w:rPr>
        <w:t>在合同订立及履行过程中形成的与合同有关的文件均构成合同文件组成部分，并根据其性质确定优先解释顺序。</w:t>
      </w:r>
    </w:p>
    <w:p>
      <w:pPr>
        <w:pStyle w:val="8"/>
        <w:spacing w:before="120" w:after="120" w:line="360" w:lineRule="auto"/>
        <w:ind w:firstLine="600" w:firstLineChars="200"/>
        <w:rPr>
          <w:rFonts w:eastAsia="黑体"/>
          <w:b w:val="0"/>
          <w:color w:val="000000"/>
          <w:sz w:val="30"/>
          <w:szCs w:val="32"/>
        </w:rPr>
      </w:pPr>
      <w:bookmarkStart w:id="907" w:name="_Toc351203501"/>
      <w:r>
        <w:rPr>
          <w:rFonts w:eastAsia="黑体"/>
          <w:b w:val="0"/>
          <w:color w:val="000000"/>
          <w:sz w:val="30"/>
          <w:szCs w:val="32"/>
        </w:rPr>
        <w:t>1</w:t>
      </w:r>
      <w:bookmarkStart w:id="908" w:name="_Toc296346533"/>
      <w:bookmarkStart w:id="909" w:name="_Toc296503032"/>
      <w:bookmarkStart w:id="910" w:name="_Toc337558732"/>
      <w:r>
        <w:rPr>
          <w:rFonts w:eastAsia="黑体"/>
          <w:b w:val="0"/>
          <w:color w:val="000000"/>
          <w:sz w:val="30"/>
          <w:szCs w:val="32"/>
        </w:rPr>
        <w:t>.6图纸和承包人文件</w:t>
      </w:r>
      <w:bookmarkEnd w:id="907"/>
    </w:p>
    <w:bookmarkEnd w:id="908"/>
    <w:bookmarkEnd w:id="909"/>
    <w:bookmarkEnd w:id="910"/>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1.6.1 图纸的提供和交底</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发包人应按照专用合同条款约定的期限、数量和内容向承包人免费提供图纸，并组织承包人、监理人和设计人进行图纸会审和设计交底。发包人至迟不得晚于第7.3.2项</w:t>
      </w:r>
      <w:r>
        <w:rPr>
          <w:rFonts w:hint="eastAsia" w:eastAsia="仿宋_GB2312"/>
          <w:color w:val="000000"/>
          <w:kern w:val="0"/>
          <w:sz w:val="30"/>
          <w:szCs w:val="32"/>
        </w:rPr>
        <w:t>〔</w:t>
      </w:r>
      <w:r>
        <w:rPr>
          <w:rFonts w:eastAsia="仿宋_GB2312"/>
          <w:color w:val="000000"/>
          <w:kern w:val="0"/>
          <w:sz w:val="30"/>
          <w:szCs w:val="32"/>
        </w:rPr>
        <w:t>开工通知</w:t>
      </w:r>
      <w:r>
        <w:rPr>
          <w:rFonts w:hint="eastAsia" w:eastAsia="仿宋_GB2312"/>
          <w:color w:val="000000"/>
          <w:kern w:val="0"/>
          <w:sz w:val="30"/>
          <w:szCs w:val="32"/>
        </w:rPr>
        <w:t>〕</w:t>
      </w:r>
      <w:r>
        <w:rPr>
          <w:rFonts w:eastAsia="仿宋_GB2312"/>
          <w:color w:val="000000"/>
          <w:kern w:val="0"/>
          <w:sz w:val="30"/>
          <w:szCs w:val="32"/>
        </w:rPr>
        <w:t>载明的开工日期前14天向承包人提供图纸。</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因发包人未按合同约定提供图纸导致承包人费用增加和（或）工期延误的，按照第7.5.1项</w:t>
      </w:r>
      <w:r>
        <w:rPr>
          <w:rFonts w:hint="eastAsia" w:eastAsia="仿宋_GB2312"/>
          <w:color w:val="000000"/>
          <w:kern w:val="0"/>
          <w:sz w:val="30"/>
          <w:szCs w:val="32"/>
        </w:rPr>
        <w:t>〔</w:t>
      </w:r>
      <w:r>
        <w:rPr>
          <w:rFonts w:eastAsia="仿宋_GB2312"/>
          <w:color w:val="000000"/>
          <w:kern w:val="0"/>
          <w:sz w:val="30"/>
          <w:szCs w:val="32"/>
        </w:rPr>
        <w:t>因发包人原因导致工期延误</w:t>
      </w:r>
      <w:r>
        <w:rPr>
          <w:rFonts w:hint="eastAsia" w:eastAsia="仿宋_GB2312"/>
          <w:color w:val="000000"/>
          <w:kern w:val="0"/>
          <w:sz w:val="30"/>
          <w:szCs w:val="32"/>
        </w:rPr>
        <w:t>〕</w:t>
      </w:r>
      <w:r>
        <w:rPr>
          <w:rFonts w:eastAsia="仿宋_GB2312"/>
          <w:color w:val="000000"/>
          <w:kern w:val="0"/>
          <w:sz w:val="30"/>
          <w:szCs w:val="32"/>
        </w:rPr>
        <w:t>约定办理。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1.6.2 图纸的错误</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eastAsia="仿宋_GB2312"/>
          <w:color w:val="000000"/>
          <w:kern w:val="0"/>
          <w:sz w:val="30"/>
          <w:szCs w:val="32"/>
        </w:rPr>
        <w:t>合理时间是指发包人在收到监理人的报送通知后，尽其努力且不懈怠地完成图纸修改补充所需的时间。</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1.6.3 图纸的修改和补充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1.6.4 承包人文件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承包人应按照专用合同条款的约定提供应当由其编制的与工程施工有关的文件，并按照专用合同条款约定的期限、数量和形式提交监理人，并由监理人报送发包人。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1.6.5 图纸和承包人文件的保管</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除专用合同条款另有约定外，承包人应在施工现场另外保存一套完整的图纸和承包人文件，供发包人、监理人及有关人员进行工程检查时使用。</w:t>
      </w:r>
    </w:p>
    <w:p>
      <w:pPr>
        <w:pStyle w:val="8"/>
        <w:spacing w:before="120" w:after="120" w:line="360" w:lineRule="auto"/>
        <w:ind w:firstLine="600" w:firstLineChars="200"/>
        <w:rPr>
          <w:rFonts w:eastAsia="黑体"/>
          <w:b w:val="0"/>
          <w:color w:val="000000"/>
          <w:sz w:val="30"/>
          <w:szCs w:val="32"/>
        </w:rPr>
      </w:pPr>
      <w:bookmarkStart w:id="911" w:name="_Toc351203502"/>
      <w:r>
        <w:rPr>
          <w:rFonts w:eastAsia="黑体"/>
          <w:b w:val="0"/>
          <w:color w:val="000000"/>
          <w:sz w:val="30"/>
          <w:szCs w:val="32"/>
        </w:rPr>
        <w:t>1</w:t>
      </w:r>
      <w:bookmarkStart w:id="912" w:name="_Toc337558733"/>
      <w:bookmarkStart w:id="913" w:name="_Toc296346534"/>
      <w:bookmarkStart w:id="914" w:name="_Toc296503033"/>
      <w:r>
        <w:rPr>
          <w:rFonts w:eastAsia="黑体"/>
          <w:b w:val="0"/>
          <w:color w:val="000000"/>
          <w:sz w:val="30"/>
          <w:szCs w:val="32"/>
        </w:rPr>
        <w:t>.7联络</w:t>
      </w:r>
      <w:bookmarkEnd w:id="911"/>
    </w:p>
    <w:bookmarkEnd w:id="912"/>
    <w:bookmarkEnd w:id="913"/>
    <w:bookmarkEnd w:id="914"/>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600" w:firstLineChars="200"/>
        <w:jc w:val="left"/>
        <w:rPr>
          <w:rFonts w:eastAsia="仿宋_GB2312"/>
          <w:color w:val="FF0000"/>
          <w:kern w:val="0"/>
          <w:sz w:val="30"/>
          <w:szCs w:val="32"/>
        </w:rPr>
      </w:pPr>
      <w:r>
        <w:rPr>
          <w:rFonts w:eastAsia="仿宋_GB2312"/>
          <w:color w:val="000000"/>
          <w:kern w:val="0"/>
          <w:sz w:val="30"/>
          <w:szCs w:val="32"/>
        </w:rPr>
        <w:t>1.7.3 发包人和承包人应当及时签收另一方送达至送达地点和指定接收人的来往信函。拒不签收的，由此增加的费用和（或）延误的工期由拒绝接收一方承担。</w:t>
      </w:r>
    </w:p>
    <w:p>
      <w:pPr>
        <w:pStyle w:val="8"/>
        <w:spacing w:before="120" w:after="120" w:line="360" w:lineRule="auto"/>
        <w:ind w:firstLine="600" w:firstLineChars="200"/>
        <w:rPr>
          <w:rFonts w:eastAsia="黑体"/>
          <w:b w:val="0"/>
          <w:color w:val="000000"/>
          <w:sz w:val="30"/>
          <w:szCs w:val="32"/>
        </w:rPr>
      </w:pPr>
      <w:bookmarkStart w:id="915" w:name="_Toc351203503"/>
      <w:r>
        <w:rPr>
          <w:rFonts w:eastAsia="黑体"/>
          <w:b w:val="0"/>
          <w:color w:val="000000"/>
          <w:sz w:val="30"/>
          <w:szCs w:val="32"/>
        </w:rPr>
        <w:t>1</w:t>
      </w:r>
      <w:bookmarkStart w:id="916" w:name="_Toc296503035"/>
      <w:bookmarkStart w:id="917" w:name="_Toc296346536"/>
      <w:bookmarkStart w:id="918" w:name="_Toc337558734"/>
      <w:r>
        <w:rPr>
          <w:rFonts w:eastAsia="黑体"/>
          <w:b w:val="0"/>
          <w:color w:val="000000"/>
          <w:sz w:val="30"/>
          <w:szCs w:val="32"/>
        </w:rPr>
        <w:t>.8严禁贿赂</w:t>
      </w:r>
      <w:bookmarkEnd w:id="915"/>
    </w:p>
    <w:bookmarkEnd w:id="916"/>
    <w:bookmarkEnd w:id="917"/>
    <w:bookmarkEnd w:id="918"/>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8"/>
        <w:spacing w:before="120" w:after="120" w:line="360" w:lineRule="auto"/>
        <w:ind w:firstLine="600" w:firstLineChars="200"/>
        <w:rPr>
          <w:rFonts w:eastAsia="黑体"/>
          <w:b w:val="0"/>
          <w:color w:val="000000"/>
          <w:sz w:val="30"/>
          <w:szCs w:val="32"/>
        </w:rPr>
      </w:pPr>
      <w:bookmarkStart w:id="919" w:name="_Toc351203504"/>
      <w:r>
        <w:rPr>
          <w:rFonts w:eastAsia="黑体"/>
          <w:b w:val="0"/>
          <w:color w:val="000000"/>
          <w:sz w:val="30"/>
          <w:szCs w:val="32"/>
        </w:rPr>
        <w:t>1</w:t>
      </w:r>
      <w:bookmarkStart w:id="920" w:name="_Toc296346537"/>
      <w:bookmarkStart w:id="921" w:name="_Toc296503036"/>
      <w:bookmarkStart w:id="922" w:name="_Toc337558735"/>
      <w:r>
        <w:rPr>
          <w:rFonts w:eastAsia="黑体"/>
          <w:b w:val="0"/>
          <w:color w:val="000000"/>
          <w:sz w:val="30"/>
          <w:szCs w:val="32"/>
        </w:rPr>
        <w:t>.9化石、文物</w:t>
      </w:r>
      <w:bookmarkEnd w:id="919"/>
    </w:p>
    <w:bookmarkEnd w:id="920"/>
    <w:bookmarkEnd w:id="921"/>
    <w:bookmarkEnd w:id="92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发包人、监理人和承包人应按有关政府行政管理部门要求采取妥善的保护措施，由此增加的费用和</w:t>
      </w:r>
      <w:r>
        <w:rPr>
          <w:rFonts w:hint="eastAsia" w:eastAsia="仿宋_GB2312"/>
          <w:color w:val="000000"/>
          <w:kern w:val="0"/>
          <w:sz w:val="30"/>
          <w:szCs w:val="32"/>
        </w:rPr>
        <w:t>（</w:t>
      </w:r>
      <w:r>
        <w:rPr>
          <w:rFonts w:eastAsia="仿宋_GB2312"/>
          <w:color w:val="000000"/>
          <w:kern w:val="0"/>
          <w:sz w:val="30"/>
          <w:szCs w:val="32"/>
        </w:rPr>
        <w:t>或）延误的工期由发包人承担。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承包人发现文物后不及时报告或隐瞒不报，致使文物丢失或损坏的，应赔偿损失，并承担相应的法律责任。</w:t>
      </w:r>
    </w:p>
    <w:p>
      <w:pPr>
        <w:pStyle w:val="8"/>
        <w:spacing w:before="120" w:after="120" w:line="360" w:lineRule="auto"/>
        <w:ind w:firstLine="600" w:firstLineChars="200"/>
        <w:rPr>
          <w:rFonts w:eastAsia="黑体"/>
          <w:b w:val="0"/>
          <w:color w:val="000000"/>
          <w:sz w:val="30"/>
          <w:szCs w:val="32"/>
        </w:rPr>
      </w:pPr>
      <w:bookmarkStart w:id="923" w:name="_Toc351203505"/>
      <w:r>
        <w:rPr>
          <w:rFonts w:eastAsia="黑体"/>
          <w:b w:val="0"/>
          <w:color w:val="000000"/>
          <w:sz w:val="30"/>
          <w:szCs w:val="32"/>
        </w:rPr>
        <w:t>1</w:t>
      </w:r>
      <w:bookmarkStart w:id="924" w:name="_Toc337558736"/>
      <w:r>
        <w:rPr>
          <w:rFonts w:eastAsia="黑体"/>
          <w:b w:val="0"/>
          <w:color w:val="000000"/>
          <w:sz w:val="30"/>
          <w:szCs w:val="32"/>
        </w:rPr>
        <w:t>.10交通运输</w:t>
      </w:r>
      <w:bookmarkEnd w:id="923"/>
    </w:p>
    <w:bookmarkEnd w:id="924"/>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1.10.1</w:t>
      </w:r>
      <w:r>
        <w:rPr>
          <w:rFonts w:hint="eastAsia" w:eastAsia="仿宋_GB2312"/>
          <w:color w:val="000000"/>
          <w:kern w:val="0"/>
          <w:sz w:val="30"/>
          <w:szCs w:val="32"/>
        </w:rPr>
        <w:t xml:space="preserve"> </w:t>
      </w:r>
      <w:r>
        <w:rPr>
          <w:rFonts w:eastAsia="仿宋_GB2312"/>
          <w:color w:val="000000"/>
          <w:kern w:val="0"/>
          <w:sz w:val="30"/>
          <w:szCs w:val="32"/>
        </w:rPr>
        <w:t>出入现场的权利</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除专用合同条款另有约定外，发包人应根据施工需要，负责取得出入施工现场所需的</w:t>
      </w:r>
      <w:r>
        <w:rPr>
          <w:rFonts w:hint="eastAsia" w:eastAsia="仿宋_GB2312"/>
          <w:color w:val="000000"/>
          <w:kern w:val="0"/>
          <w:sz w:val="30"/>
          <w:szCs w:val="32"/>
        </w:rPr>
        <w:t>批准手续和</w:t>
      </w:r>
      <w:r>
        <w:rPr>
          <w:rFonts w:eastAsia="仿宋_GB2312"/>
          <w:color w:val="000000"/>
          <w:kern w:val="0"/>
          <w:sz w:val="30"/>
          <w:szCs w:val="32"/>
        </w:rPr>
        <w:t>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1.10.2</w:t>
      </w:r>
      <w:r>
        <w:rPr>
          <w:rFonts w:hint="eastAsia" w:eastAsia="仿宋_GB2312"/>
          <w:color w:val="000000"/>
          <w:kern w:val="0"/>
          <w:sz w:val="30"/>
          <w:szCs w:val="32"/>
        </w:rPr>
        <w:t xml:space="preserve"> </w:t>
      </w:r>
      <w:r>
        <w:rPr>
          <w:rFonts w:eastAsia="仿宋_GB2312"/>
          <w:color w:val="000000"/>
          <w:kern w:val="0"/>
          <w:sz w:val="30"/>
          <w:szCs w:val="32"/>
        </w:rPr>
        <w:t>场外交通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1.10.3场内交通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场外交通和场内交通的边界由合同当事人在专用合同条款中约定。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1.10.4</w:t>
      </w:r>
      <w:r>
        <w:rPr>
          <w:rFonts w:hint="eastAsia" w:eastAsia="仿宋_GB2312"/>
          <w:color w:val="000000"/>
          <w:kern w:val="0"/>
          <w:sz w:val="30"/>
          <w:szCs w:val="32"/>
        </w:rPr>
        <w:t xml:space="preserve"> </w:t>
      </w:r>
      <w:r>
        <w:rPr>
          <w:rFonts w:eastAsia="仿宋_GB2312"/>
          <w:color w:val="000000"/>
          <w:kern w:val="0"/>
          <w:sz w:val="30"/>
          <w:szCs w:val="32"/>
        </w:rPr>
        <w:t>超大件和超重件的运输</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1.10.5</w:t>
      </w:r>
      <w:r>
        <w:rPr>
          <w:rFonts w:hint="eastAsia" w:eastAsia="仿宋_GB2312"/>
          <w:color w:val="000000"/>
          <w:kern w:val="0"/>
          <w:sz w:val="30"/>
          <w:szCs w:val="32"/>
        </w:rPr>
        <w:t xml:space="preserve"> </w:t>
      </w:r>
      <w:r>
        <w:rPr>
          <w:rFonts w:eastAsia="仿宋_GB2312"/>
          <w:color w:val="000000"/>
          <w:kern w:val="0"/>
          <w:sz w:val="30"/>
          <w:szCs w:val="32"/>
        </w:rPr>
        <w:t>道路和桥梁的损坏责任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因承包人运输造成施工场地内外公共道路和桥梁损坏的，由承包人承担修复损坏的全部费用和可能引起的赔偿。</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1.10.6</w:t>
      </w:r>
      <w:r>
        <w:rPr>
          <w:rFonts w:hint="eastAsia" w:eastAsia="仿宋_GB2312"/>
          <w:color w:val="000000"/>
          <w:kern w:val="0"/>
          <w:sz w:val="30"/>
          <w:szCs w:val="32"/>
        </w:rPr>
        <w:t xml:space="preserve"> </w:t>
      </w:r>
      <w:r>
        <w:rPr>
          <w:rFonts w:eastAsia="仿宋_GB2312"/>
          <w:color w:val="000000"/>
          <w:kern w:val="0"/>
          <w:sz w:val="30"/>
          <w:szCs w:val="32"/>
        </w:rPr>
        <w:t>水路和航空运输</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本</w:t>
      </w:r>
      <w:r>
        <w:rPr>
          <w:rFonts w:hint="eastAsia" w:eastAsia="仿宋_GB2312"/>
          <w:color w:val="000000"/>
          <w:kern w:val="0"/>
          <w:sz w:val="30"/>
          <w:szCs w:val="32"/>
        </w:rPr>
        <w:t>款</w:t>
      </w:r>
      <w:r>
        <w:rPr>
          <w:rFonts w:eastAsia="仿宋_GB2312"/>
          <w:color w:val="000000"/>
          <w:kern w:val="0"/>
          <w:sz w:val="30"/>
          <w:szCs w:val="32"/>
        </w:rPr>
        <w:t>前述各</w:t>
      </w:r>
      <w:r>
        <w:rPr>
          <w:rFonts w:hint="eastAsia" w:eastAsia="仿宋_GB2312"/>
          <w:color w:val="000000"/>
          <w:kern w:val="0"/>
          <w:sz w:val="30"/>
          <w:szCs w:val="32"/>
        </w:rPr>
        <w:t>项</w:t>
      </w:r>
      <w:r>
        <w:rPr>
          <w:rFonts w:eastAsia="仿宋_GB2312"/>
          <w:color w:val="000000"/>
          <w:kern w:val="0"/>
          <w:sz w:val="30"/>
          <w:szCs w:val="32"/>
        </w:rPr>
        <w:t>的内容适用于水路运输和航空运输，其中“道路”一词的涵义包括河道、航线、船闸、机场、码头、堤防以及水路或航空运输中其他相似结构物；“车辆”一词的涵义包括船舶和飞机等。</w:t>
      </w:r>
    </w:p>
    <w:p>
      <w:pPr>
        <w:pStyle w:val="8"/>
        <w:spacing w:before="120" w:after="120" w:line="360" w:lineRule="auto"/>
        <w:ind w:firstLine="600" w:firstLineChars="200"/>
        <w:rPr>
          <w:rFonts w:eastAsia="黑体"/>
          <w:b w:val="0"/>
          <w:color w:val="000000"/>
          <w:sz w:val="30"/>
          <w:szCs w:val="32"/>
        </w:rPr>
      </w:pPr>
      <w:bookmarkStart w:id="925" w:name="_Toc351203506"/>
      <w:r>
        <w:rPr>
          <w:rFonts w:eastAsia="黑体"/>
          <w:b w:val="0"/>
          <w:color w:val="000000"/>
          <w:sz w:val="30"/>
          <w:szCs w:val="32"/>
        </w:rPr>
        <w:t>1</w:t>
      </w:r>
      <w:bookmarkStart w:id="926" w:name="_Toc337558737"/>
      <w:bookmarkStart w:id="927" w:name="_Toc296346538"/>
      <w:bookmarkStart w:id="928" w:name="_Toc296503037"/>
      <w:r>
        <w:rPr>
          <w:rFonts w:eastAsia="黑体"/>
          <w:b w:val="0"/>
          <w:color w:val="000000"/>
          <w:sz w:val="30"/>
          <w:szCs w:val="32"/>
        </w:rPr>
        <w:t>.11知识产权</w:t>
      </w:r>
      <w:bookmarkEnd w:id="925"/>
      <w:r>
        <w:rPr>
          <w:rFonts w:eastAsia="黑体"/>
          <w:b w:val="0"/>
          <w:color w:val="000000"/>
          <w:sz w:val="30"/>
          <w:szCs w:val="32"/>
        </w:rPr>
        <w:t xml:space="preserve"> </w:t>
      </w:r>
      <w:bookmarkEnd w:id="926"/>
    </w:p>
    <w:bookmarkEnd w:id="927"/>
    <w:bookmarkEnd w:id="928"/>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sz w:val="30"/>
        </w:rPr>
      </w:pPr>
      <w:r>
        <w:rPr>
          <w:rFonts w:eastAsia="仿宋_GB2312"/>
          <w:color w:val="000000"/>
          <w:kern w:val="0"/>
          <w:sz w:val="30"/>
          <w:szCs w:val="32"/>
        </w:rPr>
        <w:t xml:space="preserve">    </w:t>
      </w:r>
      <w:r>
        <w:rPr>
          <w:rFonts w:eastAsia="仿宋_GB2312"/>
          <w:color w:val="000000"/>
          <w:sz w:val="30"/>
          <w:szCs w:val="32"/>
        </w:rPr>
        <w:t>1.11.4 除专用合同条款另有约定外，承包人在合同签订前和签订时已确定采用的专利、专有技术、技术秘密的使用费已包含在签约合同价中。</w:t>
      </w:r>
    </w:p>
    <w:p>
      <w:pPr>
        <w:pStyle w:val="8"/>
        <w:spacing w:before="120" w:after="120" w:line="360" w:lineRule="auto"/>
        <w:ind w:firstLine="600" w:firstLineChars="200"/>
        <w:rPr>
          <w:rFonts w:eastAsia="黑体"/>
          <w:b w:val="0"/>
          <w:color w:val="000000"/>
          <w:sz w:val="30"/>
          <w:szCs w:val="32"/>
        </w:rPr>
      </w:pPr>
      <w:bookmarkStart w:id="929" w:name="_Toc351203507"/>
      <w:r>
        <w:rPr>
          <w:rFonts w:eastAsia="黑体"/>
          <w:b w:val="0"/>
          <w:color w:val="000000"/>
          <w:sz w:val="30"/>
          <w:szCs w:val="32"/>
        </w:rPr>
        <w:t>1</w:t>
      </w:r>
      <w:bookmarkStart w:id="930" w:name="_Toc337558738"/>
      <w:r>
        <w:rPr>
          <w:rFonts w:eastAsia="黑体"/>
          <w:b w:val="0"/>
          <w:color w:val="000000"/>
          <w:sz w:val="30"/>
          <w:szCs w:val="32"/>
        </w:rPr>
        <w:t>.12保密</w:t>
      </w:r>
      <w:bookmarkEnd w:id="929"/>
    </w:p>
    <w:bookmarkEnd w:id="930"/>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除法律规定或合同另有约定外，未经承包人同意，发包人不得将承包人提供的技术秘密及声明需要保密的资料信息等商业秘密泄露给第三方。</w:t>
      </w:r>
    </w:p>
    <w:p>
      <w:pPr>
        <w:pStyle w:val="8"/>
        <w:spacing w:before="120" w:after="120" w:line="360" w:lineRule="auto"/>
        <w:ind w:firstLine="600" w:firstLineChars="200"/>
        <w:rPr>
          <w:rFonts w:eastAsia="黑体"/>
          <w:b w:val="0"/>
          <w:color w:val="000000"/>
          <w:sz w:val="30"/>
          <w:szCs w:val="32"/>
        </w:rPr>
      </w:pPr>
      <w:bookmarkStart w:id="931" w:name="_Toc351203508"/>
      <w:r>
        <w:rPr>
          <w:rFonts w:eastAsia="黑体"/>
          <w:b w:val="0"/>
          <w:color w:val="000000"/>
          <w:sz w:val="30"/>
          <w:szCs w:val="32"/>
        </w:rPr>
        <w:t>1.13工程量清单错误的修正</w:t>
      </w:r>
      <w:bookmarkEnd w:id="931"/>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除专用合同条款另有约定外，</w:t>
      </w:r>
      <w:r>
        <w:rPr>
          <w:rFonts w:eastAsia="仿宋_GB2312"/>
          <w:color w:val="000000"/>
          <w:kern w:val="0"/>
          <w:sz w:val="30"/>
          <w:szCs w:val="32"/>
        </w:rPr>
        <w:t>发包人提供的工程量清单，应被认为是准确的和完整的。出现下列情形之一时，发包人应予以修正，并相应调整合同价格：</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（1）工程量清单存在缺项、漏项的；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（2）工程量清单偏差超出专用合同条款约定的工程量偏差范围的；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（3）未按照国家现行计量规范强制性规定计量的。</w:t>
      </w:r>
    </w:p>
    <w:p>
      <w:pPr>
        <w:pStyle w:val="7"/>
        <w:spacing w:before="120" w:after="120" w:line="360" w:lineRule="auto"/>
        <w:rPr>
          <w:rFonts w:ascii="Times New Roman" w:hAnsi="Times New Roman" w:eastAsia="黑体"/>
          <w:b w:val="0"/>
          <w:color w:val="000000"/>
          <w:sz w:val="32"/>
          <w:szCs w:val="32"/>
        </w:rPr>
      </w:pPr>
      <w:bookmarkStart w:id="932" w:name="_Toc351203509"/>
      <w:r>
        <w:rPr>
          <w:rFonts w:ascii="Times New Roman" w:hAnsi="Times New Roman" w:eastAsia="黑体"/>
          <w:b w:val="0"/>
          <w:color w:val="000000"/>
          <w:sz w:val="32"/>
          <w:szCs w:val="32"/>
        </w:rPr>
        <w:t>2</w:t>
      </w:r>
      <w:bookmarkStart w:id="933" w:name="_Toc296346539"/>
      <w:bookmarkStart w:id="934" w:name="_Toc296503038"/>
      <w:bookmarkStart w:id="935" w:name="_Toc337558739"/>
      <w:bookmarkStart w:id="936" w:name="OLE_LINK1"/>
      <w:bookmarkStart w:id="937" w:name="OLE_LINK2"/>
      <w:r>
        <w:rPr>
          <w:rFonts w:ascii="Times New Roman" w:hAnsi="Times New Roman" w:eastAsia="黑体"/>
          <w:b w:val="0"/>
          <w:color w:val="000000"/>
          <w:sz w:val="32"/>
          <w:szCs w:val="32"/>
        </w:rPr>
        <w:t>. 发包人</w:t>
      </w:r>
      <w:bookmarkEnd w:id="932"/>
    </w:p>
    <w:bookmarkEnd w:id="933"/>
    <w:bookmarkEnd w:id="934"/>
    <w:bookmarkEnd w:id="935"/>
    <w:p>
      <w:pPr>
        <w:pStyle w:val="8"/>
        <w:spacing w:before="120" w:after="120" w:line="360" w:lineRule="auto"/>
        <w:ind w:firstLine="600" w:firstLineChars="200"/>
        <w:rPr>
          <w:rFonts w:eastAsia="黑体"/>
          <w:b w:val="0"/>
          <w:color w:val="000000"/>
          <w:sz w:val="30"/>
          <w:szCs w:val="32"/>
        </w:rPr>
      </w:pPr>
      <w:bookmarkStart w:id="938" w:name="_Toc351203510"/>
      <w:r>
        <w:rPr>
          <w:rFonts w:eastAsia="黑体"/>
          <w:b w:val="0"/>
          <w:color w:val="000000"/>
          <w:sz w:val="30"/>
          <w:szCs w:val="32"/>
        </w:rPr>
        <w:t>2</w:t>
      </w:r>
      <w:bookmarkStart w:id="939" w:name="_Toc296503039"/>
      <w:bookmarkStart w:id="940" w:name="_Toc337558740"/>
      <w:bookmarkStart w:id="941" w:name="_Toc296346540"/>
      <w:r>
        <w:rPr>
          <w:rFonts w:eastAsia="黑体"/>
          <w:b w:val="0"/>
          <w:color w:val="000000"/>
          <w:sz w:val="30"/>
          <w:szCs w:val="32"/>
        </w:rPr>
        <w:t>.1 许可或批准</w:t>
      </w:r>
      <w:bookmarkEnd w:id="938"/>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因发包人原因未能及时办理完毕前述许可、批准或备案，由发包人承担由此增加的费用和（或）延误的工期，并支付承包人合理的利润。</w:t>
      </w:r>
    </w:p>
    <w:p>
      <w:pPr>
        <w:pStyle w:val="8"/>
        <w:spacing w:before="120" w:after="120" w:line="360" w:lineRule="auto"/>
        <w:ind w:firstLine="600" w:firstLineChars="200"/>
        <w:rPr>
          <w:rFonts w:eastAsia="黑体"/>
          <w:b w:val="0"/>
          <w:color w:val="000000"/>
          <w:sz w:val="30"/>
          <w:szCs w:val="32"/>
        </w:rPr>
      </w:pPr>
      <w:bookmarkStart w:id="942" w:name="_Toc351203511"/>
      <w:r>
        <w:rPr>
          <w:rFonts w:eastAsia="黑体"/>
          <w:b w:val="0"/>
          <w:color w:val="000000"/>
          <w:sz w:val="30"/>
          <w:szCs w:val="32"/>
        </w:rPr>
        <w:t>2.2 发包人代表</w:t>
      </w:r>
      <w:bookmarkEnd w:id="942"/>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ind w:firstLine="600" w:firstLineChars="200"/>
        <w:rPr>
          <w:rFonts w:eastAsia="仿宋_GB2312"/>
          <w:color w:val="000000"/>
          <w:kern w:val="0"/>
          <w:sz w:val="30"/>
          <w:szCs w:val="32"/>
        </w:rPr>
      </w:pPr>
      <w:r>
        <w:rPr>
          <w:rFonts w:eastAsia="仿宋_GB2312"/>
          <w:color w:val="000000"/>
          <w:kern w:val="0"/>
          <w:sz w:val="30"/>
          <w:szCs w:val="32"/>
        </w:rPr>
        <w:t>发包人代表不能按照合同约定履行其职责及义务，并导致合同无法继续正常履行的，承包人可以要求发包人撤换发包人代表。</w:t>
      </w:r>
    </w:p>
    <w:p>
      <w:pPr>
        <w:ind w:firstLine="600" w:firstLineChars="200"/>
        <w:rPr>
          <w:sz w:val="30"/>
        </w:rPr>
      </w:pPr>
      <w:r>
        <w:rPr>
          <w:rFonts w:hint="eastAsia" w:eastAsia="仿宋_GB2312"/>
          <w:color w:val="000000"/>
          <w:kern w:val="0"/>
          <w:sz w:val="30"/>
          <w:szCs w:val="32"/>
        </w:rPr>
        <w:t>不属于法定必须监理的工程，监理人的职权可以由发包人代表或发包人指定的其他人员行使。</w:t>
      </w:r>
    </w:p>
    <w:p>
      <w:pPr>
        <w:pStyle w:val="8"/>
        <w:spacing w:before="120" w:after="120" w:line="360" w:lineRule="auto"/>
        <w:ind w:firstLine="600" w:firstLineChars="200"/>
        <w:rPr>
          <w:rFonts w:eastAsia="黑体"/>
          <w:b w:val="0"/>
          <w:color w:val="000000"/>
          <w:sz w:val="30"/>
          <w:szCs w:val="32"/>
        </w:rPr>
      </w:pPr>
      <w:bookmarkStart w:id="943" w:name="_Toc351203512"/>
      <w:r>
        <w:rPr>
          <w:rFonts w:eastAsia="黑体"/>
          <w:b w:val="0"/>
          <w:color w:val="000000"/>
          <w:sz w:val="30"/>
          <w:szCs w:val="32"/>
        </w:rPr>
        <w:t>2.3 发包人人员</w:t>
      </w:r>
      <w:bookmarkEnd w:id="943"/>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eastAsia="仿宋_GB2312"/>
          <w:color w:val="000000"/>
          <w:kern w:val="0"/>
          <w:sz w:val="30"/>
          <w:szCs w:val="32"/>
        </w:rPr>
      </w:pPr>
      <w:r>
        <w:rPr>
          <w:rFonts w:eastAsia="仿宋_GB2312"/>
          <w:color w:val="000000"/>
          <w:kern w:val="0"/>
          <w:sz w:val="30"/>
          <w:szCs w:val="32"/>
        </w:rPr>
        <w:t>发包人人员包括发包人代表及其他由发包人派驻施工现场的人员。</w:t>
      </w:r>
      <w:bookmarkEnd w:id="939"/>
      <w:bookmarkEnd w:id="940"/>
      <w:bookmarkEnd w:id="941"/>
    </w:p>
    <w:p>
      <w:pPr>
        <w:pStyle w:val="8"/>
        <w:spacing w:before="120" w:after="120" w:line="360" w:lineRule="auto"/>
        <w:ind w:firstLine="600" w:firstLineChars="200"/>
        <w:rPr>
          <w:rFonts w:eastAsia="黑体"/>
          <w:b w:val="0"/>
          <w:color w:val="000000"/>
          <w:sz w:val="30"/>
          <w:szCs w:val="32"/>
        </w:rPr>
      </w:pPr>
      <w:bookmarkStart w:id="944" w:name="_Toc351203513"/>
      <w:r>
        <w:rPr>
          <w:rFonts w:eastAsia="黑体"/>
          <w:b w:val="0"/>
          <w:color w:val="000000"/>
          <w:sz w:val="30"/>
          <w:szCs w:val="32"/>
        </w:rPr>
        <w:t>2</w:t>
      </w:r>
      <w:bookmarkStart w:id="945" w:name="_Toc337558741"/>
      <w:bookmarkStart w:id="946" w:name="_Toc296503040"/>
      <w:bookmarkStart w:id="947" w:name="_Toc296346541"/>
      <w:r>
        <w:rPr>
          <w:rFonts w:eastAsia="黑体"/>
          <w:b w:val="0"/>
          <w:color w:val="000000"/>
          <w:sz w:val="30"/>
          <w:szCs w:val="32"/>
        </w:rPr>
        <w:t>.4 施工现场、施工条件和基础资料的提供</w:t>
      </w:r>
      <w:bookmarkEnd w:id="944"/>
      <w:r>
        <w:rPr>
          <w:rFonts w:eastAsia="黑体"/>
          <w:b w:val="0"/>
          <w:color w:val="000000"/>
          <w:sz w:val="30"/>
          <w:szCs w:val="32"/>
        </w:rPr>
        <w:t xml:space="preserve"> </w:t>
      </w:r>
      <w:bookmarkEnd w:id="945"/>
      <w:bookmarkEnd w:id="946"/>
      <w:bookmarkEnd w:id="947"/>
      <w:r>
        <w:rPr>
          <w:rFonts w:eastAsia="黑体"/>
          <w:b w:val="0"/>
          <w:color w:val="000000"/>
          <w:sz w:val="30"/>
          <w:szCs w:val="32"/>
        </w:rPr>
        <w:t xml:space="preserve">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2.4.1 提供施工现场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w:t>
      </w:r>
      <w:bookmarkEnd w:id="936"/>
      <w:bookmarkEnd w:id="937"/>
      <w:r>
        <w:rPr>
          <w:rFonts w:eastAsia="仿宋_GB2312"/>
          <w:color w:val="000000"/>
          <w:kern w:val="0"/>
          <w:sz w:val="30"/>
          <w:szCs w:val="32"/>
        </w:rPr>
        <w:t>专用合同条款另有约定外，发包人应</w:t>
      </w:r>
      <w:r>
        <w:rPr>
          <w:rFonts w:hint="eastAsia" w:eastAsia="仿宋_GB2312"/>
          <w:color w:val="000000"/>
          <w:kern w:val="0"/>
          <w:sz w:val="30"/>
          <w:szCs w:val="32"/>
        </w:rPr>
        <w:t>最迟于</w:t>
      </w:r>
      <w:r>
        <w:rPr>
          <w:rFonts w:eastAsia="仿宋_GB2312"/>
          <w:color w:val="000000"/>
          <w:kern w:val="0"/>
          <w:sz w:val="30"/>
          <w:szCs w:val="32"/>
        </w:rPr>
        <w:t>开工日期7天前向承包人移交施工现场。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2.4.2 提供施工条件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除专用合同条款另有约定外，发包人应负责提供施工所需要的条件，包括：</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（1）将施工用水、电力、通讯线路等施工所必需的条件接至施工现场内；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（2）保证向承包人提供正常施工所需要的进入施工现场的交通条件；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（3）协调处理施工现场周围地下管线和邻近建筑物、构筑物、古树名木的保护工作，并承担相关费用；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（4）按照专用合同条款约定</w:t>
      </w:r>
      <w:r>
        <w:rPr>
          <w:rFonts w:hint="eastAsia" w:eastAsia="仿宋_GB2312"/>
          <w:color w:val="000000"/>
          <w:kern w:val="0"/>
          <w:sz w:val="30"/>
          <w:szCs w:val="32"/>
        </w:rPr>
        <w:t>应</w:t>
      </w:r>
      <w:r>
        <w:rPr>
          <w:rFonts w:eastAsia="仿宋_GB2312"/>
          <w:color w:val="000000"/>
          <w:kern w:val="0"/>
          <w:sz w:val="30"/>
          <w:szCs w:val="32"/>
        </w:rPr>
        <w:t>提供的其他设施和条件。</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kern w:val="0"/>
          <w:sz w:val="30"/>
          <w:szCs w:val="32"/>
        </w:rPr>
        <w:t>2.4.3 提供基础资料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按照法律规定确需在开工后方能提供的基础资料，发包人应尽其努力及时地在相应工程施工前的合理期限内提供，合理期限应以不影响承包人的正常施工为限。</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2.4.4 逾期提供的责任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因发包人原因未能按合同约定及时向承包人提供施工现场、施工条件、基础资料的，由发包人承担由此增加的费用和（或）延误的工期。</w:t>
      </w:r>
    </w:p>
    <w:p>
      <w:pPr>
        <w:pStyle w:val="8"/>
        <w:spacing w:before="120" w:after="120" w:line="360" w:lineRule="auto"/>
        <w:ind w:firstLine="600" w:firstLineChars="200"/>
        <w:rPr>
          <w:rFonts w:eastAsia="黑体"/>
          <w:b w:val="0"/>
          <w:color w:val="000000"/>
          <w:sz w:val="30"/>
          <w:szCs w:val="32"/>
        </w:rPr>
      </w:pPr>
      <w:bookmarkStart w:id="948" w:name="_Toc351203514"/>
      <w:r>
        <w:rPr>
          <w:rFonts w:eastAsia="黑体"/>
          <w:b w:val="0"/>
          <w:color w:val="000000"/>
          <w:sz w:val="30"/>
          <w:szCs w:val="32"/>
        </w:rPr>
        <w:t>2</w:t>
      </w:r>
      <w:bookmarkStart w:id="949" w:name="_Toc296503042"/>
      <w:bookmarkStart w:id="950" w:name="_Toc296346543"/>
      <w:bookmarkStart w:id="951" w:name="_Toc337558745"/>
      <w:r>
        <w:rPr>
          <w:rFonts w:eastAsia="黑体"/>
          <w:b w:val="0"/>
          <w:color w:val="000000"/>
          <w:sz w:val="30"/>
          <w:szCs w:val="32"/>
        </w:rPr>
        <w:t>.5 资</w:t>
      </w:r>
      <w:bookmarkEnd w:id="949"/>
      <w:bookmarkEnd w:id="950"/>
      <w:bookmarkEnd w:id="951"/>
      <w:r>
        <w:rPr>
          <w:rFonts w:eastAsia="黑体"/>
          <w:b w:val="0"/>
          <w:color w:val="000000"/>
          <w:sz w:val="30"/>
          <w:szCs w:val="32"/>
        </w:rPr>
        <w:t>金来源证明及支付担保</w:t>
      </w:r>
      <w:bookmarkEnd w:id="948"/>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8"/>
        <w:spacing w:before="120" w:after="120" w:line="360" w:lineRule="auto"/>
        <w:ind w:firstLine="600" w:firstLineChars="200"/>
        <w:rPr>
          <w:rFonts w:eastAsia="黑体"/>
          <w:b w:val="0"/>
          <w:color w:val="000000"/>
          <w:sz w:val="30"/>
          <w:szCs w:val="32"/>
        </w:rPr>
      </w:pPr>
      <w:bookmarkStart w:id="952" w:name="_Toc351203515"/>
      <w:r>
        <w:rPr>
          <w:rFonts w:eastAsia="黑体"/>
          <w:b w:val="0"/>
          <w:color w:val="000000"/>
          <w:sz w:val="30"/>
          <w:szCs w:val="32"/>
        </w:rPr>
        <w:t>2.6 支付合同价款</w:t>
      </w:r>
      <w:bookmarkEnd w:id="952"/>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发包人应按合同约定向承包人及时支付合同价款。</w:t>
      </w:r>
    </w:p>
    <w:p>
      <w:pPr>
        <w:pStyle w:val="8"/>
        <w:spacing w:before="120" w:after="120" w:line="360" w:lineRule="auto"/>
        <w:ind w:firstLine="600" w:firstLineChars="200"/>
        <w:rPr>
          <w:rFonts w:eastAsia="黑体"/>
          <w:b w:val="0"/>
          <w:color w:val="000000"/>
          <w:sz w:val="30"/>
          <w:szCs w:val="32"/>
        </w:rPr>
      </w:pPr>
      <w:bookmarkStart w:id="953" w:name="_Toc351203516"/>
      <w:r>
        <w:rPr>
          <w:rFonts w:eastAsia="黑体"/>
          <w:b w:val="0"/>
          <w:color w:val="000000"/>
          <w:sz w:val="30"/>
          <w:szCs w:val="32"/>
        </w:rPr>
        <w:t>2.7 组织竣工验收</w:t>
      </w:r>
      <w:bookmarkEnd w:id="953"/>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发包人应按合同约定及时组织竣工验收。</w:t>
      </w:r>
    </w:p>
    <w:p>
      <w:pPr>
        <w:pStyle w:val="8"/>
        <w:spacing w:before="120" w:after="120" w:line="360" w:lineRule="auto"/>
        <w:ind w:firstLine="600" w:firstLineChars="200"/>
        <w:rPr>
          <w:rFonts w:eastAsia="黑体"/>
          <w:b w:val="0"/>
          <w:color w:val="000000"/>
          <w:sz w:val="30"/>
          <w:szCs w:val="32"/>
        </w:rPr>
      </w:pPr>
      <w:bookmarkStart w:id="954" w:name="_Toc351203517"/>
      <w:r>
        <w:rPr>
          <w:rFonts w:eastAsia="黑体"/>
          <w:b w:val="0"/>
          <w:color w:val="000000"/>
          <w:sz w:val="30"/>
          <w:szCs w:val="32"/>
        </w:rPr>
        <w:t>2.8 现场统一管理协议</w:t>
      </w:r>
      <w:bookmarkEnd w:id="954"/>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发包人应与承包人、由发包人直接发包的专业工程的承包人签订施工现场统一管理协议，明确各方的权利义务。施工现场统一管理协议作为专用合同条款的附件。</w:t>
      </w:r>
    </w:p>
    <w:p>
      <w:pPr>
        <w:pStyle w:val="7"/>
        <w:spacing w:before="120" w:after="120" w:line="360" w:lineRule="auto"/>
        <w:rPr>
          <w:rFonts w:ascii="Times New Roman" w:hAnsi="Times New Roman" w:eastAsia="黑体"/>
          <w:b w:val="0"/>
          <w:color w:val="000000"/>
          <w:sz w:val="32"/>
          <w:szCs w:val="32"/>
        </w:rPr>
      </w:pPr>
      <w:bookmarkStart w:id="955" w:name="_Toc351203518"/>
      <w:r>
        <w:rPr>
          <w:rFonts w:ascii="Times New Roman" w:hAnsi="Times New Roman" w:eastAsia="黑体"/>
          <w:b w:val="0"/>
          <w:color w:val="000000"/>
          <w:sz w:val="32"/>
          <w:szCs w:val="32"/>
        </w:rPr>
        <w:t>3</w:t>
      </w:r>
      <w:bookmarkStart w:id="956" w:name="_Toc337558746"/>
      <w:bookmarkStart w:id="957" w:name="_Toc296503045"/>
      <w:bookmarkStart w:id="958" w:name="_Toc296346546"/>
      <w:r>
        <w:rPr>
          <w:rFonts w:ascii="Times New Roman" w:hAnsi="Times New Roman" w:eastAsia="黑体"/>
          <w:b w:val="0"/>
          <w:color w:val="000000"/>
          <w:sz w:val="32"/>
          <w:szCs w:val="32"/>
        </w:rPr>
        <w:t>. 承包人</w:t>
      </w:r>
      <w:bookmarkEnd w:id="955"/>
    </w:p>
    <w:bookmarkEnd w:id="956"/>
    <w:bookmarkEnd w:id="957"/>
    <w:bookmarkEnd w:id="958"/>
    <w:p>
      <w:pPr>
        <w:pStyle w:val="8"/>
        <w:spacing w:before="120" w:after="120" w:line="360" w:lineRule="auto"/>
        <w:ind w:firstLine="600" w:firstLineChars="200"/>
        <w:rPr>
          <w:rFonts w:eastAsia="黑体"/>
          <w:b w:val="0"/>
          <w:color w:val="000000"/>
          <w:sz w:val="30"/>
          <w:szCs w:val="32"/>
        </w:rPr>
      </w:pPr>
      <w:bookmarkStart w:id="959" w:name="_Toc351203519"/>
      <w:r>
        <w:rPr>
          <w:rFonts w:eastAsia="黑体"/>
          <w:b w:val="0"/>
          <w:color w:val="000000"/>
          <w:sz w:val="30"/>
          <w:szCs w:val="32"/>
        </w:rPr>
        <w:t>3</w:t>
      </w:r>
      <w:bookmarkStart w:id="960" w:name="_Toc337558747"/>
      <w:bookmarkStart w:id="961" w:name="_Toc296346547"/>
      <w:bookmarkStart w:id="962" w:name="_Toc296503046"/>
      <w:r>
        <w:rPr>
          <w:rFonts w:eastAsia="黑体"/>
          <w:b w:val="0"/>
          <w:color w:val="000000"/>
          <w:sz w:val="30"/>
          <w:szCs w:val="32"/>
        </w:rPr>
        <w:t>.1 承包人的一般义务</w:t>
      </w:r>
      <w:bookmarkEnd w:id="959"/>
    </w:p>
    <w:bookmarkEnd w:id="960"/>
    <w:bookmarkEnd w:id="961"/>
    <w:bookmarkEnd w:id="96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承包人在履行合同过程中应遵守法律和工程建设标准规范，并履行以下义务：</w:t>
      </w:r>
    </w:p>
    <w:p>
      <w:pPr>
        <w:numPr>
          <w:ilvl w:val="0"/>
          <w:numId w:val="5"/>
        </w:num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办理法律规定</w:t>
      </w:r>
      <w:r>
        <w:rPr>
          <w:rFonts w:hint="eastAsia" w:eastAsia="仿宋_GB2312"/>
          <w:color w:val="000000"/>
          <w:kern w:val="0"/>
          <w:sz w:val="30"/>
          <w:szCs w:val="32"/>
        </w:rPr>
        <w:t>应</w:t>
      </w:r>
      <w:r>
        <w:rPr>
          <w:rFonts w:eastAsia="仿宋_GB2312"/>
          <w:color w:val="000000"/>
          <w:kern w:val="0"/>
          <w:sz w:val="30"/>
          <w:szCs w:val="32"/>
        </w:rPr>
        <w:t>由承包人办理的许可和批准，并将</w:t>
      </w:r>
      <w:r>
        <w:rPr>
          <w:rFonts w:hint="eastAsia" w:eastAsia="仿宋_GB2312"/>
          <w:color w:val="000000"/>
          <w:kern w:val="0"/>
          <w:sz w:val="30"/>
          <w:szCs w:val="32"/>
        </w:rPr>
        <w:t>办理</w:t>
      </w:r>
      <w:r>
        <w:rPr>
          <w:rFonts w:eastAsia="仿宋_GB2312"/>
          <w:color w:val="000000"/>
          <w:kern w:val="0"/>
          <w:sz w:val="30"/>
          <w:szCs w:val="32"/>
        </w:rPr>
        <w:t>结果书面报送发包人留存；</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（2）按法律规定和合同约定完成工程，并在保修期内承担保修义务；</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（3）按法律规定和合同约定采取施工安全和环境保护措施，办理工伤保险，确保工程及人员、材料、设备和设施的安全；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（6）按照第6.3款</w:t>
      </w:r>
      <w:r>
        <w:rPr>
          <w:rFonts w:hint="eastAsia" w:eastAsia="仿宋_GB2312"/>
          <w:color w:val="000000"/>
          <w:kern w:val="0"/>
          <w:sz w:val="30"/>
          <w:szCs w:val="32"/>
        </w:rPr>
        <w:t>〔</w:t>
      </w:r>
      <w:r>
        <w:rPr>
          <w:rFonts w:eastAsia="仿宋_GB2312"/>
          <w:color w:val="000000"/>
          <w:kern w:val="0"/>
          <w:sz w:val="30"/>
          <w:szCs w:val="32"/>
        </w:rPr>
        <w:t>环境保护</w:t>
      </w:r>
      <w:r>
        <w:rPr>
          <w:rFonts w:hint="eastAsia" w:eastAsia="仿宋_GB2312"/>
          <w:color w:val="000000"/>
          <w:kern w:val="0"/>
          <w:sz w:val="30"/>
          <w:szCs w:val="32"/>
        </w:rPr>
        <w:t>〕</w:t>
      </w:r>
      <w:r>
        <w:rPr>
          <w:rFonts w:eastAsia="仿宋_GB2312"/>
          <w:color w:val="000000"/>
          <w:kern w:val="0"/>
          <w:sz w:val="30"/>
          <w:szCs w:val="32"/>
        </w:rPr>
        <w:t>约定负责施工场地及其周边环境与生态的保护工作；</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（7）按第6.1款</w:t>
      </w:r>
      <w:r>
        <w:rPr>
          <w:rFonts w:hint="eastAsia" w:eastAsia="仿宋_GB2312"/>
          <w:color w:val="000000"/>
          <w:kern w:val="0"/>
          <w:sz w:val="30"/>
          <w:szCs w:val="32"/>
        </w:rPr>
        <w:t>〔</w:t>
      </w:r>
      <w:r>
        <w:rPr>
          <w:rFonts w:eastAsia="仿宋_GB2312"/>
          <w:color w:val="000000"/>
          <w:kern w:val="0"/>
          <w:sz w:val="30"/>
          <w:szCs w:val="32"/>
        </w:rPr>
        <w:t>安全文明施工</w:t>
      </w:r>
      <w:r>
        <w:rPr>
          <w:rFonts w:hint="eastAsia" w:eastAsia="仿宋_GB2312"/>
          <w:color w:val="000000"/>
          <w:kern w:val="0"/>
          <w:sz w:val="30"/>
          <w:szCs w:val="32"/>
        </w:rPr>
        <w:t>〕</w:t>
      </w:r>
      <w:r>
        <w:rPr>
          <w:rFonts w:eastAsia="仿宋_GB2312"/>
          <w:color w:val="000000"/>
          <w:kern w:val="0"/>
          <w:sz w:val="30"/>
          <w:szCs w:val="32"/>
        </w:rPr>
        <w:t>约定采取施工安全措施，确保工程及其人员、材料、设备和设施的安全，防止因工程施工造成的人身伤害和财产损失；</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w:t>
      </w:r>
      <w:r>
        <w:rPr>
          <w:rFonts w:hint="eastAsia" w:eastAsia="仿宋_GB2312"/>
          <w:color w:val="000000"/>
          <w:kern w:val="0"/>
          <w:sz w:val="30"/>
          <w:szCs w:val="32"/>
        </w:rPr>
        <w:t>将</w:t>
      </w:r>
      <w:r>
        <w:rPr>
          <w:rFonts w:eastAsia="仿宋_GB2312"/>
          <w:color w:val="000000"/>
          <w:kern w:val="0"/>
          <w:sz w:val="30"/>
          <w:szCs w:val="32"/>
        </w:rPr>
        <w:t>发包人按合同约定支付的各项价款专用于合同工程，且应及时支付其雇用人员工资，并及时向分包人支付合同价款；</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（10）应履行的其他义务。</w:t>
      </w:r>
    </w:p>
    <w:p>
      <w:pPr>
        <w:pStyle w:val="8"/>
        <w:spacing w:before="120" w:after="120" w:line="360" w:lineRule="auto"/>
        <w:ind w:firstLine="600" w:firstLineChars="200"/>
        <w:rPr>
          <w:rFonts w:eastAsia="黑体"/>
          <w:b w:val="0"/>
          <w:color w:val="000000"/>
          <w:sz w:val="30"/>
          <w:szCs w:val="32"/>
        </w:rPr>
      </w:pPr>
      <w:bookmarkStart w:id="963" w:name="_Toc351203520"/>
      <w:r>
        <w:rPr>
          <w:rFonts w:eastAsia="黑体"/>
          <w:b w:val="0"/>
          <w:color w:val="000000"/>
          <w:sz w:val="30"/>
          <w:szCs w:val="32"/>
        </w:rPr>
        <w:t>3</w:t>
      </w:r>
      <w:bookmarkStart w:id="964" w:name="_Toc296503047"/>
      <w:bookmarkStart w:id="965" w:name="_Toc296346548"/>
      <w:bookmarkStart w:id="966" w:name="_Toc337558748"/>
      <w:r>
        <w:rPr>
          <w:rFonts w:eastAsia="黑体"/>
          <w:b w:val="0"/>
          <w:color w:val="000000"/>
          <w:sz w:val="30"/>
          <w:szCs w:val="32"/>
        </w:rPr>
        <w:t xml:space="preserve">.2 </w:t>
      </w:r>
      <w:bookmarkEnd w:id="963"/>
      <w:r>
        <w:rPr>
          <w:rFonts w:eastAsia="黑体"/>
          <w:b w:val="0"/>
          <w:color w:val="000000"/>
          <w:sz w:val="30"/>
          <w:szCs w:val="32"/>
        </w:rPr>
        <w:t>项目经理</w:t>
      </w:r>
    </w:p>
    <w:bookmarkEnd w:id="964"/>
    <w:bookmarkEnd w:id="965"/>
    <w:bookmarkEnd w:id="96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承包人违反上述约定的，应按照专用合同条款的约定，承担违约责任。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3.2.2 项目经理按合同约定组织工程实施。在紧急情况下</w:t>
      </w:r>
      <w:r>
        <w:rPr>
          <w:rFonts w:hint="eastAsia" w:eastAsia="仿宋_GB2312"/>
          <w:color w:val="000000"/>
          <w:kern w:val="0"/>
          <w:sz w:val="30"/>
          <w:szCs w:val="32"/>
        </w:rPr>
        <w:t>为确保施工安全和人员安全</w:t>
      </w:r>
      <w:r>
        <w:rPr>
          <w:rFonts w:eastAsia="仿宋_GB2312"/>
          <w:color w:val="000000"/>
          <w:kern w:val="0"/>
          <w:sz w:val="30"/>
          <w:szCs w:val="32"/>
        </w:rPr>
        <w:t>，</w:t>
      </w:r>
      <w:r>
        <w:rPr>
          <w:rFonts w:hint="eastAsia" w:eastAsia="仿宋_GB2312"/>
          <w:color w:val="000000"/>
          <w:kern w:val="0"/>
          <w:sz w:val="30"/>
          <w:szCs w:val="32"/>
        </w:rPr>
        <w:t>在</w:t>
      </w:r>
      <w:r>
        <w:rPr>
          <w:rFonts w:eastAsia="仿宋_GB2312"/>
          <w:color w:val="000000"/>
          <w:kern w:val="0"/>
          <w:sz w:val="30"/>
          <w:szCs w:val="32"/>
        </w:rPr>
        <w:t>无法与发包人代表和总监理工程师</w:t>
      </w:r>
      <w:r>
        <w:rPr>
          <w:rFonts w:hint="eastAsia" w:eastAsia="仿宋_GB2312"/>
          <w:color w:val="000000"/>
          <w:kern w:val="0"/>
          <w:sz w:val="30"/>
          <w:szCs w:val="32"/>
        </w:rPr>
        <w:t>及时</w:t>
      </w:r>
      <w:r>
        <w:rPr>
          <w:rFonts w:eastAsia="仿宋_GB2312"/>
          <w:color w:val="000000"/>
          <w:kern w:val="0"/>
          <w:sz w:val="30"/>
          <w:szCs w:val="32"/>
        </w:rPr>
        <w:t>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eastAsia="仿宋_GB2312"/>
          <w:color w:val="000000"/>
          <w:kern w:val="0"/>
          <w:sz w:val="30"/>
          <w:szCs w:val="32"/>
        </w:rPr>
        <w:t>继</w:t>
      </w:r>
      <w:r>
        <w:rPr>
          <w:rFonts w:eastAsia="仿宋_GB2312"/>
          <w:color w:val="000000"/>
          <w:kern w:val="0"/>
          <w:sz w:val="30"/>
          <w:szCs w:val="32"/>
        </w:rPr>
        <w:t>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3.2.5 项目经理因特殊情况授权其下属人员履行其某项工作职责的，该下属人员应具备履行相应职责的能力，并应提前7天将上述人员的姓名和授权范围书面通知监理人，并征得发包人书面同意。</w:t>
      </w:r>
    </w:p>
    <w:p>
      <w:pPr>
        <w:pStyle w:val="8"/>
        <w:spacing w:before="120" w:after="120" w:line="360" w:lineRule="auto"/>
        <w:ind w:firstLine="600" w:firstLineChars="200"/>
        <w:rPr>
          <w:rFonts w:eastAsia="黑体"/>
          <w:b w:val="0"/>
          <w:color w:val="000000"/>
          <w:sz w:val="30"/>
          <w:szCs w:val="32"/>
        </w:rPr>
      </w:pPr>
      <w:bookmarkStart w:id="967" w:name="_Toc351203521"/>
      <w:r>
        <w:rPr>
          <w:rFonts w:eastAsia="黑体"/>
          <w:b w:val="0"/>
          <w:color w:val="000000"/>
          <w:sz w:val="30"/>
          <w:szCs w:val="32"/>
        </w:rPr>
        <w:t>3</w:t>
      </w:r>
      <w:bookmarkStart w:id="968" w:name="_Toc296503048"/>
      <w:bookmarkStart w:id="969" w:name="_Toc296346549"/>
      <w:bookmarkStart w:id="970" w:name="_Toc337558749"/>
      <w:r>
        <w:rPr>
          <w:rFonts w:eastAsia="黑体"/>
          <w:b w:val="0"/>
          <w:color w:val="000000"/>
          <w:sz w:val="30"/>
          <w:szCs w:val="32"/>
        </w:rPr>
        <w:t xml:space="preserve">.3 </w:t>
      </w:r>
      <w:bookmarkEnd w:id="968"/>
      <w:bookmarkEnd w:id="969"/>
      <w:r>
        <w:rPr>
          <w:rFonts w:eastAsia="黑体"/>
          <w:b w:val="0"/>
          <w:color w:val="000000"/>
          <w:sz w:val="30"/>
          <w:szCs w:val="32"/>
        </w:rPr>
        <w:t>承包人人员</w:t>
      </w:r>
      <w:bookmarkEnd w:id="967"/>
    </w:p>
    <w:bookmarkEnd w:id="970"/>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eastAsia="仿宋_GB2312"/>
          <w:color w:val="000000"/>
          <w:kern w:val="0"/>
          <w:sz w:val="30"/>
          <w:szCs w:val="32"/>
        </w:rPr>
        <w:t>和</w:t>
      </w:r>
      <w:r>
        <w:rPr>
          <w:rFonts w:eastAsia="仿宋_GB2312"/>
          <w:color w:val="000000"/>
          <w:kern w:val="0"/>
          <w:sz w:val="30"/>
          <w:szCs w:val="32"/>
        </w:rPr>
        <w:t>缴纳社会保险的有效证明。</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3.3.2 承包人派驻到施工现场的主要施工管理人员应相对稳定。施工过程中</w:t>
      </w:r>
      <w:r>
        <w:rPr>
          <w:rFonts w:hint="eastAsia" w:eastAsia="仿宋_GB2312"/>
          <w:color w:val="000000"/>
          <w:kern w:val="0"/>
          <w:sz w:val="30"/>
          <w:szCs w:val="32"/>
        </w:rPr>
        <w:t>如有变动</w:t>
      </w:r>
      <w:r>
        <w:rPr>
          <w:rFonts w:eastAsia="仿宋_GB2312"/>
          <w:color w:val="000000"/>
          <w:kern w:val="0"/>
          <w:sz w:val="30"/>
          <w:szCs w:val="32"/>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特殊工种作业人员均应持有相应的资格证明，监理人可以随时检查。</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3.3.3 发包人对于承包人主要施工管理人员</w:t>
      </w:r>
      <w:r>
        <w:rPr>
          <w:rFonts w:hint="eastAsia" w:eastAsia="仿宋_GB2312"/>
          <w:color w:val="000000"/>
          <w:kern w:val="0"/>
          <w:sz w:val="30"/>
          <w:szCs w:val="32"/>
        </w:rPr>
        <w:t>的资格或能力</w:t>
      </w:r>
      <w:r>
        <w:rPr>
          <w:rFonts w:eastAsia="仿宋_GB2312"/>
          <w:color w:val="000000"/>
          <w:kern w:val="0"/>
          <w:sz w:val="30"/>
          <w:szCs w:val="32"/>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3.3.5 承包人擅自更换主要施工管理人员，或前述人员未经监理人或发包人同意擅自离开施工现场的，应按照专用合同条款约定承担违约责任。</w:t>
      </w:r>
    </w:p>
    <w:p>
      <w:pPr>
        <w:pStyle w:val="8"/>
        <w:spacing w:before="120" w:after="120" w:line="360" w:lineRule="auto"/>
        <w:ind w:firstLine="600" w:firstLineChars="200"/>
        <w:rPr>
          <w:rFonts w:eastAsia="黑体"/>
          <w:b w:val="0"/>
          <w:color w:val="000000"/>
          <w:sz w:val="30"/>
          <w:szCs w:val="32"/>
        </w:rPr>
      </w:pPr>
      <w:bookmarkStart w:id="971" w:name="_Toc351203522"/>
      <w:r>
        <w:rPr>
          <w:rFonts w:eastAsia="黑体"/>
          <w:b w:val="0"/>
          <w:color w:val="000000"/>
          <w:sz w:val="30"/>
          <w:szCs w:val="32"/>
        </w:rPr>
        <w:t>3</w:t>
      </w:r>
      <w:bookmarkStart w:id="972" w:name="_Toc296346551"/>
      <w:bookmarkStart w:id="973" w:name="_Toc296503050"/>
      <w:bookmarkStart w:id="974" w:name="_Toc337558750"/>
      <w:r>
        <w:rPr>
          <w:rFonts w:eastAsia="黑体"/>
          <w:b w:val="0"/>
          <w:color w:val="000000"/>
          <w:sz w:val="30"/>
          <w:szCs w:val="32"/>
        </w:rPr>
        <w:t>.4 承包人现场查勘</w:t>
      </w:r>
      <w:bookmarkEnd w:id="971"/>
    </w:p>
    <w:bookmarkEnd w:id="972"/>
    <w:bookmarkEnd w:id="973"/>
    <w:bookmarkEnd w:id="974"/>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kern w:val="0"/>
          <w:sz w:val="30"/>
          <w:szCs w:val="32"/>
        </w:rPr>
        <w:t>承包人应对基于发包人按照第2.4.3项</w:t>
      </w:r>
      <w:r>
        <w:rPr>
          <w:rFonts w:hint="eastAsia" w:eastAsia="仿宋_GB2312"/>
          <w:color w:val="000000"/>
          <w:kern w:val="0"/>
          <w:sz w:val="30"/>
          <w:szCs w:val="32"/>
        </w:rPr>
        <w:t>〔</w:t>
      </w:r>
      <w:r>
        <w:rPr>
          <w:rFonts w:eastAsia="仿宋_GB2312"/>
          <w:color w:val="000000"/>
          <w:kern w:val="0"/>
          <w:sz w:val="30"/>
          <w:szCs w:val="32"/>
        </w:rPr>
        <w:t>提供基础资料</w:t>
      </w:r>
      <w:r>
        <w:rPr>
          <w:rFonts w:hint="eastAsia" w:eastAsia="仿宋_GB2312"/>
          <w:color w:val="000000"/>
          <w:kern w:val="0"/>
          <w:sz w:val="30"/>
          <w:szCs w:val="32"/>
        </w:rPr>
        <w:t>〕</w:t>
      </w:r>
      <w:r>
        <w:rPr>
          <w:rFonts w:eastAsia="仿宋_GB2312"/>
          <w:color w:val="000000"/>
          <w:kern w:val="0"/>
          <w:sz w:val="30"/>
          <w:szCs w:val="32"/>
        </w:rPr>
        <w:t>提交的基础资料所做出的解释和推断负责，但因基础资料存在错误、遗漏导致承包人解释或推断失实的，由发包人承担责任。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8"/>
        <w:spacing w:before="120" w:after="120" w:line="360" w:lineRule="auto"/>
        <w:ind w:firstLine="600" w:firstLineChars="200"/>
        <w:rPr>
          <w:rFonts w:eastAsia="黑体"/>
          <w:b w:val="0"/>
          <w:color w:val="000000"/>
          <w:sz w:val="30"/>
          <w:szCs w:val="32"/>
        </w:rPr>
      </w:pPr>
      <w:bookmarkStart w:id="975" w:name="_Toc351203523"/>
      <w:r>
        <w:rPr>
          <w:rFonts w:eastAsia="黑体"/>
          <w:b w:val="0"/>
          <w:color w:val="000000"/>
          <w:sz w:val="30"/>
          <w:szCs w:val="32"/>
        </w:rPr>
        <w:t>3</w:t>
      </w:r>
      <w:bookmarkStart w:id="976" w:name="_Toc296346552"/>
      <w:bookmarkStart w:id="977" w:name="_Toc296503051"/>
      <w:bookmarkStart w:id="978" w:name="_Toc337558751"/>
      <w:r>
        <w:rPr>
          <w:rFonts w:eastAsia="黑体"/>
          <w:b w:val="0"/>
          <w:color w:val="000000"/>
          <w:sz w:val="30"/>
          <w:szCs w:val="32"/>
        </w:rPr>
        <w:t>.5 分包</w:t>
      </w:r>
      <w:bookmarkEnd w:id="975"/>
    </w:p>
    <w:bookmarkEnd w:id="976"/>
    <w:bookmarkEnd w:id="977"/>
    <w:bookmarkEnd w:id="978"/>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3.5.1 分包的一般约定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承包人不得以劳务分包的名义转包或违法分包工程。</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3.5.2 分包的确定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承包人应按专用合同条款的约定进行分包，确定分包人。已标价工程量清单或预算书中给定暂估价的专业工程，按照第10.7款</w:t>
      </w:r>
      <w:r>
        <w:rPr>
          <w:rFonts w:hint="eastAsia" w:eastAsia="仿宋_GB2312"/>
          <w:color w:val="000000"/>
          <w:kern w:val="0"/>
          <w:sz w:val="30"/>
          <w:szCs w:val="32"/>
        </w:rPr>
        <w:t>〔</w:t>
      </w:r>
      <w:r>
        <w:rPr>
          <w:rFonts w:eastAsia="仿宋_GB2312"/>
          <w:color w:val="000000"/>
          <w:kern w:val="0"/>
          <w:sz w:val="30"/>
          <w:szCs w:val="32"/>
        </w:rPr>
        <w:t>暂估价</w:t>
      </w:r>
      <w:r>
        <w:rPr>
          <w:rFonts w:hint="eastAsia" w:eastAsia="仿宋_GB2312"/>
          <w:color w:val="000000"/>
          <w:kern w:val="0"/>
          <w:sz w:val="30"/>
          <w:szCs w:val="32"/>
        </w:rPr>
        <w:t>〕</w:t>
      </w:r>
      <w:r>
        <w:rPr>
          <w:rFonts w:eastAsia="仿宋_GB2312"/>
          <w:color w:val="000000"/>
          <w:kern w:val="0"/>
          <w:sz w:val="30"/>
          <w:szCs w:val="32"/>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3.5.3 分包管理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承包人应向监理人提交分包人的主要施工管理人员表，并对分包人的施工人员进行实名制管理，包括但不限于进出场管理、登记造册以及各种证照的办理。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3.5.4 分包合同价款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（1）除本项第（2）目约定的情况或专用合同条款另有约定外，分包合同价款由承包人与分包人结算，未经承包人同意，发包人不得向分包人支付分包工程价款；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（2）生效法律文书要求发包人向分包人支付分包合同价款的，发包人有权从应付承包人工程款中扣除该部分款项。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3.5.5 分包合同权益的转让</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979" w:name="_Toc351203524"/>
    </w:p>
    <w:p>
      <w:pPr>
        <w:pStyle w:val="8"/>
        <w:spacing w:before="120" w:after="120" w:line="360" w:lineRule="auto"/>
        <w:ind w:firstLine="600" w:firstLineChars="200"/>
        <w:rPr>
          <w:rFonts w:eastAsia="黑体"/>
          <w:b w:val="0"/>
          <w:color w:val="000000"/>
          <w:sz w:val="30"/>
          <w:szCs w:val="32"/>
        </w:rPr>
      </w:pPr>
      <w:r>
        <w:rPr>
          <w:rFonts w:eastAsia="黑体"/>
          <w:b w:val="0"/>
          <w:color w:val="000000"/>
          <w:sz w:val="30"/>
          <w:szCs w:val="32"/>
        </w:rPr>
        <w:t>3.6 工程照管与成品、半成品保护</w:t>
      </w:r>
      <w:bookmarkEnd w:id="979"/>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（1）除专用合同条款另有约定外，自发包人向承包人移交施工现场之日起，承包人应负责照管工程及工程相关的材料、工程设备，直到颁发工程接收证书之日止。</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w:t>
      </w:r>
      <w:r>
        <w:rPr>
          <w:rFonts w:hint="eastAsia" w:eastAsia="仿宋_GB2312"/>
          <w:color w:val="000000"/>
          <w:kern w:val="0"/>
          <w:sz w:val="30"/>
          <w:szCs w:val="32"/>
        </w:rPr>
        <w:t>2</w:t>
      </w:r>
      <w:r>
        <w:rPr>
          <w:rFonts w:eastAsia="仿宋_GB2312"/>
          <w:color w:val="000000"/>
          <w:kern w:val="0"/>
          <w:sz w:val="30"/>
          <w:szCs w:val="32"/>
        </w:rPr>
        <w:t>）在承包人负责照管期间，因承包人原因造成工程、材料、工程设备损坏的，由承包人负责修复或更换，并承担由此增加的费用和（或）延误的工期。</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w:t>
      </w:r>
      <w:r>
        <w:rPr>
          <w:rFonts w:hint="eastAsia" w:eastAsia="仿宋_GB2312"/>
          <w:color w:val="000000"/>
          <w:kern w:val="0"/>
          <w:sz w:val="30"/>
          <w:szCs w:val="32"/>
        </w:rPr>
        <w:t>3</w:t>
      </w:r>
      <w:r>
        <w:rPr>
          <w:rFonts w:eastAsia="仿宋_GB2312"/>
          <w:color w:val="000000"/>
          <w:kern w:val="0"/>
          <w:sz w:val="30"/>
          <w:szCs w:val="32"/>
        </w:rPr>
        <w:t>）对合同内分期完成的成品和半成品，在工程接收证书颁发前，由承包人承担保护责任。因承包人原因造成成品或半成品损坏的，由承包人负责修复或更换，并承担由此增加的费用和（或）延误的工期。</w:t>
      </w:r>
    </w:p>
    <w:p>
      <w:pPr>
        <w:pStyle w:val="8"/>
        <w:spacing w:before="120" w:after="120" w:line="360" w:lineRule="auto"/>
        <w:ind w:firstLine="600" w:firstLineChars="200"/>
        <w:rPr>
          <w:rFonts w:eastAsia="黑体"/>
          <w:b w:val="0"/>
          <w:color w:val="000000"/>
          <w:sz w:val="30"/>
          <w:szCs w:val="32"/>
        </w:rPr>
      </w:pPr>
      <w:bookmarkStart w:id="980" w:name="_Toc351203525"/>
      <w:r>
        <w:rPr>
          <w:rFonts w:eastAsia="黑体"/>
          <w:b w:val="0"/>
          <w:color w:val="000000"/>
          <w:sz w:val="30"/>
          <w:szCs w:val="32"/>
        </w:rPr>
        <w:t>3</w:t>
      </w:r>
      <w:bookmarkStart w:id="981" w:name="_Toc296503052"/>
      <w:bookmarkStart w:id="982" w:name="_Toc337558752"/>
      <w:bookmarkStart w:id="983" w:name="_Toc296346553"/>
      <w:r>
        <w:rPr>
          <w:rFonts w:eastAsia="黑体"/>
          <w:b w:val="0"/>
          <w:color w:val="000000"/>
          <w:sz w:val="30"/>
          <w:szCs w:val="32"/>
        </w:rPr>
        <w:t>.7 履约担保</w:t>
      </w:r>
      <w:bookmarkEnd w:id="980"/>
    </w:p>
    <w:bookmarkEnd w:id="981"/>
    <w:bookmarkEnd w:id="982"/>
    <w:bookmarkEnd w:id="983"/>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发包人需要承包人提供履约担保的，由合同当事人在专用合同条款中约定履约担保的方式、金额及期限等。</w:t>
      </w:r>
      <w:r>
        <w:rPr>
          <w:rFonts w:eastAsia="仿宋_GB2312"/>
          <w:color w:val="000000"/>
          <w:kern w:val="0"/>
          <w:sz w:val="30"/>
          <w:szCs w:val="32"/>
        </w:rPr>
        <w:t>履约担保可以采用银行保函或担保公司担保等形式，具体由合同当事人在专用合同条款中约定。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因承包人原因导致工期延长的，继续提供履约担保所增加的费用由承包人承担；非因承包人原因导致工期延长的，继续提供履约担保所增加的费用由发包人承担。</w:t>
      </w:r>
    </w:p>
    <w:p>
      <w:pPr>
        <w:pStyle w:val="8"/>
        <w:spacing w:before="120" w:after="120" w:line="360" w:lineRule="auto"/>
        <w:ind w:firstLine="600" w:firstLineChars="200"/>
        <w:rPr>
          <w:rFonts w:eastAsia="黑体"/>
          <w:b w:val="0"/>
          <w:color w:val="000000"/>
          <w:sz w:val="30"/>
          <w:szCs w:val="32"/>
        </w:rPr>
      </w:pPr>
      <w:bookmarkStart w:id="984" w:name="_Toc351203526"/>
      <w:r>
        <w:rPr>
          <w:rFonts w:eastAsia="黑体"/>
          <w:b w:val="0"/>
          <w:color w:val="000000"/>
          <w:sz w:val="30"/>
          <w:szCs w:val="32"/>
        </w:rPr>
        <w:t>3.8 联合体</w:t>
      </w:r>
      <w:bookmarkEnd w:id="984"/>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3.8.1 联合体各方应共同与发包人签订合同协议书。联合体各方应为履行合同</w:t>
      </w:r>
      <w:r>
        <w:rPr>
          <w:rFonts w:hint="eastAsia" w:eastAsia="仿宋_GB2312"/>
          <w:color w:val="000000"/>
          <w:kern w:val="0"/>
          <w:sz w:val="30"/>
          <w:szCs w:val="32"/>
        </w:rPr>
        <w:t>向发包人</w:t>
      </w:r>
      <w:r>
        <w:rPr>
          <w:rFonts w:eastAsia="仿宋_GB2312"/>
          <w:color w:val="000000"/>
          <w:kern w:val="0"/>
          <w:sz w:val="30"/>
          <w:szCs w:val="32"/>
        </w:rPr>
        <w:t>承担连带责任。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3.8.2 联合体协议经发包人确认后作为合同附件。在履行合同过程中，未经发包人同意，不得修改联合体协议。</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3.8.3 联合体牵头人负责与发包人和监理人联系，并接受指示，负责组织联合体各成员全面履行合同。</w:t>
      </w:r>
    </w:p>
    <w:p>
      <w:pPr>
        <w:pStyle w:val="7"/>
        <w:spacing w:before="120" w:after="120" w:line="360" w:lineRule="auto"/>
        <w:rPr>
          <w:rFonts w:ascii="Times New Roman" w:hAnsi="Times New Roman" w:eastAsia="黑体"/>
          <w:b w:val="0"/>
          <w:color w:val="000000"/>
          <w:sz w:val="32"/>
          <w:szCs w:val="32"/>
        </w:rPr>
      </w:pPr>
      <w:bookmarkStart w:id="985" w:name="_Toc351203527"/>
      <w:r>
        <w:rPr>
          <w:rFonts w:ascii="Times New Roman" w:hAnsi="Times New Roman" w:eastAsia="黑体"/>
          <w:b w:val="0"/>
          <w:color w:val="000000"/>
          <w:sz w:val="32"/>
          <w:szCs w:val="32"/>
        </w:rPr>
        <w:t>4</w:t>
      </w:r>
      <w:bookmarkStart w:id="986" w:name="_Toc296346554"/>
      <w:bookmarkStart w:id="987" w:name="_Toc296503053"/>
      <w:bookmarkStart w:id="988" w:name="_Toc337558753"/>
      <w:r>
        <w:rPr>
          <w:rFonts w:ascii="Times New Roman" w:hAnsi="Times New Roman" w:eastAsia="黑体"/>
          <w:b w:val="0"/>
          <w:color w:val="000000"/>
          <w:sz w:val="32"/>
          <w:szCs w:val="32"/>
        </w:rPr>
        <w:t>. 监</w:t>
      </w:r>
      <w:bookmarkEnd w:id="986"/>
      <w:bookmarkEnd w:id="987"/>
      <w:r>
        <w:rPr>
          <w:rFonts w:ascii="Times New Roman" w:hAnsi="Times New Roman" w:eastAsia="黑体"/>
          <w:b w:val="0"/>
          <w:color w:val="000000"/>
          <w:sz w:val="32"/>
          <w:szCs w:val="32"/>
        </w:rPr>
        <w:t>理人</w:t>
      </w:r>
      <w:bookmarkEnd w:id="985"/>
    </w:p>
    <w:bookmarkEnd w:id="988"/>
    <w:p>
      <w:pPr>
        <w:pStyle w:val="8"/>
        <w:spacing w:before="120" w:after="120" w:line="360" w:lineRule="auto"/>
        <w:ind w:firstLine="600" w:firstLineChars="200"/>
        <w:rPr>
          <w:rFonts w:eastAsia="黑体"/>
          <w:b w:val="0"/>
          <w:color w:val="000000"/>
          <w:sz w:val="30"/>
          <w:szCs w:val="32"/>
        </w:rPr>
      </w:pPr>
      <w:bookmarkStart w:id="989" w:name="_Toc351203528"/>
      <w:r>
        <w:rPr>
          <w:rFonts w:eastAsia="黑体"/>
          <w:b w:val="0"/>
          <w:color w:val="000000"/>
          <w:sz w:val="30"/>
          <w:szCs w:val="32"/>
        </w:rPr>
        <w:t>4</w:t>
      </w:r>
      <w:bookmarkStart w:id="990" w:name="_Toc337558754"/>
      <w:bookmarkStart w:id="991" w:name="_Toc296346555"/>
      <w:bookmarkStart w:id="992" w:name="_Toc296503054"/>
      <w:r>
        <w:rPr>
          <w:rFonts w:eastAsia="黑体"/>
          <w:b w:val="0"/>
          <w:color w:val="000000"/>
          <w:sz w:val="30"/>
          <w:szCs w:val="32"/>
        </w:rPr>
        <w:t>.1监理人的一般规定</w:t>
      </w:r>
      <w:bookmarkEnd w:id="989"/>
    </w:p>
    <w:bookmarkEnd w:id="990"/>
    <w:bookmarkEnd w:id="991"/>
    <w:bookmarkEnd w:id="99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除专用合同条款另有约定外，监理人在施工现场的办公场所、生活场所由承包人提供，所发生的费用由发包人承担。</w:t>
      </w:r>
    </w:p>
    <w:p>
      <w:pPr>
        <w:pStyle w:val="8"/>
        <w:spacing w:before="120" w:after="120" w:line="360" w:lineRule="auto"/>
        <w:ind w:firstLine="600" w:firstLineChars="200"/>
        <w:rPr>
          <w:rFonts w:eastAsia="黑体"/>
          <w:b w:val="0"/>
          <w:color w:val="000000"/>
          <w:sz w:val="30"/>
          <w:szCs w:val="32"/>
        </w:rPr>
      </w:pPr>
      <w:bookmarkStart w:id="993" w:name="_Toc351203529"/>
      <w:r>
        <w:rPr>
          <w:rFonts w:eastAsia="黑体"/>
          <w:b w:val="0"/>
          <w:color w:val="000000"/>
          <w:sz w:val="30"/>
          <w:szCs w:val="32"/>
        </w:rPr>
        <w:t>4</w:t>
      </w:r>
      <w:bookmarkStart w:id="994" w:name="_Toc337558755"/>
      <w:r>
        <w:rPr>
          <w:rFonts w:eastAsia="黑体"/>
          <w:b w:val="0"/>
          <w:color w:val="000000"/>
          <w:sz w:val="30"/>
          <w:szCs w:val="32"/>
        </w:rPr>
        <w:t>.2监理人员</w:t>
      </w:r>
      <w:bookmarkEnd w:id="993"/>
    </w:p>
    <w:bookmarkEnd w:id="994"/>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8"/>
        <w:spacing w:before="120" w:after="120" w:line="360" w:lineRule="auto"/>
        <w:ind w:firstLine="600" w:firstLineChars="200"/>
        <w:rPr>
          <w:rFonts w:eastAsia="黑体"/>
          <w:b w:val="0"/>
          <w:color w:val="000000"/>
          <w:sz w:val="30"/>
          <w:szCs w:val="32"/>
        </w:rPr>
      </w:pPr>
      <w:bookmarkStart w:id="995" w:name="_Toc351203530"/>
      <w:r>
        <w:rPr>
          <w:rFonts w:eastAsia="黑体"/>
          <w:b w:val="0"/>
          <w:color w:val="000000"/>
          <w:sz w:val="30"/>
          <w:szCs w:val="32"/>
        </w:rPr>
        <w:t>4</w:t>
      </w:r>
      <w:bookmarkStart w:id="996" w:name="_Toc296503055"/>
      <w:bookmarkStart w:id="997" w:name="_Toc296346556"/>
      <w:bookmarkStart w:id="998" w:name="_Toc337558756"/>
      <w:r>
        <w:rPr>
          <w:rFonts w:eastAsia="黑体"/>
          <w:b w:val="0"/>
          <w:color w:val="000000"/>
          <w:sz w:val="30"/>
          <w:szCs w:val="32"/>
        </w:rPr>
        <w:t>.3</w:t>
      </w:r>
      <w:bookmarkEnd w:id="996"/>
      <w:bookmarkEnd w:id="997"/>
      <w:r>
        <w:rPr>
          <w:rFonts w:eastAsia="黑体"/>
          <w:b w:val="0"/>
          <w:color w:val="000000"/>
          <w:sz w:val="30"/>
          <w:szCs w:val="32"/>
        </w:rPr>
        <w:t>监理人的指</w:t>
      </w:r>
      <w:bookmarkEnd w:id="998"/>
      <w:r>
        <w:rPr>
          <w:rFonts w:eastAsia="黑体"/>
          <w:b w:val="0"/>
          <w:color w:val="000000"/>
          <w:sz w:val="30"/>
          <w:szCs w:val="32"/>
        </w:rPr>
        <w:t>示</w:t>
      </w:r>
      <w:bookmarkEnd w:id="995"/>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eastAsia="仿宋_GB2312"/>
          <w:color w:val="000000"/>
          <w:kern w:val="0"/>
          <w:sz w:val="30"/>
          <w:szCs w:val="32"/>
        </w:rPr>
        <w:t>相应</w:t>
      </w:r>
      <w:r>
        <w:rPr>
          <w:rFonts w:eastAsia="仿宋_GB2312"/>
          <w:color w:val="000000"/>
          <w:kern w:val="0"/>
          <w:sz w:val="30"/>
          <w:szCs w:val="32"/>
        </w:rPr>
        <w:t>责任。除专用合同条款另有约定外，总监理工程师不应将第4.4款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约定应由总监理工程师作出确定的权力授权或委托给其他监理人员。</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监理人对承包人的任何工作、工程或其采用的材料和工程设备未在约定的或合理期限内提出意见的，视为批准，但不免除或减轻承包人对该工作、工程、材料、工程设备等应承担的责任和义务。</w:t>
      </w:r>
    </w:p>
    <w:p>
      <w:pPr>
        <w:pStyle w:val="7"/>
        <w:spacing w:before="120" w:after="120" w:line="360" w:lineRule="auto"/>
        <w:ind w:firstLine="600" w:firstLineChars="200"/>
        <w:rPr>
          <w:rFonts w:ascii="Times New Roman" w:hAnsi="Times New Roman" w:eastAsia="黑体"/>
          <w:b w:val="0"/>
          <w:color w:val="000000"/>
          <w:sz w:val="32"/>
          <w:szCs w:val="32"/>
        </w:rPr>
      </w:pPr>
      <w:bookmarkStart w:id="999" w:name="_Toc351203531"/>
      <w:r>
        <w:rPr>
          <w:rFonts w:ascii="Times New Roman" w:hAnsi="Times New Roman" w:eastAsia="黑体"/>
          <w:b w:val="0"/>
          <w:color w:val="000000"/>
          <w:sz w:val="30"/>
          <w:szCs w:val="32"/>
        </w:rPr>
        <w:t>4</w:t>
      </w:r>
      <w:bookmarkStart w:id="1000" w:name="_Toc296346558"/>
      <w:bookmarkStart w:id="1001" w:name="_Toc296503057"/>
      <w:bookmarkStart w:id="1002" w:name="_Toc337558757"/>
      <w:r>
        <w:rPr>
          <w:rFonts w:ascii="Times New Roman" w:hAnsi="Times New Roman" w:eastAsia="黑体"/>
          <w:b w:val="0"/>
          <w:color w:val="000000"/>
          <w:sz w:val="30"/>
          <w:szCs w:val="32"/>
        </w:rPr>
        <w:t>.4 商定或确定</w:t>
      </w:r>
      <w:bookmarkEnd w:id="999"/>
    </w:p>
    <w:bookmarkEnd w:id="1000"/>
    <w:bookmarkEnd w:id="1001"/>
    <w:bookmarkEnd w:id="100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w:t>
      </w:r>
      <w:r>
        <w:rPr>
          <w:rFonts w:hint="eastAsia" w:eastAsia="仿宋_GB2312"/>
          <w:color w:val="000000"/>
          <w:kern w:val="0"/>
          <w:sz w:val="30"/>
          <w:szCs w:val="32"/>
        </w:rPr>
        <w:t>当事人</w:t>
      </w:r>
      <w:r>
        <w:rPr>
          <w:rFonts w:eastAsia="仿宋_GB2312"/>
          <w:color w:val="000000"/>
          <w:kern w:val="0"/>
          <w:sz w:val="30"/>
          <w:szCs w:val="32"/>
        </w:rPr>
        <w:t>进行</w:t>
      </w:r>
      <w:r>
        <w:rPr>
          <w:rFonts w:hint="eastAsia" w:eastAsia="仿宋_GB2312"/>
          <w:color w:val="000000"/>
          <w:kern w:val="0"/>
          <w:sz w:val="30"/>
          <w:szCs w:val="32"/>
        </w:rPr>
        <w:t>商定</w:t>
      </w:r>
      <w:r>
        <w:rPr>
          <w:rFonts w:eastAsia="仿宋_GB2312"/>
          <w:color w:val="000000"/>
          <w:kern w:val="0"/>
          <w:sz w:val="30"/>
          <w:szCs w:val="32"/>
        </w:rPr>
        <w:t>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约定处理。争议解决前，合同当事人暂按总监理工程师的确定执行；争议解决后，争议解决的结果与总监理工程师的确定不一致的，按照争议解决的结果执行，由此造成的损失由责任人承担。</w:t>
      </w:r>
    </w:p>
    <w:p>
      <w:pPr>
        <w:pStyle w:val="7"/>
        <w:spacing w:before="120" w:after="120" w:line="360" w:lineRule="auto"/>
        <w:rPr>
          <w:rFonts w:ascii="Times New Roman" w:hAnsi="Times New Roman" w:eastAsia="黑体"/>
          <w:b w:val="0"/>
          <w:color w:val="000000"/>
          <w:sz w:val="30"/>
          <w:szCs w:val="32"/>
        </w:rPr>
      </w:pPr>
      <w:bookmarkStart w:id="1003" w:name="_Toc351203532"/>
      <w:r>
        <w:rPr>
          <w:rFonts w:ascii="Times New Roman" w:hAnsi="Times New Roman" w:eastAsia="黑体"/>
          <w:b w:val="0"/>
          <w:color w:val="000000"/>
          <w:sz w:val="32"/>
          <w:szCs w:val="32"/>
        </w:rPr>
        <w:t>5</w:t>
      </w:r>
      <w:bookmarkStart w:id="1004" w:name="_Toc337558758"/>
      <w:r>
        <w:rPr>
          <w:rFonts w:ascii="Times New Roman" w:hAnsi="Times New Roman" w:eastAsia="黑体"/>
          <w:b w:val="0"/>
          <w:color w:val="000000"/>
          <w:sz w:val="32"/>
          <w:szCs w:val="32"/>
        </w:rPr>
        <w:t>. 工程质量</w:t>
      </w:r>
      <w:bookmarkEnd w:id="1003"/>
    </w:p>
    <w:bookmarkEnd w:id="1004"/>
    <w:p>
      <w:pPr>
        <w:pStyle w:val="8"/>
        <w:spacing w:before="120" w:after="120" w:line="360" w:lineRule="auto"/>
        <w:ind w:firstLine="600" w:firstLineChars="200"/>
        <w:rPr>
          <w:rFonts w:eastAsia="黑体"/>
          <w:b w:val="0"/>
          <w:color w:val="000000"/>
          <w:sz w:val="30"/>
          <w:szCs w:val="32"/>
        </w:rPr>
      </w:pPr>
      <w:bookmarkStart w:id="1005" w:name="_Toc351203533"/>
      <w:r>
        <w:rPr>
          <w:rFonts w:eastAsia="黑体"/>
          <w:b w:val="0"/>
          <w:color w:val="000000"/>
          <w:sz w:val="30"/>
          <w:szCs w:val="32"/>
        </w:rPr>
        <w:t>5</w:t>
      </w:r>
      <w:bookmarkStart w:id="1006" w:name="_Toc337558759"/>
      <w:r>
        <w:rPr>
          <w:rFonts w:eastAsia="黑体"/>
          <w:b w:val="0"/>
          <w:color w:val="000000"/>
          <w:sz w:val="30"/>
          <w:szCs w:val="32"/>
        </w:rPr>
        <w:t>.1质量要求</w:t>
      </w:r>
      <w:bookmarkEnd w:id="1005"/>
    </w:p>
    <w:bookmarkEnd w:id="100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5.1.3 因承包人原因造成工程质量未达到合同约定标准的，发包人有权要求承包人返工直至工程质量达到合同约定的标准为止，并由承包人承担由此增加的费用和（或）延误的工期。</w:t>
      </w:r>
    </w:p>
    <w:p>
      <w:pPr>
        <w:pStyle w:val="8"/>
        <w:spacing w:before="120" w:after="120" w:line="360" w:lineRule="auto"/>
        <w:ind w:firstLine="600" w:firstLineChars="200"/>
        <w:rPr>
          <w:rFonts w:eastAsia="黑体"/>
          <w:b w:val="0"/>
          <w:color w:val="000000"/>
          <w:sz w:val="30"/>
          <w:szCs w:val="32"/>
        </w:rPr>
      </w:pPr>
      <w:bookmarkStart w:id="1007" w:name="_Toc351203534"/>
      <w:r>
        <w:rPr>
          <w:rFonts w:eastAsia="黑体"/>
          <w:b w:val="0"/>
          <w:color w:val="000000"/>
          <w:sz w:val="30"/>
          <w:szCs w:val="32"/>
        </w:rPr>
        <w:t>5</w:t>
      </w:r>
      <w:bookmarkStart w:id="1008" w:name="_Toc337558760"/>
      <w:r>
        <w:rPr>
          <w:rFonts w:eastAsia="黑体"/>
          <w:b w:val="0"/>
          <w:color w:val="000000"/>
          <w:sz w:val="30"/>
          <w:szCs w:val="32"/>
        </w:rPr>
        <w:t>.2质量保证措施</w:t>
      </w:r>
      <w:bookmarkEnd w:id="1007"/>
    </w:p>
    <w:bookmarkEnd w:id="1008"/>
    <w:p>
      <w:pPr>
        <w:autoSpaceDE w:val="0"/>
        <w:autoSpaceDN w:val="0"/>
        <w:adjustRightInd w:val="0"/>
        <w:spacing w:line="360" w:lineRule="auto"/>
        <w:ind w:firstLine="600" w:firstLineChars="200"/>
        <w:jc w:val="left"/>
        <w:outlineLvl w:val="0"/>
        <w:rPr>
          <w:rFonts w:eastAsia="仿宋_GB2312"/>
          <w:color w:val="000000"/>
          <w:kern w:val="0"/>
          <w:sz w:val="30"/>
          <w:szCs w:val="32"/>
        </w:rPr>
      </w:pPr>
      <w:bookmarkStart w:id="1009" w:name="_Toc21227"/>
      <w:r>
        <w:rPr>
          <w:rFonts w:eastAsia="仿宋_GB2312"/>
          <w:color w:val="000000"/>
          <w:kern w:val="0"/>
          <w:sz w:val="30"/>
          <w:szCs w:val="32"/>
        </w:rPr>
        <w:t>5.2.1 发包人的质量管理</w:t>
      </w:r>
      <w:bookmarkEnd w:id="1009"/>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发包人应按照法律规定及合同约定完成与工程质量有关的各项工作。</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5.2.2 承包人的质量管理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承包人按照第7.1款</w:t>
      </w:r>
      <w:r>
        <w:rPr>
          <w:rFonts w:hint="eastAsia" w:eastAsia="仿宋_GB2312"/>
          <w:color w:val="000000"/>
          <w:kern w:val="0"/>
          <w:sz w:val="30"/>
          <w:szCs w:val="32"/>
        </w:rPr>
        <w:t>〔</w:t>
      </w:r>
      <w:r>
        <w:rPr>
          <w:rFonts w:eastAsia="仿宋_GB2312"/>
          <w:color w:val="000000"/>
          <w:kern w:val="0"/>
          <w:sz w:val="30"/>
          <w:szCs w:val="32"/>
        </w:rPr>
        <w:t>施工组织设计</w:t>
      </w:r>
      <w:r>
        <w:rPr>
          <w:rFonts w:hint="eastAsia" w:eastAsia="仿宋_GB2312"/>
          <w:color w:val="000000"/>
          <w:kern w:val="0"/>
          <w:sz w:val="30"/>
          <w:szCs w:val="32"/>
        </w:rPr>
        <w:t>〕</w:t>
      </w:r>
      <w:r>
        <w:rPr>
          <w:rFonts w:eastAsia="仿宋_GB2312"/>
          <w:color w:val="000000"/>
          <w:kern w:val="0"/>
          <w:sz w:val="30"/>
          <w:szCs w:val="32"/>
        </w:rPr>
        <w:t>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承包人应对施工人员进行质量教育和技术培训，定期考核施工人员的劳动技能，严格执行施工规范和操作规程。</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600" w:firstLineChars="200"/>
        <w:jc w:val="left"/>
        <w:outlineLvl w:val="0"/>
        <w:rPr>
          <w:rFonts w:eastAsia="仿宋_GB2312"/>
          <w:color w:val="000000"/>
          <w:kern w:val="0"/>
          <w:sz w:val="30"/>
          <w:szCs w:val="32"/>
        </w:rPr>
      </w:pPr>
      <w:bookmarkStart w:id="1010" w:name="_Toc27962"/>
      <w:r>
        <w:rPr>
          <w:rFonts w:eastAsia="仿宋_GB2312"/>
          <w:color w:val="000000"/>
          <w:kern w:val="0"/>
          <w:sz w:val="30"/>
          <w:szCs w:val="32"/>
        </w:rPr>
        <w:t>5.2.3 监理人的质量检查和检验</w:t>
      </w:r>
      <w:bookmarkEnd w:id="1010"/>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8"/>
        <w:spacing w:before="120" w:after="120" w:line="360" w:lineRule="auto"/>
        <w:ind w:firstLine="600" w:firstLineChars="200"/>
        <w:rPr>
          <w:rFonts w:eastAsia="黑体"/>
          <w:b w:val="0"/>
          <w:color w:val="000000"/>
          <w:sz w:val="30"/>
          <w:szCs w:val="32"/>
        </w:rPr>
      </w:pPr>
      <w:bookmarkStart w:id="1011" w:name="_Toc351203535"/>
      <w:r>
        <w:rPr>
          <w:rFonts w:eastAsia="黑体"/>
          <w:b w:val="0"/>
          <w:color w:val="000000"/>
          <w:sz w:val="30"/>
          <w:szCs w:val="32"/>
        </w:rPr>
        <w:t>5</w:t>
      </w:r>
      <w:bookmarkStart w:id="1012" w:name="_Toc337558761"/>
      <w:r>
        <w:rPr>
          <w:rFonts w:eastAsia="黑体"/>
          <w:b w:val="0"/>
          <w:color w:val="000000"/>
          <w:sz w:val="30"/>
          <w:szCs w:val="32"/>
        </w:rPr>
        <w:t>.3 隐蔽工程检查</w:t>
      </w:r>
      <w:bookmarkEnd w:id="1011"/>
    </w:p>
    <w:bookmarkEnd w:id="1012"/>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5.3.1承包人自检</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承包人应当对工程隐蔽部位进行自检，并经自检确认是否具备覆盖条件。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5.3.2检查程序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除专用合同条款另有约定外，工程隐蔽部位经承包人自检确认具备覆盖条件的，承包人应在</w:t>
      </w:r>
      <w:r>
        <w:rPr>
          <w:rFonts w:hint="eastAsia" w:eastAsia="仿宋_GB2312"/>
          <w:color w:val="000000"/>
          <w:kern w:val="0"/>
          <w:sz w:val="30"/>
          <w:szCs w:val="32"/>
        </w:rPr>
        <w:t>共同</w:t>
      </w:r>
      <w:r>
        <w:rPr>
          <w:rFonts w:eastAsia="仿宋_GB2312"/>
          <w:color w:val="000000"/>
          <w:kern w:val="0"/>
          <w:sz w:val="30"/>
          <w:szCs w:val="32"/>
        </w:rPr>
        <w:t>检查前48小时书面通知监理人检查，通知中应载明隐蔽检查的内容、时间和地点，并应附有自检记录和必要的检查资料。</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eastAsia="仿宋_GB2312"/>
          <w:color w:val="000000"/>
          <w:kern w:val="0"/>
          <w:sz w:val="30"/>
          <w:szCs w:val="32"/>
        </w:rPr>
        <w:t>〔</w:t>
      </w:r>
      <w:r>
        <w:rPr>
          <w:rFonts w:eastAsia="仿宋_GB2312"/>
          <w:color w:val="000000"/>
          <w:kern w:val="0"/>
          <w:sz w:val="30"/>
          <w:szCs w:val="32"/>
        </w:rPr>
        <w:t>重新检查</w:t>
      </w:r>
      <w:r>
        <w:rPr>
          <w:rFonts w:hint="eastAsia" w:eastAsia="仿宋_GB2312"/>
          <w:color w:val="000000"/>
          <w:kern w:val="0"/>
          <w:sz w:val="30"/>
          <w:szCs w:val="32"/>
        </w:rPr>
        <w:t>〕</w:t>
      </w:r>
      <w:r>
        <w:rPr>
          <w:rFonts w:eastAsia="仿宋_GB2312"/>
          <w:color w:val="000000"/>
          <w:kern w:val="0"/>
          <w:sz w:val="30"/>
          <w:szCs w:val="32"/>
        </w:rPr>
        <w:t>的约定重新检查。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5.3.3 重新检查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5.3.4 承包人私自覆盖</w:t>
      </w:r>
    </w:p>
    <w:p>
      <w:pPr>
        <w:spacing w:line="360" w:lineRule="auto"/>
        <w:ind w:firstLine="600" w:firstLineChars="200"/>
        <w:jc w:val="left"/>
        <w:rPr>
          <w:rFonts w:eastAsia="仿宋_GB2312"/>
          <w:color w:val="000000"/>
          <w:sz w:val="30"/>
          <w:szCs w:val="32"/>
        </w:rPr>
      </w:pPr>
      <w:r>
        <w:rPr>
          <w:rFonts w:eastAsia="仿宋_GB2312"/>
          <w:color w:val="000000"/>
          <w:kern w:val="0"/>
          <w:sz w:val="30"/>
          <w:szCs w:val="32"/>
        </w:rPr>
        <w:t>承包人未通知监理人到场检查，私自将工程隐蔽部位覆盖的，监理人有权指示承包人钻孔探测或揭开检查，无论工程隐蔽部位质量是否合格，由此增加的费用和（或）延误的工期均由承包人承担。</w:t>
      </w:r>
    </w:p>
    <w:p>
      <w:pPr>
        <w:pStyle w:val="8"/>
        <w:spacing w:before="120" w:after="120" w:line="360" w:lineRule="auto"/>
        <w:ind w:firstLine="600" w:firstLineChars="200"/>
        <w:rPr>
          <w:rFonts w:eastAsia="黑体"/>
          <w:b w:val="0"/>
          <w:color w:val="000000"/>
          <w:sz w:val="30"/>
          <w:szCs w:val="32"/>
        </w:rPr>
      </w:pPr>
      <w:bookmarkStart w:id="1013" w:name="_Toc351203536"/>
      <w:r>
        <w:rPr>
          <w:rFonts w:eastAsia="黑体"/>
          <w:b w:val="0"/>
          <w:color w:val="000000"/>
          <w:sz w:val="30"/>
          <w:szCs w:val="32"/>
        </w:rPr>
        <w:t>5</w:t>
      </w:r>
      <w:bookmarkStart w:id="1014" w:name="_Toc337558762"/>
      <w:r>
        <w:rPr>
          <w:rFonts w:eastAsia="黑体"/>
          <w:b w:val="0"/>
          <w:color w:val="000000"/>
          <w:sz w:val="30"/>
          <w:szCs w:val="32"/>
        </w:rPr>
        <w:t>.4不合格工程的处理</w:t>
      </w:r>
      <w:bookmarkEnd w:id="1013"/>
    </w:p>
    <w:bookmarkEnd w:id="1014"/>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5.4.1 因承包人原因造成工程不合格的，发包人有权随时要求承包人采取补救措施，直至达到合同要求的质量标准，由此增加的费用和（或）延误的工期由承包人承担。无法补救的，按照第13.2.4项</w:t>
      </w:r>
      <w:r>
        <w:rPr>
          <w:rFonts w:hint="eastAsia" w:eastAsia="仿宋_GB2312"/>
          <w:color w:val="000000"/>
          <w:kern w:val="0"/>
          <w:sz w:val="30"/>
          <w:szCs w:val="32"/>
        </w:rPr>
        <w:t>〔</w:t>
      </w:r>
      <w:r>
        <w:rPr>
          <w:rFonts w:eastAsia="仿宋_GB2312"/>
          <w:color w:val="000000"/>
          <w:kern w:val="0"/>
          <w:sz w:val="30"/>
          <w:szCs w:val="32"/>
        </w:rPr>
        <w:t>拒绝接收全部或部分工程</w:t>
      </w:r>
      <w:r>
        <w:rPr>
          <w:rFonts w:hint="eastAsia" w:eastAsia="仿宋_GB2312"/>
          <w:color w:val="000000"/>
          <w:kern w:val="0"/>
          <w:sz w:val="30"/>
          <w:szCs w:val="32"/>
        </w:rPr>
        <w:t>〕</w:t>
      </w:r>
      <w:r>
        <w:rPr>
          <w:rFonts w:eastAsia="仿宋_GB2312"/>
          <w:color w:val="000000"/>
          <w:kern w:val="0"/>
          <w:sz w:val="30"/>
          <w:szCs w:val="32"/>
        </w:rPr>
        <w:t xml:space="preserve">约定执行。 </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5.4.2 因发包人原因造成工程不合格的，由此增加的费用和（或）延误的工期由发包人承担，并支付承包人合理的利润。</w:t>
      </w:r>
    </w:p>
    <w:p>
      <w:pPr>
        <w:pStyle w:val="8"/>
        <w:spacing w:before="120" w:after="120" w:line="360" w:lineRule="auto"/>
        <w:ind w:firstLine="600" w:firstLineChars="200"/>
        <w:rPr>
          <w:rFonts w:eastAsia="黑体"/>
          <w:b w:val="0"/>
          <w:color w:val="000000"/>
          <w:sz w:val="30"/>
          <w:szCs w:val="32"/>
        </w:rPr>
      </w:pPr>
      <w:bookmarkStart w:id="1015" w:name="_Toc351203537"/>
      <w:r>
        <w:rPr>
          <w:rFonts w:eastAsia="黑体"/>
          <w:b w:val="0"/>
          <w:color w:val="000000"/>
          <w:sz w:val="30"/>
          <w:szCs w:val="32"/>
        </w:rPr>
        <w:t>5.5 质量争议检测</w:t>
      </w:r>
      <w:bookmarkEnd w:id="1015"/>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eastAsia="仿宋_GB2312"/>
          <w:color w:val="000000"/>
          <w:kern w:val="0"/>
          <w:sz w:val="30"/>
          <w:szCs w:val="32"/>
        </w:rPr>
      </w:pPr>
      <w:r>
        <w:rPr>
          <w:rFonts w:eastAsia="仿宋_GB2312"/>
          <w:color w:val="000000"/>
          <w:kern w:val="0"/>
          <w:sz w:val="30"/>
          <w:szCs w:val="32"/>
        </w:rPr>
        <w:t>合同当事人均有责任的，由双方根据其责任分别承担。合同当事人无法达成一致的，按照第4.4款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执行。</w:t>
      </w:r>
    </w:p>
    <w:p>
      <w:pPr>
        <w:pStyle w:val="7"/>
        <w:spacing w:before="120" w:after="120" w:line="360" w:lineRule="auto"/>
        <w:rPr>
          <w:rFonts w:ascii="Times New Roman" w:hAnsi="Times New Roman" w:eastAsia="黑体"/>
          <w:b w:val="0"/>
          <w:color w:val="000000"/>
          <w:sz w:val="32"/>
          <w:szCs w:val="32"/>
        </w:rPr>
      </w:pPr>
      <w:bookmarkStart w:id="1016" w:name="_Toc351203538"/>
      <w:r>
        <w:rPr>
          <w:rFonts w:ascii="Times New Roman" w:hAnsi="Times New Roman" w:eastAsia="黑体"/>
          <w:b w:val="0"/>
          <w:color w:val="000000"/>
          <w:sz w:val="32"/>
          <w:szCs w:val="32"/>
        </w:rPr>
        <w:t>6</w:t>
      </w:r>
      <w:bookmarkStart w:id="1017" w:name="_Toc337558763"/>
      <w:r>
        <w:rPr>
          <w:rFonts w:ascii="Times New Roman" w:hAnsi="Times New Roman" w:eastAsia="黑体"/>
          <w:b w:val="0"/>
          <w:color w:val="000000"/>
          <w:sz w:val="32"/>
          <w:szCs w:val="32"/>
        </w:rPr>
        <w:t>. 安全文明施工与环境保护</w:t>
      </w:r>
      <w:bookmarkEnd w:id="1016"/>
    </w:p>
    <w:bookmarkEnd w:id="1017"/>
    <w:p>
      <w:pPr>
        <w:pStyle w:val="8"/>
        <w:spacing w:before="120" w:after="120" w:line="360" w:lineRule="auto"/>
        <w:ind w:firstLine="600" w:firstLineChars="200"/>
        <w:rPr>
          <w:rFonts w:eastAsia="黑体"/>
          <w:b w:val="0"/>
          <w:color w:val="000000"/>
          <w:sz w:val="30"/>
          <w:szCs w:val="32"/>
        </w:rPr>
      </w:pPr>
      <w:bookmarkStart w:id="1018" w:name="_Toc351203539"/>
      <w:r>
        <w:rPr>
          <w:rFonts w:eastAsia="黑体"/>
          <w:b w:val="0"/>
          <w:color w:val="000000"/>
          <w:sz w:val="30"/>
          <w:szCs w:val="32"/>
        </w:rPr>
        <w:t>6</w:t>
      </w:r>
      <w:bookmarkStart w:id="1019" w:name="_Toc337558764"/>
      <w:r>
        <w:rPr>
          <w:rFonts w:eastAsia="黑体"/>
          <w:b w:val="0"/>
          <w:color w:val="000000"/>
          <w:sz w:val="30"/>
          <w:szCs w:val="32"/>
        </w:rPr>
        <w:t>.1安全文明施工</w:t>
      </w:r>
      <w:bookmarkEnd w:id="1018"/>
    </w:p>
    <w:bookmarkEnd w:id="1019"/>
    <w:p>
      <w:pPr>
        <w:spacing w:line="360" w:lineRule="auto"/>
        <w:ind w:firstLine="600" w:firstLineChars="200"/>
        <w:rPr>
          <w:rFonts w:eastAsia="仿宋_GB2312"/>
          <w:color w:val="000000"/>
          <w:sz w:val="30"/>
          <w:szCs w:val="32"/>
        </w:rPr>
      </w:pPr>
      <w:r>
        <w:rPr>
          <w:rFonts w:eastAsia="仿宋_GB2312"/>
          <w:color w:val="000000"/>
          <w:sz w:val="30"/>
          <w:szCs w:val="32"/>
        </w:rPr>
        <w:t>6.1.1安全生产要求</w:t>
      </w:r>
    </w:p>
    <w:p>
      <w:pPr>
        <w:spacing w:line="360" w:lineRule="auto"/>
        <w:ind w:firstLine="600" w:firstLineChars="200"/>
        <w:rPr>
          <w:rFonts w:eastAsia="仿宋_GB2312"/>
          <w:color w:val="000000"/>
          <w:sz w:val="30"/>
          <w:szCs w:val="32"/>
        </w:rPr>
      </w:pPr>
      <w:r>
        <w:rPr>
          <w:rFonts w:eastAsia="仿宋_GB2312"/>
          <w:color w:val="000000"/>
          <w:sz w:val="30"/>
          <w:szCs w:val="3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600" w:firstLineChars="200"/>
        <w:rPr>
          <w:rFonts w:eastAsia="仿宋_GB2312"/>
          <w:color w:val="000000"/>
          <w:sz w:val="30"/>
          <w:szCs w:val="32"/>
        </w:rPr>
      </w:pPr>
      <w:r>
        <w:rPr>
          <w:rFonts w:eastAsia="仿宋_GB2312"/>
          <w:color w:val="000000"/>
          <w:sz w:val="30"/>
          <w:szCs w:val="32"/>
        </w:rPr>
        <w:t>在施工过程中，如遇到突发的地质变动、事先未知的地下施工障碍等影响施工安全的紧急情况，</w:t>
      </w:r>
      <w:r>
        <w:rPr>
          <w:rFonts w:hint="eastAsia" w:eastAsia="仿宋_GB2312"/>
          <w:color w:val="000000"/>
          <w:sz w:val="30"/>
          <w:szCs w:val="32"/>
        </w:rPr>
        <w:t>承包人应及时报告监理人和发包人，</w:t>
      </w:r>
      <w:r>
        <w:rPr>
          <w:rFonts w:eastAsia="仿宋_GB2312"/>
          <w:color w:val="000000"/>
          <w:sz w:val="30"/>
          <w:szCs w:val="32"/>
        </w:rPr>
        <w:t>发包人应当及时下令停工并报</w:t>
      </w:r>
      <w:r>
        <w:rPr>
          <w:rFonts w:eastAsia="仿宋_GB2312"/>
          <w:color w:val="000000"/>
          <w:kern w:val="0"/>
          <w:sz w:val="30"/>
          <w:szCs w:val="32"/>
        </w:rPr>
        <w:t>政府有关行政管理部门</w:t>
      </w:r>
      <w:r>
        <w:rPr>
          <w:rFonts w:eastAsia="仿宋_GB2312"/>
          <w:color w:val="000000"/>
          <w:sz w:val="30"/>
          <w:szCs w:val="32"/>
        </w:rPr>
        <w:t>采取应急措施。</w:t>
      </w:r>
    </w:p>
    <w:p>
      <w:pPr>
        <w:spacing w:line="360" w:lineRule="auto"/>
        <w:ind w:firstLine="600" w:firstLineChars="200"/>
        <w:rPr>
          <w:rFonts w:eastAsia="仿宋_GB2312"/>
          <w:color w:val="000000"/>
          <w:sz w:val="30"/>
          <w:szCs w:val="32"/>
        </w:rPr>
      </w:pPr>
      <w:r>
        <w:rPr>
          <w:rFonts w:eastAsia="仿宋_GB2312"/>
          <w:color w:val="000000"/>
          <w:sz w:val="30"/>
          <w:szCs w:val="32"/>
        </w:rPr>
        <w:t>因安全生产需要暂停施工的，按照第7.8款</w:t>
      </w:r>
      <w:r>
        <w:rPr>
          <w:rFonts w:hint="eastAsia" w:eastAsia="仿宋_GB2312"/>
          <w:color w:val="000000"/>
          <w:sz w:val="30"/>
          <w:szCs w:val="32"/>
        </w:rPr>
        <w:t>〔</w:t>
      </w:r>
      <w:r>
        <w:rPr>
          <w:rFonts w:eastAsia="仿宋_GB2312"/>
          <w:color w:val="000000"/>
          <w:sz w:val="30"/>
          <w:szCs w:val="32"/>
        </w:rPr>
        <w:t>暂停施工</w:t>
      </w:r>
      <w:r>
        <w:rPr>
          <w:rFonts w:hint="eastAsia" w:eastAsia="仿宋_GB2312"/>
          <w:color w:val="000000"/>
          <w:sz w:val="30"/>
          <w:szCs w:val="32"/>
        </w:rPr>
        <w:t>〕</w:t>
      </w:r>
      <w:r>
        <w:rPr>
          <w:rFonts w:eastAsia="仿宋_GB2312"/>
          <w:color w:val="000000"/>
          <w:sz w:val="30"/>
          <w:szCs w:val="32"/>
        </w:rPr>
        <w:t>的约定执行。</w:t>
      </w:r>
    </w:p>
    <w:p>
      <w:pPr>
        <w:spacing w:line="360" w:lineRule="auto"/>
        <w:ind w:firstLine="600" w:firstLineChars="200"/>
        <w:rPr>
          <w:rFonts w:eastAsia="仿宋_GB2312"/>
          <w:color w:val="000000"/>
          <w:sz w:val="30"/>
          <w:szCs w:val="32"/>
        </w:rPr>
      </w:pPr>
      <w:r>
        <w:rPr>
          <w:rFonts w:eastAsia="仿宋_GB2312"/>
          <w:color w:val="000000"/>
          <w:sz w:val="30"/>
          <w:szCs w:val="32"/>
        </w:rPr>
        <w:t>6.1.2 安全生产保证措施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sz w:val="30"/>
          <w:szCs w:val="32"/>
        </w:rPr>
        <w:t>承包人应当按照有关</w:t>
      </w:r>
      <w:r>
        <w:rPr>
          <w:rFonts w:eastAsia="仿宋_GB2312"/>
          <w:color w:val="000000"/>
          <w:kern w:val="0"/>
          <w:sz w:val="30"/>
          <w:szCs w:val="32"/>
        </w:rPr>
        <w:t>规定编制安全技术措施或者专项施工方案，</w:t>
      </w:r>
      <w:r>
        <w:rPr>
          <w:rFonts w:eastAsia="仿宋_GB2312"/>
          <w:color w:val="000000"/>
          <w:sz w:val="30"/>
          <w:szCs w:val="32"/>
        </w:rPr>
        <w:t>建立安全生产责任制度、治安保卫制度及安全生产教育培训制度，并</w:t>
      </w:r>
      <w:r>
        <w:rPr>
          <w:rFonts w:eastAsia="仿宋_GB2312"/>
          <w:color w:val="000000"/>
          <w:kern w:val="0"/>
          <w:sz w:val="30"/>
          <w:szCs w:val="32"/>
        </w:rPr>
        <w:t>按安全生产法律规定及合同约定履行安全职责，</w:t>
      </w:r>
      <w:r>
        <w:rPr>
          <w:rFonts w:hint="eastAsia" w:eastAsia="仿宋_GB2312"/>
          <w:color w:val="000000"/>
          <w:kern w:val="0"/>
          <w:sz w:val="30"/>
          <w:szCs w:val="32"/>
        </w:rPr>
        <w:t>如实</w:t>
      </w:r>
      <w:r>
        <w:rPr>
          <w:rFonts w:eastAsia="仿宋_GB2312"/>
          <w:color w:val="000000"/>
          <w:sz w:val="30"/>
          <w:szCs w:val="32"/>
        </w:rPr>
        <w:t>编制工程安全生产的有关记录，</w:t>
      </w:r>
      <w:r>
        <w:rPr>
          <w:rFonts w:eastAsia="仿宋_GB2312"/>
          <w:color w:val="000000"/>
          <w:kern w:val="0"/>
          <w:sz w:val="30"/>
          <w:szCs w:val="32"/>
        </w:rPr>
        <w:t>接受发包人、监理人及政府安全监督部门的检查与监督。</w:t>
      </w:r>
    </w:p>
    <w:p>
      <w:pPr>
        <w:spacing w:line="360" w:lineRule="auto"/>
        <w:ind w:firstLine="600" w:firstLineChars="200"/>
        <w:rPr>
          <w:rFonts w:eastAsia="仿宋_GB2312"/>
          <w:color w:val="000000"/>
          <w:sz w:val="30"/>
          <w:szCs w:val="32"/>
        </w:rPr>
      </w:pPr>
      <w:r>
        <w:rPr>
          <w:rFonts w:eastAsia="仿宋_GB2312"/>
          <w:color w:val="000000"/>
          <w:sz w:val="30"/>
          <w:szCs w:val="32"/>
        </w:rPr>
        <w:t>6.1.3特别安全生产事项</w:t>
      </w:r>
    </w:p>
    <w:p>
      <w:pPr>
        <w:spacing w:line="360" w:lineRule="auto"/>
        <w:ind w:firstLine="600" w:firstLineChars="200"/>
        <w:rPr>
          <w:rFonts w:eastAsia="仿宋_GB2312"/>
          <w:color w:val="000000"/>
          <w:sz w:val="30"/>
          <w:szCs w:val="32"/>
        </w:rPr>
      </w:pPr>
      <w:r>
        <w:rPr>
          <w:rFonts w:eastAsia="仿宋_GB2312"/>
          <w:color w:val="000000"/>
          <w:sz w:val="30"/>
          <w:szCs w:val="3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600" w:firstLineChars="200"/>
        <w:rPr>
          <w:rFonts w:eastAsia="仿宋_GB2312"/>
          <w:color w:val="000000"/>
          <w:sz w:val="30"/>
          <w:szCs w:val="32"/>
        </w:rPr>
      </w:pPr>
      <w:r>
        <w:rPr>
          <w:rFonts w:eastAsia="仿宋_GB2312"/>
          <w:color w:val="000000"/>
          <w:sz w:val="30"/>
          <w:szCs w:val="32"/>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600" w:firstLineChars="200"/>
        <w:rPr>
          <w:rFonts w:eastAsia="仿宋_GB2312"/>
          <w:color w:val="000000"/>
          <w:sz w:val="30"/>
          <w:szCs w:val="32"/>
        </w:rPr>
      </w:pPr>
      <w:r>
        <w:rPr>
          <w:rFonts w:eastAsia="仿宋_GB2312"/>
          <w:color w:val="000000"/>
          <w:sz w:val="30"/>
          <w:szCs w:val="32"/>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600" w:firstLineChars="200"/>
        <w:rPr>
          <w:rFonts w:eastAsia="仿宋_GB2312"/>
          <w:color w:val="000000"/>
          <w:sz w:val="30"/>
          <w:szCs w:val="32"/>
        </w:rPr>
      </w:pPr>
      <w:r>
        <w:rPr>
          <w:rFonts w:eastAsia="仿宋_GB2312"/>
          <w:color w:val="000000"/>
          <w:sz w:val="30"/>
          <w:szCs w:val="32"/>
        </w:rPr>
        <w:t>需单独编制危险性较大分部分项专项工程施工方案的，及要求进行专家论证的超过一定规模的危险性较大的分部分项工程，承包人应及时编制和组织论证。</w:t>
      </w:r>
    </w:p>
    <w:p>
      <w:pPr>
        <w:spacing w:line="360" w:lineRule="auto"/>
        <w:ind w:firstLine="600" w:firstLineChars="200"/>
        <w:rPr>
          <w:rFonts w:eastAsia="仿宋_GB2312"/>
          <w:color w:val="000000"/>
          <w:sz w:val="30"/>
          <w:szCs w:val="32"/>
        </w:rPr>
      </w:pPr>
      <w:r>
        <w:rPr>
          <w:rFonts w:eastAsia="仿宋_GB2312"/>
          <w:color w:val="000000"/>
          <w:sz w:val="30"/>
          <w:szCs w:val="32"/>
        </w:rPr>
        <w:t>6.1.4 治安保卫</w:t>
      </w:r>
    </w:p>
    <w:p>
      <w:pPr>
        <w:spacing w:line="360" w:lineRule="auto"/>
        <w:ind w:firstLine="600" w:firstLineChars="200"/>
        <w:rPr>
          <w:rFonts w:eastAsia="仿宋_GB2312"/>
          <w:color w:val="000000"/>
          <w:sz w:val="30"/>
          <w:szCs w:val="32"/>
        </w:rPr>
      </w:pPr>
      <w:r>
        <w:rPr>
          <w:rFonts w:eastAsia="仿宋_GB2312"/>
          <w:color w:val="000000"/>
          <w:sz w:val="30"/>
          <w:szCs w:val="32"/>
        </w:rPr>
        <w:t>除专用合同条款另有约定外，发包人应与当地公安部门协商，在现场建立治安管理机构或联防组织，统一管理施工场地的治安保卫事项，履行合同工程的治安保卫职责。</w:t>
      </w:r>
    </w:p>
    <w:p>
      <w:pPr>
        <w:spacing w:line="360" w:lineRule="auto"/>
        <w:ind w:firstLine="600" w:firstLineChars="200"/>
        <w:rPr>
          <w:rFonts w:eastAsia="仿宋_GB2312"/>
          <w:color w:val="000000"/>
          <w:sz w:val="30"/>
          <w:szCs w:val="32"/>
        </w:rPr>
      </w:pPr>
      <w:r>
        <w:rPr>
          <w:rFonts w:eastAsia="仿宋_GB2312"/>
          <w:color w:val="000000"/>
          <w:sz w:val="30"/>
          <w:szCs w:val="32"/>
        </w:rPr>
        <w:t>发包人和承包人除应协助现场治安管理机构或联防组织维护施工场地的社会治安外，还应做好包括生活区在内的各自管辖区的治安保卫工作。</w:t>
      </w:r>
    </w:p>
    <w:p>
      <w:pPr>
        <w:spacing w:line="360" w:lineRule="auto"/>
        <w:ind w:firstLine="600" w:firstLineChars="200"/>
        <w:rPr>
          <w:rFonts w:eastAsia="仿宋_GB2312"/>
          <w:color w:val="000000"/>
          <w:sz w:val="30"/>
          <w:szCs w:val="32"/>
        </w:rPr>
      </w:pPr>
      <w:r>
        <w:rPr>
          <w:rFonts w:eastAsia="仿宋_GB2312"/>
          <w:color w:val="000000"/>
          <w:sz w:val="30"/>
          <w:szCs w:val="3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eastAsia="仿宋_GB2312"/>
          <w:color w:val="000000"/>
          <w:sz w:val="30"/>
          <w:szCs w:val="32"/>
        </w:rPr>
        <w:t>和</w:t>
      </w:r>
      <w:r>
        <w:rPr>
          <w:rFonts w:eastAsia="仿宋_GB2312"/>
          <w:color w:val="000000"/>
          <w:sz w:val="30"/>
          <w:szCs w:val="32"/>
        </w:rPr>
        <w:t>财产损失。</w:t>
      </w:r>
    </w:p>
    <w:p>
      <w:pPr>
        <w:spacing w:line="360" w:lineRule="auto"/>
        <w:ind w:firstLine="600" w:firstLineChars="200"/>
        <w:rPr>
          <w:rFonts w:eastAsia="仿宋_GB2312"/>
          <w:color w:val="000000"/>
          <w:kern w:val="0"/>
          <w:sz w:val="30"/>
          <w:szCs w:val="32"/>
        </w:rPr>
      </w:pPr>
      <w:r>
        <w:rPr>
          <w:rFonts w:eastAsia="仿宋_GB2312"/>
          <w:color w:val="000000"/>
          <w:sz w:val="30"/>
          <w:szCs w:val="32"/>
        </w:rPr>
        <w:t>6.1.5 文明施工</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承包人在工程施工期间，应当采取措施保持施工现场平整，物料堆放整齐。工程所在地有关政府行政管理部门有特殊要求的，按照其要求执行。</w:t>
      </w:r>
      <w:r>
        <w:rPr>
          <w:rFonts w:hint="eastAsia" w:eastAsia="仿宋_GB2312"/>
          <w:color w:val="000000"/>
          <w:kern w:val="0"/>
          <w:sz w:val="30"/>
          <w:szCs w:val="32"/>
        </w:rPr>
        <w:t>合同当事人对文明施工有其他要求的，可以在专用合同条款中明确。</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600" w:firstLineChars="200"/>
        <w:rPr>
          <w:rFonts w:eastAsia="仿宋_GB2312"/>
          <w:color w:val="000000"/>
          <w:sz w:val="30"/>
          <w:szCs w:val="32"/>
        </w:rPr>
      </w:pPr>
      <w:r>
        <w:rPr>
          <w:rFonts w:eastAsia="仿宋_GB2312"/>
          <w:color w:val="000000"/>
          <w:sz w:val="30"/>
          <w:szCs w:val="32"/>
        </w:rPr>
        <w:t>6.1.6 安全文明施工费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eastAsia="仿宋_GB2312"/>
          <w:color w:val="000000"/>
          <w:kern w:val="0"/>
          <w:sz w:val="30"/>
          <w:szCs w:val="32"/>
        </w:rPr>
        <w:t>〔</w:t>
      </w:r>
      <w:r>
        <w:rPr>
          <w:rFonts w:eastAsia="仿宋_GB2312"/>
          <w:color w:val="000000"/>
          <w:kern w:val="0"/>
          <w:sz w:val="30"/>
          <w:szCs w:val="32"/>
        </w:rPr>
        <w:t>发包人违约的情形</w:t>
      </w:r>
      <w:r>
        <w:rPr>
          <w:rFonts w:hint="eastAsia" w:eastAsia="仿宋_GB2312"/>
          <w:color w:val="000000"/>
          <w:kern w:val="0"/>
          <w:sz w:val="30"/>
          <w:szCs w:val="32"/>
        </w:rPr>
        <w:t>〕</w:t>
      </w:r>
      <w:r>
        <w:rPr>
          <w:rFonts w:eastAsia="仿宋_GB2312"/>
          <w:color w:val="000000"/>
          <w:kern w:val="0"/>
          <w:sz w:val="30"/>
          <w:szCs w:val="32"/>
        </w:rPr>
        <w:t>执行。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6.1.7 紧急情况</w:t>
      </w:r>
      <w:r>
        <w:rPr>
          <w:rFonts w:hint="eastAsia" w:eastAsia="仿宋_GB2312"/>
          <w:color w:val="000000"/>
          <w:kern w:val="0"/>
          <w:sz w:val="30"/>
          <w:szCs w:val="32"/>
        </w:rPr>
        <w:t>处理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6.1.8 事故处理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6.1.9 安全生产责任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6.1.9.1 发包人的安全责任</w:t>
      </w:r>
    </w:p>
    <w:p>
      <w:pPr>
        <w:spacing w:line="360" w:lineRule="auto"/>
        <w:ind w:firstLine="600" w:firstLineChars="200"/>
        <w:rPr>
          <w:rFonts w:eastAsia="仿宋_GB2312"/>
          <w:color w:val="000000"/>
          <w:sz w:val="30"/>
          <w:szCs w:val="32"/>
        </w:rPr>
      </w:pPr>
      <w:r>
        <w:rPr>
          <w:rFonts w:eastAsia="仿宋_GB2312"/>
          <w:color w:val="000000"/>
          <w:sz w:val="30"/>
          <w:szCs w:val="32"/>
        </w:rPr>
        <w:t>发包人应负责赔偿以下各种情况造成</w:t>
      </w:r>
      <w:r>
        <w:rPr>
          <w:rFonts w:hint="eastAsia" w:eastAsia="仿宋_GB2312"/>
          <w:color w:val="000000"/>
          <w:sz w:val="30"/>
          <w:szCs w:val="32"/>
        </w:rPr>
        <w:t>的</w:t>
      </w:r>
      <w:r>
        <w:rPr>
          <w:rFonts w:eastAsia="仿宋_GB2312"/>
          <w:color w:val="000000"/>
          <w:sz w:val="30"/>
          <w:szCs w:val="32"/>
        </w:rPr>
        <w:t>损失：</w:t>
      </w:r>
    </w:p>
    <w:p>
      <w:pPr>
        <w:spacing w:line="360" w:lineRule="auto"/>
        <w:ind w:firstLine="600" w:firstLineChars="200"/>
        <w:rPr>
          <w:rFonts w:eastAsia="仿宋_GB2312"/>
          <w:color w:val="000000"/>
          <w:sz w:val="30"/>
          <w:szCs w:val="32"/>
        </w:rPr>
      </w:pPr>
      <w:r>
        <w:rPr>
          <w:rFonts w:eastAsia="仿宋_GB2312"/>
          <w:color w:val="000000"/>
          <w:sz w:val="30"/>
          <w:szCs w:val="32"/>
        </w:rPr>
        <w:t>（1）工程或工程的任何部分对土地的占用所造成的第三者财产损失；</w:t>
      </w:r>
    </w:p>
    <w:p>
      <w:pPr>
        <w:spacing w:line="360" w:lineRule="auto"/>
        <w:ind w:firstLine="600" w:firstLineChars="200"/>
        <w:rPr>
          <w:rFonts w:eastAsia="仿宋_GB2312"/>
          <w:color w:val="000000"/>
          <w:sz w:val="30"/>
          <w:szCs w:val="32"/>
        </w:rPr>
      </w:pPr>
      <w:r>
        <w:rPr>
          <w:rFonts w:eastAsia="仿宋_GB2312"/>
          <w:color w:val="000000"/>
          <w:sz w:val="30"/>
          <w:szCs w:val="32"/>
        </w:rPr>
        <w:t>（2）由于发包人原因在施工场地及其毗邻地带造成的第三者人身伤亡和财产损失</w:t>
      </w:r>
      <w:r>
        <w:rPr>
          <w:rFonts w:hint="eastAsia" w:eastAsia="仿宋_GB2312"/>
          <w:color w:val="000000"/>
          <w:sz w:val="30"/>
          <w:szCs w:val="32"/>
        </w:rPr>
        <w:t>；</w:t>
      </w:r>
    </w:p>
    <w:p>
      <w:pPr>
        <w:spacing w:line="360" w:lineRule="auto"/>
        <w:ind w:firstLine="600" w:firstLineChars="200"/>
        <w:rPr>
          <w:rFonts w:eastAsia="仿宋_GB2312"/>
          <w:color w:val="000000"/>
          <w:sz w:val="30"/>
          <w:szCs w:val="32"/>
        </w:rPr>
      </w:pPr>
      <w:r>
        <w:rPr>
          <w:rFonts w:hint="eastAsia" w:eastAsia="仿宋_GB2312"/>
          <w:color w:val="000000"/>
          <w:sz w:val="30"/>
          <w:szCs w:val="32"/>
        </w:rPr>
        <w:t>（3）由于发包人原因对承包人、监理人造成的人员人身伤亡和财产损失；</w:t>
      </w:r>
    </w:p>
    <w:p>
      <w:pPr>
        <w:spacing w:line="360" w:lineRule="auto"/>
        <w:ind w:firstLine="600" w:firstLineChars="200"/>
        <w:rPr>
          <w:rFonts w:eastAsia="仿宋_GB2312"/>
          <w:color w:val="000000"/>
          <w:sz w:val="30"/>
          <w:szCs w:val="32"/>
        </w:rPr>
      </w:pPr>
      <w:r>
        <w:rPr>
          <w:rFonts w:hint="eastAsia" w:eastAsia="仿宋_GB2312"/>
          <w:color w:val="000000"/>
          <w:sz w:val="30"/>
          <w:szCs w:val="32"/>
        </w:rPr>
        <w:t>（4）由于发包人原因造成的发包人自身人员的人身伤害以及财产损失。</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6.1.9.2 承包人的安全责任</w:t>
      </w:r>
    </w:p>
    <w:p>
      <w:pPr>
        <w:spacing w:line="360" w:lineRule="auto"/>
        <w:ind w:firstLine="600" w:firstLineChars="200"/>
        <w:rPr>
          <w:rFonts w:eastAsia="仿宋_GB2312"/>
          <w:color w:val="000000"/>
          <w:kern w:val="0"/>
          <w:sz w:val="30"/>
          <w:szCs w:val="32"/>
        </w:rPr>
      </w:pPr>
      <w:r>
        <w:rPr>
          <w:rFonts w:eastAsia="仿宋_GB2312"/>
          <w:color w:val="000000"/>
          <w:sz w:val="30"/>
          <w:szCs w:val="32"/>
        </w:rPr>
        <w:t>由于承包人原因在施工场地内及其毗邻地带造成的</w:t>
      </w:r>
      <w:r>
        <w:rPr>
          <w:rFonts w:hint="eastAsia" w:eastAsia="仿宋_GB2312"/>
          <w:color w:val="000000"/>
          <w:sz w:val="30"/>
          <w:szCs w:val="32"/>
        </w:rPr>
        <w:t>发包人、监理人以及</w:t>
      </w:r>
      <w:r>
        <w:rPr>
          <w:rFonts w:eastAsia="仿宋_GB2312"/>
          <w:color w:val="000000"/>
          <w:sz w:val="30"/>
          <w:szCs w:val="32"/>
        </w:rPr>
        <w:t>第三者人员伤亡和财产损失，由承包人负责赔偿。</w:t>
      </w:r>
    </w:p>
    <w:p>
      <w:pPr>
        <w:pStyle w:val="8"/>
        <w:spacing w:before="120" w:after="120" w:line="360" w:lineRule="auto"/>
        <w:ind w:firstLine="600" w:firstLineChars="200"/>
        <w:rPr>
          <w:rFonts w:eastAsia="黑体"/>
          <w:b w:val="0"/>
          <w:color w:val="000000"/>
          <w:sz w:val="30"/>
          <w:szCs w:val="32"/>
        </w:rPr>
      </w:pPr>
      <w:bookmarkStart w:id="1020" w:name="_Toc351203540"/>
      <w:r>
        <w:rPr>
          <w:rFonts w:eastAsia="黑体"/>
          <w:b w:val="0"/>
          <w:color w:val="000000"/>
          <w:sz w:val="30"/>
          <w:szCs w:val="32"/>
        </w:rPr>
        <w:t>6</w:t>
      </w:r>
      <w:bookmarkStart w:id="1021" w:name="_Toc337558765"/>
      <w:r>
        <w:rPr>
          <w:rFonts w:eastAsia="黑体"/>
          <w:b w:val="0"/>
          <w:color w:val="000000"/>
          <w:sz w:val="30"/>
          <w:szCs w:val="32"/>
        </w:rPr>
        <w:t>.2 职业健康</w:t>
      </w:r>
      <w:bookmarkEnd w:id="1020"/>
    </w:p>
    <w:bookmarkEnd w:id="1021"/>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6.2.1 劳动保护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w:t>
      </w:r>
      <w:r>
        <w:rPr>
          <w:rFonts w:hint="eastAsia" w:eastAsia="仿宋_GB2312"/>
          <w:color w:val="000000"/>
          <w:kern w:val="0"/>
          <w:sz w:val="30"/>
          <w:szCs w:val="32"/>
        </w:rPr>
        <w:t>法律</w:t>
      </w:r>
      <w:r>
        <w:rPr>
          <w:rFonts w:eastAsia="仿宋_GB2312"/>
          <w:color w:val="000000"/>
          <w:kern w:val="0"/>
          <w:sz w:val="30"/>
          <w:szCs w:val="32"/>
        </w:rPr>
        <w:t>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6.2.2 生活条件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8"/>
        <w:spacing w:before="120" w:after="120" w:line="360" w:lineRule="auto"/>
        <w:ind w:firstLine="600" w:firstLineChars="200"/>
        <w:rPr>
          <w:rFonts w:eastAsia="黑体"/>
          <w:b w:val="0"/>
          <w:color w:val="000000"/>
          <w:sz w:val="30"/>
          <w:szCs w:val="32"/>
        </w:rPr>
      </w:pPr>
      <w:bookmarkStart w:id="1022" w:name="_Toc351203541"/>
      <w:r>
        <w:rPr>
          <w:rFonts w:eastAsia="黑体"/>
          <w:b w:val="0"/>
          <w:color w:val="000000"/>
          <w:sz w:val="30"/>
          <w:szCs w:val="32"/>
        </w:rPr>
        <w:t>6</w:t>
      </w:r>
      <w:bookmarkStart w:id="1023" w:name="_Toc337558766"/>
      <w:r>
        <w:rPr>
          <w:rFonts w:eastAsia="黑体"/>
          <w:b w:val="0"/>
          <w:color w:val="000000"/>
          <w:sz w:val="30"/>
          <w:szCs w:val="32"/>
        </w:rPr>
        <w:t>.3 环境保护</w:t>
      </w:r>
      <w:bookmarkEnd w:id="1022"/>
    </w:p>
    <w:bookmarkEnd w:id="1023"/>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承包人应当承担因其原因引起的环境污染侵权损害赔偿责任，因上述环境污染引起纠纷而导致暂停施工的，由此增加的费用和（或）延误的工期由承包人承担。</w:t>
      </w:r>
    </w:p>
    <w:p>
      <w:pPr>
        <w:pStyle w:val="7"/>
        <w:spacing w:before="120" w:after="120" w:line="360" w:lineRule="auto"/>
        <w:rPr>
          <w:rFonts w:ascii="Times New Roman" w:hAnsi="Times New Roman" w:eastAsia="黑体"/>
          <w:b w:val="0"/>
          <w:color w:val="000000"/>
          <w:sz w:val="32"/>
          <w:szCs w:val="32"/>
        </w:rPr>
      </w:pPr>
      <w:bookmarkStart w:id="1024" w:name="_Toc351203542"/>
      <w:r>
        <w:rPr>
          <w:rFonts w:ascii="Times New Roman" w:hAnsi="Times New Roman" w:eastAsia="黑体"/>
          <w:b w:val="0"/>
          <w:color w:val="000000"/>
          <w:sz w:val="32"/>
          <w:szCs w:val="32"/>
        </w:rPr>
        <w:t>7</w:t>
      </w:r>
      <w:bookmarkStart w:id="1025" w:name="_Toc337558767"/>
      <w:r>
        <w:rPr>
          <w:rFonts w:ascii="Times New Roman" w:hAnsi="Times New Roman" w:eastAsia="黑体"/>
          <w:b w:val="0"/>
          <w:color w:val="000000"/>
          <w:sz w:val="32"/>
          <w:szCs w:val="32"/>
        </w:rPr>
        <w:t>. 工期和进度</w:t>
      </w:r>
      <w:bookmarkEnd w:id="1024"/>
    </w:p>
    <w:bookmarkEnd w:id="1025"/>
    <w:p>
      <w:pPr>
        <w:pStyle w:val="8"/>
        <w:spacing w:before="120" w:after="120" w:line="360" w:lineRule="auto"/>
        <w:ind w:firstLine="600" w:firstLineChars="200"/>
        <w:rPr>
          <w:rFonts w:eastAsia="黑体"/>
          <w:b w:val="0"/>
          <w:color w:val="000000"/>
          <w:sz w:val="30"/>
          <w:szCs w:val="32"/>
        </w:rPr>
      </w:pPr>
      <w:bookmarkStart w:id="1026" w:name="_Toc351203543"/>
      <w:r>
        <w:rPr>
          <w:rFonts w:eastAsia="黑体"/>
          <w:b w:val="0"/>
          <w:color w:val="000000"/>
          <w:sz w:val="30"/>
          <w:szCs w:val="32"/>
        </w:rPr>
        <w:t>7</w:t>
      </w:r>
      <w:bookmarkStart w:id="1027" w:name="_Toc337558768"/>
      <w:bookmarkStart w:id="1028" w:name="_Toc296503066"/>
      <w:bookmarkStart w:id="1029" w:name="_Toc296346567"/>
      <w:r>
        <w:rPr>
          <w:rFonts w:eastAsia="黑体"/>
          <w:b w:val="0"/>
          <w:color w:val="000000"/>
          <w:sz w:val="30"/>
          <w:szCs w:val="32"/>
        </w:rPr>
        <w:t>.1施工组织设计</w:t>
      </w:r>
      <w:bookmarkEnd w:id="1026"/>
    </w:p>
    <w:bookmarkEnd w:id="1027"/>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sz w:val="30"/>
          <w:szCs w:val="32"/>
        </w:rPr>
        <w:t>7.1.1</w:t>
      </w:r>
      <w:r>
        <w:rPr>
          <w:rFonts w:eastAsia="仿宋_GB2312"/>
          <w:color w:val="000000"/>
          <w:sz w:val="30"/>
          <w:szCs w:val="32"/>
        </w:rPr>
        <w:t xml:space="preserve"> </w:t>
      </w:r>
      <w:r>
        <w:rPr>
          <w:rFonts w:eastAsia="仿宋_GB2312"/>
          <w:color w:val="000000"/>
          <w:kern w:val="0"/>
          <w:sz w:val="30"/>
          <w:szCs w:val="32"/>
        </w:rPr>
        <w:t>施工组织设计的内容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施工组织设计应包含以下内容：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（1）施工方案；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（2）施工现场平面布置图；</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（3）施工进度计划和保证措施；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（4）劳动力及材料供应计划；</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（5）施工机械设备的选用；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（6）质量保证体系及措施；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（7）安全生产、文明施工措施；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（8）环境保护、成本控制措施</w:t>
      </w:r>
      <w:r>
        <w:rPr>
          <w:rFonts w:hint="eastAsia"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（9）合同当事人约定的其他内容</w:t>
      </w:r>
      <w:r>
        <w:rPr>
          <w:rFonts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sz w:val="30"/>
          <w:szCs w:val="32"/>
        </w:rPr>
        <w:t>7.1.2</w:t>
      </w:r>
      <w:r>
        <w:rPr>
          <w:rFonts w:eastAsia="仿宋_GB2312"/>
          <w:color w:val="000000"/>
          <w:sz w:val="30"/>
          <w:szCs w:val="32"/>
        </w:rPr>
        <w:t xml:space="preserve"> </w:t>
      </w:r>
      <w:r>
        <w:rPr>
          <w:rFonts w:eastAsia="仿宋_GB2312"/>
          <w:color w:val="000000"/>
          <w:kern w:val="0"/>
          <w:sz w:val="30"/>
          <w:szCs w:val="32"/>
        </w:rPr>
        <w:t>施工组织设计的提交和修改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除专用合同条款另有约定外，承包人应在合同签订后14天内，但至迟不得晚于第7.3.2项</w:t>
      </w:r>
      <w:r>
        <w:rPr>
          <w:rFonts w:hint="eastAsia" w:eastAsia="仿宋_GB2312"/>
          <w:color w:val="000000"/>
          <w:kern w:val="0"/>
          <w:sz w:val="30"/>
          <w:szCs w:val="32"/>
        </w:rPr>
        <w:t>〔</w:t>
      </w:r>
      <w:r>
        <w:rPr>
          <w:rFonts w:eastAsia="仿宋_GB2312"/>
          <w:color w:val="000000"/>
          <w:kern w:val="0"/>
          <w:sz w:val="30"/>
          <w:szCs w:val="32"/>
        </w:rPr>
        <w:t>开工通知</w:t>
      </w:r>
      <w:r>
        <w:rPr>
          <w:rFonts w:hint="eastAsia" w:eastAsia="仿宋_GB2312"/>
          <w:color w:val="000000"/>
          <w:kern w:val="0"/>
          <w:sz w:val="30"/>
          <w:szCs w:val="32"/>
        </w:rPr>
        <w:t>〕</w:t>
      </w:r>
      <w:r>
        <w:rPr>
          <w:rFonts w:eastAsia="仿宋_GB2312"/>
          <w:color w:val="000000"/>
          <w:kern w:val="0"/>
          <w:sz w:val="30"/>
          <w:szCs w:val="32"/>
        </w:rPr>
        <w:t>载明的开工日期前7天，向监理人提交详细的施工组织设计，并由监理人报送发包人。</w:t>
      </w:r>
      <w:r>
        <w:rPr>
          <w:rFonts w:hint="eastAsia" w:eastAsia="仿宋_GB2312"/>
          <w:color w:val="000000"/>
          <w:kern w:val="0"/>
          <w:sz w:val="30"/>
          <w:szCs w:val="32"/>
        </w:rPr>
        <w:t>除专用合同条款另有约定外，发包人和监理人应在监理人收到施工组织设计后7天内确认或提出修改意见</w:t>
      </w:r>
      <w:r>
        <w:rPr>
          <w:rFonts w:eastAsia="仿宋_GB2312"/>
          <w:color w:val="000000"/>
          <w:kern w:val="0"/>
          <w:sz w:val="30"/>
          <w:szCs w:val="32"/>
        </w:rPr>
        <w:t>。对发包人和监理人提出的合理意见和要求，承包人应自费修改完善。根据工程实际情况需要修改施工组织设计的，承包人应向发包人和监理人提交修改后的施工组织设计。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施工进度计划的编制和修改按照第7.2款</w:t>
      </w:r>
      <w:r>
        <w:rPr>
          <w:rFonts w:hint="eastAsia" w:eastAsia="仿宋_GB2312"/>
          <w:color w:val="000000"/>
          <w:kern w:val="0"/>
          <w:sz w:val="30"/>
          <w:szCs w:val="32"/>
        </w:rPr>
        <w:t>〔</w:t>
      </w:r>
      <w:r>
        <w:rPr>
          <w:rFonts w:eastAsia="仿宋_GB2312"/>
          <w:color w:val="000000"/>
          <w:kern w:val="0"/>
          <w:sz w:val="30"/>
          <w:szCs w:val="32"/>
        </w:rPr>
        <w:t>施工进度计划</w:t>
      </w:r>
      <w:r>
        <w:rPr>
          <w:rFonts w:hint="eastAsia" w:eastAsia="仿宋_GB2312"/>
          <w:color w:val="000000"/>
          <w:kern w:val="0"/>
          <w:sz w:val="30"/>
          <w:szCs w:val="32"/>
        </w:rPr>
        <w:t>〕</w:t>
      </w:r>
      <w:r>
        <w:rPr>
          <w:rFonts w:eastAsia="仿宋_GB2312"/>
          <w:color w:val="000000"/>
          <w:kern w:val="0"/>
          <w:sz w:val="30"/>
          <w:szCs w:val="32"/>
        </w:rPr>
        <w:t>执行。</w:t>
      </w:r>
    </w:p>
    <w:p>
      <w:pPr>
        <w:pStyle w:val="8"/>
        <w:spacing w:before="120" w:after="120" w:line="360" w:lineRule="auto"/>
        <w:ind w:firstLine="600" w:firstLineChars="200"/>
        <w:rPr>
          <w:rFonts w:eastAsia="黑体"/>
          <w:b w:val="0"/>
          <w:color w:val="000000"/>
          <w:sz w:val="30"/>
          <w:szCs w:val="32"/>
        </w:rPr>
      </w:pPr>
      <w:bookmarkStart w:id="1030" w:name="_Toc351203544"/>
      <w:r>
        <w:rPr>
          <w:rFonts w:eastAsia="黑体"/>
          <w:b w:val="0"/>
          <w:color w:val="000000"/>
          <w:sz w:val="30"/>
          <w:szCs w:val="32"/>
        </w:rPr>
        <w:t>7</w:t>
      </w:r>
      <w:bookmarkStart w:id="1031" w:name="_Toc337558769"/>
      <w:r>
        <w:rPr>
          <w:rFonts w:eastAsia="黑体"/>
          <w:b w:val="0"/>
          <w:color w:val="000000"/>
          <w:sz w:val="30"/>
          <w:szCs w:val="32"/>
        </w:rPr>
        <w:t>.2 施工进度计划</w:t>
      </w:r>
      <w:bookmarkEnd w:id="1030"/>
    </w:p>
    <w:bookmarkEnd w:id="1031"/>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7.2.1 施工进度计划的编制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承包人应按照第7.1款</w:t>
      </w:r>
      <w:r>
        <w:rPr>
          <w:rFonts w:hint="eastAsia" w:eastAsia="仿宋_GB2312"/>
          <w:color w:val="000000"/>
          <w:kern w:val="0"/>
          <w:sz w:val="30"/>
          <w:szCs w:val="32"/>
        </w:rPr>
        <w:t>〔</w:t>
      </w:r>
      <w:r>
        <w:rPr>
          <w:rFonts w:eastAsia="仿宋_GB2312"/>
          <w:color w:val="000000"/>
          <w:kern w:val="0"/>
          <w:sz w:val="30"/>
          <w:szCs w:val="32"/>
        </w:rPr>
        <w:t>施工组织设计</w:t>
      </w:r>
      <w:r>
        <w:rPr>
          <w:rFonts w:hint="eastAsia" w:eastAsia="仿宋_GB2312"/>
          <w:color w:val="000000"/>
          <w:kern w:val="0"/>
          <w:sz w:val="30"/>
          <w:szCs w:val="32"/>
        </w:rPr>
        <w:t>〕</w:t>
      </w:r>
      <w:r>
        <w:rPr>
          <w:rFonts w:eastAsia="仿宋_GB2312"/>
          <w:color w:val="000000"/>
          <w:kern w:val="0"/>
          <w:sz w:val="30"/>
          <w:szCs w:val="32"/>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sz w:val="30"/>
          <w:szCs w:val="32"/>
        </w:rPr>
        <w:t>7.2.2 施工进度计划的修订</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8"/>
        <w:spacing w:before="120" w:after="120" w:line="360" w:lineRule="auto"/>
        <w:ind w:firstLine="600" w:firstLineChars="200"/>
        <w:rPr>
          <w:rFonts w:eastAsia="黑体"/>
          <w:b w:val="0"/>
          <w:color w:val="000000"/>
          <w:sz w:val="30"/>
          <w:szCs w:val="32"/>
        </w:rPr>
      </w:pPr>
      <w:bookmarkStart w:id="1032" w:name="_Toc351203545"/>
      <w:r>
        <w:rPr>
          <w:rFonts w:eastAsia="黑体"/>
          <w:b w:val="0"/>
          <w:color w:val="000000"/>
          <w:sz w:val="30"/>
          <w:szCs w:val="32"/>
        </w:rPr>
        <w:t>7</w:t>
      </w:r>
      <w:bookmarkStart w:id="1033" w:name="_Toc337558770"/>
      <w:r>
        <w:rPr>
          <w:rFonts w:eastAsia="黑体"/>
          <w:b w:val="0"/>
          <w:color w:val="000000"/>
          <w:sz w:val="30"/>
          <w:szCs w:val="32"/>
        </w:rPr>
        <w:t>.3 开工</w:t>
      </w:r>
      <w:bookmarkEnd w:id="1032"/>
    </w:p>
    <w:p>
      <w:pPr>
        <w:spacing w:line="360" w:lineRule="auto"/>
        <w:ind w:firstLine="600" w:firstLineChars="200"/>
        <w:rPr>
          <w:rFonts w:eastAsia="仿宋_GB2312"/>
          <w:color w:val="000000"/>
          <w:sz w:val="30"/>
          <w:szCs w:val="32"/>
        </w:rPr>
      </w:pPr>
      <w:r>
        <w:rPr>
          <w:rFonts w:eastAsia="仿宋_GB2312"/>
          <w:color w:val="000000"/>
          <w:kern w:val="0"/>
          <w:sz w:val="30"/>
          <w:szCs w:val="32"/>
        </w:rPr>
        <w:t>7.3.1 开工准备</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除专用合同条款另有约定外，承包人应按照第7.1款</w:t>
      </w:r>
      <w:r>
        <w:rPr>
          <w:rFonts w:hint="eastAsia" w:eastAsia="仿宋_GB2312"/>
          <w:color w:val="000000"/>
          <w:kern w:val="0"/>
          <w:sz w:val="30"/>
          <w:szCs w:val="32"/>
        </w:rPr>
        <w:t>〔</w:t>
      </w:r>
      <w:r>
        <w:rPr>
          <w:rFonts w:eastAsia="仿宋_GB2312"/>
          <w:color w:val="000000"/>
          <w:kern w:val="0"/>
          <w:sz w:val="30"/>
          <w:szCs w:val="32"/>
        </w:rPr>
        <w:t>施工组织设计</w:t>
      </w:r>
      <w:r>
        <w:rPr>
          <w:rFonts w:hint="eastAsia" w:eastAsia="仿宋_GB2312"/>
          <w:color w:val="000000"/>
          <w:kern w:val="0"/>
          <w:sz w:val="30"/>
          <w:szCs w:val="32"/>
        </w:rPr>
        <w:t>〕</w:t>
      </w:r>
      <w:r>
        <w:rPr>
          <w:rFonts w:eastAsia="仿宋_GB2312"/>
          <w:color w:val="000000"/>
          <w:kern w:val="0"/>
          <w:sz w:val="30"/>
          <w:szCs w:val="32"/>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除专用合同条款另有约定外，合同当事人应按约定完成开工准备工作。</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7.3.2 开工通知</w:t>
      </w:r>
    </w:p>
    <w:bookmarkEnd w:id="1033"/>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8"/>
        <w:spacing w:before="120" w:after="120" w:line="360" w:lineRule="auto"/>
        <w:ind w:firstLine="600" w:firstLineChars="200"/>
        <w:rPr>
          <w:rFonts w:eastAsia="黑体"/>
          <w:b w:val="0"/>
          <w:color w:val="000000"/>
          <w:sz w:val="30"/>
          <w:szCs w:val="32"/>
        </w:rPr>
      </w:pPr>
      <w:bookmarkStart w:id="1034" w:name="_Toc351203546"/>
      <w:r>
        <w:rPr>
          <w:rFonts w:eastAsia="黑体"/>
          <w:b w:val="0"/>
          <w:color w:val="000000"/>
          <w:sz w:val="30"/>
          <w:szCs w:val="32"/>
        </w:rPr>
        <w:t>7.4测量放线</w:t>
      </w:r>
      <w:bookmarkEnd w:id="1034"/>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7.4.1 除专用合同条款另有约定外，发包人应在至迟不得晚于第7.3.2项</w:t>
      </w:r>
      <w:r>
        <w:rPr>
          <w:rFonts w:hint="eastAsia" w:eastAsia="仿宋_GB2312"/>
          <w:color w:val="000000"/>
          <w:kern w:val="0"/>
          <w:sz w:val="30"/>
          <w:szCs w:val="32"/>
        </w:rPr>
        <w:t>〔</w:t>
      </w:r>
      <w:r>
        <w:rPr>
          <w:rFonts w:eastAsia="仿宋_GB2312"/>
          <w:color w:val="000000"/>
          <w:kern w:val="0"/>
          <w:sz w:val="30"/>
          <w:szCs w:val="32"/>
        </w:rPr>
        <w:t>开工通知</w:t>
      </w:r>
      <w:r>
        <w:rPr>
          <w:rFonts w:hint="eastAsia" w:eastAsia="仿宋_GB2312"/>
          <w:color w:val="000000"/>
          <w:kern w:val="0"/>
          <w:sz w:val="30"/>
          <w:szCs w:val="32"/>
        </w:rPr>
        <w:t>〕</w:t>
      </w:r>
      <w:r>
        <w:rPr>
          <w:rFonts w:eastAsia="仿宋_GB2312"/>
          <w:color w:val="000000"/>
          <w:kern w:val="0"/>
          <w:sz w:val="30"/>
          <w:szCs w:val="32"/>
        </w:rPr>
        <w:t>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施工过程中对施工现场内水准点等测量标志物的保护工作由承包人负责。</w:t>
      </w:r>
      <w:bookmarkStart w:id="1035" w:name="_Toc351203547"/>
    </w:p>
    <w:p>
      <w:pPr>
        <w:pStyle w:val="8"/>
        <w:spacing w:before="120" w:after="120" w:line="360" w:lineRule="auto"/>
        <w:ind w:firstLine="600" w:firstLineChars="200"/>
        <w:rPr>
          <w:rFonts w:eastAsia="黑体"/>
          <w:b w:val="0"/>
          <w:color w:val="000000"/>
          <w:sz w:val="30"/>
          <w:szCs w:val="32"/>
        </w:rPr>
      </w:pPr>
      <w:r>
        <w:rPr>
          <w:rFonts w:eastAsia="黑体"/>
          <w:b w:val="0"/>
          <w:color w:val="000000"/>
          <w:sz w:val="30"/>
          <w:szCs w:val="32"/>
        </w:rPr>
        <w:t>7</w:t>
      </w:r>
      <w:bookmarkEnd w:id="1028"/>
      <w:bookmarkEnd w:id="1029"/>
      <w:bookmarkStart w:id="1036" w:name="_Toc296346574"/>
      <w:bookmarkStart w:id="1037" w:name="_Toc296503073"/>
      <w:bookmarkStart w:id="1038" w:name="_Toc337558772"/>
      <w:r>
        <w:rPr>
          <w:rFonts w:eastAsia="黑体"/>
          <w:b w:val="0"/>
          <w:color w:val="000000"/>
          <w:sz w:val="30"/>
          <w:szCs w:val="32"/>
        </w:rPr>
        <w:t>.5</w:t>
      </w:r>
      <w:r>
        <w:rPr>
          <w:rFonts w:hint="eastAsia" w:eastAsia="黑体"/>
          <w:b w:val="0"/>
          <w:color w:val="000000"/>
          <w:sz w:val="30"/>
          <w:szCs w:val="32"/>
        </w:rPr>
        <w:t xml:space="preserve"> </w:t>
      </w:r>
      <w:r>
        <w:rPr>
          <w:rFonts w:eastAsia="黑体"/>
          <w:b w:val="0"/>
          <w:color w:val="000000"/>
          <w:sz w:val="30"/>
          <w:szCs w:val="32"/>
        </w:rPr>
        <w:t>工期延误</w:t>
      </w:r>
      <w:bookmarkEnd w:id="1035"/>
    </w:p>
    <w:bookmarkEnd w:id="1036"/>
    <w:bookmarkEnd w:id="1037"/>
    <w:bookmarkEnd w:id="1038"/>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7.5.1 因发包人原因导致工期延误</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在合同履行过程中，因下列情况导致工期延误和（或）费用增加的，由发包人承担由此延误的工期和（或）增加的费用，且发包人应支付承包人合理的利润： </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（1）发包人未能按合同约定提供图纸或所提供图纸不符合合同约定的；</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（2）发包人未能按合同约定提供施工现场、施工条件、基础资料、许可、批准等开工条件的；</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（3）发包人提供的测量基准点、基准线和水准点及其书面资料存在错误或疏漏的；</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（4）发包人未能在计划开工日期之日起7天内同意下达开工通知的；</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（5）发包人未能按合同约定日期支付工程预付款、进度款或竣工结算款的；</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（6）监理人未按合同约定发出指示、批准等文件的；</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（7）专用合同条款中约定的其他情形。</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eastAsia="仿宋_GB2312"/>
          <w:color w:val="000000"/>
          <w:kern w:val="0"/>
          <w:sz w:val="30"/>
          <w:szCs w:val="32"/>
        </w:rPr>
        <w:t>〔</w:t>
      </w:r>
      <w:r>
        <w:rPr>
          <w:rFonts w:eastAsia="仿宋_GB2312"/>
          <w:color w:val="000000"/>
          <w:kern w:val="0"/>
          <w:sz w:val="30"/>
          <w:szCs w:val="32"/>
        </w:rPr>
        <w:t>施工进度计划的修订</w:t>
      </w:r>
      <w:r>
        <w:rPr>
          <w:rFonts w:hint="eastAsia" w:eastAsia="仿宋_GB2312"/>
          <w:color w:val="000000"/>
          <w:kern w:val="0"/>
          <w:sz w:val="30"/>
          <w:szCs w:val="32"/>
        </w:rPr>
        <w:t>〕</w:t>
      </w:r>
      <w:r>
        <w:rPr>
          <w:rFonts w:eastAsia="仿宋_GB2312"/>
          <w:color w:val="000000"/>
          <w:kern w:val="0"/>
          <w:sz w:val="30"/>
          <w:szCs w:val="32"/>
        </w:rPr>
        <w:t>执行。</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kern w:val="0"/>
          <w:sz w:val="30"/>
          <w:szCs w:val="32"/>
        </w:rPr>
        <w:t>7.5.2 因承包人原因导致工期延误</w:t>
      </w:r>
    </w:p>
    <w:p>
      <w:pPr>
        <w:autoSpaceDE w:val="0"/>
        <w:autoSpaceDN w:val="0"/>
        <w:adjustRightInd w:val="0"/>
        <w:spacing w:line="360" w:lineRule="auto"/>
        <w:ind w:firstLine="600" w:firstLineChars="200"/>
        <w:jc w:val="left"/>
        <w:rPr>
          <w:rFonts w:eastAsia="仿宋_GB2312"/>
          <w:color w:val="000000"/>
          <w:kern w:val="0"/>
          <w:sz w:val="30"/>
          <w:szCs w:val="32"/>
        </w:rPr>
      </w:pPr>
      <w:bookmarkStart w:id="1039" w:name="_Toc296346577"/>
      <w:bookmarkStart w:id="1040" w:name="_Toc296503076"/>
      <w:r>
        <w:rPr>
          <w:rFonts w:eastAsia="仿宋_GB2312"/>
          <w:color w:val="000000"/>
          <w:kern w:val="0"/>
          <w:sz w:val="30"/>
          <w:szCs w:val="32"/>
        </w:rPr>
        <w:t>因</w:t>
      </w:r>
      <w:bookmarkEnd w:id="1039"/>
      <w:bookmarkEnd w:id="1040"/>
      <w:r>
        <w:rPr>
          <w:rFonts w:eastAsia="仿宋_GB2312"/>
          <w:color w:val="000000"/>
          <w:kern w:val="0"/>
          <w:sz w:val="30"/>
          <w:szCs w:val="32"/>
        </w:rPr>
        <w:t>承包人原因造成工期延误的，可以在专用合同条款中约定逾期竣工违约金的计算方法和逾期竣工违约金的上限。承包人支付逾期竣工违约金后，不免除承包人继续完成工程及修补缺陷的义务。</w:t>
      </w:r>
    </w:p>
    <w:p>
      <w:pPr>
        <w:pStyle w:val="8"/>
        <w:spacing w:before="120" w:after="120" w:line="360" w:lineRule="auto"/>
        <w:ind w:firstLine="600" w:firstLineChars="200"/>
        <w:rPr>
          <w:rFonts w:eastAsia="黑体"/>
          <w:b w:val="0"/>
          <w:color w:val="000000"/>
          <w:sz w:val="30"/>
          <w:szCs w:val="32"/>
        </w:rPr>
      </w:pPr>
      <w:bookmarkStart w:id="1041" w:name="_Toc351203548"/>
      <w:r>
        <w:rPr>
          <w:rFonts w:eastAsia="黑体"/>
          <w:b w:val="0"/>
          <w:color w:val="000000"/>
          <w:sz w:val="30"/>
          <w:szCs w:val="32"/>
        </w:rPr>
        <w:t>7</w:t>
      </w:r>
      <w:bookmarkStart w:id="1042" w:name="_Toc337558773"/>
      <w:bookmarkStart w:id="1043" w:name="_Toc296503074"/>
      <w:bookmarkStart w:id="1044" w:name="_Toc296346575"/>
      <w:bookmarkStart w:id="1045" w:name="_Toc296346578"/>
      <w:bookmarkStart w:id="1046" w:name="_Toc296503077"/>
      <w:r>
        <w:rPr>
          <w:rFonts w:eastAsia="黑体"/>
          <w:b w:val="0"/>
          <w:color w:val="000000"/>
          <w:sz w:val="30"/>
          <w:szCs w:val="32"/>
        </w:rPr>
        <w:t>.6 不利物质条件</w:t>
      </w:r>
      <w:bookmarkEnd w:id="1041"/>
    </w:p>
    <w:bookmarkEnd w:id="1042"/>
    <w:bookmarkEnd w:id="1043"/>
    <w:bookmarkEnd w:id="1044"/>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eastAsia="仿宋_GB2312"/>
          <w:color w:val="000000"/>
          <w:kern w:val="0"/>
          <w:sz w:val="30"/>
          <w:szCs w:val="32"/>
        </w:rPr>
        <w:t>〔</w:t>
      </w:r>
      <w:r>
        <w:rPr>
          <w:rFonts w:eastAsia="仿宋_GB2312"/>
          <w:color w:val="000000"/>
          <w:kern w:val="0"/>
          <w:sz w:val="30"/>
          <w:szCs w:val="32"/>
        </w:rPr>
        <w:t>变更</w:t>
      </w:r>
      <w:r>
        <w:rPr>
          <w:rFonts w:hint="eastAsia" w:eastAsia="仿宋_GB2312"/>
          <w:color w:val="000000"/>
          <w:kern w:val="0"/>
          <w:sz w:val="30"/>
          <w:szCs w:val="32"/>
        </w:rPr>
        <w:t>〕</w:t>
      </w:r>
      <w:r>
        <w:rPr>
          <w:rFonts w:eastAsia="仿宋_GB2312"/>
          <w:color w:val="000000"/>
          <w:kern w:val="0"/>
          <w:sz w:val="30"/>
          <w:szCs w:val="32"/>
        </w:rPr>
        <w:t>约定执行。承包人因采取合理措施而增加的费用和（或）延误的工期由发包人承担。</w:t>
      </w:r>
    </w:p>
    <w:p>
      <w:pPr>
        <w:pStyle w:val="8"/>
        <w:spacing w:before="120" w:after="120" w:line="360" w:lineRule="auto"/>
        <w:ind w:firstLine="600" w:firstLineChars="200"/>
        <w:rPr>
          <w:rFonts w:eastAsia="黑体"/>
          <w:b w:val="0"/>
          <w:color w:val="000000"/>
          <w:sz w:val="30"/>
          <w:szCs w:val="32"/>
        </w:rPr>
      </w:pPr>
      <w:bookmarkStart w:id="1047" w:name="_Toc351203549"/>
      <w:r>
        <w:rPr>
          <w:rFonts w:eastAsia="黑体"/>
          <w:b w:val="0"/>
          <w:color w:val="000000"/>
          <w:sz w:val="30"/>
          <w:szCs w:val="32"/>
        </w:rPr>
        <w:t>7</w:t>
      </w:r>
      <w:bookmarkStart w:id="1048" w:name="_Toc296503075"/>
      <w:bookmarkStart w:id="1049" w:name="_Toc337558774"/>
      <w:bookmarkStart w:id="1050" w:name="_Toc296346576"/>
      <w:r>
        <w:rPr>
          <w:rFonts w:eastAsia="黑体"/>
          <w:b w:val="0"/>
          <w:color w:val="000000"/>
          <w:sz w:val="30"/>
          <w:szCs w:val="32"/>
        </w:rPr>
        <w:t>.7</w:t>
      </w:r>
      <w:r>
        <w:rPr>
          <w:rFonts w:hint="eastAsia" w:eastAsia="黑体"/>
          <w:b w:val="0"/>
          <w:color w:val="000000"/>
          <w:sz w:val="30"/>
          <w:szCs w:val="32"/>
        </w:rPr>
        <w:t xml:space="preserve"> </w:t>
      </w:r>
      <w:r>
        <w:rPr>
          <w:rFonts w:eastAsia="黑体"/>
          <w:b w:val="0"/>
          <w:color w:val="000000"/>
          <w:sz w:val="30"/>
          <w:szCs w:val="32"/>
        </w:rPr>
        <w:t>异常恶劣的气候条件</w:t>
      </w:r>
      <w:bookmarkEnd w:id="1047"/>
    </w:p>
    <w:bookmarkEnd w:id="1048"/>
    <w:bookmarkEnd w:id="1049"/>
    <w:bookmarkEnd w:id="1050"/>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承包人应采取克服异常恶劣的气候条件的合理措施继续施工，并及时通知发包人和监理人。监理人经发包人同意后应当及时发出指示，指示构成变更的，按第10条</w:t>
      </w:r>
      <w:r>
        <w:rPr>
          <w:rFonts w:hint="eastAsia" w:eastAsia="仿宋_GB2312"/>
          <w:color w:val="000000"/>
          <w:kern w:val="0"/>
          <w:sz w:val="30"/>
          <w:szCs w:val="32"/>
        </w:rPr>
        <w:t>〔</w:t>
      </w:r>
      <w:r>
        <w:rPr>
          <w:rFonts w:eastAsia="仿宋_GB2312"/>
          <w:color w:val="000000"/>
          <w:kern w:val="0"/>
          <w:sz w:val="30"/>
          <w:szCs w:val="32"/>
        </w:rPr>
        <w:t>变更</w:t>
      </w:r>
      <w:r>
        <w:rPr>
          <w:rFonts w:hint="eastAsia" w:eastAsia="仿宋_GB2312"/>
          <w:color w:val="000000"/>
          <w:kern w:val="0"/>
          <w:sz w:val="30"/>
          <w:szCs w:val="32"/>
        </w:rPr>
        <w:t>〕</w:t>
      </w:r>
      <w:r>
        <w:rPr>
          <w:rFonts w:eastAsia="仿宋_GB2312"/>
          <w:color w:val="000000"/>
          <w:kern w:val="0"/>
          <w:sz w:val="30"/>
          <w:szCs w:val="32"/>
        </w:rPr>
        <w:t>约定办理。承包人因采取合理措施而增加的费用和（或）延误的工期由发包人承担。</w:t>
      </w:r>
      <w:bookmarkStart w:id="1051" w:name="_Toc351203550"/>
    </w:p>
    <w:p>
      <w:pPr>
        <w:autoSpaceDE w:val="0"/>
        <w:autoSpaceDN w:val="0"/>
        <w:adjustRightInd w:val="0"/>
        <w:spacing w:line="360" w:lineRule="auto"/>
        <w:ind w:firstLine="600" w:firstLineChars="200"/>
        <w:jc w:val="left"/>
        <w:outlineLvl w:val="0"/>
        <w:rPr>
          <w:rFonts w:eastAsia="黑体"/>
          <w:bCs/>
          <w:color w:val="000000"/>
          <w:sz w:val="30"/>
          <w:szCs w:val="32"/>
        </w:rPr>
      </w:pPr>
      <w:bookmarkStart w:id="1052" w:name="_Toc4037"/>
      <w:r>
        <w:rPr>
          <w:rFonts w:eastAsia="黑体"/>
          <w:bCs/>
          <w:color w:val="000000"/>
          <w:sz w:val="30"/>
          <w:szCs w:val="32"/>
        </w:rPr>
        <w:t>7</w:t>
      </w:r>
      <w:bookmarkStart w:id="1053" w:name="_Toc337558775"/>
      <w:r>
        <w:rPr>
          <w:rFonts w:eastAsia="黑体"/>
          <w:bCs/>
          <w:color w:val="000000"/>
          <w:sz w:val="30"/>
          <w:szCs w:val="32"/>
        </w:rPr>
        <w:t>.8</w:t>
      </w:r>
      <w:r>
        <w:rPr>
          <w:rFonts w:hint="eastAsia" w:eastAsia="黑体"/>
          <w:bCs/>
          <w:color w:val="000000"/>
          <w:sz w:val="30"/>
          <w:szCs w:val="32"/>
        </w:rPr>
        <w:t xml:space="preserve"> </w:t>
      </w:r>
      <w:r>
        <w:rPr>
          <w:rFonts w:eastAsia="黑体"/>
          <w:bCs/>
          <w:color w:val="000000"/>
          <w:sz w:val="30"/>
          <w:szCs w:val="32"/>
        </w:rPr>
        <w:t>暂停施工</w:t>
      </w:r>
      <w:bookmarkEnd w:id="1051"/>
      <w:bookmarkEnd w:id="1052"/>
    </w:p>
    <w:bookmarkEnd w:id="1045"/>
    <w:bookmarkEnd w:id="1046"/>
    <w:bookmarkEnd w:id="1053"/>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7.8.1发包人原因引起的暂停施工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因发包人原因引起暂停施工的，监理人经发包人同意后，应及时下达暂停施工指示。情况紧急且监理人未及时下达暂停施工指示的，按照第7.8.4项</w:t>
      </w:r>
      <w:r>
        <w:rPr>
          <w:rFonts w:hint="eastAsia" w:eastAsia="仿宋_GB2312"/>
          <w:color w:val="000000"/>
          <w:kern w:val="0"/>
          <w:sz w:val="30"/>
          <w:szCs w:val="32"/>
        </w:rPr>
        <w:t>〔</w:t>
      </w:r>
      <w:r>
        <w:rPr>
          <w:rFonts w:eastAsia="仿宋_GB2312"/>
          <w:color w:val="000000"/>
          <w:kern w:val="0"/>
          <w:sz w:val="30"/>
          <w:szCs w:val="32"/>
        </w:rPr>
        <w:t>紧急情况下的暂停施工</w:t>
      </w:r>
      <w:r>
        <w:rPr>
          <w:rFonts w:hint="eastAsia" w:eastAsia="仿宋_GB2312"/>
          <w:color w:val="000000"/>
          <w:kern w:val="0"/>
          <w:sz w:val="30"/>
          <w:szCs w:val="32"/>
        </w:rPr>
        <w:t>〕</w:t>
      </w:r>
      <w:r>
        <w:rPr>
          <w:rFonts w:eastAsia="仿宋_GB2312"/>
          <w:color w:val="000000"/>
          <w:kern w:val="0"/>
          <w:sz w:val="30"/>
          <w:szCs w:val="32"/>
        </w:rPr>
        <w:t>执行。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因发包人原因引起的暂停施工，发包人应承担由此增加的费用和（或）延误的工期，</w:t>
      </w:r>
      <w:r>
        <w:rPr>
          <w:rFonts w:eastAsia="仿宋_GB2312"/>
          <w:kern w:val="0"/>
          <w:sz w:val="30"/>
          <w:szCs w:val="32"/>
        </w:rPr>
        <w:t>并支付承包人</w:t>
      </w:r>
      <w:r>
        <w:rPr>
          <w:rFonts w:eastAsia="仿宋_GB2312"/>
          <w:color w:val="000000"/>
          <w:kern w:val="0"/>
          <w:sz w:val="30"/>
          <w:szCs w:val="32"/>
        </w:rPr>
        <w:t>合理的利润。</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7.8.2 承包人原因引起的暂停施工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因承包人原因引起的暂停施工，承包人应承担由此增加的费用和（或）延误的工期，且承包人在收到监理人复工指示后</w:t>
      </w:r>
      <w:r>
        <w:rPr>
          <w:rFonts w:hint="eastAsia" w:eastAsia="仿宋_GB2312"/>
          <w:color w:val="000000"/>
          <w:kern w:val="0"/>
          <w:sz w:val="30"/>
          <w:szCs w:val="32"/>
        </w:rPr>
        <w:t>84</w:t>
      </w:r>
      <w:r>
        <w:rPr>
          <w:rFonts w:eastAsia="仿宋_GB2312"/>
          <w:color w:val="000000"/>
          <w:kern w:val="0"/>
          <w:sz w:val="30"/>
          <w:szCs w:val="32"/>
        </w:rPr>
        <w:t>天内仍未复工的，视为第16.2.1项</w:t>
      </w:r>
      <w:r>
        <w:rPr>
          <w:rFonts w:hint="eastAsia" w:eastAsia="仿宋_GB2312"/>
          <w:color w:val="000000"/>
          <w:kern w:val="0"/>
          <w:sz w:val="30"/>
          <w:szCs w:val="32"/>
        </w:rPr>
        <w:t>〔</w:t>
      </w:r>
      <w:r>
        <w:rPr>
          <w:rFonts w:eastAsia="仿宋_GB2312"/>
          <w:color w:val="000000"/>
          <w:kern w:val="0"/>
          <w:sz w:val="30"/>
          <w:szCs w:val="32"/>
        </w:rPr>
        <w:t>承包人违约的情形</w:t>
      </w:r>
      <w:r>
        <w:rPr>
          <w:rFonts w:hint="eastAsia" w:eastAsia="仿宋_GB2312"/>
          <w:color w:val="000000"/>
          <w:kern w:val="0"/>
          <w:sz w:val="30"/>
          <w:szCs w:val="32"/>
        </w:rPr>
        <w:t>〕</w:t>
      </w:r>
      <w:r>
        <w:rPr>
          <w:rFonts w:eastAsia="仿宋_GB2312"/>
          <w:color w:val="000000"/>
          <w:kern w:val="0"/>
          <w:sz w:val="30"/>
          <w:szCs w:val="32"/>
        </w:rPr>
        <w:t>第（7）目约定的承包人无法继续履行合同的情形。</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7.8.3 指示暂停施工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监理人认为有必要时，并经发包人批准后，可向承包人作出暂停施工的指示，承包人应按监理人指示暂停施工。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7.8.4 紧急情况下的暂停施工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约定处理。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7.8.5 暂停施工后的复工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承包人无故拖延和拒绝复工的，承包人承担由此增加的费用和（或）延误的工期；因发包人原因无法按时复工的，按照第7.5.1项</w:t>
      </w:r>
      <w:r>
        <w:rPr>
          <w:rFonts w:hint="eastAsia" w:eastAsia="仿宋_GB2312"/>
          <w:color w:val="000000"/>
          <w:kern w:val="0"/>
          <w:sz w:val="30"/>
          <w:szCs w:val="32"/>
        </w:rPr>
        <w:t>〔</w:t>
      </w:r>
      <w:r>
        <w:rPr>
          <w:rFonts w:eastAsia="仿宋_GB2312"/>
          <w:color w:val="000000"/>
          <w:kern w:val="0"/>
          <w:sz w:val="30"/>
          <w:szCs w:val="32"/>
        </w:rPr>
        <w:t>因发包人原因导致工期延误</w:t>
      </w:r>
      <w:r>
        <w:rPr>
          <w:rFonts w:hint="eastAsia" w:eastAsia="仿宋_GB2312"/>
          <w:color w:val="000000"/>
          <w:kern w:val="0"/>
          <w:sz w:val="30"/>
          <w:szCs w:val="32"/>
        </w:rPr>
        <w:t>〕</w:t>
      </w:r>
      <w:r>
        <w:rPr>
          <w:rFonts w:eastAsia="仿宋_GB2312"/>
          <w:color w:val="000000"/>
          <w:kern w:val="0"/>
          <w:sz w:val="30"/>
          <w:szCs w:val="32"/>
        </w:rPr>
        <w:t>约定办理。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7.8.6 暂停施工持续56天以上</w:t>
      </w:r>
    </w:p>
    <w:p>
      <w:pPr>
        <w:spacing w:line="360" w:lineRule="auto"/>
        <w:ind w:firstLine="585" w:firstLineChars="195"/>
        <w:jc w:val="left"/>
        <w:rPr>
          <w:rFonts w:eastAsia="仿宋_GB2312"/>
          <w:color w:val="000000"/>
          <w:kern w:val="0"/>
          <w:sz w:val="30"/>
          <w:szCs w:val="32"/>
        </w:rPr>
      </w:pPr>
      <w:r>
        <w:rPr>
          <w:rFonts w:eastAsia="仿宋_GB2312"/>
          <w:color w:val="000000"/>
          <w:kern w:val="0"/>
          <w:sz w:val="30"/>
          <w:szCs w:val="32"/>
        </w:rPr>
        <w:t>监理人发出暂停施工指示后56天内未向承包人发出复工通知，除该项停工属于第7.8.2项</w:t>
      </w:r>
      <w:r>
        <w:rPr>
          <w:rFonts w:hint="eastAsia" w:eastAsia="仿宋_GB2312"/>
          <w:color w:val="000000"/>
          <w:kern w:val="0"/>
          <w:sz w:val="30"/>
          <w:szCs w:val="32"/>
        </w:rPr>
        <w:t>〔</w:t>
      </w:r>
      <w:r>
        <w:rPr>
          <w:rFonts w:eastAsia="仿宋_GB2312"/>
          <w:color w:val="000000"/>
          <w:kern w:val="0"/>
          <w:sz w:val="30"/>
          <w:szCs w:val="32"/>
        </w:rPr>
        <w:t>承包人原因引起的暂停施工</w:t>
      </w:r>
      <w:r>
        <w:rPr>
          <w:rFonts w:hint="eastAsia" w:eastAsia="仿宋_GB2312"/>
          <w:color w:val="000000"/>
          <w:kern w:val="0"/>
          <w:sz w:val="30"/>
          <w:szCs w:val="32"/>
        </w:rPr>
        <w:t>〕</w:t>
      </w:r>
      <w:r>
        <w:rPr>
          <w:rFonts w:eastAsia="仿宋_GB2312"/>
          <w:color w:val="000000"/>
          <w:kern w:val="0"/>
          <w:sz w:val="30"/>
          <w:szCs w:val="32"/>
        </w:rPr>
        <w:t>及第17条</w:t>
      </w:r>
      <w:r>
        <w:rPr>
          <w:rFonts w:hint="eastAsia" w:eastAsia="仿宋_GB2312"/>
          <w:color w:val="000000"/>
          <w:kern w:val="0"/>
          <w:sz w:val="30"/>
          <w:szCs w:val="32"/>
        </w:rPr>
        <w:t>〔</w:t>
      </w:r>
      <w:r>
        <w:rPr>
          <w:rFonts w:eastAsia="仿宋_GB2312"/>
          <w:color w:val="000000"/>
          <w:kern w:val="0"/>
          <w:sz w:val="30"/>
          <w:szCs w:val="32"/>
        </w:rPr>
        <w:t>不可抗力</w:t>
      </w:r>
      <w:r>
        <w:rPr>
          <w:rFonts w:hint="eastAsia" w:eastAsia="仿宋_GB2312"/>
          <w:color w:val="000000"/>
          <w:kern w:val="0"/>
          <w:sz w:val="30"/>
          <w:szCs w:val="32"/>
        </w:rPr>
        <w:t>〕</w:t>
      </w:r>
      <w:r>
        <w:rPr>
          <w:rFonts w:eastAsia="仿宋_GB2312"/>
          <w:color w:val="000000"/>
          <w:kern w:val="0"/>
          <w:sz w:val="30"/>
          <w:szCs w:val="32"/>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eastAsia="仿宋_GB2312"/>
          <w:color w:val="000000"/>
          <w:kern w:val="0"/>
          <w:sz w:val="30"/>
          <w:szCs w:val="32"/>
        </w:rPr>
        <w:t>〔</w:t>
      </w:r>
      <w:r>
        <w:rPr>
          <w:rFonts w:eastAsia="仿宋_GB2312"/>
          <w:color w:val="000000"/>
          <w:kern w:val="0"/>
          <w:sz w:val="30"/>
          <w:szCs w:val="32"/>
        </w:rPr>
        <w:t>变更的范围</w:t>
      </w:r>
      <w:r>
        <w:rPr>
          <w:rFonts w:hint="eastAsia" w:eastAsia="仿宋_GB2312"/>
          <w:color w:val="000000"/>
          <w:kern w:val="0"/>
          <w:sz w:val="30"/>
          <w:szCs w:val="32"/>
        </w:rPr>
        <w:t>〕</w:t>
      </w:r>
      <w:r>
        <w:rPr>
          <w:rFonts w:eastAsia="仿宋_GB2312"/>
          <w:color w:val="000000"/>
          <w:kern w:val="0"/>
          <w:sz w:val="30"/>
          <w:szCs w:val="32"/>
        </w:rPr>
        <w:t>第（2）项的可取消工作。</w:t>
      </w:r>
    </w:p>
    <w:p>
      <w:pPr>
        <w:spacing w:line="360" w:lineRule="auto"/>
        <w:ind w:firstLine="585" w:firstLineChars="195"/>
        <w:jc w:val="left"/>
        <w:rPr>
          <w:rFonts w:eastAsia="仿宋_GB2312"/>
          <w:color w:val="000000"/>
          <w:kern w:val="0"/>
          <w:sz w:val="30"/>
          <w:szCs w:val="32"/>
        </w:rPr>
      </w:pPr>
      <w:r>
        <w:rPr>
          <w:rFonts w:eastAsia="仿宋_GB2312"/>
          <w:color w:val="000000"/>
          <w:kern w:val="0"/>
          <w:sz w:val="30"/>
          <w:szCs w:val="32"/>
        </w:rPr>
        <w:t>暂停施工持续</w:t>
      </w:r>
      <w:r>
        <w:rPr>
          <w:rFonts w:hint="eastAsia" w:eastAsia="仿宋_GB2312"/>
          <w:color w:val="000000"/>
          <w:kern w:val="0"/>
          <w:sz w:val="30"/>
          <w:szCs w:val="32"/>
        </w:rPr>
        <w:t>84</w:t>
      </w:r>
      <w:r>
        <w:rPr>
          <w:rFonts w:eastAsia="仿宋_GB2312"/>
          <w:color w:val="000000"/>
          <w:kern w:val="0"/>
          <w:sz w:val="30"/>
          <w:szCs w:val="32"/>
        </w:rPr>
        <w:t>天以上不复工的，且不属于第7.8.2项</w:t>
      </w:r>
      <w:r>
        <w:rPr>
          <w:rFonts w:hint="eastAsia" w:eastAsia="仿宋_GB2312"/>
          <w:color w:val="000000"/>
          <w:kern w:val="0"/>
          <w:sz w:val="30"/>
          <w:szCs w:val="32"/>
        </w:rPr>
        <w:t>〔</w:t>
      </w:r>
      <w:r>
        <w:rPr>
          <w:rFonts w:eastAsia="仿宋_GB2312"/>
          <w:color w:val="000000"/>
          <w:kern w:val="0"/>
          <w:sz w:val="30"/>
          <w:szCs w:val="32"/>
        </w:rPr>
        <w:t>承包人原因引起的暂停施工</w:t>
      </w:r>
      <w:r>
        <w:rPr>
          <w:rFonts w:hint="eastAsia" w:eastAsia="仿宋_GB2312"/>
          <w:color w:val="000000"/>
          <w:kern w:val="0"/>
          <w:sz w:val="30"/>
          <w:szCs w:val="32"/>
        </w:rPr>
        <w:t>〕</w:t>
      </w:r>
      <w:r>
        <w:rPr>
          <w:rFonts w:eastAsia="仿宋_GB2312"/>
          <w:color w:val="000000"/>
          <w:kern w:val="0"/>
          <w:sz w:val="30"/>
          <w:szCs w:val="32"/>
        </w:rPr>
        <w:t>及第17条</w:t>
      </w:r>
      <w:r>
        <w:rPr>
          <w:rFonts w:hint="eastAsia" w:eastAsia="仿宋_GB2312"/>
          <w:color w:val="000000"/>
          <w:kern w:val="0"/>
          <w:sz w:val="30"/>
          <w:szCs w:val="32"/>
        </w:rPr>
        <w:t>〔</w:t>
      </w:r>
      <w:r>
        <w:rPr>
          <w:rFonts w:eastAsia="仿宋_GB2312"/>
          <w:color w:val="000000"/>
          <w:kern w:val="0"/>
          <w:sz w:val="30"/>
          <w:szCs w:val="32"/>
        </w:rPr>
        <w:t>不可抗力</w:t>
      </w:r>
      <w:r>
        <w:rPr>
          <w:rFonts w:hint="eastAsia" w:eastAsia="仿宋_GB2312"/>
          <w:color w:val="000000"/>
          <w:kern w:val="0"/>
          <w:sz w:val="30"/>
          <w:szCs w:val="32"/>
        </w:rPr>
        <w:t>〕</w:t>
      </w:r>
      <w:r>
        <w:rPr>
          <w:rFonts w:eastAsia="仿宋_GB2312"/>
          <w:color w:val="000000"/>
          <w:kern w:val="0"/>
          <w:sz w:val="30"/>
          <w:szCs w:val="32"/>
        </w:rPr>
        <w:t>约定的情形，并影响到整个工程以及合同目的实现的，承包人有权提出价格调整要求，或者解除合同。解除合同的，按照第16.1.3项</w:t>
      </w:r>
      <w:r>
        <w:rPr>
          <w:rFonts w:hint="eastAsia" w:eastAsia="仿宋_GB2312"/>
          <w:color w:val="000000"/>
          <w:kern w:val="0"/>
          <w:sz w:val="30"/>
          <w:szCs w:val="32"/>
        </w:rPr>
        <w:t>〔</w:t>
      </w:r>
      <w:r>
        <w:rPr>
          <w:rFonts w:eastAsia="仿宋_GB2312"/>
          <w:color w:val="000000"/>
          <w:kern w:val="0"/>
          <w:sz w:val="30"/>
          <w:szCs w:val="32"/>
        </w:rPr>
        <w:t>因发包人违约解除合同</w:t>
      </w:r>
      <w:r>
        <w:rPr>
          <w:rFonts w:hint="eastAsia" w:eastAsia="仿宋_GB2312"/>
          <w:color w:val="000000"/>
          <w:kern w:val="0"/>
          <w:sz w:val="30"/>
          <w:szCs w:val="32"/>
        </w:rPr>
        <w:t>〕</w:t>
      </w:r>
      <w:r>
        <w:rPr>
          <w:rFonts w:eastAsia="仿宋_GB2312"/>
          <w:color w:val="000000"/>
          <w:kern w:val="0"/>
          <w:sz w:val="30"/>
          <w:szCs w:val="32"/>
        </w:rPr>
        <w:t>执行。</w:t>
      </w:r>
    </w:p>
    <w:p>
      <w:pPr>
        <w:spacing w:line="360" w:lineRule="auto"/>
        <w:ind w:left="16" w:firstLine="585" w:firstLineChars="195"/>
        <w:jc w:val="left"/>
        <w:rPr>
          <w:rFonts w:eastAsia="仿宋_GB2312"/>
          <w:color w:val="000000"/>
          <w:kern w:val="0"/>
          <w:sz w:val="30"/>
          <w:szCs w:val="32"/>
        </w:rPr>
      </w:pPr>
      <w:r>
        <w:rPr>
          <w:rFonts w:eastAsia="仿宋_GB2312"/>
          <w:color w:val="000000"/>
          <w:kern w:val="0"/>
          <w:sz w:val="30"/>
          <w:szCs w:val="32"/>
        </w:rPr>
        <w:t>7.8.7 暂停施工期间的工程照管</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暂停施工期间，承包人应负责妥善照管工程并提供安全保障，由此增加的费用由责任方承担。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7.8.8 暂停施工的措施</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暂停施工期间，发包人和承包人均应采取必要的措施确保工程质量及安全，防止因暂停施工扩大损失。</w:t>
      </w:r>
    </w:p>
    <w:p>
      <w:pPr>
        <w:pStyle w:val="8"/>
        <w:spacing w:before="120" w:after="120" w:line="360" w:lineRule="auto"/>
        <w:ind w:firstLine="600" w:firstLineChars="200"/>
        <w:rPr>
          <w:rFonts w:eastAsia="黑体"/>
          <w:b w:val="0"/>
          <w:color w:val="000000"/>
          <w:sz w:val="30"/>
          <w:szCs w:val="32"/>
        </w:rPr>
      </w:pPr>
      <w:bookmarkStart w:id="1054" w:name="_Toc351203551"/>
      <w:r>
        <w:rPr>
          <w:rFonts w:eastAsia="黑体"/>
          <w:b w:val="0"/>
          <w:color w:val="000000"/>
          <w:sz w:val="30"/>
          <w:szCs w:val="32"/>
        </w:rPr>
        <w:t>7.9提前竣工</w:t>
      </w:r>
      <w:bookmarkEnd w:id="1054"/>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eastAsia="仿宋_GB2312"/>
          <w:color w:val="000000"/>
          <w:kern w:val="0"/>
          <w:sz w:val="30"/>
          <w:szCs w:val="32"/>
        </w:rPr>
        <w:t>承包人认为提前竣工指示无法执行的，应向监理人和发包人提出书面异议，发包人和监理人应在收到异议后7天内予以答复。任何情况下，发包人不得压缩合理工期。</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7.9.2 发包人要求承包人提前竣工，或承包人提出提前竣工的建议能够给发包人带来效益的，合同当事人可以在专用合同条款中约定提前竣工的奖励。</w:t>
      </w:r>
    </w:p>
    <w:p>
      <w:pPr>
        <w:pStyle w:val="7"/>
        <w:spacing w:before="120" w:after="120" w:line="360" w:lineRule="auto"/>
        <w:rPr>
          <w:rFonts w:ascii="Times New Roman" w:hAnsi="Times New Roman" w:eastAsia="黑体"/>
          <w:b w:val="0"/>
          <w:color w:val="000000"/>
          <w:sz w:val="32"/>
          <w:szCs w:val="32"/>
        </w:rPr>
      </w:pPr>
      <w:bookmarkStart w:id="1055" w:name="_Toc351203552"/>
      <w:r>
        <w:rPr>
          <w:rFonts w:ascii="Times New Roman" w:hAnsi="Times New Roman" w:eastAsia="黑体"/>
          <w:b w:val="0"/>
          <w:color w:val="000000"/>
          <w:sz w:val="32"/>
          <w:szCs w:val="32"/>
        </w:rPr>
        <w:t>8</w:t>
      </w:r>
      <w:bookmarkStart w:id="1056" w:name="_Toc296503058"/>
      <w:bookmarkStart w:id="1057" w:name="_Toc296346559"/>
      <w:bookmarkStart w:id="1058" w:name="_Toc337558776"/>
      <w:r>
        <w:rPr>
          <w:rFonts w:ascii="Times New Roman" w:hAnsi="Times New Roman" w:eastAsia="黑体"/>
          <w:b w:val="0"/>
          <w:color w:val="000000"/>
          <w:sz w:val="32"/>
          <w:szCs w:val="32"/>
        </w:rPr>
        <w:t>. 材料与设备</w:t>
      </w:r>
      <w:bookmarkEnd w:id="1055"/>
    </w:p>
    <w:bookmarkEnd w:id="1056"/>
    <w:bookmarkEnd w:id="1057"/>
    <w:bookmarkEnd w:id="1058"/>
    <w:p>
      <w:pPr>
        <w:pStyle w:val="8"/>
        <w:spacing w:before="120" w:after="120" w:line="360" w:lineRule="auto"/>
        <w:ind w:firstLine="600" w:firstLineChars="200"/>
        <w:rPr>
          <w:rFonts w:eastAsia="黑体"/>
          <w:b w:val="0"/>
          <w:color w:val="000000"/>
          <w:sz w:val="30"/>
          <w:szCs w:val="32"/>
        </w:rPr>
      </w:pPr>
      <w:bookmarkStart w:id="1059" w:name="_Toc351203553"/>
      <w:r>
        <w:rPr>
          <w:rFonts w:eastAsia="黑体"/>
          <w:b w:val="0"/>
          <w:color w:val="000000"/>
          <w:sz w:val="30"/>
          <w:szCs w:val="32"/>
        </w:rPr>
        <w:t>8</w:t>
      </w:r>
      <w:bookmarkStart w:id="1060" w:name="_Toc296346560"/>
      <w:bookmarkStart w:id="1061" w:name="_Toc337558777"/>
      <w:bookmarkStart w:id="1062" w:name="_Toc296503059"/>
      <w:bookmarkStart w:id="1063" w:name="_Toc468936960"/>
      <w:r>
        <w:rPr>
          <w:rFonts w:eastAsia="黑体"/>
          <w:b w:val="0"/>
          <w:color w:val="000000"/>
          <w:sz w:val="30"/>
          <w:szCs w:val="32"/>
        </w:rPr>
        <w:t>.1发包人供应材料与工程设备</w:t>
      </w:r>
      <w:bookmarkEnd w:id="1059"/>
    </w:p>
    <w:bookmarkEnd w:id="1060"/>
    <w:bookmarkEnd w:id="1061"/>
    <w:bookmarkEnd w:id="106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承包人应提前30天通过监理人以书面形式通知发包人供应材料与工程设备进场。承包人按照第7.2.2项</w:t>
      </w:r>
      <w:r>
        <w:rPr>
          <w:rFonts w:hint="eastAsia" w:eastAsia="仿宋_GB2312"/>
          <w:color w:val="000000"/>
          <w:kern w:val="0"/>
          <w:sz w:val="30"/>
          <w:szCs w:val="32"/>
        </w:rPr>
        <w:t>〔</w:t>
      </w:r>
      <w:r>
        <w:rPr>
          <w:rFonts w:eastAsia="仿宋_GB2312"/>
          <w:color w:val="000000"/>
          <w:kern w:val="0"/>
          <w:sz w:val="30"/>
          <w:szCs w:val="32"/>
        </w:rPr>
        <w:t>施工进度计划的修订</w:t>
      </w:r>
      <w:r>
        <w:rPr>
          <w:rFonts w:hint="eastAsia" w:eastAsia="仿宋_GB2312"/>
          <w:color w:val="000000"/>
          <w:kern w:val="0"/>
          <w:sz w:val="30"/>
          <w:szCs w:val="32"/>
        </w:rPr>
        <w:t>〕</w:t>
      </w:r>
      <w:r>
        <w:rPr>
          <w:rFonts w:eastAsia="仿宋_GB2312"/>
          <w:color w:val="000000"/>
          <w:kern w:val="0"/>
          <w:sz w:val="30"/>
          <w:szCs w:val="32"/>
        </w:rPr>
        <w:t>约定修订施工进度计划时，需同时提交经修订后的发包人供应材料与工程设备的进场计划。</w:t>
      </w:r>
    </w:p>
    <w:p>
      <w:pPr>
        <w:pStyle w:val="8"/>
        <w:spacing w:before="120" w:after="120" w:line="360" w:lineRule="auto"/>
        <w:ind w:firstLine="600" w:firstLineChars="200"/>
        <w:rPr>
          <w:rFonts w:eastAsia="仿宋_GB2312"/>
          <w:color w:val="000000"/>
          <w:sz w:val="30"/>
          <w:szCs w:val="32"/>
        </w:rPr>
      </w:pPr>
      <w:bookmarkStart w:id="1064" w:name="_Toc351203554"/>
      <w:r>
        <w:rPr>
          <w:rFonts w:eastAsia="黑体"/>
          <w:b w:val="0"/>
          <w:color w:val="000000"/>
          <w:sz w:val="30"/>
          <w:szCs w:val="32"/>
        </w:rPr>
        <w:t>8</w:t>
      </w:r>
      <w:bookmarkStart w:id="1065" w:name="_Toc296503060"/>
      <w:bookmarkStart w:id="1066" w:name="_Toc296346561"/>
      <w:bookmarkStart w:id="1067" w:name="_Toc337558778"/>
      <w:r>
        <w:rPr>
          <w:rFonts w:eastAsia="黑体"/>
          <w:b w:val="0"/>
          <w:color w:val="000000"/>
          <w:sz w:val="30"/>
          <w:szCs w:val="32"/>
        </w:rPr>
        <w:t>.2承包人采购材料与工程设备</w:t>
      </w:r>
      <w:bookmarkEnd w:id="1064"/>
    </w:p>
    <w:bookmarkEnd w:id="1065"/>
    <w:bookmarkEnd w:id="1066"/>
    <w:bookmarkEnd w:id="1067"/>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eastAsia="仿宋_GB2312"/>
          <w:color w:val="000000"/>
          <w:kern w:val="0"/>
          <w:sz w:val="30"/>
          <w:szCs w:val="32"/>
        </w:rPr>
        <w:t>相应责任</w:t>
      </w:r>
      <w:r>
        <w:rPr>
          <w:rFonts w:eastAsia="仿宋_GB2312"/>
          <w:color w:val="000000"/>
          <w:kern w:val="0"/>
          <w:sz w:val="30"/>
          <w:szCs w:val="32"/>
        </w:rPr>
        <w:t>。</w:t>
      </w:r>
    </w:p>
    <w:p>
      <w:pPr>
        <w:pStyle w:val="8"/>
        <w:spacing w:before="120" w:after="120" w:line="360" w:lineRule="auto"/>
        <w:ind w:firstLine="600" w:firstLineChars="200"/>
        <w:rPr>
          <w:rFonts w:eastAsia="黑体"/>
          <w:b w:val="0"/>
          <w:color w:val="000000"/>
          <w:sz w:val="30"/>
          <w:szCs w:val="32"/>
        </w:rPr>
      </w:pPr>
      <w:bookmarkStart w:id="1068" w:name="_Toc351203555"/>
      <w:r>
        <w:rPr>
          <w:rFonts w:eastAsia="黑体"/>
          <w:b w:val="0"/>
          <w:color w:val="000000"/>
          <w:sz w:val="30"/>
          <w:szCs w:val="32"/>
        </w:rPr>
        <w:t>8</w:t>
      </w:r>
      <w:bookmarkStart w:id="1069" w:name="_Toc337558779"/>
      <w:bookmarkStart w:id="1070" w:name="_Toc296346562"/>
      <w:bookmarkStart w:id="1071" w:name="_Toc296503061"/>
      <w:r>
        <w:rPr>
          <w:rFonts w:eastAsia="黑体"/>
          <w:b w:val="0"/>
          <w:color w:val="000000"/>
          <w:sz w:val="30"/>
          <w:szCs w:val="32"/>
        </w:rPr>
        <w:t>.3材料与工程设备的接收与拒收</w:t>
      </w:r>
      <w:bookmarkEnd w:id="1068"/>
    </w:p>
    <w:bookmarkEnd w:id="1069"/>
    <w:bookmarkEnd w:id="1070"/>
    <w:bookmarkEnd w:id="1071"/>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发包人提供的材料和工程设备的规格、数量或质量不符合合同约定的，或因发包人原因导致交货日期延误或交货地点变更等情况的，按照第16.1款</w:t>
      </w:r>
      <w:r>
        <w:rPr>
          <w:rFonts w:hint="eastAsia" w:eastAsia="仿宋_GB2312"/>
          <w:color w:val="000000"/>
          <w:kern w:val="0"/>
          <w:sz w:val="30"/>
          <w:szCs w:val="32"/>
        </w:rPr>
        <w:t>〔</w:t>
      </w:r>
      <w:r>
        <w:rPr>
          <w:rFonts w:eastAsia="仿宋_GB2312"/>
          <w:color w:val="000000"/>
          <w:kern w:val="0"/>
          <w:sz w:val="30"/>
          <w:szCs w:val="32"/>
        </w:rPr>
        <w:t>发包人违约</w:t>
      </w:r>
      <w:r>
        <w:rPr>
          <w:rFonts w:hint="eastAsia" w:eastAsia="仿宋_GB2312"/>
          <w:color w:val="000000"/>
          <w:kern w:val="0"/>
          <w:sz w:val="30"/>
          <w:szCs w:val="32"/>
        </w:rPr>
        <w:t>〕</w:t>
      </w:r>
      <w:r>
        <w:rPr>
          <w:rFonts w:eastAsia="仿宋_GB2312"/>
          <w:color w:val="000000"/>
          <w:kern w:val="0"/>
          <w:sz w:val="30"/>
          <w:szCs w:val="32"/>
        </w:rPr>
        <w:t>约定办理。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8.3.2 承包人采购的材料和工程设备，应保证产品质量合格，承包人应在材料和工程设备到货前24小时通知监理人检验。承</w:t>
      </w:r>
      <w:bookmarkStart w:id="1072" w:name="_Toc250655469"/>
      <w:r>
        <w:rPr>
          <w:rFonts w:eastAsia="仿宋_GB2312"/>
          <w:color w:val="000000"/>
          <w:kern w:val="0"/>
          <w:sz w:val="30"/>
          <w:szCs w:val="32"/>
        </w:rPr>
        <w:t>包人进行永久设备、材料的制造和生产的，应符合相关质量标准，并向监理人提交材料的样本以及有关资料，并应在使用该材料或工程设备之前获得监理人同意。</w:t>
      </w:r>
    </w:p>
    <w:bookmarkEnd w:id="1072"/>
    <w:p>
      <w:pPr>
        <w:autoSpaceDE w:val="0"/>
        <w:autoSpaceDN w:val="0"/>
        <w:adjustRightInd w:val="0"/>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8"/>
        <w:spacing w:before="120" w:after="120" w:line="360" w:lineRule="auto"/>
        <w:ind w:firstLine="600" w:firstLineChars="200"/>
        <w:rPr>
          <w:rFonts w:eastAsia="黑体"/>
          <w:b w:val="0"/>
          <w:color w:val="000000"/>
          <w:sz w:val="30"/>
          <w:szCs w:val="32"/>
        </w:rPr>
      </w:pPr>
      <w:bookmarkStart w:id="1073" w:name="_Toc351203556"/>
      <w:r>
        <w:rPr>
          <w:rFonts w:eastAsia="黑体"/>
          <w:b w:val="0"/>
          <w:color w:val="000000"/>
          <w:sz w:val="30"/>
          <w:szCs w:val="32"/>
        </w:rPr>
        <w:t>8</w:t>
      </w:r>
      <w:bookmarkStart w:id="1074" w:name="_Toc296346563"/>
      <w:bookmarkStart w:id="1075" w:name="_Toc337558780"/>
      <w:bookmarkStart w:id="1076" w:name="_Toc296503062"/>
      <w:r>
        <w:rPr>
          <w:rFonts w:eastAsia="黑体"/>
          <w:b w:val="0"/>
          <w:color w:val="000000"/>
          <w:sz w:val="30"/>
          <w:szCs w:val="32"/>
        </w:rPr>
        <w:t>.4材料与工程设备的保管与使用</w:t>
      </w:r>
      <w:bookmarkEnd w:id="1073"/>
    </w:p>
    <w:bookmarkEnd w:id="1074"/>
    <w:bookmarkEnd w:id="1075"/>
    <w:bookmarkEnd w:id="107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8.4.1 发包人供应</w:t>
      </w:r>
      <w:r>
        <w:rPr>
          <w:rFonts w:eastAsia="仿宋_GB2312"/>
          <w:color w:val="000000"/>
          <w:sz w:val="30"/>
          <w:szCs w:val="32"/>
        </w:rPr>
        <w:t>材料与</w:t>
      </w:r>
      <w:r>
        <w:rPr>
          <w:rFonts w:eastAsia="仿宋_GB2312"/>
          <w:color w:val="000000"/>
          <w:kern w:val="0"/>
          <w:sz w:val="30"/>
          <w:szCs w:val="32"/>
        </w:rPr>
        <w:t>工程</w:t>
      </w:r>
      <w:r>
        <w:rPr>
          <w:rFonts w:eastAsia="仿宋_GB2312"/>
          <w:color w:val="000000"/>
          <w:sz w:val="30"/>
          <w:szCs w:val="32"/>
        </w:rPr>
        <w:t>设备的保管与使用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发包人供应的材料和工程设备使用前，由承包人负责检验，检验费用由发包人承担，不合格的不得使用。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8.4.2 承包人采购</w:t>
      </w:r>
      <w:r>
        <w:rPr>
          <w:rFonts w:eastAsia="仿宋_GB2312"/>
          <w:color w:val="000000"/>
          <w:sz w:val="30"/>
          <w:szCs w:val="32"/>
        </w:rPr>
        <w:t>材料与</w:t>
      </w:r>
      <w:r>
        <w:rPr>
          <w:rFonts w:eastAsia="仿宋_GB2312"/>
          <w:color w:val="000000"/>
          <w:kern w:val="0"/>
          <w:sz w:val="30"/>
          <w:szCs w:val="32"/>
        </w:rPr>
        <w:t>工程</w:t>
      </w:r>
      <w:r>
        <w:rPr>
          <w:rFonts w:eastAsia="仿宋_GB2312"/>
          <w:color w:val="000000"/>
          <w:sz w:val="30"/>
          <w:szCs w:val="32"/>
        </w:rPr>
        <w:t>设备的保管与使用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发包人或监理人发现承包人使用不符合设计或有关标准要求的材料和工程设备时，有权要求承包人进行修复、拆除或重新采购，由此增加的费用和（或）延误的工期，由承包人承担。</w:t>
      </w:r>
    </w:p>
    <w:p>
      <w:pPr>
        <w:pStyle w:val="8"/>
        <w:spacing w:before="120" w:after="120" w:line="360" w:lineRule="auto"/>
        <w:ind w:firstLine="600" w:firstLineChars="200"/>
        <w:rPr>
          <w:rFonts w:eastAsia="黑体"/>
          <w:b w:val="0"/>
          <w:color w:val="000000"/>
          <w:sz w:val="30"/>
          <w:szCs w:val="32"/>
        </w:rPr>
      </w:pPr>
      <w:bookmarkStart w:id="1077" w:name="_Toc351203557"/>
      <w:r>
        <w:rPr>
          <w:rFonts w:eastAsia="黑体"/>
          <w:b w:val="0"/>
          <w:color w:val="000000"/>
          <w:sz w:val="30"/>
          <w:szCs w:val="32"/>
        </w:rPr>
        <w:t>8.5禁止使用不合格的材料和工程设备</w:t>
      </w:r>
      <w:bookmarkEnd w:id="1077"/>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8.5.3 发包人提供的材料或工程设备不符合合同要求的，承包人有权拒绝，并可要求发包人更换，由此增加的费用和（或）延误的工期由发包人承担</w:t>
      </w:r>
      <w:r>
        <w:rPr>
          <w:rFonts w:hint="eastAsia" w:eastAsia="仿宋_GB2312"/>
          <w:color w:val="000000"/>
          <w:kern w:val="0"/>
          <w:sz w:val="30"/>
          <w:szCs w:val="32"/>
        </w:rPr>
        <w:t>，并支付承包人合理的利润</w:t>
      </w:r>
      <w:r>
        <w:rPr>
          <w:rFonts w:eastAsia="仿宋_GB2312"/>
          <w:color w:val="000000"/>
          <w:kern w:val="0"/>
          <w:sz w:val="30"/>
          <w:szCs w:val="32"/>
        </w:rPr>
        <w:t>。</w:t>
      </w:r>
    </w:p>
    <w:p>
      <w:pPr>
        <w:pStyle w:val="8"/>
        <w:spacing w:before="120" w:after="120" w:line="360" w:lineRule="auto"/>
        <w:ind w:firstLine="600" w:firstLineChars="200"/>
        <w:rPr>
          <w:rFonts w:eastAsia="黑体"/>
          <w:b w:val="0"/>
          <w:color w:val="000000"/>
          <w:sz w:val="30"/>
          <w:szCs w:val="32"/>
        </w:rPr>
      </w:pPr>
      <w:bookmarkStart w:id="1078" w:name="_Toc351203558"/>
      <w:r>
        <w:rPr>
          <w:rFonts w:eastAsia="黑体"/>
          <w:b w:val="0"/>
          <w:color w:val="000000"/>
          <w:sz w:val="30"/>
          <w:szCs w:val="32"/>
        </w:rPr>
        <w:t>8.6 样品</w:t>
      </w:r>
      <w:bookmarkEnd w:id="1078"/>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8.6.1</w:t>
      </w:r>
      <w:r>
        <w:rPr>
          <w:rFonts w:eastAsia="仿宋_GB2312"/>
          <w:color w:val="000000"/>
          <w:kern w:val="0"/>
          <w:sz w:val="30"/>
          <w:szCs w:val="32"/>
        </w:rPr>
        <w:tab/>
      </w:r>
      <w:r>
        <w:rPr>
          <w:rFonts w:eastAsia="仿宋_GB2312"/>
          <w:color w:val="000000"/>
          <w:kern w:val="0"/>
          <w:sz w:val="30"/>
          <w:szCs w:val="32"/>
        </w:rPr>
        <w:t>样品的报送</w:t>
      </w:r>
      <w:r>
        <w:rPr>
          <w:rFonts w:hint="eastAsia" w:eastAsia="仿宋_GB2312"/>
          <w:color w:val="000000"/>
          <w:kern w:val="0"/>
          <w:sz w:val="30"/>
          <w:szCs w:val="32"/>
        </w:rPr>
        <w:t>与封存</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（3）经发包人和监理人审批确认的样品</w:t>
      </w:r>
      <w:r>
        <w:rPr>
          <w:rFonts w:hint="eastAsia" w:eastAsia="仿宋_GB2312"/>
          <w:color w:val="000000"/>
          <w:kern w:val="0"/>
          <w:sz w:val="30"/>
          <w:szCs w:val="32"/>
        </w:rPr>
        <w:t>应按约定的方法封样，封存的样品</w:t>
      </w:r>
      <w:r>
        <w:rPr>
          <w:rFonts w:eastAsia="仿宋_GB2312"/>
          <w:color w:val="000000"/>
          <w:kern w:val="0"/>
          <w:sz w:val="30"/>
          <w:szCs w:val="32"/>
        </w:rPr>
        <w:t>作为检验工程相关部分的标准之一。承包人在施工过程中不得使用与样品不符的材料或工程设备。</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（4）发包人和监理人对样品的审批确认仅为确认相关材料或工程设备的特征或用途，不得被理解为对合同的修改或改变，也并不减轻或免除承包人任何的责任和义务。</w:t>
      </w:r>
      <w:r>
        <w:rPr>
          <w:rFonts w:hint="eastAsia" w:eastAsia="仿宋_GB2312"/>
          <w:color w:val="000000"/>
          <w:kern w:val="0"/>
          <w:sz w:val="30"/>
          <w:szCs w:val="32"/>
        </w:rPr>
        <w:t>如果封存的样品修改或改变了合同约定，合同当事人应当以书面协议予以确认。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8.6.2 样品的保管</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经批准的样品应由监理人负责封存于现场，承包人应在现场为保存样品提供适当和固定的场所并保持适当和良好的存储环境条件。</w:t>
      </w:r>
    </w:p>
    <w:p>
      <w:pPr>
        <w:pStyle w:val="8"/>
        <w:spacing w:before="120" w:after="120" w:line="360" w:lineRule="auto"/>
        <w:ind w:firstLine="600" w:firstLineChars="200"/>
        <w:rPr>
          <w:rFonts w:eastAsia="黑体"/>
          <w:b w:val="0"/>
          <w:color w:val="000000"/>
          <w:sz w:val="30"/>
          <w:szCs w:val="32"/>
        </w:rPr>
      </w:pPr>
      <w:bookmarkStart w:id="1079" w:name="_Toc351203559"/>
      <w:r>
        <w:rPr>
          <w:rFonts w:eastAsia="黑体"/>
          <w:b w:val="0"/>
          <w:color w:val="000000"/>
          <w:sz w:val="30"/>
          <w:szCs w:val="32"/>
        </w:rPr>
        <w:t>8.7材料与工程设备的替代</w:t>
      </w:r>
      <w:bookmarkEnd w:id="1079"/>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8.7.1 出现下列情况需要使用替代材料和工程设备的，承包人应按照第8.7.2项约定的程序执行：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（1）基准日</w:t>
      </w:r>
      <w:r>
        <w:rPr>
          <w:rFonts w:hint="eastAsia" w:eastAsia="仿宋_GB2312"/>
          <w:color w:val="000000"/>
          <w:kern w:val="0"/>
          <w:sz w:val="30"/>
          <w:szCs w:val="32"/>
        </w:rPr>
        <w:t>期</w:t>
      </w:r>
      <w:r>
        <w:rPr>
          <w:rFonts w:eastAsia="仿宋_GB2312"/>
          <w:color w:val="000000"/>
          <w:kern w:val="0"/>
          <w:sz w:val="30"/>
          <w:szCs w:val="32"/>
        </w:rPr>
        <w:t>后生效的法律规定禁止使用的；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（2）发包人要求使用替代品的；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（3）因其他原因必须使用替代品的。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8.7.2 承包人应在使用替代材料和工程设备28天前书面通知监理人，并附下列文件：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（1）被替代的材料和工程设备的名称、数量、规格、型号、品牌、性能、价格及其他相关资料；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（2）替代品的名称、数量、规格、型号、品牌、性能、价格及其他相关资料；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（3）替代品与被替代产品之间的差异以及使用替代品可能对工程产生的影响；</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（4）替代品与被替代产品的价格差异；</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（5）使用替代品的理由和原因说明；</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（6）监理人要求的其他文件。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8.7.3 发包人认可使用替代材料和工程设备的，替代材料和工程设备的价格，按照已标价工程量清单或预算书相同项目的价格认定；无相同项目的，参考相似项目价格认定；</w:t>
      </w:r>
      <w:r>
        <w:rPr>
          <w:rFonts w:hint="eastAsia" w:eastAsia="仿宋_GB2312"/>
          <w:color w:val="000000"/>
          <w:kern w:val="0"/>
          <w:sz w:val="30"/>
          <w:szCs w:val="32"/>
        </w:rPr>
        <w:t>既无</w:t>
      </w:r>
      <w:r>
        <w:rPr>
          <w:rFonts w:eastAsia="仿宋_GB2312"/>
          <w:color w:val="000000"/>
          <w:kern w:val="0"/>
          <w:sz w:val="30"/>
          <w:szCs w:val="32"/>
        </w:rPr>
        <w:t>相同项目</w:t>
      </w:r>
      <w:r>
        <w:rPr>
          <w:rFonts w:hint="eastAsia" w:eastAsia="仿宋_GB2312"/>
          <w:color w:val="000000"/>
          <w:kern w:val="0"/>
          <w:sz w:val="30"/>
          <w:szCs w:val="32"/>
        </w:rPr>
        <w:t>也</w:t>
      </w:r>
      <w:r>
        <w:rPr>
          <w:rFonts w:eastAsia="仿宋_GB2312"/>
          <w:color w:val="000000"/>
          <w:kern w:val="0"/>
          <w:sz w:val="30"/>
          <w:szCs w:val="32"/>
        </w:rPr>
        <w:t>无相似项目的，</w:t>
      </w:r>
      <w:r>
        <w:rPr>
          <w:rFonts w:hint="eastAsia" w:eastAsia="仿宋_GB2312"/>
          <w:color w:val="000000"/>
          <w:kern w:val="0"/>
          <w:sz w:val="30"/>
          <w:szCs w:val="32"/>
        </w:rPr>
        <w:t>按照合理的成本与利润构成的原则，</w:t>
      </w:r>
      <w:r>
        <w:rPr>
          <w:rFonts w:eastAsia="仿宋_GB2312"/>
          <w:color w:val="000000"/>
          <w:kern w:val="0"/>
          <w:sz w:val="30"/>
          <w:szCs w:val="32"/>
        </w:rPr>
        <w:t>由合同当事人按照第4.4款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确定价格。</w:t>
      </w:r>
    </w:p>
    <w:p>
      <w:pPr>
        <w:pStyle w:val="8"/>
        <w:spacing w:before="120" w:after="120" w:line="360" w:lineRule="auto"/>
        <w:ind w:firstLine="600" w:firstLineChars="200"/>
        <w:rPr>
          <w:rFonts w:eastAsia="黑体"/>
          <w:b w:val="0"/>
          <w:color w:val="000000"/>
          <w:sz w:val="30"/>
          <w:szCs w:val="32"/>
        </w:rPr>
      </w:pPr>
      <w:bookmarkStart w:id="1080" w:name="_Toc351203560"/>
      <w:r>
        <w:rPr>
          <w:rFonts w:eastAsia="黑体"/>
          <w:b w:val="0"/>
          <w:color w:val="000000"/>
          <w:sz w:val="30"/>
          <w:szCs w:val="32"/>
        </w:rPr>
        <w:t>8.8施工设备和临时设施</w:t>
      </w:r>
      <w:bookmarkEnd w:id="1080"/>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8.8.1 承包人提供的施工设备和临时设施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8.8.2发包人提供的施工设备和临时设施</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发包人提供的施工设备或临时设施在专用合同条款中约定。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8.8.3要求承包人增加或更换施工设备</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承包人使用的施工设备不能满足合同进度计划和（或）质量要求时，监理人有权要求承包人增加或更换施工设备，承包人应及时增加或更换，由此增加的费用和（或）延误的工期由承包人承担。</w:t>
      </w:r>
    </w:p>
    <w:p>
      <w:pPr>
        <w:pStyle w:val="8"/>
        <w:spacing w:before="120" w:after="120" w:line="360" w:lineRule="auto"/>
        <w:ind w:firstLine="600" w:firstLineChars="200"/>
        <w:rPr>
          <w:rFonts w:eastAsia="黑体"/>
          <w:b w:val="0"/>
          <w:color w:val="000000"/>
          <w:sz w:val="30"/>
          <w:szCs w:val="32"/>
        </w:rPr>
      </w:pPr>
      <w:bookmarkStart w:id="1081" w:name="_Toc351203561"/>
      <w:r>
        <w:rPr>
          <w:rFonts w:eastAsia="黑体"/>
          <w:b w:val="0"/>
          <w:color w:val="000000"/>
          <w:sz w:val="30"/>
          <w:szCs w:val="32"/>
        </w:rPr>
        <w:t>8</w:t>
      </w:r>
      <w:bookmarkStart w:id="1082" w:name="_Toc337558781"/>
      <w:bookmarkStart w:id="1083" w:name="_Toc296503063"/>
      <w:bookmarkStart w:id="1084" w:name="_Toc296346564"/>
      <w:r>
        <w:rPr>
          <w:rFonts w:eastAsia="黑体"/>
          <w:b w:val="0"/>
          <w:color w:val="000000"/>
          <w:sz w:val="30"/>
          <w:szCs w:val="32"/>
        </w:rPr>
        <w:t>.9材料与设备专用</w:t>
      </w:r>
      <w:bookmarkEnd w:id="1081"/>
      <w:r>
        <w:rPr>
          <w:rFonts w:hint="eastAsia" w:eastAsia="黑体"/>
          <w:b w:val="0"/>
          <w:color w:val="000000"/>
          <w:sz w:val="30"/>
          <w:szCs w:val="32"/>
        </w:rPr>
        <w:t>要求</w:t>
      </w:r>
    </w:p>
    <w:bookmarkEnd w:id="1082"/>
    <w:bookmarkEnd w:id="1083"/>
    <w:bookmarkEnd w:id="1084"/>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承包人运入施工现场的材料、工程设备、施工设备以及在施工场地建设的临时设施，包括备品备件、安装工具与资料，必须专用于工程。未经发包人批准，承包人不得运出施工现场或挪作他用；</w:t>
      </w:r>
      <w:bookmarkEnd w:id="1063"/>
      <w:r>
        <w:rPr>
          <w:rFonts w:eastAsia="仿宋_GB2312"/>
          <w:color w:val="000000"/>
          <w:kern w:val="0"/>
          <w:sz w:val="30"/>
          <w:szCs w:val="32"/>
        </w:rPr>
        <w:t>经发包人批准，承包人可以根据施工进度计划撤走闲置的施工设备和其他物品。</w:t>
      </w:r>
    </w:p>
    <w:p>
      <w:pPr>
        <w:pStyle w:val="7"/>
        <w:spacing w:before="120" w:after="120" w:line="360" w:lineRule="auto"/>
        <w:rPr>
          <w:rFonts w:ascii="Times New Roman" w:hAnsi="Times New Roman" w:eastAsia="黑体"/>
          <w:b w:val="0"/>
          <w:color w:val="000000"/>
          <w:sz w:val="32"/>
          <w:szCs w:val="32"/>
        </w:rPr>
      </w:pPr>
      <w:bookmarkStart w:id="1085" w:name="_Toc351203562"/>
      <w:r>
        <w:rPr>
          <w:rFonts w:ascii="Times New Roman" w:hAnsi="Times New Roman" w:eastAsia="黑体"/>
          <w:b w:val="0"/>
          <w:color w:val="000000"/>
          <w:sz w:val="32"/>
          <w:szCs w:val="32"/>
        </w:rPr>
        <w:t>9</w:t>
      </w:r>
      <w:bookmarkStart w:id="1086" w:name="_Toc337558782"/>
      <w:bookmarkStart w:id="1087" w:name="_Toc296503083"/>
      <w:bookmarkStart w:id="1088" w:name="_Toc296346584"/>
      <w:r>
        <w:rPr>
          <w:rFonts w:ascii="Times New Roman" w:hAnsi="Times New Roman" w:eastAsia="黑体"/>
          <w:b w:val="0"/>
          <w:color w:val="000000"/>
          <w:sz w:val="32"/>
          <w:szCs w:val="32"/>
        </w:rPr>
        <w:t>. 试验与检验</w:t>
      </w:r>
      <w:bookmarkEnd w:id="1085"/>
    </w:p>
    <w:bookmarkEnd w:id="1086"/>
    <w:p>
      <w:pPr>
        <w:pStyle w:val="8"/>
        <w:spacing w:before="120" w:after="120" w:line="360" w:lineRule="auto"/>
        <w:ind w:firstLine="600" w:firstLineChars="200"/>
        <w:rPr>
          <w:rFonts w:eastAsia="黑体"/>
          <w:b w:val="0"/>
          <w:color w:val="000000"/>
          <w:sz w:val="30"/>
          <w:szCs w:val="32"/>
        </w:rPr>
      </w:pPr>
      <w:bookmarkStart w:id="1089" w:name="_Toc351203563"/>
      <w:r>
        <w:rPr>
          <w:rFonts w:eastAsia="黑体"/>
          <w:b w:val="0"/>
          <w:color w:val="000000"/>
          <w:sz w:val="30"/>
          <w:szCs w:val="32"/>
        </w:rPr>
        <w:t>9</w:t>
      </w:r>
      <w:bookmarkStart w:id="1090" w:name="_Toc337558783"/>
      <w:r>
        <w:rPr>
          <w:rFonts w:eastAsia="黑体"/>
          <w:b w:val="0"/>
          <w:color w:val="000000"/>
          <w:sz w:val="30"/>
          <w:szCs w:val="32"/>
        </w:rPr>
        <w:t>.1试验设备与试验人员</w:t>
      </w:r>
      <w:bookmarkEnd w:id="1089"/>
    </w:p>
    <w:bookmarkEnd w:id="1090"/>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9.1.2 承包人应按专用合同条款的约定提供试验设备、取样装置、试验场所和试验条件，并向监理人提交相应进场计划表。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承包人配置的试验设备要符合相应试验规程的要求并经过具有资质的检测单位检测，且在正式使用该试验设备前，需要经过监理人与承包人共同校定。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9.1.3 承包人应向监理人提交试验人员的名单及其岗位、资格等证明资料，试验人员必须能够熟练进行相应的检测试验，承包人对试验人员的试验程序和试验结果的正确性负责。</w:t>
      </w:r>
    </w:p>
    <w:p>
      <w:pPr>
        <w:pStyle w:val="8"/>
        <w:spacing w:before="120" w:after="120" w:line="360" w:lineRule="auto"/>
        <w:ind w:firstLine="600" w:firstLineChars="200"/>
        <w:rPr>
          <w:rFonts w:eastAsia="黑体"/>
          <w:b w:val="0"/>
          <w:color w:val="000000"/>
          <w:sz w:val="30"/>
          <w:szCs w:val="32"/>
        </w:rPr>
      </w:pPr>
      <w:bookmarkStart w:id="1091" w:name="_Toc351203564"/>
      <w:r>
        <w:rPr>
          <w:rFonts w:eastAsia="黑体"/>
          <w:b w:val="0"/>
          <w:color w:val="000000"/>
          <w:sz w:val="30"/>
          <w:szCs w:val="32"/>
        </w:rPr>
        <w:t>9</w:t>
      </w:r>
      <w:bookmarkStart w:id="1092" w:name="_Toc337558784"/>
      <w:r>
        <w:rPr>
          <w:rFonts w:eastAsia="黑体"/>
          <w:b w:val="0"/>
          <w:color w:val="000000"/>
          <w:sz w:val="30"/>
          <w:szCs w:val="32"/>
        </w:rPr>
        <w:t>.2取样</w:t>
      </w:r>
      <w:bookmarkEnd w:id="1091"/>
    </w:p>
    <w:bookmarkEnd w:id="1092"/>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试验属于自检性质的，承包人可以单独取样。试验属于监理人抽检性质的，可由监理人取样，也可由承包人的试验人员在监理人的监督下取样。</w:t>
      </w:r>
    </w:p>
    <w:p>
      <w:pPr>
        <w:pStyle w:val="8"/>
        <w:spacing w:before="120" w:after="120" w:line="360" w:lineRule="auto"/>
        <w:ind w:firstLine="600" w:firstLineChars="200"/>
        <w:rPr>
          <w:rFonts w:eastAsia="黑体"/>
          <w:b w:val="0"/>
          <w:color w:val="000000"/>
          <w:sz w:val="30"/>
          <w:szCs w:val="32"/>
        </w:rPr>
      </w:pPr>
      <w:bookmarkStart w:id="1093" w:name="_Toc351203565"/>
      <w:r>
        <w:rPr>
          <w:rFonts w:eastAsia="黑体"/>
          <w:b w:val="0"/>
          <w:color w:val="000000"/>
          <w:sz w:val="30"/>
          <w:szCs w:val="32"/>
        </w:rPr>
        <w:t>9</w:t>
      </w:r>
      <w:bookmarkStart w:id="1094" w:name="_Toc337558785"/>
      <w:r>
        <w:rPr>
          <w:rFonts w:eastAsia="黑体"/>
          <w:b w:val="0"/>
          <w:color w:val="000000"/>
          <w:sz w:val="30"/>
          <w:szCs w:val="32"/>
        </w:rPr>
        <w:t>.3材料、工程设备和工程的试验和检验</w:t>
      </w:r>
      <w:bookmarkEnd w:id="1093"/>
    </w:p>
    <w:bookmarkEnd w:id="1094"/>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8"/>
        <w:spacing w:before="120" w:after="120" w:line="360" w:lineRule="auto"/>
        <w:ind w:firstLine="600" w:firstLineChars="200"/>
        <w:rPr>
          <w:rFonts w:eastAsia="黑体"/>
          <w:b w:val="0"/>
          <w:color w:val="000000"/>
          <w:sz w:val="30"/>
          <w:szCs w:val="32"/>
        </w:rPr>
      </w:pPr>
      <w:bookmarkStart w:id="1095" w:name="_Toc351203566"/>
      <w:r>
        <w:rPr>
          <w:rFonts w:eastAsia="黑体"/>
          <w:b w:val="0"/>
          <w:color w:val="000000"/>
          <w:sz w:val="30"/>
          <w:szCs w:val="32"/>
        </w:rPr>
        <w:t>9</w:t>
      </w:r>
      <w:bookmarkStart w:id="1096" w:name="_Toc337558786"/>
      <w:r>
        <w:rPr>
          <w:rFonts w:eastAsia="黑体"/>
          <w:b w:val="0"/>
          <w:color w:val="000000"/>
          <w:sz w:val="30"/>
          <w:szCs w:val="32"/>
        </w:rPr>
        <w:t>.4现场工艺试验</w:t>
      </w:r>
      <w:bookmarkEnd w:id="1095"/>
    </w:p>
    <w:bookmarkEnd w:id="1096"/>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承包人应按合同约定或监理人指示进行现场工艺试验。对大型的现场工艺试验，监理人认为必要时，承包人应根据监理人提出的工艺试验要求，编制工艺试验措施计划，报送监理人审查。</w:t>
      </w:r>
    </w:p>
    <w:p>
      <w:pPr>
        <w:pStyle w:val="7"/>
        <w:spacing w:before="120" w:after="120" w:line="360" w:lineRule="auto"/>
        <w:rPr>
          <w:rFonts w:ascii="Times New Roman" w:hAnsi="Times New Roman" w:eastAsia="黑体"/>
          <w:b w:val="0"/>
          <w:color w:val="000000"/>
          <w:sz w:val="32"/>
          <w:szCs w:val="32"/>
        </w:rPr>
      </w:pPr>
      <w:bookmarkStart w:id="1097" w:name="_Toc351203567"/>
      <w:r>
        <w:rPr>
          <w:rFonts w:ascii="Times New Roman" w:hAnsi="Times New Roman" w:eastAsia="黑体"/>
          <w:b w:val="0"/>
          <w:color w:val="000000"/>
          <w:sz w:val="32"/>
          <w:szCs w:val="32"/>
        </w:rPr>
        <w:t>1</w:t>
      </w:r>
      <w:bookmarkStart w:id="1098" w:name="_Toc337558787"/>
      <w:r>
        <w:rPr>
          <w:rFonts w:ascii="Times New Roman" w:hAnsi="Times New Roman" w:eastAsia="黑体"/>
          <w:b w:val="0"/>
          <w:color w:val="000000"/>
          <w:sz w:val="32"/>
          <w:szCs w:val="32"/>
        </w:rPr>
        <w:t>0. 变更</w:t>
      </w:r>
      <w:bookmarkEnd w:id="1087"/>
      <w:bookmarkEnd w:id="1088"/>
      <w:bookmarkEnd w:id="1097"/>
    </w:p>
    <w:bookmarkEnd w:id="1098"/>
    <w:p>
      <w:pPr>
        <w:pStyle w:val="8"/>
        <w:spacing w:before="120" w:after="120" w:line="360" w:lineRule="auto"/>
        <w:ind w:firstLine="600" w:firstLineChars="200"/>
        <w:rPr>
          <w:rFonts w:eastAsia="黑体"/>
          <w:b w:val="0"/>
          <w:color w:val="000000"/>
          <w:sz w:val="30"/>
          <w:szCs w:val="32"/>
        </w:rPr>
      </w:pPr>
      <w:bookmarkStart w:id="1099" w:name="_Toc351203568"/>
      <w:r>
        <w:rPr>
          <w:rFonts w:eastAsia="黑体"/>
          <w:b w:val="0"/>
          <w:color w:val="000000"/>
          <w:sz w:val="30"/>
          <w:szCs w:val="32"/>
        </w:rPr>
        <w:t>1</w:t>
      </w:r>
      <w:bookmarkStart w:id="1100" w:name="_Toc296503084"/>
      <w:bookmarkStart w:id="1101" w:name="_Toc337558788"/>
      <w:bookmarkStart w:id="1102" w:name="_Toc296346585"/>
      <w:r>
        <w:rPr>
          <w:rFonts w:eastAsia="黑体"/>
          <w:b w:val="0"/>
          <w:color w:val="000000"/>
          <w:sz w:val="30"/>
          <w:szCs w:val="32"/>
        </w:rPr>
        <w:t>0.1变更的范围</w:t>
      </w:r>
      <w:bookmarkEnd w:id="1099"/>
    </w:p>
    <w:bookmarkEnd w:id="1100"/>
    <w:bookmarkEnd w:id="1101"/>
    <w:bookmarkEnd w:id="110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除专用合同条款另有约定外，合同履行过程中发生以下情形的，应按照本条约定进行变更：</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（1）增加或减少合同中任何工作，或追加额外的工作；</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（2）取消合同中任何工作，但转由他人实施的工作除外；</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（3）改变合同中任何工作的质量标准或其他特性；</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（4）改变工程的基线、标高、位置和尺寸；</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（5）改变工程的时间安排或实施顺序。</w:t>
      </w:r>
    </w:p>
    <w:p>
      <w:pPr>
        <w:pStyle w:val="8"/>
        <w:spacing w:before="120" w:after="120" w:line="360" w:lineRule="auto"/>
        <w:ind w:firstLine="600" w:firstLineChars="200"/>
        <w:rPr>
          <w:rFonts w:eastAsia="黑体"/>
          <w:b w:val="0"/>
          <w:color w:val="000000"/>
          <w:sz w:val="30"/>
          <w:szCs w:val="32"/>
        </w:rPr>
      </w:pPr>
      <w:bookmarkStart w:id="1103" w:name="_Toc351203569"/>
      <w:r>
        <w:rPr>
          <w:rFonts w:eastAsia="黑体"/>
          <w:b w:val="0"/>
          <w:color w:val="000000"/>
          <w:sz w:val="30"/>
          <w:szCs w:val="32"/>
        </w:rPr>
        <w:t>1</w:t>
      </w:r>
      <w:bookmarkStart w:id="1104" w:name="_Toc296346586"/>
      <w:bookmarkStart w:id="1105" w:name="_Toc337558789"/>
      <w:bookmarkStart w:id="1106" w:name="_Toc296503085"/>
      <w:r>
        <w:rPr>
          <w:rFonts w:eastAsia="黑体"/>
          <w:b w:val="0"/>
          <w:color w:val="000000"/>
          <w:sz w:val="30"/>
          <w:szCs w:val="32"/>
        </w:rPr>
        <w:t>0.2变更权</w:t>
      </w:r>
      <w:bookmarkEnd w:id="1103"/>
    </w:p>
    <w:bookmarkEnd w:id="1104"/>
    <w:bookmarkEnd w:id="1105"/>
    <w:bookmarkEnd w:id="110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涉及设计变更的，应由设计人提供变更后的图纸和说明。如变更超过原设计标准或批准的建设规模时，发包人应及时办理规划、设计变更</w:t>
      </w:r>
      <w:r>
        <w:rPr>
          <w:rFonts w:hint="eastAsia" w:eastAsia="仿宋_GB2312"/>
          <w:color w:val="000000"/>
          <w:kern w:val="0"/>
          <w:sz w:val="30"/>
          <w:szCs w:val="32"/>
        </w:rPr>
        <w:t>等</w:t>
      </w:r>
      <w:r>
        <w:rPr>
          <w:rFonts w:eastAsia="仿宋_GB2312"/>
          <w:color w:val="000000"/>
          <w:kern w:val="0"/>
          <w:sz w:val="30"/>
          <w:szCs w:val="32"/>
        </w:rPr>
        <w:t>审批手续。</w:t>
      </w:r>
    </w:p>
    <w:p>
      <w:pPr>
        <w:pStyle w:val="8"/>
        <w:spacing w:before="120" w:after="120" w:line="360" w:lineRule="auto"/>
        <w:ind w:firstLine="600" w:firstLineChars="200"/>
        <w:rPr>
          <w:rFonts w:eastAsia="黑体"/>
          <w:b w:val="0"/>
          <w:color w:val="000000"/>
          <w:sz w:val="30"/>
          <w:szCs w:val="32"/>
        </w:rPr>
      </w:pPr>
      <w:bookmarkStart w:id="1107" w:name="_Toc351203570"/>
      <w:r>
        <w:rPr>
          <w:rFonts w:eastAsia="黑体"/>
          <w:b w:val="0"/>
          <w:color w:val="000000"/>
          <w:sz w:val="30"/>
          <w:szCs w:val="32"/>
        </w:rPr>
        <w:t>1</w:t>
      </w:r>
      <w:bookmarkStart w:id="1108" w:name="_Toc296346587"/>
      <w:bookmarkStart w:id="1109" w:name="_Toc337558790"/>
      <w:bookmarkStart w:id="1110" w:name="_Toc296503086"/>
      <w:r>
        <w:rPr>
          <w:rFonts w:eastAsia="黑体"/>
          <w:b w:val="0"/>
          <w:color w:val="000000"/>
          <w:sz w:val="30"/>
          <w:szCs w:val="32"/>
        </w:rPr>
        <w:t>0.3变更程序</w:t>
      </w:r>
      <w:bookmarkEnd w:id="1107"/>
    </w:p>
    <w:bookmarkEnd w:id="1108"/>
    <w:bookmarkEnd w:id="1109"/>
    <w:bookmarkEnd w:id="1110"/>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sz w:val="30"/>
          <w:szCs w:val="32"/>
        </w:rPr>
        <w:t>10</w:t>
      </w:r>
      <w:r>
        <w:rPr>
          <w:rFonts w:eastAsia="仿宋_GB2312"/>
          <w:color w:val="000000"/>
          <w:kern w:val="0"/>
          <w:sz w:val="30"/>
          <w:szCs w:val="32"/>
        </w:rPr>
        <w:t>.3.1 发包人提出变更</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发包人提出变更的，应通过监理人向承包人发出变更指示，变更指示应说明计划变更的工程范围和变更的内容。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sz w:val="30"/>
          <w:szCs w:val="32"/>
        </w:rPr>
        <w:t>10</w:t>
      </w:r>
      <w:r>
        <w:rPr>
          <w:rFonts w:eastAsia="仿宋_GB2312"/>
          <w:color w:val="000000"/>
          <w:kern w:val="0"/>
          <w:sz w:val="30"/>
          <w:szCs w:val="32"/>
        </w:rPr>
        <w:t>.3.2 监理人提出变更建议</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600" w:firstLineChars="200"/>
        <w:jc w:val="left"/>
        <w:rPr>
          <w:rFonts w:eastAsia="仿宋_GB2312"/>
          <w:color w:val="000000"/>
          <w:sz w:val="30"/>
          <w:szCs w:val="32"/>
        </w:rPr>
      </w:pPr>
      <w:r>
        <w:rPr>
          <w:rFonts w:hint="eastAsia" w:eastAsia="仿宋_GB2312"/>
          <w:color w:val="000000"/>
          <w:sz w:val="30"/>
          <w:szCs w:val="32"/>
        </w:rPr>
        <w:t>10.3.3 变更执行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承包人收到监理人下达的变更指示后，</w:t>
      </w:r>
      <w:r>
        <w:rPr>
          <w:rFonts w:hint="eastAsia" w:eastAsia="仿宋_GB2312"/>
          <w:color w:val="000000"/>
          <w:kern w:val="0"/>
          <w:sz w:val="30"/>
          <w:szCs w:val="32"/>
        </w:rPr>
        <w:t>认为不能执行，应立即</w:t>
      </w:r>
      <w:r>
        <w:rPr>
          <w:rFonts w:eastAsia="仿宋_GB2312"/>
          <w:color w:val="000000"/>
          <w:kern w:val="0"/>
          <w:sz w:val="30"/>
          <w:szCs w:val="32"/>
        </w:rPr>
        <w:t>提出不能执行该变更指示的理由。承包人</w:t>
      </w:r>
      <w:r>
        <w:rPr>
          <w:rFonts w:hint="eastAsia" w:eastAsia="仿宋_GB2312"/>
          <w:color w:val="000000"/>
          <w:kern w:val="0"/>
          <w:sz w:val="30"/>
          <w:szCs w:val="32"/>
        </w:rPr>
        <w:t>认为可以</w:t>
      </w:r>
      <w:r>
        <w:rPr>
          <w:rFonts w:eastAsia="仿宋_GB2312"/>
          <w:color w:val="000000"/>
          <w:kern w:val="0"/>
          <w:sz w:val="30"/>
          <w:szCs w:val="32"/>
        </w:rPr>
        <w:t>执行变更的，</w:t>
      </w:r>
      <w:r>
        <w:rPr>
          <w:rFonts w:hint="eastAsia" w:eastAsia="仿宋_GB2312"/>
          <w:color w:val="000000"/>
          <w:kern w:val="0"/>
          <w:sz w:val="30"/>
          <w:szCs w:val="32"/>
        </w:rPr>
        <w:t>应当书面说明实施该变更指示对合同价格和工期的影响，且合同当事人应当按照第10.4款〔变更估价〕约定确定变更估价</w:t>
      </w:r>
      <w:r>
        <w:rPr>
          <w:rFonts w:eastAsia="仿宋_GB2312"/>
          <w:color w:val="000000"/>
          <w:kern w:val="0"/>
          <w:sz w:val="30"/>
          <w:szCs w:val="32"/>
        </w:rPr>
        <w:t>。</w:t>
      </w:r>
    </w:p>
    <w:p>
      <w:pPr>
        <w:pStyle w:val="8"/>
        <w:spacing w:before="120" w:after="120" w:line="360" w:lineRule="auto"/>
        <w:ind w:firstLine="600" w:firstLineChars="200"/>
        <w:rPr>
          <w:rFonts w:eastAsia="黑体"/>
          <w:b w:val="0"/>
          <w:color w:val="000000"/>
          <w:sz w:val="30"/>
          <w:szCs w:val="32"/>
        </w:rPr>
      </w:pPr>
      <w:bookmarkStart w:id="1111" w:name="_Toc351203571"/>
      <w:r>
        <w:rPr>
          <w:rFonts w:eastAsia="黑体"/>
          <w:b w:val="0"/>
          <w:color w:val="000000"/>
          <w:sz w:val="30"/>
          <w:szCs w:val="32"/>
        </w:rPr>
        <w:t>1</w:t>
      </w:r>
      <w:bookmarkStart w:id="1112" w:name="_Toc337558791"/>
      <w:bookmarkStart w:id="1113" w:name="_Toc296346588"/>
      <w:bookmarkStart w:id="1114" w:name="_Toc296503087"/>
      <w:r>
        <w:rPr>
          <w:rFonts w:eastAsia="黑体"/>
          <w:b w:val="0"/>
          <w:color w:val="000000"/>
          <w:sz w:val="30"/>
          <w:szCs w:val="32"/>
        </w:rPr>
        <w:t>0.4变更估价</w:t>
      </w:r>
      <w:bookmarkEnd w:id="1111"/>
    </w:p>
    <w:bookmarkEnd w:id="1112"/>
    <w:bookmarkEnd w:id="1113"/>
    <w:bookmarkEnd w:id="1114"/>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10.4.1 变更估价原则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除专用合同条款另有约定外，变更估价按照本款约定处理：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（1）已标价工程量清单或预算书有相同项目的，按照相同项目单价认定；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（2）已标价工程量清单或预算书中无相同项目，但有类似项目的，参照类似项目的单价认定；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确定变更工作的单价。</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10.4.2 变更估价程序</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承包人应在收到变更指示后14天内，向监理人提交变更估价申请。监理人应在收到承包人提交的变更估价申请后7天内审查完毕并报送发包人，监理人对变更估价申请有异议</w:t>
      </w:r>
      <w:r>
        <w:rPr>
          <w:rFonts w:eastAsia="仿宋_GB2312"/>
          <w:color w:val="000000"/>
          <w:kern w:val="0"/>
          <w:sz w:val="30"/>
          <w:szCs w:val="32"/>
        </w:rPr>
        <w:t>，通知承包人</w:t>
      </w:r>
      <w:r>
        <w:rPr>
          <w:rFonts w:hint="eastAsia" w:eastAsia="仿宋_GB2312"/>
          <w:color w:val="000000"/>
          <w:kern w:val="0"/>
          <w:sz w:val="30"/>
          <w:szCs w:val="32"/>
        </w:rPr>
        <w:t>修</w:t>
      </w:r>
      <w:r>
        <w:rPr>
          <w:rFonts w:eastAsia="仿宋_GB2312"/>
          <w:color w:val="000000"/>
          <w:kern w:val="0"/>
          <w:sz w:val="30"/>
          <w:szCs w:val="32"/>
        </w:rPr>
        <w:t>改</w:t>
      </w:r>
      <w:r>
        <w:rPr>
          <w:rFonts w:hint="eastAsia" w:eastAsia="仿宋_GB2312"/>
          <w:color w:val="000000"/>
          <w:kern w:val="0"/>
          <w:sz w:val="30"/>
          <w:szCs w:val="32"/>
        </w:rPr>
        <w:t>后重新提交</w:t>
      </w:r>
      <w:r>
        <w:rPr>
          <w:rFonts w:eastAsia="仿宋_GB2312"/>
          <w:color w:val="000000"/>
          <w:kern w:val="0"/>
          <w:sz w:val="30"/>
          <w:szCs w:val="32"/>
        </w:rPr>
        <w:t>。发包人应在</w:t>
      </w:r>
      <w:r>
        <w:rPr>
          <w:rFonts w:hint="eastAsia" w:eastAsia="仿宋_GB2312"/>
          <w:color w:val="000000"/>
          <w:kern w:val="0"/>
          <w:sz w:val="30"/>
          <w:szCs w:val="32"/>
        </w:rPr>
        <w:t>承包人提交变更估价申请</w:t>
      </w:r>
      <w:r>
        <w:rPr>
          <w:rFonts w:eastAsia="仿宋_GB2312"/>
          <w:color w:val="000000"/>
          <w:kern w:val="0"/>
          <w:sz w:val="30"/>
          <w:szCs w:val="32"/>
        </w:rPr>
        <w:t>后</w:t>
      </w:r>
      <w:r>
        <w:rPr>
          <w:rFonts w:hint="eastAsia" w:eastAsia="仿宋_GB2312"/>
          <w:color w:val="000000"/>
          <w:kern w:val="0"/>
          <w:sz w:val="30"/>
          <w:szCs w:val="32"/>
        </w:rPr>
        <w:t>14</w:t>
      </w:r>
      <w:r>
        <w:rPr>
          <w:rFonts w:eastAsia="仿宋_GB2312"/>
          <w:color w:val="000000"/>
          <w:kern w:val="0"/>
          <w:sz w:val="30"/>
          <w:szCs w:val="32"/>
        </w:rPr>
        <w:t>天内审批完毕。</w:t>
      </w:r>
      <w:r>
        <w:rPr>
          <w:rFonts w:hint="eastAsia" w:eastAsia="仿宋_GB2312"/>
          <w:color w:val="000000"/>
          <w:kern w:val="0"/>
          <w:sz w:val="30"/>
          <w:szCs w:val="32"/>
        </w:rPr>
        <w:t>发包人逾期未完成审批或未提出异议的，视为认可承包人提交的变更估价申请。</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因变更引起的价格调整应计入最近一期的进度款中支付。</w:t>
      </w:r>
    </w:p>
    <w:p>
      <w:pPr>
        <w:pStyle w:val="8"/>
        <w:spacing w:before="120" w:after="120" w:line="360" w:lineRule="auto"/>
        <w:ind w:firstLine="600" w:firstLineChars="200"/>
        <w:rPr>
          <w:rFonts w:eastAsia="黑体"/>
          <w:b w:val="0"/>
          <w:color w:val="000000"/>
          <w:sz w:val="30"/>
          <w:szCs w:val="32"/>
        </w:rPr>
      </w:pPr>
      <w:bookmarkStart w:id="1115" w:name="_Toc351203572"/>
      <w:r>
        <w:rPr>
          <w:rFonts w:eastAsia="黑体"/>
          <w:b w:val="0"/>
          <w:color w:val="000000"/>
          <w:sz w:val="30"/>
          <w:szCs w:val="32"/>
        </w:rPr>
        <w:t>1</w:t>
      </w:r>
      <w:bookmarkStart w:id="1116" w:name="_Toc296346595"/>
      <w:bookmarkStart w:id="1117" w:name="_Toc337558792"/>
      <w:bookmarkStart w:id="1118" w:name="_Toc296503094"/>
      <w:r>
        <w:rPr>
          <w:rFonts w:eastAsia="黑体"/>
          <w:b w:val="0"/>
          <w:color w:val="000000"/>
          <w:sz w:val="30"/>
          <w:szCs w:val="32"/>
        </w:rPr>
        <w:t>0.5承包人的合理化建议</w:t>
      </w:r>
      <w:bookmarkEnd w:id="1115"/>
    </w:p>
    <w:bookmarkEnd w:id="1116"/>
    <w:bookmarkEnd w:id="1117"/>
    <w:bookmarkEnd w:id="1118"/>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eastAsia="仿宋_GB2312"/>
          <w:color w:val="000000"/>
          <w:kern w:val="0"/>
          <w:sz w:val="30"/>
          <w:szCs w:val="32"/>
        </w:rPr>
        <w:t>〔</w:t>
      </w:r>
      <w:r>
        <w:rPr>
          <w:rFonts w:eastAsia="仿宋_GB2312"/>
          <w:color w:val="000000"/>
          <w:kern w:val="0"/>
          <w:sz w:val="30"/>
          <w:szCs w:val="32"/>
        </w:rPr>
        <w:t>变更估价</w:t>
      </w:r>
      <w:r>
        <w:rPr>
          <w:rFonts w:hint="eastAsia" w:eastAsia="仿宋_GB2312"/>
          <w:color w:val="000000"/>
          <w:kern w:val="0"/>
          <w:sz w:val="30"/>
          <w:szCs w:val="32"/>
        </w:rPr>
        <w:t>〕</w:t>
      </w:r>
      <w:r>
        <w:rPr>
          <w:rFonts w:eastAsia="仿宋_GB2312"/>
          <w:color w:val="000000"/>
          <w:kern w:val="0"/>
          <w:sz w:val="30"/>
          <w:szCs w:val="32"/>
        </w:rPr>
        <w:t>约定执行。发包人不同意变更的，监理人应书面通知承包人。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合理化建议降低了合同价格或者提高了工程经济效益的，发包人可对承包人给予奖励，奖励的方法和金额在专用合同条款中约定。</w:t>
      </w:r>
    </w:p>
    <w:p>
      <w:pPr>
        <w:pStyle w:val="8"/>
        <w:spacing w:before="120" w:after="120" w:line="360" w:lineRule="auto"/>
        <w:ind w:firstLine="600" w:firstLineChars="200"/>
        <w:rPr>
          <w:rFonts w:eastAsia="仿宋_GB2312"/>
          <w:color w:val="000000"/>
          <w:sz w:val="30"/>
          <w:szCs w:val="32"/>
        </w:rPr>
      </w:pPr>
      <w:bookmarkStart w:id="1119" w:name="_Toc351203573"/>
      <w:r>
        <w:rPr>
          <w:rFonts w:eastAsia="黑体"/>
          <w:b w:val="0"/>
          <w:color w:val="000000"/>
          <w:sz w:val="30"/>
          <w:szCs w:val="32"/>
        </w:rPr>
        <w:t>1</w:t>
      </w:r>
      <w:bookmarkStart w:id="1120" w:name="_Toc337558793"/>
      <w:r>
        <w:rPr>
          <w:rFonts w:eastAsia="黑体"/>
          <w:b w:val="0"/>
          <w:color w:val="000000"/>
          <w:sz w:val="30"/>
          <w:szCs w:val="32"/>
        </w:rPr>
        <w:t>0.6变更引起的工期调整</w:t>
      </w:r>
      <w:bookmarkEnd w:id="1119"/>
      <w:r>
        <w:rPr>
          <w:rFonts w:eastAsia="黑体"/>
          <w:b w:val="0"/>
          <w:color w:val="000000"/>
          <w:sz w:val="30"/>
          <w:szCs w:val="32"/>
        </w:rPr>
        <w:t xml:space="preserve"> </w:t>
      </w:r>
      <w:bookmarkEnd w:id="1120"/>
      <w:r>
        <w:rPr>
          <w:rFonts w:eastAsia="黑体"/>
          <w:b w:val="0"/>
          <w:color w:val="000000"/>
          <w:sz w:val="30"/>
          <w:szCs w:val="32"/>
        </w:rPr>
        <w:t xml:space="preserve"> </w:t>
      </w:r>
      <w:r>
        <w:rPr>
          <w:rFonts w:eastAsia="仿宋_GB2312"/>
          <w:color w:val="000000"/>
          <w:sz w:val="30"/>
          <w:szCs w:val="32"/>
        </w:rPr>
        <w:t xml:space="preserve">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因变更引起工期变化的，合同当事人均可要求调整合同工期，由合同当事人按照第4.4款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并参考工程所在地的工期定额标准确定增减工期天数。</w:t>
      </w:r>
    </w:p>
    <w:p>
      <w:pPr>
        <w:pStyle w:val="8"/>
        <w:spacing w:before="120" w:after="120" w:line="360" w:lineRule="auto"/>
        <w:ind w:firstLine="600" w:firstLineChars="200"/>
        <w:rPr>
          <w:rFonts w:eastAsia="黑体"/>
          <w:b w:val="0"/>
          <w:color w:val="000000"/>
          <w:sz w:val="30"/>
          <w:szCs w:val="32"/>
        </w:rPr>
      </w:pPr>
      <w:bookmarkStart w:id="1121" w:name="_Toc351203574"/>
      <w:r>
        <w:rPr>
          <w:rFonts w:eastAsia="黑体"/>
          <w:b w:val="0"/>
          <w:color w:val="000000"/>
          <w:sz w:val="30"/>
          <w:szCs w:val="32"/>
        </w:rPr>
        <w:t>10.7暂估价</w:t>
      </w:r>
      <w:bookmarkEnd w:id="1121"/>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暂估价专业分包工程、</w:t>
      </w:r>
      <w:r>
        <w:rPr>
          <w:rFonts w:hint="eastAsia" w:eastAsia="仿宋_GB2312"/>
          <w:color w:val="000000"/>
          <w:kern w:val="0"/>
          <w:sz w:val="30"/>
          <w:szCs w:val="32"/>
        </w:rPr>
        <w:t>服务、</w:t>
      </w:r>
      <w:r>
        <w:rPr>
          <w:rFonts w:eastAsia="仿宋_GB2312"/>
          <w:color w:val="000000"/>
          <w:kern w:val="0"/>
          <w:sz w:val="30"/>
          <w:szCs w:val="32"/>
        </w:rPr>
        <w:t>材料和工程设备的明细由合同当事人在专用合同条款中约定。</w:t>
      </w:r>
    </w:p>
    <w:p>
      <w:pPr>
        <w:spacing w:line="360" w:lineRule="auto"/>
        <w:ind w:firstLine="600" w:firstLineChars="200"/>
        <w:jc w:val="left"/>
        <w:rPr>
          <w:rFonts w:eastAsia="仿宋_GB2312"/>
          <w:color w:val="000000"/>
          <w:kern w:val="0"/>
          <w:sz w:val="30"/>
          <w:szCs w:val="32"/>
        </w:rPr>
      </w:pPr>
      <w:r>
        <w:rPr>
          <w:rFonts w:eastAsia="仿宋_GB2312"/>
          <w:color w:val="000000"/>
          <w:sz w:val="30"/>
          <w:szCs w:val="32"/>
        </w:rPr>
        <w:t>10.7.1</w:t>
      </w:r>
      <w:r>
        <w:rPr>
          <w:rFonts w:eastAsia="仿宋_GB2312"/>
          <w:color w:val="000000"/>
          <w:kern w:val="0"/>
          <w:sz w:val="30"/>
          <w:szCs w:val="32"/>
        </w:rPr>
        <w:t xml:space="preserve"> 依法必须招标的暂估价项目</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对于依法必须招标的暂估价项目，采取以下第1种方式确定</w:t>
      </w:r>
      <w:r>
        <w:rPr>
          <w:rFonts w:hint="eastAsia" w:eastAsia="仿宋_GB2312"/>
          <w:color w:val="000000"/>
          <w:kern w:val="0"/>
          <w:sz w:val="30"/>
          <w:szCs w:val="32"/>
        </w:rPr>
        <w:t>。合同当事人也可以在</w:t>
      </w:r>
      <w:r>
        <w:rPr>
          <w:rFonts w:eastAsia="仿宋_GB2312"/>
          <w:color w:val="000000"/>
          <w:kern w:val="0"/>
          <w:sz w:val="30"/>
          <w:szCs w:val="32"/>
        </w:rPr>
        <w:t>专用合同条款</w:t>
      </w:r>
      <w:r>
        <w:rPr>
          <w:rFonts w:hint="eastAsia" w:eastAsia="仿宋_GB2312"/>
          <w:color w:val="000000"/>
          <w:kern w:val="0"/>
          <w:sz w:val="30"/>
          <w:szCs w:val="32"/>
        </w:rPr>
        <w:t>中选择其他招标方式。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第1种方式：对于依法必须招标的暂估价项目，由承包人招标，对该暂估价项目的确认和批准按照以下约定执行：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eastAsia="仿宋_GB2312"/>
          <w:color w:val="000000"/>
          <w:kern w:val="0"/>
          <w:sz w:val="30"/>
          <w:szCs w:val="32"/>
        </w:rPr>
        <w:t>并按照法律规定参加评标</w:t>
      </w:r>
      <w:r>
        <w:rPr>
          <w:rFonts w:eastAsia="仿宋_GB2312"/>
          <w:color w:val="000000"/>
          <w:kern w:val="0"/>
          <w:sz w:val="30"/>
          <w:szCs w:val="32"/>
        </w:rPr>
        <w:t>；</w:t>
      </w:r>
    </w:p>
    <w:p>
      <w:pPr>
        <w:spacing w:line="360" w:lineRule="auto"/>
        <w:jc w:val="left"/>
        <w:rPr>
          <w:rFonts w:eastAsia="仿宋_GB2312"/>
          <w:color w:val="000000"/>
          <w:kern w:val="0"/>
          <w:sz w:val="30"/>
          <w:szCs w:val="32"/>
        </w:rPr>
      </w:pPr>
      <w:r>
        <w:rPr>
          <w:rFonts w:eastAsia="仿宋_GB2312"/>
          <w:color w:val="000000"/>
          <w:kern w:val="0"/>
          <w:sz w:val="30"/>
          <w:szCs w:val="3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600" w:firstLineChars="200"/>
        <w:jc w:val="left"/>
        <w:rPr>
          <w:rFonts w:eastAsia="仿宋_GB2312"/>
          <w:color w:val="000000"/>
          <w:kern w:val="0"/>
          <w:sz w:val="30"/>
          <w:szCs w:val="32"/>
        </w:rPr>
      </w:pPr>
      <w:r>
        <w:rPr>
          <w:rFonts w:eastAsia="仿宋_GB2312"/>
          <w:color w:val="000000"/>
          <w:sz w:val="30"/>
          <w:szCs w:val="32"/>
        </w:rPr>
        <w:t>10.7.2</w:t>
      </w:r>
      <w:r>
        <w:rPr>
          <w:rFonts w:eastAsia="仿宋_GB2312"/>
          <w:color w:val="000000"/>
          <w:kern w:val="0"/>
          <w:sz w:val="30"/>
          <w:szCs w:val="32"/>
        </w:rPr>
        <w:t>不属于依法必须招标的暂估价项目</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除专用合同条款另有约定外，对于不属于依法必须招标的暂估价项目，采取以下第1种方式确定：</w:t>
      </w:r>
      <w:r>
        <w:rPr>
          <w:rFonts w:hint="eastAsia" w:eastAsia="仿宋_GB2312"/>
          <w:color w:val="000000"/>
          <w:kern w:val="0"/>
          <w:sz w:val="30"/>
          <w:szCs w:val="32"/>
        </w:rPr>
        <w:t xml:space="preserve"> </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第1种方式：对于不属于依法必须招标的暂估价项目，按本项约定确认和批准：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（2）发包人认为承包人确定的供应商、分包人无法满足工程质量或合同要求的，发包人可以要求承包人重新确定暂估价项目的供应商、分包人;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（3）承包人应当在签订暂估价合同后7天内，将暂估价合同副本报送发包人留存。</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第2种方式：承包人按照第10.7.1项</w:t>
      </w:r>
      <w:r>
        <w:rPr>
          <w:rFonts w:hint="eastAsia" w:eastAsia="仿宋_GB2312"/>
          <w:color w:val="000000"/>
          <w:kern w:val="0"/>
          <w:sz w:val="30"/>
          <w:szCs w:val="32"/>
        </w:rPr>
        <w:t>〔</w:t>
      </w:r>
      <w:r>
        <w:rPr>
          <w:rFonts w:eastAsia="仿宋_GB2312"/>
          <w:color w:val="000000"/>
          <w:kern w:val="0"/>
          <w:sz w:val="30"/>
          <w:szCs w:val="32"/>
        </w:rPr>
        <w:t>依法必须招标的暂估价项目</w:t>
      </w:r>
      <w:r>
        <w:rPr>
          <w:rFonts w:hint="eastAsia" w:eastAsia="仿宋_GB2312"/>
          <w:color w:val="000000"/>
          <w:kern w:val="0"/>
          <w:sz w:val="30"/>
          <w:szCs w:val="32"/>
        </w:rPr>
        <w:t>〕</w:t>
      </w:r>
      <w:r>
        <w:rPr>
          <w:rFonts w:eastAsia="仿宋_GB2312"/>
          <w:color w:val="000000"/>
          <w:kern w:val="0"/>
          <w:sz w:val="30"/>
          <w:szCs w:val="32"/>
        </w:rPr>
        <w:t>约定的第1种方式确定暂估价项目。</w:t>
      </w:r>
    </w:p>
    <w:p>
      <w:pPr>
        <w:spacing w:line="360" w:lineRule="auto"/>
        <w:ind w:firstLine="600" w:firstLineChars="200"/>
        <w:jc w:val="left"/>
        <w:rPr>
          <w:rFonts w:eastAsia="仿宋_GB2312"/>
          <w:color w:val="000000"/>
          <w:kern w:val="0"/>
          <w:sz w:val="30"/>
          <w:szCs w:val="32"/>
        </w:rPr>
      </w:pPr>
      <w:r>
        <w:rPr>
          <w:rFonts w:eastAsia="仿宋_GB2312"/>
          <w:color w:val="000000"/>
          <w:sz w:val="30"/>
          <w:szCs w:val="32"/>
        </w:rPr>
        <w:t>第3种方式：</w:t>
      </w:r>
      <w:r>
        <w:rPr>
          <w:rFonts w:eastAsia="仿宋_GB2312"/>
          <w:color w:val="000000"/>
          <w:kern w:val="0"/>
          <w:sz w:val="30"/>
          <w:szCs w:val="32"/>
        </w:rPr>
        <w:t>承包人直接实施的暂估价项目</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承包人具备实施暂估价项目的资格和条件的，经发包人和承包人协商一致后，可由承包人自行实施暂估价项目，合同当事人可以在专用合同条款约定具体事项。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8"/>
        <w:spacing w:before="120" w:after="120" w:line="360" w:lineRule="auto"/>
        <w:ind w:firstLine="600" w:firstLineChars="200"/>
        <w:rPr>
          <w:rFonts w:eastAsia="黑体"/>
          <w:b w:val="0"/>
          <w:color w:val="000000"/>
          <w:sz w:val="30"/>
          <w:szCs w:val="32"/>
        </w:rPr>
      </w:pPr>
      <w:bookmarkStart w:id="1122" w:name="_Toc351203575"/>
      <w:r>
        <w:rPr>
          <w:rFonts w:eastAsia="黑体"/>
          <w:b w:val="0"/>
          <w:color w:val="000000"/>
          <w:sz w:val="30"/>
          <w:szCs w:val="32"/>
        </w:rPr>
        <w:t>1</w:t>
      </w:r>
      <w:bookmarkStart w:id="1123" w:name="_Toc337558794"/>
      <w:bookmarkStart w:id="1124" w:name="_Toc322522561"/>
      <w:bookmarkStart w:id="1125" w:name="_Toc296346591"/>
      <w:bookmarkStart w:id="1126" w:name="_Toc296503090"/>
      <w:r>
        <w:rPr>
          <w:rFonts w:eastAsia="黑体"/>
          <w:b w:val="0"/>
          <w:color w:val="000000"/>
          <w:sz w:val="30"/>
          <w:szCs w:val="32"/>
        </w:rPr>
        <w:t>0.8暂列金额</w:t>
      </w:r>
      <w:bookmarkEnd w:id="1122"/>
    </w:p>
    <w:bookmarkEnd w:id="1123"/>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暂列金额应按照发包人的要求使用，发包人的要求应通过监理人发出。</w:t>
      </w:r>
      <w:r>
        <w:rPr>
          <w:rFonts w:hint="eastAsia" w:eastAsia="仿宋_GB2312"/>
          <w:color w:val="000000"/>
          <w:kern w:val="0"/>
          <w:sz w:val="30"/>
          <w:szCs w:val="32"/>
        </w:rPr>
        <w:t>合同当事人可以在专用合同条款中协商确定有关事项。</w:t>
      </w:r>
    </w:p>
    <w:bookmarkEnd w:id="1124"/>
    <w:bookmarkEnd w:id="1125"/>
    <w:bookmarkEnd w:id="1126"/>
    <w:p>
      <w:pPr>
        <w:pStyle w:val="8"/>
        <w:spacing w:before="120" w:after="120" w:line="360" w:lineRule="auto"/>
        <w:ind w:firstLine="600" w:firstLineChars="200"/>
        <w:rPr>
          <w:rFonts w:eastAsia="黑体"/>
          <w:b w:val="0"/>
          <w:color w:val="000000"/>
          <w:sz w:val="30"/>
          <w:szCs w:val="32"/>
        </w:rPr>
      </w:pPr>
      <w:bookmarkStart w:id="1127" w:name="_Toc351203576"/>
      <w:r>
        <w:rPr>
          <w:rFonts w:eastAsia="黑体"/>
          <w:b w:val="0"/>
          <w:color w:val="000000"/>
          <w:sz w:val="30"/>
          <w:szCs w:val="32"/>
        </w:rPr>
        <w:t>1</w:t>
      </w:r>
      <w:bookmarkStart w:id="1128" w:name="_Toc296346592"/>
      <w:bookmarkStart w:id="1129" w:name="_Toc296503091"/>
      <w:bookmarkStart w:id="1130" w:name="_Toc337558796"/>
      <w:r>
        <w:rPr>
          <w:rFonts w:eastAsia="黑体"/>
          <w:b w:val="0"/>
          <w:color w:val="000000"/>
          <w:sz w:val="30"/>
          <w:szCs w:val="32"/>
        </w:rPr>
        <w:t>0.9计日工</w:t>
      </w:r>
      <w:bookmarkEnd w:id="1127"/>
      <w:r>
        <w:rPr>
          <w:rFonts w:eastAsia="黑体"/>
          <w:b w:val="0"/>
          <w:color w:val="000000"/>
          <w:sz w:val="30"/>
          <w:szCs w:val="32"/>
        </w:rPr>
        <w:t xml:space="preserve"> </w:t>
      </w:r>
      <w:bookmarkEnd w:id="1128"/>
      <w:bookmarkEnd w:id="1129"/>
      <w:bookmarkEnd w:id="1130"/>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需要采用计日工方式的，经发包人同意后</w:t>
      </w:r>
      <w:r>
        <w:rPr>
          <w:rFonts w:eastAsia="仿宋_GB2312"/>
          <w:color w:val="000000"/>
          <w:kern w:val="0"/>
          <w:sz w:val="30"/>
          <w:szCs w:val="32"/>
        </w:rPr>
        <w:t>，由监理人通知承包人以计日工计价方式实施</w:t>
      </w:r>
      <w:r>
        <w:rPr>
          <w:rFonts w:hint="eastAsia" w:eastAsia="仿宋_GB2312"/>
          <w:color w:val="000000"/>
          <w:kern w:val="0"/>
          <w:sz w:val="30"/>
          <w:szCs w:val="32"/>
        </w:rPr>
        <w:t>相应</w:t>
      </w:r>
      <w:r>
        <w:rPr>
          <w:rFonts w:eastAsia="仿宋_GB2312"/>
          <w:color w:val="000000"/>
          <w:kern w:val="0"/>
          <w:sz w:val="30"/>
          <w:szCs w:val="32"/>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确定</w:t>
      </w:r>
      <w:r>
        <w:rPr>
          <w:rFonts w:hint="eastAsia" w:eastAsia="仿宋_GB2312"/>
          <w:color w:val="000000"/>
          <w:kern w:val="0"/>
          <w:sz w:val="30"/>
          <w:szCs w:val="32"/>
        </w:rPr>
        <w:t>计日工</w:t>
      </w:r>
      <w:r>
        <w:rPr>
          <w:rFonts w:eastAsia="仿宋_GB2312"/>
          <w:color w:val="000000"/>
          <w:kern w:val="0"/>
          <w:sz w:val="30"/>
          <w:szCs w:val="32"/>
        </w:rPr>
        <w:t>的单价。</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采用计日工计价的任何一项工作，承包人应在该项工作实施过程中，每天提交以下报表和有关凭证报送监理人审查：</w:t>
      </w:r>
    </w:p>
    <w:p>
      <w:pPr>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（1）工作名称、内容和数量；</w:t>
      </w:r>
    </w:p>
    <w:p>
      <w:pPr>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（2）投入该工作的所有人员的姓名、专业、工种、级别和耗用工时；</w:t>
      </w:r>
    </w:p>
    <w:p>
      <w:pPr>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（3）投入该工作的材料类别和数量；</w:t>
      </w:r>
    </w:p>
    <w:p>
      <w:pPr>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（4）投入该工作的施工设备型号、台数和耗用台时；</w:t>
      </w:r>
    </w:p>
    <w:p>
      <w:pPr>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（5）其他有关资料和凭证。</w:t>
      </w:r>
    </w:p>
    <w:p>
      <w:pPr>
        <w:spacing w:line="360" w:lineRule="auto"/>
        <w:ind w:firstLine="450" w:firstLineChars="150"/>
        <w:jc w:val="left"/>
        <w:rPr>
          <w:rFonts w:eastAsia="仿宋_GB2312"/>
          <w:color w:val="000000"/>
          <w:kern w:val="0"/>
          <w:sz w:val="30"/>
          <w:szCs w:val="32"/>
        </w:rPr>
      </w:pPr>
      <w:r>
        <w:rPr>
          <w:rFonts w:eastAsia="仿宋_GB2312"/>
          <w:color w:val="000000"/>
          <w:kern w:val="0"/>
          <w:sz w:val="30"/>
          <w:szCs w:val="32"/>
        </w:rPr>
        <w:t xml:space="preserve"> 计日工由承包人汇总后，列入最近一期进度付款申请单，由监理人审查并经发包人批准后列入进度付款。</w:t>
      </w:r>
    </w:p>
    <w:p>
      <w:pPr>
        <w:pStyle w:val="7"/>
        <w:spacing w:before="120" w:after="120" w:line="360" w:lineRule="auto"/>
        <w:rPr>
          <w:rFonts w:ascii="Times New Roman" w:hAnsi="Times New Roman" w:eastAsia="黑体"/>
          <w:b w:val="0"/>
          <w:color w:val="000000"/>
          <w:sz w:val="32"/>
          <w:szCs w:val="32"/>
        </w:rPr>
      </w:pPr>
      <w:bookmarkStart w:id="1131" w:name="_Toc351203577"/>
      <w:r>
        <w:rPr>
          <w:rFonts w:ascii="Times New Roman" w:hAnsi="Times New Roman" w:eastAsia="黑体"/>
          <w:b w:val="0"/>
          <w:color w:val="000000"/>
          <w:sz w:val="32"/>
          <w:szCs w:val="32"/>
        </w:rPr>
        <w:t>11. 价格调整</w:t>
      </w:r>
      <w:bookmarkEnd w:id="1131"/>
    </w:p>
    <w:p>
      <w:pPr>
        <w:pStyle w:val="8"/>
        <w:spacing w:before="120" w:after="120" w:line="360" w:lineRule="auto"/>
        <w:ind w:firstLine="600" w:firstLineChars="200"/>
        <w:rPr>
          <w:rFonts w:eastAsia="黑体"/>
          <w:b w:val="0"/>
          <w:color w:val="000000"/>
          <w:sz w:val="30"/>
          <w:szCs w:val="32"/>
        </w:rPr>
      </w:pPr>
      <w:bookmarkStart w:id="1132" w:name="_Toc351203578"/>
      <w:bookmarkStart w:id="1133" w:name="_Toc296346593"/>
      <w:bookmarkStart w:id="1134" w:name="_Toc337558797"/>
      <w:bookmarkStart w:id="1135" w:name="_Toc296503092"/>
      <w:r>
        <w:rPr>
          <w:rFonts w:eastAsia="黑体"/>
          <w:b w:val="0"/>
          <w:color w:val="000000"/>
          <w:sz w:val="30"/>
          <w:szCs w:val="32"/>
        </w:rPr>
        <w:t>11.1市场价格波动引起的调整</w:t>
      </w:r>
      <w:bookmarkEnd w:id="1132"/>
    </w:p>
    <w:bookmarkEnd w:id="1133"/>
    <w:bookmarkEnd w:id="1134"/>
    <w:bookmarkEnd w:id="1135"/>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600" w:firstLineChars="200"/>
        <w:rPr>
          <w:rFonts w:eastAsia="仿宋_GB2312"/>
          <w:color w:val="000000"/>
          <w:sz w:val="30"/>
          <w:szCs w:val="32"/>
        </w:rPr>
      </w:pPr>
      <w:r>
        <w:rPr>
          <w:rFonts w:eastAsia="仿宋_GB2312"/>
          <w:color w:val="000000"/>
          <w:sz w:val="30"/>
          <w:szCs w:val="32"/>
        </w:rPr>
        <w:t>第1种方式：采用价格指数</w:t>
      </w:r>
      <w:r>
        <w:rPr>
          <w:rFonts w:hint="eastAsia" w:eastAsia="仿宋_GB2312"/>
          <w:color w:val="000000"/>
          <w:sz w:val="30"/>
          <w:szCs w:val="32"/>
        </w:rPr>
        <w:t>进行价格</w:t>
      </w:r>
      <w:r>
        <w:rPr>
          <w:rFonts w:eastAsia="仿宋_GB2312"/>
          <w:color w:val="000000"/>
          <w:sz w:val="30"/>
          <w:szCs w:val="32"/>
        </w:rPr>
        <w:t>调整。</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（1）价格调整公式</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600" w:firstLineChars="200"/>
        <w:rPr>
          <w:rFonts w:eastAsia="仿宋_GB2312"/>
          <w:color w:val="000000"/>
          <w:sz w:val="30"/>
          <w:szCs w:val="32"/>
        </w:rPr>
      </w:pPr>
      <w:r>
        <w:rPr>
          <w:rFonts w:hint="eastAsia" w:eastAsia="仿宋_GB2312"/>
          <w:color w:val="000000"/>
          <w:position w:val="-30"/>
          <w:sz w:val="30"/>
          <w:szCs w:val="32"/>
        </w:rPr>
        <w:object>
          <v:shape id="_x0000_i1025" o:spt="75" type="#_x0000_t75" style="height:44pt;width:360pt;" o:ole="t" filled="f" o:preferrelative="t" stroked="f" coordsize="21600,21600">
            <v:path/>
            <v:fill on="f" focussize="0,0"/>
            <v:stroke on="f" joinstyle="miter"/>
            <v:imagedata r:id="rId62" o:title=""/>
            <o:lock v:ext="edit" aspectratio="t"/>
            <w10:wrap type="none"/>
            <w10:anchorlock/>
          </v:shape>
          <o:OLEObject Type="Embed" ProgID="Equation.KSEE3" ShapeID="_x0000_i1025" DrawAspect="Content" ObjectID="_1468075725" r:id="rId61">
            <o:LockedField>false</o:LockedField>
          </o:OLEObject>
        </w:object>
      </w:r>
    </w:p>
    <w:p>
      <w:pPr>
        <w:tabs>
          <w:tab w:val="left" w:pos="0"/>
          <w:tab w:val="left" w:pos="360"/>
          <w:tab w:val="left" w:pos="540"/>
        </w:tabs>
        <w:spacing w:line="360" w:lineRule="auto"/>
        <w:ind w:firstLine="640"/>
        <w:rPr>
          <w:rFonts w:eastAsia="仿宋_GB2312"/>
          <w:color w:val="000000"/>
          <w:sz w:val="30"/>
          <w:szCs w:val="32"/>
        </w:rPr>
      </w:pPr>
      <w:r>
        <w:rPr>
          <w:rFonts w:eastAsia="仿宋_GB2312"/>
          <w:color w:val="000000"/>
          <w:sz w:val="30"/>
          <w:szCs w:val="32"/>
        </w:rPr>
        <w:t>公式中：ΔP——需调整的价格差额；</w:t>
      </w:r>
    </w:p>
    <w:p>
      <w:pPr>
        <w:tabs>
          <w:tab w:val="left" w:pos="0"/>
          <w:tab w:val="left" w:pos="360"/>
          <w:tab w:val="left" w:pos="540"/>
        </w:tabs>
        <w:spacing w:line="360" w:lineRule="auto"/>
        <w:ind w:firstLine="1800" w:firstLineChars="600"/>
        <w:rPr>
          <w:rFonts w:eastAsia="仿宋_GB2312"/>
          <w:color w:val="000000"/>
          <w:sz w:val="30"/>
          <w:szCs w:val="32"/>
        </w:rPr>
      </w:pPr>
      <w:r>
        <w:rPr>
          <w:rFonts w:eastAsia="仿宋_GB2312"/>
          <w:color w:val="000000"/>
          <w:position w:val="-6"/>
          <w:sz w:val="30"/>
          <w:szCs w:val="32"/>
        </w:rPr>
        <w:object>
          <v:shape id="_x0000_i1026" o:spt="75" type="#_x0000_t75" style="height:18pt;width:18pt;" o:ole="t" filled="f" o:preferrelative="t" stroked="f" coordsize="21600,21600">
            <v:path/>
            <v:fill on="f" focussize="0,0"/>
            <v:stroke on="f" joinstyle="miter"/>
            <v:imagedata r:id="rId64" o:title=""/>
            <o:lock v:ext="edit" aspectratio="t"/>
            <w10:wrap type="none"/>
            <w10:anchorlock/>
          </v:shape>
          <o:OLEObject Type="Embed" ProgID="Equation.KSEE3" ShapeID="_x0000_i1026" DrawAspect="Content" ObjectID="_1468075726" r:id="rId63">
            <o:LockedField>false</o:LockedField>
          </o:OLEObject>
        </w:object>
      </w:r>
      <w:r>
        <w:rPr>
          <w:rFonts w:eastAsia="仿宋_GB2312"/>
          <w:color w:val="000000"/>
          <w:sz w:val="30"/>
          <w:szCs w:val="32"/>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A——定值权重（即不调部分的权重）；</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position w:val="-10"/>
          <w:sz w:val="30"/>
          <w:szCs w:val="32"/>
        </w:rPr>
        <w:object>
          <v:shape id="_x0000_i1027" o:spt="75" type="#_x0000_t75" style="height:21.35pt;width:101.35pt;" o:ole="t" filled="f" o:preferrelative="t" stroked="f" coordsize="21600,21600">
            <v:path/>
            <v:fill on="f" focussize="0,0"/>
            <v:stroke on="f" joinstyle="miter"/>
            <v:imagedata r:id="rId66" o:title=""/>
            <o:lock v:ext="edit" aspectratio="t"/>
            <w10:wrap type="none"/>
            <w10:anchorlock/>
          </v:shape>
          <o:OLEObject Type="Embed" ProgID="Equation.KSEE3" ShapeID="_x0000_i1027" DrawAspect="Content" ObjectID="_1468075727" r:id="rId65">
            <o:LockedField>false</o:LockedField>
          </o:OLEObject>
        </w:object>
      </w:r>
      <w:r>
        <w:rPr>
          <w:rFonts w:eastAsia="仿宋_GB2312"/>
          <w:color w:val="000000"/>
          <w:sz w:val="30"/>
          <w:szCs w:val="32"/>
        </w:rPr>
        <w:t>——各可调因子的变值权重（即可调部分的权重），为各可调因子在签约合同价中所占的比例；</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position w:val="-10"/>
          <w:sz w:val="30"/>
          <w:szCs w:val="32"/>
        </w:rPr>
        <w:object>
          <v:shape id="_x0000_i1028" o:spt="75" type="#_x0000_t75" style="height:20.65pt;width:102pt;" o:ole="t" filled="f" o:preferrelative="t" stroked="f" coordsize="21600,21600">
            <v:path/>
            <v:fill on="f" focussize="0,0"/>
            <v:stroke on="f" joinstyle="miter"/>
            <v:imagedata r:id="rId68" o:title=""/>
            <o:lock v:ext="edit" aspectratio="t"/>
            <w10:wrap type="none"/>
            <w10:anchorlock/>
          </v:shape>
          <o:OLEObject Type="Embed" ProgID="Equation.KSEE3" ShapeID="_x0000_i1028" DrawAspect="Content" ObjectID="_1468075728" r:id="rId67">
            <o:LockedField>false</o:LockedField>
          </o:OLEObject>
        </w:object>
      </w:r>
      <w:r>
        <w:rPr>
          <w:rFonts w:eastAsia="仿宋_GB2312"/>
          <w:color w:val="000000"/>
          <w:sz w:val="30"/>
          <w:szCs w:val="32"/>
        </w:rPr>
        <w:t>——各可调因子的现行价格指数，指约定的付款证书相关周期最后一天的前42天的各可调因子的价格指数；</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position w:val="-10"/>
          <w:sz w:val="30"/>
          <w:szCs w:val="32"/>
        </w:rPr>
        <w:object>
          <v:shape id="_x0000_i1029" o:spt="75" type="#_x0000_t75" style="height:20pt;width:108pt;" o:ole="t" filled="f" o:preferrelative="t" stroked="f" coordsize="21600,21600">
            <v:path/>
            <v:fill on="f" focussize="0,0"/>
            <v:stroke on="f" joinstyle="miter"/>
            <v:imagedata r:id="rId70" o:title=""/>
            <o:lock v:ext="edit" aspectratio="t"/>
            <w10:wrap type="none"/>
            <w10:anchorlock/>
          </v:shape>
          <o:OLEObject Type="Embed" ProgID="Equation.KSEE3" ShapeID="_x0000_i1029" DrawAspect="Content" ObjectID="_1468075729" r:id="rId69">
            <o:LockedField>false</o:LockedField>
          </o:OLEObject>
        </w:object>
      </w:r>
      <w:r>
        <w:rPr>
          <w:rFonts w:eastAsia="仿宋_GB2312"/>
          <w:color w:val="000000"/>
          <w:sz w:val="30"/>
          <w:szCs w:val="32"/>
        </w:rPr>
        <w:t>——各可调因子的基本价格指数，指基准日期的各可调因子的价格指数。</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（2）暂时确定调整差额</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（3）权重的调整</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因变更导致合同约定的权重不合理时，按照第4.4款</w:t>
      </w:r>
      <w:r>
        <w:rPr>
          <w:rFonts w:hint="eastAsia" w:eastAsia="仿宋_GB2312"/>
          <w:color w:val="000000"/>
          <w:sz w:val="30"/>
          <w:szCs w:val="32"/>
        </w:rPr>
        <w:t>〔</w:t>
      </w:r>
      <w:r>
        <w:rPr>
          <w:rFonts w:eastAsia="仿宋_GB2312"/>
          <w:color w:val="000000"/>
          <w:sz w:val="30"/>
          <w:szCs w:val="32"/>
        </w:rPr>
        <w:t>商定或确定</w:t>
      </w:r>
      <w:r>
        <w:rPr>
          <w:rFonts w:hint="eastAsia" w:eastAsia="仿宋_GB2312"/>
          <w:color w:val="000000"/>
          <w:sz w:val="30"/>
          <w:szCs w:val="32"/>
        </w:rPr>
        <w:t>〕</w:t>
      </w:r>
      <w:r>
        <w:rPr>
          <w:rFonts w:eastAsia="仿宋_GB2312"/>
          <w:color w:val="000000"/>
          <w:sz w:val="30"/>
          <w:szCs w:val="32"/>
        </w:rPr>
        <w:t>执行。</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（4）因承包人原因工期延误后的价格调整</w:t>
      </w:r>
    </w:p>
    <w:p>
      <w:pPr>
        <w:tabs>
          <w:tab w:val="left" w:pos="0"/>
          <w:tab w:val="left" w:pos="360"/>
          <w:tab w:val="left" w:pos="540"/>
        </w:tabs>
        <w:spacing w:line="360" w:lineRule="auto"/>
        <w:ind w:firstLine="600" w:firstLineChars="200"/>
        <w:rPr>
          <w:rFonts w:eastAsia="仿宋_GB2312"/>
          <w:color w:val="000000"/>
          <w:sz w:val="30"/>
          <w:szCs w:val="32"/>
        </w:rPr>
      </w:pPr>
      <w:r>
        <w:rPr>
          <w:rFonts w:eastAsia="仿宋_GB2312"/>
          <w:color w:val="000000"/>
          <w:sz w:val="30"/>
          <w:szCs w:val="32"/>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600" w:firstLineChars="200"/>
        <w:rPr>
          <w:rFonts w:eastAsia="仿宋_GB2312"/>
          <w:color w:val="000000"/>
          <w:sz w:val="30"/>
          <w:szCs w:val="32"/>
        </w:rPr>
      </w:pPr>
      <w:r>
        <w:rPr>
          <w:rFonts w:eastAsia="仿宋_GB2312"/>
          <w:color w:val="000000"/>
          <w:sz w:val="30"/>
          <w:szCs w:val="32"/>
        </w:rPr>
        <w:t>第2种方式：采用造价信息</w:t>
      </w:r>
      <w:r>
        <w:rPr>
          <w:rFonts w:hint="eastAsia" w:eastAsia="仿宋_GB2312"/>
          <w:color w:val="000000"/>
          <w:sz w:val="30"/>
          <w:szCs w:val="32"/>
        </w:rPr>
        <w:t>进行价格</w:t>
      </w:r>
      <w:r>
        <w:rPr>
          <w:rFonts w:eastAsia="仿宋_GB2312"/>
          <w:color w:val="000000"/>
          <w:sz w:val="30"/>
          <w:szCs w:val="32"/>
        </w:rPr>
        <w:t>调整。</w:t>
      </w:r>
    </w:p>
    <w:p>
      <w:pPr>
        <w:spacing w:line="360" w:lineRule="auto"/>
        <w:ind w:firstLine="600" w:firstLineChars="200"/>
        <w:rPr>
          <w:rFonts w:eastAsia="仿宋_GB2312"/>
          <w:color w:val="000000"/>
          <w:sz w:val="30"/>
          <w:szCs w:val="32"/>
        </w:rPr>
      </w:pPr>
      <w:r>
        <w:rPr>
          <w:rFonts w:eastAsia="仿宋_GB2312"/>
          <w:color w:val="000000"/>
          <w:sz w:val="30"/>
          <w:szCs w:val="3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eastAsia="仿宋_GB2312"/>
          <w:color w:val="000000"/>
          <w:sz w:val="30"/>
          <w:szCs w:val="32"/>
        </w:rPr>
        <w:t>量</w:t>
      </w:r>
      <w:r>
        <w:rPr>
          <w:rFonts w:eastAsia="仿宋_GB2312"/>
          <w:color w:val="000000"/>
          <w:sz w:val="30"/>
          <w:szCs w:val="32"/>
        </w:rPr>
        <w:t>应由发包人审批，发包人确认需调整的材料单价及数量，作为调整合同价格的依据。</w:t>
      </w:r>
    </w:p>
    <w:p>
      <w:pPr>
        <w:spacing w:line="360" w:lineRule="auto"/>
        <w:ind w:firstLine="600" w:firstLineChars="200"/>
        <w:rPr>
          <w:rFonts w:eastAsia="仿宋_GB2312"/>
          <w:color w:val="000000"/>
          <w:sz w:val="30"/>
          <w:szCs w:val="32"/>
        </w:rPr>
      </w:pPr>
      <w:r>
        <w:rPr>
          <w:rFonts w:eastAsia="仿宋_GB2312"/>
          <w:color w:val="000000"/>
          <w:sz w:val="30"/>
          <w:szCs w:val="3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600" w:firstLineChars="200"/>
        <w:rPr>
          <w:rFonts w:eastAsia="仿宋_GB2312"/>
          <w:color w:val="000000"/>
          <w:sz w:val="30"/>
          <w:szCs w:val="32"/>
        </w:rPr>
      </w:pPr>
      <w:r>
        <w:rPr>
          <w:rFonts w:eastAsia="仿宋_GB2312"/>
          <w:color w:val="000000"/>
          <w:sz w:val="30"/>
          <w:szCs w:val="32"/>
        </w:rPr>
        <w:t>（2）材料、工程设备价格变化的价款调整按照发包人提供的基准价格，按以下风险范围规定执行:</w:t>
      </w:r>
    </w:p>
    <w:p>
      <w:pPr>
        <w:spacing w:line="360" w:lineRule="auto"/>
        <w:ind w:firstLine="600" w:firstLineChars="200"/>
        <w:rPr>
          <w:rFonts w:eastAsia="仿宋_GB2312"/>
          <w:color w:val="000000"/>
          <w:sz w:val="30"/>
          <w:szCs w:val="32"/>
        </w:rPr>
      </w:pPr>
      <w:r>
        <w:rPr>
          <w:rFonts w:hint="eastAsia" w:ascii="宋体" w:hAnsi="宋体" w:cs="宋体"/>
          <w:color w:val="000000"/>
          <w:sz w:val="30"/>
          <w:szCs w:val="32"/>
        </w:rPr>
        <w:t>①</w:t>
      </w:r>
      <w:r>
        <w:rPr>
          <w:rFonts w:eastAsia="仿宋_GB2312"/>
          <w:color w:val="000000"/>
          <w:sz w:val="30"/>
          <w:szCs w:val="32"/>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600" w:firstLineChars="200"/>
        <w:rPr>
          <w:rFonts w:eastAsia="仿宋_GB2312"/>
          <w:color w:val="000000"/>
          <w:sz w:val="30"/>
          <w:szCs w:val="32"/>
        </w:rPr>
      </w:pPr>
      <w:r>
        <w:rPr>
          <w:rFonts w:hint="eastAsia" w:ascii="宋体" w:hAnsi="宋体" w:cs="宋体"/>
          <w:color w:val="000000"/>
          <w:sz w:val="30"/>
          <w:szCs w:val="32"/>
        </w:rPr>
        <w:t>②</w:t>
      </w:r>
      <w:r>
        <w:rPr>
          <w:rFonts w:eastAsia="仿宋_GB2312"/>
          <w:color w:val="000000"/>
          <w:sz w:val="30"/>
          <w:szCs w:val="32"/>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600" w:firstLineChars="200"/>
        <w:rPr>
          <w:rFonts w:eastAsia="仿宋_GB2312"/>
          <w:color w:val="000000"/>
          <w:sz w:val="30"/>
          <w:szCs w:val="32"/>
        </w:rPr>
      </w:pPr>
      <w:r>
        <w:rPr>
          <w:rFonts w:hint="eastAsia" w:ascii="宋体" w:hAnsi="宋体" w:cs="宋体"/>
          <w:color w:val="000000"/>
          <w:sz w:val="30"/>
          <w:szCs w:val="32"/>
        </w:rPr>
        <w:t>③</w:t>
      </w:r>
      <w:r>
        <w:rPr>
          <w:rFonts w:eastAsia="仿宋_GB2312"/>
          <w:color w:val="000000"/>
          <w:sz w:val="30"/>
          <w:szCs w:val="32"/>
        </w:rPr>
        <w:t>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600" w:firstLineChars="200"/>
        <w:rPr>
          <w:rFonts w:eastAsia="仿宋_GB2312"/>
          <w:color w:val="000000"/>
          <w:sz w:val="30"/>
          <w:szCs w:val="32"/>
        </w:rPr>
      </w:pPr>
      <w:r>
        <w:rPr>
          <w:rFonts w:hint="eastAsia" w:ascii="宋体" w:hAnsi="宋体" w:cs="宋体"/>
          <w:color w:val="000000"/>
          <w:sz w:val="30"/>
          <w:szCs w:val="32"/>
        </w:rPr>
        <w:t>④</w:t>
      </w:r>
      <w:r>
        <w:rPr>
          <w:rFonts w:eastAsia="仿宋_GB2312"/>
          <w:color w:val="000000"/>
          <w:sz w:val="30"/>
          <w:szCs w:val="32"/>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600" w:firstLineChars="200"/>
        <w:rPr>
          <w:rFonts w:eastAsia="仿宋_GB2312"/>
          <w:color w:val="000000"/>
          <w:sz w:val="30"/>
          <w:szCs w:val="32"/>
        </w:rPr>
      </w:pPr>
      <w:r>
        <w:rPr>
          <w:rFonts w:eastAsia="仿宋_GB2312"/>
          <w:color w:val="000000"/>
          <w:sz w:val="30"/>
          <w:szCs w:val="32"/>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600" w:firstLineChars="200"/>
        <w:rPr>
          <w:rFonts w:eastAsia="仿宋_GB2312"/>
          <w:color w:val="000000"/>
          <w:sz w:val="30"/>
          <w:szCs w:val="32"/>
        </w:rPr>
      </w:pPr>
      <w:r>
        <w:rPr>
          <w:rFonts w:eastAsia="仿宋_GB2312"/>
          <w:color w:val="000000"/>
          <w:sz w:val="30"/>
          <w:szCs w:val="32"/>
        </w:rPr>
        <w:t>（3）施工机械台班单价或施工机械使用费发生变化超过省级或行业建设主管部门或其授权的工程造价管理机构规定的范围时，按规定调整合同价格。</w:t>
      </w:r>
    </w:p>
    <w:p>
      <w:pPr>
        <w:spacing w:line="360" w:lineRule="auto"/>
        <w:ind w:firstLine="600" w:firstLineChars="200"/>
        <w:rPr>
          <w:rFonts w:eastAsia="仿宋_GB2312"/>
          <w:color w:val="000000"/>
          <w:sz w:val="30"/>
          <w:szCs w:val="32"/>
        </w:rPr>
      </w:pPr>
      <w:r>
        <w:rPr>
          <w:rFonts w:eastAsia="仿宋_GB2312"/>
          <w:color w:val="000000"/>
          <w:sz w:val="30"/>
          <w:szCs w:val="32"/>
        </w:rPr>
        <w:t>第3种方式：专用合同条款约定的其他方式。</w:t>
      </w:r>
    </w:p>
    <w:p>
      <w:pPr>
        <w:pStyle w:val="8"/>
        <w:spacing w:before="120" w:after="120" w:line="360" w:lineRule="auto"/>
        <w:ind w:firstLine="600" w:firstLineChars="200"/>
        <w:rPr>
          <w:rFonts w:eastAsia="黑体"/>
          <w:b w:val="0"/>
          <w:color w:val="000000"/>
          <w:sz w:val="30"/>
          <w:szCs w:val="32"/>
        </w:rPr>
      </w:pPr>
      <w:bookmarkStart w:id="1136" w:name="_Toc351203579"/>
      <w:bookmarkStart w:id="1137" w:name="_Toc296503093"/>
      <w:bookmarkStart w:id="1138" w:name="_Toc337558798"/>
      <w:bookmarkStart w:id="1139" w:name="_Toc296346594"/>
      <w:r>
        <w:rPr>
          <w:rFonts w:eastAsia="黑体"/>
          <w:b w:val="0"/>
          <w:color w:val="000000"/>
          <w:sz w:val="30"/>
          <w:szCs w:val="32"/>
        </w:rPr>
        <w:t>11.2法律变化引起的调整</w:t>
      </w:r>
      <w:bookmarkEnd w:id="1136"/>
    </w:p>
    <w:bookmarkEnd w:id="1137"/>
    <w:bookmarkEnd w:id="1138"/>
    <w:bookmarkEnd w:id="1139"/>
    <w:p>
      <w:pPr>
        <w:spacing w:line="360" w:lineRule="auto"/>
        <w:ind w:firstLine="600" w:firstLineChars="200"/>
        <w:rPr>
          <w:rFonts w:eastAsia="仿宋_GB2312"/>
          <w:color w:val="000000"/>
          <w:sz w:val="30"/>
          <w:szCs w:val="32"/>
        </w:rPr>
      </w:pPr>
      <w:r>
        <w:rPr>
          <w:rFonts w:eastAsia="仿宋_GB2312"/>
          <w:color w:val="000000"/>
          <w:sz w:val="30"/>
          <w:szCs w:val="32"/>
        </w:rPr>
        <w:t>基准日</w:t>
      </w:r>
      <w:r>
        <w:rPr>
          <w:rFonts w:hint="eastAsia" w:eastAsia="仿宋_GB2312"/>
          <w:color w:val="000000"/>
          <w:sz w:val="30"/>
          <w:szCs w:val="32"/>
        </w:rPr>
        <w:t>期</w:t>
      </w:r>
      <w:r>
        <w:rPr>
          <w:rFonts w:eastAsia="仿宋_GB2312"/>
          <w:color w:val="000000"/>
          <w:sz w:val="30"/>
          <w:szCs w:val="32"/>
        </w:rPr>
        <w:t>后，法律变化</w:t>
      </w:r>
      <w:r>
        <w:rPr>
          <w:rFonts w:hint="eastAsia" w:eastAsia="仿宋_GB2312"/>
          <w:color w:val="000000"/>
          <w:sz w:val="30"/>
          <w:szCs w:val="32"/>
        </w:rPr>
        <w:t>导致承包人在合同履行过程中所需要的费用发生除第11.1款〔市场价格波动引起的调整〕约定以外的增加时，由发包人承担由此增加的费用；减少时，应从合同价格中予以扣减。</w:t>
      </w:r>
      <w:r>
        <w:rPr>
          <w:rFonts w:eastAsia="仿宋_GB2312"/>
          <w:color w:val="000000"/>
          <w:sz w:val="30"/>
          <w:szCs w:val="32"/>
        </w:rPr>
        <w:t>基准日</w:t>
      </w:r>
      <w:r>
        <w:rPr>
          <w:rFonts w:hint="eastAsia" w:eastAsia="仿宋_GB2312"/>
          <w:color w:val="000000"/>
          <w:sz w:val="30"/>
          <w:szCs w:val="32"/>
        </w:rPr>
        <w:t>期</w:t>
      </w:r>
      <w:r>
        <w:rPr>
          <w:rFonts w:eastAsia="仿宋_GB2312"/>
          <w:color w:val="000000"/>
          <w:sz w:val="30"/>
          <w:szCs w:val="32"/>
        </w:rPr>
        <w:t>后，</w:t>
      </w:r>
      <w:r>
        <w:rPr>
          <w:rFonts w:hint="eastAsia" w:eastAsia="仿宋_GB2312"/>
          <w:color w:val="000000"/>
          <w:sz w:val="30"/>
          <w:szCs w:val="32"/>
        </w:rPr>
        <w:t>因</w:t>
      </w:r>
      <w:r>
        <w:rPr>
          <w:rFonts w:eastAsia="仿宋_GB2312"/>
          <w:color w:val="000000"/>
          <w:sz w:val="30"/>
          <w:szCs w:val="32"/>
        </w:rPr>
        <w:t>法律变化</w:t>
      </w:r>
      <w:r>
        <w:rPr>
          <w:rFonts w:hint="eastAsia" w:eastAsia="仿宋_GB2312"/>
          <w:color w:val="000000"/>
          <w:sz w:val="30"/>
          <w:szCs w:val="32"/>
        </w:rPr>
        <w:t>造成工期延误时，工期应予以顺延。</w:t>
      </w:r>
    </w:p>
    <w:p>
      <w:pPr>
        <w:spacing w:line="360" w:lineRule="auto"/>
        <w:ind w:firstLine="600" w:firstLineChars="200"/>
        <w:rPr>
          <w:rFonts w:eastAsia="仿宋_GB2312"/>
          <w:color w:val="000000"/>
          <w:sz w:val="30"/>
          <w:szCs w:val="32"/>
        </w:rPr>
      </w:pPr>
      <w:r>
        <w:rPr>
          <w:rFonts w:hint="eastAsia" w:eastAsia="仿宋_GB2312"/>
          <w:color w:val="000000"/>
          <w:sz w:val="30"/>
          <w:szCs w:val="32"/>
        </w:rPr>
        <w:t>因法律变化引起的合同价格和工期调整，合同当事人无法达成一致的，由总监理工程师按第4.4款〔商定或确定〕的约定处理。</w:t>
      </w:r>
    </w:p>
    <w:p>
      <w:pPr>
        <w:spacing w:line="360" w:lineRule="auto"/>
        <w:ind w:firstLine="600" w:firstLineChars="200"/>
        <w:rPr>
          <w:rFonts w:eastAsia="仿宋_GB2312"/>
          <w:color w:val="000000"/>
          <w:sz w:val="30"/>
          <w:szCs w:val="32"/>
        </w:rPr>
      </w:pPr>
      <w:r>
        <w:rPr>
          <w:rFonts w:eastAsia="仿宋_GB2312"/>
          <w:color w:val="000000"/>
          <w:kern w:val="0"/>
          <w:sz w:val="30"/>
          <w:szCs w:val="32"/>
        </w:rPr>
        <w:t>因承包人原因造成工期延误，在工期延误期间出现法律变化的，由此增加的费用和（或）延误的工期由承包人承担。</w:t>
      </w:r>
    </w:p>
    <w:p>
      <w:pPr>
        <w:pStyle w:val="7"/>
        <w:spacing w:before="120" w:after="120" w:line="360" w:lineRule="auto"/>
        <w:rPr>
          <w:rFonts w:ascii="Times New Roman" w:hAnsi="Times New Roman" w:eastAsia="黑体"/>
          <w:b w:val="0"/>
          <w:color w:val="000000"/>
          <w:sz w:val="30"/>
          <w:szCs w:val="32"/>
        </w:rPr>
      </w:pPr>
      <w:bookmarkStart w:id="1140" w:name="_Toc351203580"/>
      <w:bookmarkStart w:id="1141" w:name="_Toc337558799"/>
      <w:bookmarkStart w:id="1142" w:name="_Toc296346597"/>
      <w:bookmarkStart w:id="1143" w:name="_Toc296503096"/>
      <w:r>
        <w:rPr>
          <w:rFonts w:ascii="Times New Roman" w:hAnsi="Times New Roman" w:eastAsia="黑体"/>
          <w:b w:val="0"/>
          <w:color w:val="000000"/>
          <w:sz w:val="32"/>
          <w:szCs w:val="32"/>
        </w:rPr>
        <w:t>12. 合同价格、计量与支付</w:t>
      </w:r>
      <w:bookmarkEnd w:id="1140"/>
    </w:p>
    <w:bookmarkEnd w:id="1141"/>
    <w:p>
      <w:pPr>
        <w:pStyle w:val="8"/>
        <w:spacing w:before="120" w:after="120" w:line="360" w:lineRule="auto"/>
        <w:ind w:firstLine="600" w:firstLineChars="200"/>
        <w:rPr>
          <w:rFonts w:eastAsia="黑体"/>
          <w:b w:val="0"/>
          <w:color w:val="000000"/>
          <w:sz w:val="30"/>
          <w:szCs w:val="32"/>
        </w:rPr>
      </w:pPr>
      <w:bookmarkStart w:id="1144" w:name="_Toc351203581"/>
      <w:bookmarkStart w:id="1145" w:name="_Toc337558800"/>
      <w:r>
        <w:rPr>
          <w:rFonts w:eastAsia="黑体"/>
          <w:b w:val="0"/>
          <w:color w:val="000000"/>
          <w:sz w:val="30"/>
          <w:szCs w:val="32"/>
        </w:rPr>
        <w:t>12.1 合同价</w:t>
      </w:r>
      <w:bookmarkEnd w:id="1142"/>
      <w:bookmarkEnd w:id="1143"/>
      <w:r>
        <w:rPr>
          <w:rFonts w:eastAsia="黑体"/>
          <w:b w:val="0"/>
          <w:color w:val="000000"/>
          <w:sz w:val="30"/>
          <w:szCs w:val="32"/>
        </w:rPr>
        <w:t>格形式</w:t>
      </w:r>
      <w:bookmarkEnd w:id="1144"/>
    </w:p>
    <w:bookmarkEnd w:id="1145"/>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发包人和承包人应在合同协议书中</w:t>
      </w:r>
      <w:r>
        <w:rPr>
          <w:rFonts w:hint="eastAsia" w:eastAsia="仿宋_GB2312"/>
          <w:color w:val="000000"/>
          <w:kern w:val="0"/>
          <w:sz w:val="30"/>
          <w:szCs w:val="32"/>
        </w:rPr>
        <w:t>选择</w:t>
      </w:r>
      <w:r>
        <w:rPr>
          <w:rFonts w:eastAsia="仿宋_GB2312"/>
          <w:color w:val="000000"/>
          <w:kern w:val="0"/>
          <w:sz w:val="30"/>
          <w:szCs w:val="32"/>
        </w:rPr>
        <w:t xml:space="preserve">下列一种合同价格形式：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w:t>
      </w:r>
      <w:r>
        <w:rPr>
          <w:rFonts w:hint="eastAsia" w:eastAsia="仿宋_GB2312"/>
          <w:color w:val="000000"/>
          <w:kern w:val="0"/>
          <w:sz w:val="30"/>
          <w:szCs w:val="32"/>
        </w:rPr>
        <w:t>.</w:t>
      </w:r>
      <w:r>
        <w:rPr>
          <w:rFonts w:eastAsia="仿宋_GB2312"/>
          <w:color w:val="000000"/>
          <w:kern w:val="0"/>
          <w:sz w:val="30"/>
          <w:szCs w:val="32"/>
        </w:rPr>
        <w:t>单价合同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单价合同是指合同当事人约定以工程量清单及其综合单价进行合同价格计算、调整和确认的建设工程施工合同，</w:t>
      </w:r>
      <w:r>
        <w:rPr>
          <w:rFonts w:eastAsia="仿宋_GB2312"/>
          <w:sz w:val="30"/>
          <w:szCs w:val="32"/>
        </w:rPr>
        <w:t>在约定的范围内合同单价不作调整</w:t>
      </w:r>
      <w:r>
        <w:rPr>
          <w:rFonts w:eastAsia="仿宋_GB2312"/>
          <w:color w:val="000000"/>
          <w:kern w:val="0"/>
          <w:sz w:val="30"/>
          <w:szCs w:val="32"/>
        </w:rPr>
        <w:t>。合同当事人应在专用合同条款中约定综合单价包含的风险范围和风险费用的计算方法</w:t>
      </w:r>
      <w:r>
        <w:rPr>
          <w:rFonts w:eastAsia="仿宋_GB2312"/>
          <w:sz w:val="30"/>
          <w:szCs w:val="32"/>
        </w:rPr>
        <w:t>，</w:t>
      </w:r>
      <w:r>
        <w:rPr>
          <w:rFonts w:eastAsia="仿宋_GB2312"/>
          <w:color w:val="000000"/>
          <w:kern w:val="0"/>
          <w:sz w:val="30"/>
          <w:szCs w:val="32"/>
        </w:rPr>
        <w:t>并约定风险范围以外的合同价格的调整方法，其中因市场价格波动引起的调整按第11.1款</w:t>
      </w:r>
      <w:r>
        <w:rPr>
          <w:rFonts w:hint="eastAsia" w:eastAsia="仿宋_GB2312"/>
          <w:color w:val="000000"/>
          <w:kern w:val="0"/>
          <w:sz w:val="30"/>
          <w:szCs w:val="32"/>
        </w:rPr>
        <w:t>〔</w:t>
      </w:r>
      <w:r>
        <w:rPr>
          <w:rFonts w:eastAsia="仿宋_GB2312"/>
          <w:color w:val="000000"/>
          <w:kern w:val="0"/>
          <w:sz w:val="30"/>
          <w:szCs w:val="32"/>
        </w:rPr>
        <w:t>市场价格波动引起的调整</w:t>
      </w:r>
      <w:r>
        <w:rPr>
          <w:rFonts w:hint="eastAsia" w:eastAsia="仿宋_GB2312"/>
          <w:color w:val="000000"/>
          <w:kern w:val="0"/>
          <w:sz w:val="30"/>
          <w:szCs w:val="32"/>
        </w:rPr>
        <w:t>〕</w:t>
      </w:r>
      <w:r>
        <w:rPr>
          <w:rFonts w:eastAsia="仿宋_GB2312"/>
          <w:color w:val="000000"/>
          <w:kern w:val="0"/>
          <w:sz w:val="30"/>
          <w:szCs w:val="32"/>
        </w:rPr>
        <w:t>约定执行。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w:t>
      </w:r>
      <w:r>
        <w:rPr>
          <w:rFonts w:hint="eastAsia" w:eastAsia="仿宋_GB2312"/>
          <w:color w:val="000000"/>
          <w:kern w:val="0"/>
          <w:sz w:val="30"/>
          <w:szCs w:val="32"/>
        </w:rPr>
        <w:t>.</w:t>
      </w:r>
      <w:r>
        <w:rPr>
          <w:rFonts w:eastAsia="仿宋_GB2312"/>
          <w:color w:val="000000"/>
          <w:kern w:val="0"/>
          <w:sz w:val="30"/>
          <w:szCs w:val="32"/>
        </w:rPr>
        <w:t>总价合同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总价合同是指合同当事人约定以施工图、已标价工程量清单或预算书及有关条件进行合同价格计算、调整和确认的建设工程施工合同，</w:t>
      </w:r>
      <w:r>
        <w:rPr>
          <w:rFonts w:eastAsia="仿宋_GB2312"/>
          <w:sz w:val="30"/>
          <w:szCs w:val="32"/>
        </w:rPr>
        <w:t>在约定的范围内合同总价不作调整</w:t>
      </w:r>
      <w:r>
        <w:rPr>
          <w:rFonts w:eastAsia="仿宋_GB2312"/>
          <w:color w:val="000000"/>
          <w:kern w:val="0"/>
          <w:sz w:val="30"/>
          <w:szCs w:val="32"/>
        </w:rPr>
        <w:t>。合同当事人应在专用合同条款中约定总价包含的风险范围和风险费用的计算方法，并约定风险范围以外的合同价格的调整方法，其中因市场价格波动引起的调整按第11.1款</w:t>
      </w:r>
      <w:r>
        <w:rPr>
          <w:rFonts w:hint="eastAsia" w:eastAsia="仿宋_GB2312"/>
          <w:color w:val="000000"/>
          <w:kern w:val="0"/>
          <w:sz w:val="30"/>
          <w:szCs w:val="32"/>
        </w:rPr>
        <w:t>〔</w:t>
      </w:r>
      <w:r>
        <w:rPr>
          <w:rFonts w:eastAsia="仿宋_GB2312"/>
          <w:color w:val="000000"/>
          <w:kern w:val="0"/>
          <w:sz w:val="30"/>
          <w:szCs w:val="32"/>
        </w:rPr>
        <w:t>市场价格波动引起的调整</w:t>
      </w:r>
      <w:r>
        <w:rPr>
          <w:rFonts w:hint="eastAsia" w:eastAsia="仿宋_GB2312"/>
          <w:color w:val="000000"/>
          <w:kern w:val="0"/>
          <w:sz w:val="30"/>
          <w:szCs w:val="32"/>
        </w:rPr>
        <w:t>〕</w:t>
      </w:r>
      <w:r>
        <w:rPr>
          <w:rFonts w:eastAsia="仿宋_GB2312"/>
          <w:color w:val="000000"/>
          <w:kern w:val="0"/>
          <w:sz w:val="30"/>
          <w:szCs w:val="32"/>
        </w:rPr>
        <w:t>、因法律变化引起的调整按第11.2款</w:t>
      </w:r>
      <w:r>
        <w:rPr>
          <w:rFonts w:hint="eastAsia" w:eastAsia="仿宋_GB2312"/>
          <w:color w:val="000000"/>
          <w:kern w:val="0"/>
          <w:sz w:val="30"/>
          <w:szCs w:val="32"/>
        </w:rPr>
        <w:t>〔</w:t>
      </w:r>
      <w:r>
        <w:rPr>
          <w:rFonts w:eastAsia="仿宋_GB2312"/>
          <w:color w:val="000000"/>
          <w:kern w:val="0"/>
          <w:sz w:val="30"/>
          <w:szCs w:val="32"/>
        </w:rPr>
        <w:t>法律变化引起的调整</w:t>
      </w:r>
      <w:r>
        <w:rPr>
          <w:rFonts w:hint="eastAsia" w:eastAsia="仿宋_GB2312"/>
          <w:color w:val="000000"/>
          <w:kern w:val="0"/>
          <w:sz w:val="30"/>
          <w:szCs w:val="32"/>
        </w:rPr>
        <w:t>〕</w:t>
      </w:r>
      <w:r>
        <w:rPr>
          <w:rFonts w:eastAsia="仿宋_GB2312"/>
          <w:color w:val="000000"/>
          <w:kern w:val="0"/>
          <w:sz w:val="30"/>
          <w:szCs w:val="32"/>
        </w:rPr>
        <w:t>约定执行。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w:t>
      </w:r>
      <w:r>
        <w:rPr>
          <w:rFonts w:hint="eastAsia" w:eastAsia="仿宋_GB2312"/>
          <w:color w:val="000000"/>
          <w:kern w:val="0"/>
          <w:sz w:val="30"/>
          <w:szCs w:val="32"/>
        </w:rPr>
        <w:t>.</w:t>
      </w:r>
      <w:r>
        <w:rPr>
          <w:rFonts w:eastAsia="仿宋_GB2312"/>
          <w:color w:val="000000"/>
          <w:kern w:val="0"/>
          <w:sz w:val="30"/>
          <w:szCs w:val="32"/>
        </w:rPr>
        <w:t>其它价格形式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合同当事人可在专用合同条款中约定其他合同价格形式。</w:t>
      </w:r>
    </w:p>
    <w:p>
      <w:pPr>
        <w:pStyle w:val="8"/>
        <w:spacing w:before="120" w:after="120" w:line="360" w:lineRule="auto"/>
        <w:ind w:firstLine="600" w:firstLineChars="200"/>
        <w:rPr>
          <w:rFonts w:eastAsia="黑体"/>
          <w:b w:val="0"/>
          <w:color w:val="000000"/>
          <w:sz w:val="30"/>
          <w:szCs w:val="32"/>
        </w:rPr>
      </w:pPr>
      <w:bookmarkStart w:id="1146" w:name="_Toc296503097"/>
      <w:bookmarkStart w:id="1147" w:name="_Toc296346598"/>
      <w:bookmarkStart w:id="1148" w:name="_Toc351203582"/>
      <w:bookmarkStart w:id="1149" w:name="_Toc337558801"/>
      <w:r>
        <w:rPr>
          <w:rFonts w:eastAsia="黑体"/>
          <w:b w:val="0"/>
          <w:color w:val="000000"/>
          <w:sz w:val="30"/>
          <w:szCs w:val="32"/>
        </w:rPr>
        <w:t>12.2预</w:t>
      </w:r>
      <w:bookmarkEnd w:id="1146"/>
      <w:bookmarkEnd w:id="1147"/>
      <w:bookmarkStart w:id="1150" w:name="_Toc296503100"/>
      <w:bookmarkStart w:id="1151" w:name="_Toc296346601"/>
      <w:r>
        <w:rPr>
          <w:rFonts w:eastAsia="黑体"/>
          <w:b w:val="0"/>
          <w:color w:val="000000"/>
          <w:sz w:val="30"/>
          <w:szCs w:val="32"/>
        </w:rPr>
        <w:t>付款</w:t>
      </w:r>
      <w:bookmarkEnd w:id="1148"/>
    </w:p>
    <w:bookmarkEnd w:id="1149"/>
    <w:bookmarkEnd w:id="1150"/>
    <w:bookmarkEnd w:id="1151"/>
    <w:p>
      <w:pPr>
        <w:spacing w:line="360" w:lineRule="auto"/>
        <w:ind w:firstLine="600" w:firstLineChars="200"/>
        <w:jc w:val="left"/>
        <w:rPr>
          <w:rFonts w:eastAsia="仿宋_GB2312"/>
          <w:color w:val="000000"/>
          <w:kern w:val="0"/>
          <w:sz w:val="30"/>
          <w:szCs w:val="32"/>
        </w:rPr>
      </w:pPr>
      <w:r>
        <w:rPr>
          <w:rFonts w:eastAsia="仿宋_GB2312"/>
          <w:color w:val="000000"/>
          <w:sz w:val="30"/>
          <w:szCs w:val="32"/>
        </w:rPr>
        <w:t>12.2.</w:t>
      </w:r>
      <w:r>
        <w:rPr>
          <w:rFonts w:eastAsia="仿宋_GB2312"/>
          <w:color w:val="000000"/>
          <w:kern w:val="0"/>
          <w:sz w:val="30"/>
          <w:szCs w:val="32"/>
        </w:rPr>
        <w:t>1预付款的支付</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除专用合同条款另有约定外，预付款在进度付款中同比例扣回。在颁发工程接收证书前，提前解除合同的，尚未扣完的预付款应与合同价款一并结算。</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发包人逾期支付预付款超过7天的，承包人有权向发包人发出要求预付的催告通知，发包人收到通知后7天内仍未支付的，承包人有权暂停施工，并按第16.1.1项</w:t>
      </w:r>
      <w:r>
        <w:rPr>
          <w:rFonts w:hint="eastAsia" w:eastAsia="仿宋_GB2312"/>
          <w:color w:val="000000"/>
          <w:kern w:val="0"/>
          <w:sz w:val="30"/>
          <w:szCs w:val="32"/>
        </w:rPr>
        <w:t>〔</w:t>
      </w:r>
      <w:r>
        <w:rPr>
          <w:rFonts w:eastAsia="仿宋_GB2312"/>
          <w:color w:val="000000"/>
          <w:kern w:val="0"/>
          <w:sz w:val="30"/>
          <w:szCs w:val="32"/>
        </w:rPr>
        <w:t>发包人违约的情形</w:t>
      </w:r>
      <w:r>
        <w:rPr>
          <w:rFonts w:hint="eastAsia" w:eastAsia="仿宋_GB2312"/>
          <w:color w:val="000000"/>
          <w:kern w:val="0"/>
          <w:sz w:val="30"/>
          <w:szCs w:val="32"/>
        </w:rPr>
        <w:t>〕</w:t>
      </w:r>
      <w:r>
        <w:rPr>
          <w:rFonts w:eastAsia="仿宋_GB2312"/>
          <w:color w:val="000000"/>
          <w:kern w:val="0"/>
          <w:sz w:val="30"/>
          <w:szCs w:val="32"/>
        </w:rPr>
        <w:t>执行。</w:t>
      </w:r>
    </w:p>
    <w:p>
      <w:pPr>
        <w:spacing w:line="360" w:lineRule="auto"/>
        <w:ind w:firstLine="600" w:firstLineChars="200"/>
        <w:jc w:val="left"/>
        <w:rPr>
          <w:rFonts w:eastAsia="仿宋_GB2312"/>
          <w:color w:val="000000"/>
          <w:sz w:val="30"/>
          <w:szCs w:val="32"/>
        </w:rPr>
      </w:pPr>
      <w:r>
        <w:rPr>
          <w:rFonts w:eastAsia="仿宋_GB2312"/>
          <w:color w:val="000000"/>
          <w:sz w:val="30"/>
          <w:szCs w:val="32"/>
        </w:rPr>
        <w:t>12.2.2 预付款担保</w:t>
      </w:r>
    </w:p>
    <w:p>
      <w:pPr>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发包人要求承包人提供预付款担保的</w:t>
      </w:r>
      <w:r>
        <w:rPr>
          <w:rFonts w:eastAsia="仿宋_GB2312"/>
          <w:color w:val="000000"/>
          <w:kern w:val="0"/>
          <w:sz w:val="30"/>
          <w:szCs w:val="32"/>
        </w:rPr>
        <w:t>，承包人应在发包人支付预付款7天前提供预付款担保</w:t>
      </w:r>
      <w:r>
        <w:rPr>
          <w:rFonts w:hint="eastAsia" w:eastAsia="仿宋_GB2312"/>
          <w:color w:val="000000"/>
          <w:kern w:val="0"/>
          <w:sz w:val="30"/>
          <w:szCs w:val="32"/>
        </w:rPr>
        <w:t>，</w:t>
      </w:r>
      <w:r>
        <w:rPr>
          <w:rFonts w:eastAsia="仿宋_GB2312"/>
          <w:color w:val="000000"/>
          <w:kern w:val="0"/>
          <w:sz w:val="30"/>
          <w:szCs w:val="32"/>
        </w:rPr>
        <w:t>专用合同条款另有约定</w:t>
      </w:r>
      <w:r>
        <w:rPr>
          <w:rFonts w:hint="eastAsia" w:eastAsia="仿宋_GB2312"/>
          <w:color w:val="000000"/>
          <w:kern w:val="0"/>
          <w:sz w:val="30"/>
          <w:szCs w:val="32"/>
        </w:rPr>
        <w:t>除</w:t>
      </w:r>
      <w:r>
        <w:rPr>
          <w:rFonts w:eastAsia="仿宋_GB2312"/>
          <w:color w:val="000000"/>
          <w:kern w:val="0"/>
          <w:sz w:val="30"/>
          <w:szCs w:val="32"/>
        </w:rPr>
        <w:t>外。预付款担保可采用银行保函、担保公司担保等形式，具体由合同当事人在专用合同条款中约定。在预付款完全扣回之前，承包人应保证预付款担保持续有效。</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发包人在工程款中逐期扣回预付款后，预付款担保额度应相应减少，但剩余的预付款担保金额不得低于未被扣回的预付款金额。</w:t>
      </w:r>
    </w:p>
    <w:p>
      <w:pPr>
        <w:pStyle w:val="8"/>
        <w:spacing w:before="120" w:after="120" w:line="360" w:lineRule="auto"/>
        <w:ind w:firstLine="600" w:firstLineChars="200"/>
        <w:rPr>
          <w:rFonts w:eastAsia="黑体"/>
          <w:b w:val="0"/>
          <w:color w:val="000000"/>
          <w:sz w:val="30"/>
          <w:szCs w:val="32"/>
        </w:rPr>
      </w:pPr>
      <w:bookmarkStart w:id="1152" w:name="_Toc351203583"/>
      <w:bookmarkStart w:id="1153" w:name="_Toc337558802"/>
      <w:r>
        <w:rPr>
          <w:rFonts w:eastAsia="黑体"/>
          <w:b w:val="0"/>
          <w:color w:val="000000"/>
          <w:sz w:val="30"/>
          <w:szCs w:val="32"/>
        </w:rPr>
        <w:t>12.3计量</w:t>
      </w:r>
      <w:bookmarkEnd w:id="1152"/>
    </w:p>
    <w:bookmarkEnd w:id="1153"/>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12.3.1 计量原则</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工程量计量按照合同约定的工程量计算规则、图纸及变更指示</w:t>
      </w:r>
      <w:r>
        <w:rPr>
          <w:rFonts w:hint="eastAsia" w:eastAsia="仿宋_GB2312"/>
          <w:color w:val="000000"/>
          <w:kern w:val="0"/>
          <w:sz w:val="30"/>
          <w:szCs w:val="32"/>
        </w:rPr>
        <w:t>等</w:t>
      </w:r>
      <w:r>
        <w:rPr>
          <w:rFonts w:eastAsia="仿宋_GB2312"/>
          <w:color w:val="000000"/>
          <w:kern w:val="0"/>
          <w:sz w:val="30"/>
          <w:szCs w:val="32"/>
        </w:rPr>
        <w:t>进行计量。工程量计算规则应以相关的国家标准、行业标准</w:t>
      </w:r>
      <w:r>
        <w:rPr>
          <w:rFonts w:hint="eastAsia" w:eastAsia="仿宋_GB2312"/>
          <w:color w:val="000000"/>
          <w:kern w:val="0"/>
          <w:sz w:val="30"/>
          <w:szCs w:val="32"/>
        </w:rPr>
        <w:t>等</w:t>
      </w:r>
      <w:r>
        <w:rPr>
          <w:rFonts w:eastAsia="仿宋_GB2312"/>
          <w:color w:val="000000"/>
          <w:kern w:val="0"/>
          <w:sz w:val="30"/>
          <w:szCs w:val="32"/>
        </w:rPr>
        <w:t>为依据，由合同当事人在专用合同条款中约定。</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12.3.2 计量周期</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除专用合同条款另有约定外，工程量的计量按月进行。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12.3.3 单价合同的计量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除专用合同条款另有约定外，单价合同的计量按照本项约定执行：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（1）承包人应于每月25日向监理人报送上月20日至当月19日已完成的工程量报告，并附具进度付款申请单、已完成工程量报表和有关资料。</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（3）监理人未在收到承包人提交的工程量报表后的7天内完成审核的，承包人报送的工程量报告中的工程量视为承包人实际完成的工程量，据此计算工程价款。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12.3.4 总价合同的计量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除专用合同条款另有约定外，按</w:t>
      </w:r>
      <w:r>
        <w:rPr>
          <w:rFonts w:hint="eastAsia" w:eastAsia="仿宋_GB2312"/>
          <w:color w:val="000000"/>
          <w:kern w:val="0"/>
          <w:sz w:val="30"/>
          <w:szCs w:val="32"/>
        </w:rPr>
        <w:t>月计量支付</w:t>
      </w:r>
      <w:r>
        <w:rPr>
          <w:rFonts w:eastAsia="仿宋_GB2312"/>
          <w:color w:val="000000"/>
          <w:kern w:val="0"/>
          <w:sz w:val="30"/>
          <w:szCs w:val="32"/>
        </w:rPr>
        <w:t>的总价合同，按照本项约定执行：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（1）承包人应于每月25日向监理人报送上月20日至当月19日已完成的工程量报告，并附具进度付款申请单、已完成工程量报表和有关资料。</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（3）监理人未在收到承包人提交的工程量报表后的7天内完成复核的，承包人提交的工程量报告中的工程量视为承包人实际完成的工程量。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12.3.5 总价合同采用支付分解表计量支付的，可以按照第12.3.4项</w:t>
      </w:r>
      <w:r>
        <w:rPr>
          <w:rFonts w:hint="eastAsia" w:eastAsia="仿宋_GB2312"/>
          <w:color w:val="000000"/>
          <w:kern w:val="0"/>
          <w:sz w:val="30"/>
          <w:szCs w:val="32"/>
        </w:rPr>
        <w:t>〔</w:t>
      </w:r>
      <w:r>
        <w:rPr>
          <w:rFonts w:eastAsia="仿宋_GB2312"/>
          <w:color w:val="000000"/>
          <w:kern w:val="0"/>
          <w:sz w:val="30"/>
          <w:szCs w:val="32"/>
        </w:rPr>
        <w:t>总价合同的计量</w:t>
      </w:r>
      <w:r>
        <w:rPr>
          <w:rFonts w:hint="eastAsia" w:eastAsia="仿宋_GB2312"/>
          <w:color w:val="000000"/>
          <w:kern w:val="0"/>
          <w:sz w:val="30"/>
          <w:szCs w:val="32"/>
        </w:rPr>
        <w:t>〕</w:t>
      </w:r>
      <w:r>
        <w:rPr>
          <w:rFonts w:eastAsia="仿宋_GB2312"/>
          <w:color w:val="000000"/>
          <w:kern w:val="0"/>
          <w:sz w:val="30"/>
          <w:szCs w:val="32"/>
        </w:rPr>
        <w:t>约定进行计量，但合同价款按照支付分解表进行支付。</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12.3.6 其他价格形式合同的计量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合同当事人可在专用合同条款中约定其他价格形式合同的计量方式和程序。</w:t>
      </w:r>
    </w:p>
    <w:p>
      <w:pPr>
        <w:pStyle w:val="8"/>
        <w:spacing w:before="120" w:after="120" w:line="360" w:lineRule="auto"/>
        <w:ind w:firstLine="600" w:firstLineChars="200"/>
        <w:rPr>
          <w:rFonts w:eastAsia="黑体"/>
          <w:b w:val="0"/>
          <w:color w:val="000000"/>
          <w:sz w:val="30"/>
          <w:szCs w:val="32"/>
        </w:rPr>
      </w:pPr>
      <w:bookmarkStart w:id="1154" w:name="_Toc296346602"/>
      <w:bookmarkStart w:id="1155" w:name="_Toc296503101"/>
      <w:bookmarkStart w:id="1156" w:name="_Toc351203584"/>
      <w:bookmarkStart w:id="1157" w:name="_Toc337558803"/>
      <w:r>
        <w:rPr>
          <w:rFonts w:eastAsia="黑体"/>
          <w:b w:val="0"/>
          <w:color w:val="000000"/>
          <w:sz w:val="30"/>
          <w:szCs w:val="32"/>
        </w:rPr>
        <w:t>12.4工程进度款支</w:t>
      </w:r>
      <w:bookmarkEnd w:id="1154"/>
      <w:bookmarkEnd w:id="1155"/>
      <w:r>
        <w:rPr>
          <w:rFonts w:eastAsia="黑体"/>
          <w:b w:val="0"/>
          <w:color w:val="000000"/>
          <w:sz w:val="30"/>
          <w:szCs w:val="32"/>
        </w:rPr>
        <w:t>付</w:t>
      </w:r>
      <w:bookmarkEnd w:id="1156"/>
    </w:p>
    <w:bookmarkEnd w:id="1157"/>
    <w:p>
      <w:pPr>
        <w:autoSpaceDE w:val="0"/>
        <w:autoSpaceDN w:val="0"/>
        <w:adjustRightInd w:val="0"/>
        <w:spacing w:line="360" w:lineRule="auto"/>
        <w:ind w:firstLine="600" w:firstLineChars="200"/>
        <w:jc w:val="left"/>
        <w:outlineLvl w:val="0"/>
        <w:rPr>
          <w:rFonts w:eastAsia="仿宋_GB2312"/>
          <w:color w:val="000000"/>
          <w:kern w:val="0"/>
          <w:sz w:val="30"/>
          <w:szCs w:val="32"/>
        </w:rPr>
      </w:pPr>
      <w:bookmarkStart w:id="1158" w:name="_Toc5228"/>
      <w:r>
        <w:rPr>
          <w:rFonts w:eastAsia="仿宋_GB2312"/>
          <w:color w:val="000000"/>
          <w:sz w:val="30"/>
          <w:szCs w:val="32"/>
        </w:rPr>
        <w:t>12.4</w:t>
      </w:r>
      <w:r>
        <w:rPr>
          <w:rFonts w:eastAsia="仿宋_GB2312"/>
          <w:color w:val="000000"/>
          <w:kern w:val="0"/>
          <w:sz w:val="30"/>
          <w:szCs w:val="32"/>
        </w:rPr>
        <w:t>.1 付款周期</w:t>
      </w:r>
      <w:bookmarkEnd w:id="1158"/>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除专用合同条款另有约定外，付款周期应按照第12.3.2</w:t>
      </w:r>
      <w:r>
        <w:rPr>
          <w:rFonts w:hint="eastAsia" w:eastAsia="仿宋_GB2312"/>
          <w:color w:val="000000"/>
          <w:kern w:val="0"/>
          <w:sz w:val="30"/>
          <w:szCs w:val="32"/>
        </w:rPr>
        <w:t>项〔</w:t>
      </w:r>
      <w:r>
        <w:rPr>
          <w:rFonts w:eastAsia="仿宋_GB2312"/>
          <w:color w:val="000000"/>
          <w:kern w:val="0"/>
          <w:sz w:val="30"/>
          <w:szCs w:val="32"/>
        </w:rPr>
        <w:t>计量周期</w:t>
      </w:r>
      <w:r>
        <w:rPr>
          <w:rFonts w:hint="eastAsia" w:eastAsia="仿宋_GB2312"/>
          <w:color w:val="000000"/>
          <w:kern w:val="0"/>
          <w:sz w:val="30"/>
          <w:szCs w:val="32"/>
        </w:rPr>
        <w:t>〕</w:t>
      </w:r>
      <w:r>
        <w:rPr>
          <w:rFonts w:eastAsia="仿宋_GB2312"/>
          <w:color w:val="000000"/>
          <w:kern w:val="0"/>
          <w:sz w:val="30"/>
          <w:szCs w:val="32"/>
        </w:rPr>
        <w:t>的约定与计量周期保持一致。</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sz w:val="30"/>
          <w:szCs w:val="32"/>
        </w:rPr>
        <w:t>12.4</w:t>
      </w:r>
      <w:r>
        <w:rPr>
          <w:rFonts w:eastAsia="仿宋_GB2312"/>
          <w:color w:val="000000"/>
          <w:kern w:val="0"/>
          <w:sz w:val="30"/>
          <w:szCs w:val="32"/>
        </w:rPr>
        <w:t>.2 进度付款申请单的编制</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除专用合同条款另有约定外，进度付款申请单应包括下列内容：</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（1）截至本次付款周期已完成工作对应的金额；</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（2）根据第10条</w:t>
      </w:r>
      <w:r>
        <w:rPr>
          <w:rFonts w:hint="eastAsia" w:eastAsia="仿宋_GB2312"/>
          <w:color w:val="000000"/>
          <w:kern w:val="0"/>
          <w:sz w:val="30"/>
          <w:szCs w:val="32"/>
        </w:rPr>
        <w:t>〔</w:t>
      </w:r>
      <w:r>
        <w:rPr>
          <w:rFonts w:eastAsia="仿宋_GB2312"/>
          <w:color w:val="000000"/>
          <w:kern w:val="0"/>
          <w:sz w:val="30"/>
          <w:szCs w:val="32"/>
        </w:rPr>
        <w:t>变更</w:t>
      </w:r>
      <w:r>
        <w:rPr>
          <w:rFonts w:hint="eastAsia" w:eastAsia="仿宋_GB2312"/>
          <w:color w:val="000000"/>
          <w:kern w:val="0"/>
          <w:sz w:val="30"/>
          <w:szCs w:val="32"/>
        </w:rPr>
        <w:t>〕</w:t>
      </w:r>
      <w:r>
        <w:rPr>
          <w:rFonts w:eastAsia="仿宋_GB2312"/>
          <w:color w:val="000000"/>
          <w:kern w:val="0"/>
          <w:sz w:val="30"/>
          <w:szCs w:val="32"/>
        </w:rPr>
        <w:t>应增加和扣减的变更金额；</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（3）根据第12.2款</w:t>
      </w:r>
      <w:r>
        <w:rPr>
          <w:rFonts w:hint="eastAsia" w:eastAsia="仿宋_GB2312"/>
          <w:color w:val="000000"/>
          <w:kern w:val="0"/>
          <w:sz w:val="30"/>
          <w:szCs w:val="32"/>
        </w:rPr>
        <w:t>〔</w:t>
      </w:r>
      <w:r>
        <w:rPr>
          <w:rFonts w:eastAsia="仿宋_GB2312"/>
          <w:color w:val="000000"/>
          <w:kern w:val="0"/>
          <w:sz w:val="30"/>
          <w:szCs w:val="32"/>
        </w:rPr>
        <w:t>预付款</w:t>
      </w:r>
      <w:r>
        <w:rPr>
          <w:rFonts w:hint="eastAsia" w:eastAsia="仿宋_GB2312"/>
          <w:color w:val="000000"/>
          <w:kern w:val="0"/>
          <w:sz w:val="30"/>
          <w:szCs w:val="32"/>
        </w:rPr>
        <w:t>〕</w:t>
      </w:r>
      <w:r>
        <w:rPr>
          <w:rFonts w:eastAsia="仿宋_GB2312"/>
          <w:color w:val="000000"/>
          <w:kern w:val="0"/>
          <w:sz w:val="30"/>
          <w:szCs w:val="32"/>
        </w:rPr>
        <w:t>约定应支付的预付款和扣减的返还预付款；</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（4）根据第15.3款</w:t>
      </w:r>
      <w:r>
        <w:rPr>
          <w:rFonts w:hint="eastAsia" w:eastAsia="仿宋_GB2312"/>
          <w:color w:val="000000"/>
          <w:kern w:val="0"/>
          <w:sz w:val="30"/>
          <w:szCs w:val="32"/>
        </w:rPr>
        <w:t>〔</w:t>
      </w:r>
      <w:r>
        <w:rPr>
          <w:rFonts w:eastAsia="仿宋_GB2312"/>
          <w:color w:val="000000"/>
          <w:kern w:val="0"/>
          <w:sz w:val="30"/>
          <w:szCs w:val="32"/>
        </w:rPr>
        <w:t>质量保证金</w:t>
      </w:r>
      <w:r>
        <w:rPr>
          <w:rFonts w:hint="eastAsia" w:eastAsia="仿宋_GB2312"/>
          <w:color w:val="000000"/>
          <w:kern w:val="0"/>
          <w:sz w:val="30"/>
          <w:szCs w:val="32"/>
        </w:rPr>
        <w:t>〕</w:t>
      </w:r>
      <w:r>
        <w:rPr>
          <w:rFonts w:eastAsia="仿宋_GB2312"/>
          <w:color w:val="000000"/>
          <w:kern w:val="0"/>
          <w:sz w:val="30"/>
          <w:szCs w:val="32"/>
        </w:rPr>
        <w:t>约定应扣减的质量保证金；</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（5）根据第19条</w:t>
      </w:r>
      <w:r>
        <w:rPr>
          <w:rFonts w:hint="eastAsia" w:eastAsia="仿宋_GB2312"/>
          <w:color w:val="000000"/>
          <w:kern w:val="0"/>
          <w:sz w:val="30"/>
          <w:szCs w:val="32"/>
        </w:rPr>
        <w:t>〔</w:t>
      </w:r>
      <w:r>
        <w:rPr>
          <w:rFonts w:eastAsia="仿宋_GB2312"/>
          <w:color w:val="000000"/>
          <w:kern w:val="0"/>
          <w:sz w:val="30"/>
          <w:szCs w:val="32"/>
        </w:rPr>
        <w:t>索赔</w:t>
      </w:r>
      <w:r>
        <w:rPr>
          <w:rFonts w:hint="eastAsia" w:eastAsia="仿宋_GB2312"/>
          <w:color w:val="000000"/>
          <w:kern w:val="0"/>
          <w:sz w:val="30"/>
          <w:szCs w:val="32"/>
        </w:rPr>
        <w:t>〕</w:t>
      </w:r>
      <w:r>
        <w:rPr>
          <w:rFonts w:eastAsia="仿宋_GB2312"/>
          <w:color w:val="000000"/>
          <w:kern w:val="0"/>
          <w:sz w:val="30"/>
          <w:szCs w:val="32"/>
        </w:rPr>
        <w:t>应增加和扣减的索赔金额；</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（6）对已签发的进度款支付证书中出现错误的修正，应在本次进度付款中支付或扣除的金额；</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（7）根据合同约定应增加和扣减的其他金额。</w:t>
      </w:r>
    </w:p>
    <w:p>
      <w:pPr>
        <w:autoSpaceDE w:val="0"/>
        <w:autoSpaceDN w:val="0"/>
        <w:adjustRightInd w:val="0"/>
        <w:spacing w:line="360" w:lineRule="auto"/>
        <w:ind w:firstLine="600" w:firstLineChars="200"/>
        <w:jc w:val="left"/>
        <w:outlineLvl w:val="0"/>
        <w:rPr>
          <w:rFonts w:eastAsia="仿宋_GB2312"/>
          <w:color w:val="000000"/>
          <w:kern w:val="0"/>
          <w:sz w:val="30"/>
          <w:szCs w:val="32"/>
        </w:rPr>
      </w:pPr>
      <w:bookmarkStart w:id="1159" w:name="_Toc16275"/>
      <w:r>
        <w:rPr>
          <w:rFonts w:eastAsia="仿宋_GB2312"/>
          <w:color w:val="000000"/>
          <w:kern w:val="0"/>
          <w:sz w:val="30"/>
          <w:szCs w:val="32"/>
        </w:rPr>
        <w:t>12.4.3 进度付款申请单的提交</w:t>
      </w:r>
      <w:bookmarkEnd w:id="1159"/>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（1）单价合同进度付款申请单的提交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单价合同的进度付款申请单，按照第12.3.3项</w:t>
      </w:r>
      <w:r>
        <w:rPr>
          <w:rFonts w:hint="eastAsia" w:eastAsia="仿宋_GB2312"/>
          <w:color w:val="000000"/>
          <w:kern w:val="0"/>
          <w:sz w:val="30"/>
          <w:szCs w:val="32"/>
        </w:rPr>
        <w:t>〔</w:t>
      </w:r>
      <w:r>
        <w:rPr>
          <w:rFonts w:eastAsia="仿宋_GB2312"/>
          <w:color w:val="000000"/>
          <w:kern w:val="0"/>
          <w:sz w:val="30"/>
          <w:szCs w:val="32"/>
        </w:rPr>
        <w:t>单价合同的计量</w:t>
      </w:r>
      <w:r>
        <w:rPr>
          <w:rFonts w:hint="eastAsia" w:eastAsia="仿宋_GB2312"/>
          <w:color w:val="000000"/>
          <w:kern w:val="0"/>
          <w:sz w:val="30"/>
          <w:szCs w:val="32"/>
        </w:rPr>
        <w:t>〕</w:t>
      </w:r>
      <w:r>
        <w:rPr>
          <w:rFonts w:eastAsia="仿宋_GB2312"/>
          <w:color w:val="000000"/>
          <w:kern w:val="0"/>
          <w:sz w:val="30"/>
          <w:szCs w:val="32"/>
        </w:rPr>
        <w:t>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（2）总价合同进度付款申请单的提交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总价合同按</w:t>
      </w:r>
      <w:r>
        <w:rPr>
          <w:rFonts w:hint="eastAsia" w:eastAsia="仿宋_GB2312"/>
          <w:color w:val="000000"/>
          <w:kern w:val="0"/>
          <w:sz w:val="30"/>
          <w:szCs w:val="32"/>
        </w:rPr>
        <w:t>月计量支付的</w:t>
      </w:r>
      <w:r>
        <w:rPr>
          <w:rFonts w:eastAsia="仿宋_GB2312"/>
          <w:color w:val="000000"/>
          <w:kern w:val="0"/>
          <w:sz w:val="30"/>
          <w:szCs w:val="32"/>
        </w:rPr>
        <w:t>，承包人按照第12.3.4项</w:t>
      </w:r>
      <w:r>
        <w:rPr>
          <w:rFonts w:hint="eastAsia" w:eastAsia="仿宋_GB2312"/>
          <w:color w:val="000000"/>
          <w:kern w:val="0"/>
          <w:sz w:val="30"/>
          <w:szCs w:val="32"/>
        </w:rPr>
        <w:t>〔</w:t>
      </w:r>
      <w:r>
        <w:rPr>
          <w:rFonts w:eastAsia="仿宋_GB2312"/>
          <w:color w:val="000000"/>
          <w:kern w:val="0"/>
          <w:sz w:val="30"/>
          <w:szCs w:val="32"/>
        </w:rPr>
        <w:t>总价合同的计量</w:t>
      </w:r>
      <w:r>
        <w:rPr>
          <w:rFonts w:hint="eastAsia" w:eastAsia="仿宋_GB2312"/>
          <w:color w:val="000000"/>
          <w:kern w:val="0"/>
          <w:sz w:val="30"/>
          <w:szCs w:val="32"/>
        </w:rPr>
        <w:t>〕</w:t>
      </w:r>
      <w:r>
        <w:rPr>
          <w:rFonts w:eastAsia="仿宋_GB2312"/>
          <w:color w:val="000000"/>
          <w:kern w:val="0"/>
          <w:sz w:val="30"/>
          <w:szCs w:val="32"/>
        </w:rPr>
        <w:t>约定的时间按月向监理人提交进度付款申请单，并附上已完成工程量报表和有关资料。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总价合同按支付分解表支付的，承包人应按照第12.4.6项</w:t>
      </w:r>
      <w:r>
        <w:rPr>
          <w:rFonts w:hint="eastAsia" w:eastAsia="仿宋_GB2312"/>
          <w:color w:val="000000"/>
          <w:kern w:val="0"/>
          <w:sz w:val="30"/>
          <w:szCs w:val="32"/>
        </w:rPr>
        <w:t>〔</w:t>
      </w:r>
      <w:r>
        <w:rPr>
          <w:rFonts w:eastAsia="仿宋_GB2312"/>
          <w:color w:val="000000"/>
          <w:kern w:val="0"/>
          <w:sz w:val="30"/>
          <w:szCs w:val="32"/>
        </w:rPr>
        <w:t>支付分解表</w:t>
      </w:r>
      <w:r>
        <w:rPr>
          <w:rFonts w:hint="eastAsia" w:eastAsia="仿宋_GB2312"/>
          <w:color w:val="000000"/>
          <w:kern w:val="0"/>
          <w:sz w:val="30"/>
          <w:szCs w:val="32"/>
        </w:rPr>
        <w:t>〕</w:t>
      </w:r>
      <w:r>
        <w:rPr>
          <w:rFonts w:eastAsia="仿宋_GB2312"/>
          <w:color w:val="000000"/>
          <w:kern w:val="0"/>
          <w:sz w:val="30"/>
          <w:szCs w:val="32"/>
        </w:rPr>
        <w:t>及第12.4.2项</w:t>
      </w:r>
      <w:r>
        <w:rPr>
          <w:rFonts w:hint="eastAsia" w:eastAsia="仿宋_GB2312"/>
          <w:color w:val="000000"/>
          <w:kern w:val="0"/>
          <w:sz w:val="30"/>
          <w:szCs w:val="32"/>
        </w:rPr>
        <w:t>〔</w:t>
      </w:r>
      <w:r>
        <w:rPr>
          <w:rFonts w:eastAsia="仿宋_GB2312"/>
          <w:color w:val="000000"/>
          <w:kern w:val="0"/>
          <w:sz w:val="30"/>
          <w:szCs w:val="32"/>
        </w:rPr>
        <w:t>进度付款申请单的编制</w:t>
      </w:r>
      <w:r>
        <w:rPr>
          <w:rFonts w:hint="eastAsia" w:eastAsia="仿宋_GB2312"/>
          <w:color w:val="000000"/>
          <w:kern w:val="0"/>
          <w:sz w:val="30"/>
          <w:szCs w:val="32"/>
        </w:rPr>
        <w:t>〕</w:t>
      </w:r>
      <w:r>
        <w:rPr>
          <w:rFonts w:eastAsia="仿宋_GB2312"/>
          <w:color w:val="000000"/>
          <w:kern w:val="0"/>
          <w:sz w:val="30"/>
          <w:szCs w:val="32"/>
        </w:rPr>
        <w:t>的约定向监理人提交进度付款申请单。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（3）其他价格形式合同的进度付款申请单的提交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合同当事人可在专用合同条款中约定其他价格形式合同的进度付款申请单的编制和提交程序。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sz w:val="30"/>
          <w:szCs w:val="32"/>
        </w:rPr>
        <w:t>12.4</w:t>
      </w:r>
      <w:r>
        <w:rPr>
          <w:rFonts w:eastAsia="仿宋_GB2312"/>
          <w:color w:val="000000"/>
          <w:kern w:val="0"/>
          <w:sz w:val="30"/>
          <w:szCs w:val="32"/>
        </w:rPr>
        <w:t>.4 进度款审核和支付</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eastAsia="仿宋_GB2312"/>
          <w:color w:val="000000"/>
          <w:kern w:val="0"/>
          <w:sz w:val="30"/>
          <w:szCs w:val="32"/>
        </w:rPr>
        <w:t>审批</w:t>
      </w:r>
      <w:r>
        <w:rPr>
          <w:rFonts w:eastAsia="仿宋_GB2312"/>
          <w:color w:val="000000"/>
          <w:kern w:val="0"/>
          <w:sz w:val="30"/>
          <w:szCs w:val="32"/>
        </w:rPr>
        <w:t>且未提出异议的，视为已签发进度款支付证书。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的约定处理。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12.4.5 进度付款的修正</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12.4.6 支付分解表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w:t>
      </w:r>
      <w:r>
        <w:rPr>
          <w:rFonts w:hint="eastAsia" w:eastAsia="仿宋_GB2312"/>
          <w:color w:val="000000"/>
          <w:kern w:val="0"/>
          <w:sz w:val="30"/>
          <w:szCs w:val="32"/>
        </w:rPr>
        <w:t>.</w:t>
      </w:r>
      <w:r>
        <w:rPr>
          <w:rFonts w:eastAsia="仿宋_GB2312"/>
          <w:color w:val="000000"/>
          <w:kern w:val="0"/>
          <w:sz w:val="30"/>
          <w:szCs w:val="32"/>
        </w:rPr>
        <w:t>支付分解表的编制要求</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（1）支付分解表中所列的每期付款金额，应为第12.4.2项</w:t>
      </w:r>
      <w:r>
        <w:rPr>
          <w:rFonts w:hint="eastAsia" w:eastAsia="仿宋_GB2312"/>
          <w:color w:val="000000"/>
          <w:kern w:val="0"/>
          <w:sz w:val="30"/>
          <w:szCs w:val="32"/>
        </w:rPr>
        <w:t>〔</w:t>
      </w:r>
      <w:r>
        <w:rPr>
          <w:rFonts w:eastAsia="仿宋_GB2312"/>
          <w:color w:val="000000"/>
          <w:kern w:val="0"/>
          <w:sz w:val="30"/>
          <w:szCs w:val="32"/>
        </w:rPr>
        <w:t>进度付款申请单的编制</w:t>
      </w:r>
      <w:r>
        <w:rPr>
          <w:rFonts w:hint="eastAsia" w:eastAsia="仿宋_GB2312"/>
          <w:color w:val="000000"/>
          <w:kern w:val="0"/>
          <w:sz w:val="30"/>
          <w:szCs w:val="32"/>
        </w:rPr>
        <w:t>〕</w:t>
      </w:r>
      <w:r>
        <w:rPr>
          <w:rFonts w:eastAsia="仿宋_GB2312"/>
          <w:color w:val="000000"/>
          <w:kern w:val="0"/>
          <w:sz w:val="30"/>
          <w:szCs w:val="32"/>
        </w:rPr>
        <w:t>第（1）</w:t>
      </w:r>
      <w:r>
        <w:rPr>
          <w:rFonts w:hint="eastAsia" w:eastAsia="仿宋_GB2312"/>
          <w:color w:val="000000"/>
          <w:kern w:val="0"/>
          <w:sz w:val="30"/>
          <w:szCs w:val="32"/>
        </w:rPr>
        <w:t>目</w:t>
      </w:r>
      <w:r>
        <w:rPr>
          <w:rFonts w:eastAsia="仿宋_GB2312"/>
          <w:color w:val="000000"/>
          <w:kern w:val="0"/>
          <w:sz w:val="30"/>
          <w:szCs w:val="32"/>
        </w:rPr>
        <w:t>的估算金额；</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（2）实际进度与施工进度计划不一致的，合同当事人可按照第4.4款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修改支付分解表；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（3）不采用支付分解表的，承包人应向发包人和监理人提交按季度编制的支付估算分解表，用于支付参考。</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w:t>
      </w:r>
      <w:r>
        <w:rPr>
          <w:rFonts w:hint="eastAsia" w:eastAsia="仿宋_GB2312"/>
          <w:color w:val="000000"/>
          <w:kern w:val="0"/>
          <w:sz w:val="30"/>
          <w:szCs w:val="32"/>
        </w:rPr>
        <w:t>.</w:t>
      </w:r>
      <w:r>
        <w:rPr>
          <w:rFonts w:eastAsia="仿宋_GB2312"/>
          <w:color w:val="000000"/>
          <w:kern w:val="0"/>
          <w:sz w:val="30"/>
          <w:szCs w:val="32"/>
        </w:rPr>
        <w:t>总价合同支付分解表的编制与审批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（1）除专用合同条款另有约定外，承包人应根据第7.2款</w:t>
      </w:r>
      <w:r>
        <w:rPr>
          <w:rFonts w:hint="eastAsia" w:eastAsia="仿宋_GB2312"/>
          <w:color w:val="000000"/>
          <w:kern w:val="0"/>
          <w:sz w:val="30"/>
          <w:szCs w:val="32"/>
        </w:rPr>
        <w:t>〔</w:t>
      </w:r>
      <w:r>
        <w:rPr>
          <w:rFonts w:eastAsia="仿宋_GB2312"/>
          <w:color w:val="000000"/>
          <w:kern w:val="0"/>
          <w:sz w:val="30"/>
          <w:szCs w:val="32"/>
        </w:rPr>
        <w:t>施工进度计划</w:t>
      </w:r>
      <w:r>
        <w:rPr>
          <w:rFonts w:hint="eastAsia" w:eastAsia="仿宋_GB2312"/>
          <w:color w:val="000000"/>
          <w:kern w:val="0"/>
          <w:sz w:val="30"/>
          <w:szCs w:val="32"/>
        </w:rPr>
        <w:t>〕</w:t>
      </w:r>
      <w:r>
        <w:rPr>
          <w:rFonts w:eastAsia="仿宋_GB2312"/>
          <w:color w:val="000000"/>
          <w:kern w:val="0"/>
          <w:sz w:val="30"/>
          <w:szCs w:val="32"/>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eastAsia="仿宋_GB2312"/>
          <w:color w:val="000000"/>
          <w:kern w:val="0"/>
          <w:sz w:val="30"/>
          <w:szCs w:val="32"/>
        </w:rPr>
      </w:pPr>
      <w:r>
        <w:rPr>
          <w:rFonts w:eastAsia="仿宋_GB2312"/>
          <w:color w:val="000000"/>
          <w:kern w:val="0"/>
          <w:sz w:val="30"/>
          <w:szCs w:val="32"/>
        </w:rPr>
        <w:t xml:space="preserve">    （3）发包人逾期未完成支付分解表</w:t>
      </w:r>
      <w:r>
        <w:rPr>
          <w:rFonts w:hint="eastAsia" w:eastAsia="仿宋_GB2312"/>
          <w:color w:val="000000"/>
          <w:kern w:val="0"/>
          <w:sz w:val="30"/>
          <w:szCs w:val="32"/>
        </w:rPr>
        <w:t>审批</w:t>
      </w:r>
      <w:r>
        <w:rPr>
          <w:rFonts w:eastAsia="仿宋_GB2312"/>
          <w:color w:val="000000"/>
          <w:kern w:val="0"/>
          <w:sz w:val="30"/>
          <w:szCs w:val="32"/>
        </w:rPr>
        <w:t>的，也未及时要求承包人进行修正和提供补充资料的，则承包人提交的支付分解表视为已经获得发包人批准。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w:t>
      </w:r>
      <w:r>
        <w:rPr>
          <w:rFonts w:hint="eastAsia" w:eastAsia="仿宋_GB2312"/>
          <w:color w:val="000000"/>
          <w:kern w:val="0"/>
          <w:sz w:val="30"/>
          <w:szCs w:val="32"/>
        </w:rPr>
        <w:t>.</w:t>
      </w:r>
      <w:r>
        <w:rPr>
          <w:rFonts w:eastAsia="仿宋_GB2312"/>
          <w:color w:val="000000"/>
          <w:kern w:val="0"/>
          <w:sz w:val="30"/>
          <w:szCs w:val="32"/>
        </w:rPr>
        <w:t>单价合同的总价项目支付分解表的编制与审批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8"/>
        <w:spacing w:before="120" w:after="120" w:line="360" w:lineRule="auto"/>
        <w:ind w:firstLine="600" w:firstLineChars="200"/>
        <w:rPr>
          <w:rFonts w:eastAsia="黑体"/>
          <w:b w:val="0"/>
          <w:color w:val="000000"/>
          <w:sz w:val="30"/>
          <w:szCs w:val="32"/>
        </w:rPr>
      </w:pPr>
      <w:bookmarkStart w:id="1160" w:name="_Toc351203585"/>
      <w:r>
        <w:rPr>
          <w:rFonts w:eastAsia="黑体"/>
          <w:b w:val="0"/>
          <w:color w:val="000000"/>
          <w:sz w:val="30"/>
          <w:szCs w:val="32"/>
        </w:rPr>
        <w:t>12.5支付账户</w:t>
      </w:r>
      <w:bookmarkEnd w:id="1160"/>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发包人应将合同价款支付至合同协议书中约定的承包人账户。</w:t>
      </w:r>
    </w:p>
    <w:p>
      <w:pPr>
        <w:pStyle w:val="7"/>
        <w:spacing w:before="120" w:after="120" w:line="360" w:lineRule="auto"/>
        <w:rPr>
          <w:rFonts w:ascii="Times New Roman" w:hAnsi="Times New Roman" w:eastAsia="黑体"/>
          <w:b w:val="0"/>
          <w:color w:val="000000"/>
          <w:sz w:val="32"/>
          <w:szCs w:val="32"/>
        </w:rPr>
      </w:pPr>
      <w:bookmarkStart w:id="1161" w:name="_Toc351203586"/>
      <w:bookmarkStart w:id="1162" w:name="_Toc337558804"/>
      <w:bookmarkStart w:id="1163" w:name="_Toc322522574"/>
      <w:bookmarkStart w:id="1164" w:name="_Toc296346607"/>
      <w:bookmarkStart w:id="1165" w:name="_Toc296503106"/>
      <w:r>
        <w:rPr>
          <w:rFonts w:ascii="Times New Roman" w:hAnsi="Times New Roman" w:eastAsia="黑体"/>
          <w:b w:val="0"/>
          <w:color w:val="000000"/>
          <w:sz w:val="32"/>
          <w:szCs w:val="32"/>
        </w:rPr>
        <w:t>13. 验收和工程试车</w:t>
      </w:r>
      <w:bookmarkEnd w:id="1161"/>
    </w:p>
    <w:bookmarkEnd w:id="1162"/>
    <w:bookmarkEnd w:id="1163"/>
    <w:bookmarkEnd w:id="1164"/>
    <w:bookmarkEnd w:id="1165"/>
    <w:p>
      <w:pPr>
        <w:pStyle w:val="8"/>
        <w:spacing w:before="120" w:after="120" w:line="360" w:lineRule="auto"/>
        <w:ind w:firstLine="600" w:firstLineChars="200"/>
        <w:rPr>
          <w:rFonts w:eastAsia="黑体"/>
          <w:b w:val="0"/>
          <w:color w:val="000000"/>
          <w:sz w:val="30"/>
          <w:szCs w:val="32"/>
        </w:rPr>
      </w:pPr>
      <w:bookmarkStart w:id="1166" w:name="_Toc351203587"/>
      <w:bookmarkStart w:id="1167" w:name="_Toc337558805"/>
      <w:bookmarkStart w:id="1168" w:name="_Toc296346611"/>
      <w:bookmarkStart w:id="1169" w:name="_Toc296503110"/>
      <w:r>
        <w:rPr>
          <w:rFonts w:eastAsia="黑体"/>
          <w:b w:val="0"/>
          <w:color w:val="000000"/>
          <w:sz w:val="30"/>
          <w:szCs w:val="32"/>
        </w:rPr>
        <w:t>13.1分部分项工程验收</w:t>
      </w:r>
      <w:bookmarkEnd w:id="1166"/>
    </w:p>
    <w:bookmarkEnd w:id="1167"/>
    <w:p>
      <w:pPr>
        <w:spacing w:line="360" w:lineRule="auto"/>
        <w:ind w:firstLine="600" w:firstLineChars="200"/>
        <w:rPr>
          <w:rFonts w:eastAsia="仿宋_GB2312"/>
          <w:color w:val="000000"/>
          <w:sz w:val="30"/>
          <w:szCs w:val="32"/>
        </w:rPr>
      </w:pPr>
      <w:r>
        <w:rPr>
          <w:rFonts w:eastAsia="仿宋_GB2312"/>
          <w:color w:val="000000"/>
          <w:sz w:val="30"/>
          <w:szCs w:val="32"/>
        </w:rPr>
        <w:t>13.1.1 分部分项工程质量应符合国家有关工程施工验收规范、标准及合同约定，承包人应按照施工组织设计的要求完成分部分项工程施工。</w:t>
      </w:r>
    </w:p>
    <w:p>
      <w:pPr>
        <w:spacing w:line="360" w:lineRule="auto"/>
        <w:ind w:firstLine="600" w:firstLineChars="200"/>
        <w:rPr>
          <w:rFonts w:eastAsia="仿宋_GB2312"/>
          <w:color w:val="000000"/>
          <w:sz w:val="30"/>
          <w:szCs w:val="32"/>
        </w:rPr>
      </w:pPr>
      <w:r>
        <w:rPr>
          <w:rFonts w:eastAsia="仿宋_GB2312"/>
          <w:color w:val="000000"/>
          <w:sz w:val="30"/>
          <w:szCs w:val="32"/>
        </w:rPr>
        <w:t>13.1.2 除专用合同条款另有约定外，分部分项工程经承包人自检合格并具备验收条件的，承包人应提前48小时通知监理人进行验收。</w:t>
      </w:r>
      <w:r>
        <w:rPr>
          <w:rFonts w:eastAsia="仿宋_GB2312"/>
          <w:color w:val="000000"/>
          <w:kern w:val="0"/>
          <w:sz w:val="30"/>
          <w:szCs w:val="32"/>
        </w:rPr>
        <w:t>监理人不能按时进行验收的，应在验收前24小时向承包人提交书面延期要求，但延期不能超过48小时。监理人未按时进行验收，也未提出延期要求的，承包人有权自行验收，监理人应认可验收结果。</w:t>
      </w:r>
      <w:r>
        <w:rPr>
          <w:rFonts w:eastAsia="仿宋_GB2312"/>
          <w:color w:val="000000"/>
          <w:sz w:val="30"/>
          <w:szCs w:val="32"/>
        </w:rPr>
        <w:t>分部分项工程未经验收的，不得进入下一道工序施工。</w:t>
      </w:r>
    </w:p>
    <w:p>
      <w:pPr>
        <w:spacing w:line="360" w:lineRule="auto"/>
        <w:ind w:firstLine="600" w:firstLineChars="200"/>
        <w:rPr>
          <w:rFonts w:eastAsia="仿宋_GB2312"/>
          <w:color w:val="000000"/>
          <w:sz w:val="30"/>
          <w:szCs w:val="32"/>
        </w:rPr>
      </w:pPr>
      <w:r>
        <w:rPr>
          <w:rFonts w:eastAsia="仿宋_GB2312"/>
          <w:color w:val="000000"/>
          <w:sz w:val="30"/>
          <w:szCs w:val="32"/>
        </w:rPr>
        <w:t>分部分项工程的验收资料应当作为竣工资料的组成部分。</w:t>
      </w:r>
    </w:p>
    <w:p>
      <w:pPr>
        <w:pStyle w:val="8"/>
        <w:spacing w:before="120" w:after="120" w:line="360" w:lineRule="auto"/>
        <w:ind w:firstLine="600" w:firstLineChars="200"/>
        <w:rPr>
          <w:rFonts w:eastAsia="黑体"/>
          <w:b w:val="0"/>
          <w:color w:val="000000"/>
          <w:sz w:val="30"/>
          <w:szCs w:val="32"/>
        </w:rPr>
      </w:pPr>
      <w:bookmarkStart w:id="1170" w:name="_Toc351203588"/>
      <w:bookmarkStart w:id="1171" w:name="_Toc337558806"/>
      <w:r>
        <w:rPr>
          <w:rFonts w:eastAsia="黑体"/>
          <w:b w:val="0"/>
          <w:color w:val="000000"/>
          <w:sz w:val="30"/>
          <w:szCs w:val="32"/>
        </w:rPr>
        <w:t>13.2竣工验收</w:t>
      </w:r>
      <w:bookmarkEnd w:id="1170"/>
    </w:p>
    <w:bookmarkEnd w:id="1168"/>
    <w:bookmarkEnd w:id="1169"/>
    <w:bookmarkEnd w:id="1171"/>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13.2.1竣工验收条件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工程具备以下条件的，承包人可以申请竣工验收：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（1）除发包人同意的甩项</w:t>
      </w:r>
      <w:r>
        <w:rPr>
          <w:rFonts w:hint="eastAsia" w:eastAsia="仿宋_GB2312"/>
          <w:color w:val="000000"/>
          <w:kern w:val="0"/>
          <w:sz w:val="30"/>
          <w:szCs w:val="32"/>
        </w:rPr>
        <w:t>工作</w:t>
      </w:r>
      <w:r>
        <w:rPr>
          <w:rFonts w:eastAsia="仿宋_GB2312"/>
          <w:color w:val="000000"/>
          <w:kern w:val="0"/>
          <w:sz w:val="30"/>
          <w:szCs w:val="32"/>
        </w:rPr>
        <w:t>和缺陷修补工作外，合同范围内的全部工程以及有关工作，包括合同要求的试验、试运行以及检验均已完成，并符合合同要求；</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（2）已按合同约定编制了甩项</w:t>
      </w:r>
      <w:r>
        <w:rPr>
          <w:rFonts w:hint="eastAsia" w:eastAsia="仿宋_GB2312"/>
          <w:color w:val="000000"/>
          <w:kern w:val="0"/>
          <w:sz w:val="30"/>
          <w:szCs w:val="32"/>
        </w:rPr>
        <w:t>工作</w:t>
      </w:r>
      <w:r>
        <w:rPr>
          <w:rFonts w:eastAsia="仿宋_GB2312"/>
          <w:color w:val="000000"/>
          <w:kern w:val="0"/>
          <w:sz w:val="30"/>
          <w:szCs w:val="32"/>
        </w:rPr>
        <w:t>和缺陷修补工作清单以及相应的施工计划；</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（3）已按合同约定的内容和份数备齐竣工资料。</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13.2.2竣工验收程序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除专用合同条款另有约定外，承包人申请竣工验收的，应当按照以下程序进行：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（2）监理人审查后认为已具备竣工验收条件的，应将竣工验收申请报告提交发包人，发包人应在收到</w:t>
      </w:r>
      <w:r>
        <w:rPr>
          <w:rFonts w:hint="eastAsia" w:eastAsia="仿宋_GB2312"/>
          <w:color w:val="000000"/>
          <w:kern w:val="0"/>
          <w:sz w:val="30"/>
          <w:szCs w:val="32"/>
        </w:rPr>
        <w:t>经</w:t>
      </w:r>
      <w:r>
        <w:rPr>
          <w:rFonts w:eastAsia="仿宋_GB2312"/>
          <w:color w:val="000000"/>
          <w:kern w:val="0"/>
          <w:sz w:val="30"/>
          <w:szCs w:val="32"/>
        </w:rPr>
        <w:t>监理人审核的竣工验收申请报告后28天内</w:t>
      </w:r>
      <w:r>
        <w:rPr>
          <w:rFonts w:hint="eastAsia" w:eastAsia="仿宋_GB2312"/>
          <w:color w:val="000000"/>
          <w:kern w:val="0"/>
          <w:sz w:val="30"/>
          <w:szCs w:val="32"/>
        </w:rPr>
        <w:t>审批</w:t>
      </w:r>
      <w:r>
        <w:rPr>
          <w:rFonts w:eastAsia="仿宋_GB2312"/>
          <w:color w:val="000000"/>
          <w:kern w:val="0"/>
          <w:sz w:val="30"/>
          <w:szCs w:val="32"/>
        </w:rPr>
        <w:t>完毕并组织监理人、承包人、设计人等相关单位完成竣工验收。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13.2.3竣工日期</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工程经竣工验收合格的，以承包人提交竣工验收申请报告之日为实际竣工日期，并在工程接收证书中载明；因发包人原因，未在监理人收到承包人提交的竣工验收申请报告42天内完成</w:t>
      </w:r>
      <w:r>
        <w:rPr>
          <w:rFonts w:hint="eastAsia" w:eastAsia="仿宋_GB2312"/>
          <w:color w:val="000000"/>
          <w:kern w:val="0"/>
          <w:sz w:val="30"/>
          <w:szCs w:val="32"/>
        </w:rPr>
        <w:t>竣工</w:t>
      </w:r>
      <w:r>
        <w:rPr>
          <w:rFonts w:eastAsia="仿宋_GB2312"/>
          <w:color w:val="000000"/>
          <w:kern w:val="0"/>
          <w:sz w:val="30"/>
          <w:szCs w:val="32"/>
        </w:rPr>
        <w:t>验收</w:t>
      </w:r>
      <w:r>
        <w:rPr>
          <w:rFonts w:hint="eastAsia" w:eastAsia="仿宋_GB2312"/>
          <w:color w:val="000000"/>
          <w:kern w:val="0"/>
          <w:sz w:val="30"/>
          <w:szCs w:val="32"/>
        </w:rPr>
        <w:t>，或完成竣工验收不予签发工程接收证书</w:t>
      </w:r>
      <w:r>
        <w:rPr>
          <w:rFonts w:eastAsia="仿宋_GB2312"/>
          <w:color w:val="000000"/>
          <w:kern w:val="0"/>
          <w:sz w:val="30"/>
          <w:szCs w:val="32"/>
        </w:rPr>
        <w:t>的，以提交竣工验</w:t>
      </w:r>
      <w:bookmarkStart w:id="1172" w:name="#go14"/>
      <w:bookmarkEnd w:id="1172"/>
      <w:r>
        <w:rPr>
          <w:rFonts w:eastAsia="仿宋_GB2312"/>
          <w:color w:val="000000"/>
          <w:kern w:val="0"/>
          <w:sz w:val="30"/>
          <w:szCs w:val="32"/>
        </w:rPr>
        <w:t>收申请报告的日期为实际竣工日期；工程未经竣工验收，发包人擅自使用的，以转移占有工程之日为实际竣工日期。</w:t>
      </w:r>
    </w:p>
    <w:p>
      <w:pPr>
        <w:spacing w:line="360" w:lineRule="auto"/>
        <w:ind w:firstLine="600" w:firstLineChars="200"/>
        <w:jc w:val="left"/>
        <w:outlineLvl w:val="0"/>
        <w:rPr>
          <w:rFonts w:eastAsia="仿宋_GB2312"/>
          <w:color w:val="000000"/>
          <w:kern w:val="0"/>
          <w:sz w:val="30"/>
          <w:szCs w:val="32"/>
        </w:rPr>
      </w:pPr>
      <w:bookmarkStart w:id="1173" w:name="_Toc22780"/>
      <w:r>
        <w:rPr>
          <w:rFonts w:eastAsia="仿宋_GB2312"/>
          <w:color w:val="000000"/>
          <w:kern w:val="0"/>
          <w:sz w:val="30"/>
          <w:szCs w:val="32"/>
        </w:rPr>
        <w:t>13.2.4 拒绝接收全部或部分工程</w:t>
      </w:r>
      <w:bookmarkEnd w:id="1173"/>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对于竣工验收不合格的工程，承包人完成整改后，</w:t>
      </w:r>
      <w:r>
        <w:rPr>
          <w:rFonts w:hint="eastAsia" w:eastAsia="仿宋_GB2312"/>
          <w:color w:val="000000"/>
          <w:kern w:val="0"/>
          <w:sz w:val="30"/>
          <w:szCs w:val="32"/>
        </w:rPr>
        <w:t>应当</w:t>
      </w:r>
      <w:r>
        <w:rPr>
          <w:rFonts w:eastAsia="仿宋_GB2312"/>
          <w:color w:val="000000"/>
          <w:kern w:val="0"/>
          <w:sz w:val="30"/>
          <w:szCs w:val="32"/>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13.2.5 移交、接收全部与部分工程</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除专用合同条款另有约定外，</w:t>
      </w:r>
      <w:r>
        <w:rPr>
          <w:rFonts w:eastAsia="仿宋_GB2312"/>
          <w:color w:val="000000"/>
          <w:kern w:val="0"/>
          <w:sz w:val="30"/>
          <w:szCs w:val="32"/>
        </w:rPr>
        <w:t>合同当事人应当在颁发工程接收证书</w:t>
      </w:r>
      <w:r>
        <w:rPr>
          <w:rFonts w:hint="eastAsia" w:eastAsia="仿宋_GB2312"/>
          <w:color w:val="000000"/>
          <w:kern w:val="0"/>
          <w:sz w:val="30"/>
          <w:szCs w:val="32"/>
        </w:rPr>
        <w:t>后7天内</w:t>
      </w:r>
      <w:r>
        <w:rPr>
          <w:rFonts w:eastAsia="仿宋_GB2312"/>
          <w:color w:val="000000"/>
          <w:kern w:val="0"/>
          <w:sz w:val="30"/>
          <w:szCs w:val="32"/>
        </w:rPr>
        <w:t>完成工程的移交。</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发包人无正当理由不接收工程的，发包人自</w:t>
      </w:r>
      <w:r>
        <w:rPr>
          <w:rFonts w:hint="eastAsia" w:eastAsia="仿宋_GB2312"/>
          <w:color w:val="000000"/>
          <w:kern w:val="0"/>
          <w:sz w:val="30"/>
          <w:szCs w:val="32"/>
        </w:rPr>
        <w:t>应当接收工程</w:t>
      </w:r>
      <w:r>
        <w:rPr>
          <w:rFonts w:eastAsia="仿宋_GB2312"/>
          <w:color w:val="000000"/>
          <w:kern w:val="0"/>
          <w:sz w:val="30"/>
          <w:szCs w:val="32"/>
        </w:rPr>
        <w:t>之日起，承担工程照管、成品保护、保管等与工程有关的各项费用</w:t>
      </w:r>
      <w:r>
        <w:rPr>
          <w:rFonts w:hint="eastAsia" w:eastAsia="仿宋_GB2312"/>
          <w:color w:val="000000"/>
          <w:kern w:val="0"/>
          <w:sz w:val="30"/>
          <w:szCs w:val="32"/>
        </w:rPr>
        <w:t>，合同当事人可以在专用合同条款中另行约定发包人逾期接收工程的违约责任</w:t>
      </w:r>
      <w:r>
        <w:rPr>
          <w:rFonts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承包人无正当理由不移交工程的，</w:t>
      </w:r>
      <w:r>
        <w:rPr>
          <w:rFonts w:hint="eastAsia" w:eastAsia="仿宋_GB2312"/>
          <w:color w:val="000000"/>
          <w:kern w:val="0"/>
          <w:sz w:val="30"/>
          <w:szCs w:val="32"/>
        </w:rPr>
        <w:t>承包人应承担</w:t>
      </w:r>
      <w:r>
        <w:rPr>
          <w:rFonts w:eastAsia="仿宋_GB2312"/>
          <w:color w:val="000000"/>
          <w:kern w:val="0"/>
          <w:sz w:val="30"/>
          <w:szCs w:val="32"/>
        </w:rPr>
        <w:t>工程照管、成品保护、保管等与工程有关的各项费用</w:t>
      </w:r>
      <w:r>
        <w:rPr>
          <w:rFonts w:hint="eastAsia" w:eastAsia="仿宋_GB2312"/>
          <w:color w:val="000000"/>
          <w:kern w:val="0"/>
          <w:sz w:val="30"/>
          <w:szCs w:val="32"/>
        </w:rPr>
        <w:t>，合同当事人可以在专用合同条款中另行约定承包人无正当理由不移交工程的违约责任</w:t>
      </w:r>
      <w:r>
        <w:rPr>
          <w:rFonts w:eastAsia="仿宋_GB2312"/>
          <w:color w:val="000000"/>
          <w:kern w:val="0"/>
          <w:sz w:val="30"/>
          <w:szCs w:val="32"/>
        </w:rPr>
        <w:t>。</w:t>
      </w:r>
    </w:p>
    <w:p>
      <w:pPr>
        <w:pStyle w:val="8"/>
        <w:spacing w:before="120" w:after="120" w:line="360" w:lineRule="auto"/>
        <w:ind w:firstLine="600" w:firstLineChars="200"/>
        <w:rPr>
          <w:rFonts w:eastAsia="黑体"/>
          <w:b w:val="0"/>
          <w:color w:val="000000"/>
          <w:sz w:val="30"/>
          <w:szCs w:val="32"/>
        </w:rPr>
      </w:pPr>
      <w:bookmarkStart w:id="1174" w:name="_Toc351203589"/>
      <w:bookmarkStart w:id="1175" w:name="_Toc337558807"/>
      <w:bookmarkStart w:id="1176" w:name="_Toc296503111"/>
      <w:bookmarkStart w:id="1177" w:name="_Toc296346612"/>
      <w:r>
        <w:rPr>
          <w:rFonts w:eastAsia="黑体"/>
          <w:b w:val="0"/>
          <w:color w:val="000000"/>
          <w:sz w:val="30"/>
          <w:szCs w:val="32"/>
        </w:rPr>
        <w:t>13.3工程试车</w:t>
      </w:r>
      <w:bookmarkEnd w:id="1174"/>
    </w:p>
    <w:bookmarkEnd w:id="1175"/>
    <w:bookmarkEnd w:id="1176"/>
    <w:bookmarkEnd w:id="1177"/>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13.3.1试车程序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工程需要试车的，除专用合同条款另有约定外，试车内容应与承包人承包范围相一致，试车费用由承包人承担。工程试车应按如下程序进行：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13.3.2 试车中的责任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13.3.3 投料试车</w:t>
      </w:r>
    </w:p>
    <w:p>
      <w:pPr>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如需进行投料试车的，</w:t>
      </w:r>
      <w:r>
        <w:rPr>
          <w:rFonts w:eastAsia="仿宋_GB2312"/>
          <w:color w:val="000000"/>
          <w:kern w:val="0"/>
          <w:sz w:val="30"/>
          <w:szCs w:val="32"/>
        </w:rPr>
        <w:t>发包人</w:t>
      </w:r>
      <w:r>
        <w:rPr>
          <w:rFonts w:hint="eastAsia" w:eastAsia="仿宋_GB2312"/>
          <w:color w:val="000000"/>
          <w:kern w:val="0"/>
          <w:sz w:val="30"/>
          <w:szCs w:val="32"/>
        </w:rPr>
        <w:t>应在</w:t>
      </w:r>
      <w:r>
        <w:rPr>
          <w:rFonts w:eastAsia="仿宋_GB2312"/>
          <w:color w:val="000000"/>
          <w:kern w:val="0"/>
          <w:sz w:val="30"/>
          <w:szCs w:val="32"/>
        </w:rPr>
        <w:t>工程竣工验收后</w:t>
      </w:r>
      <w:r>
        <w:rPr>
          <w:rFonts w:hint="eastAsia" w:eastAsia="仿宋_GB2312"/>
          <w:color w:val="000000"/>
          <w:kern w:val="0"/>
          <w:sz w:val="30"/>
          <w:szCs w:val="32"/>
        </w:rPr>
        <w:t>组织</w:t>
      </w:r>
      <w:r>
        <w:rPr>
          <w:rFonts w:eastAsia="仿宋_GB2312"/>
          <w:color w:val="000000"/>
          <w:kern w:val="0"/>
          <w:sz w:val="30"/>
          <w:szCs w:val="32"/>
        </w:rPr>
        <w:t>投料试车</w:t>
      </w:r>
      <w:r>
        <w:rPr>
          <w:rFonts w:hint="eastAsia" w:eastAsia="仿宋_GB2312"/>
          <w:color w:val="000000"/>
          <w:kern w:val="0"/>
          <w:sz w:val="30"/>
          <w:szCs w:val="32"/>
        </w:rPr>
        <w:t>。</w:t>
      </w:r>
      <w:r>
        <w:rPr>
          <w:rFonts w:eastAsia="仿宋_GB2312"/>
          <w:color w:val="000000"/>
          <w:kern w:val="0"/>
          <w:sz w:val="30"/>
          <w:szCs w:val="32"/>
        </w:rPr>
        <w:t>发包人要求在工程竣工验收前进行或需要承包人配合时，应征得承包人同意</w:t>
      </w:r>
      <w:r>
        <w:rPr>
          <w:rFonts w:hint="eastAsia" w:eastAsia="仿宋_GB2312"/>
          <w:color w:val="000000"/>
          <w:kern w:val="0"/>
          <w:sz w:val="30"/>
          <w:szCs w:val="32"/>
        </w:rPr>
        <w:t>，并在专用合同条款中约定有关事项</w:t>
      </w:r>
      <w:r>
        <w:rPr>
          <w:rFonts w:eastAsia="仿宋_GB2312"/>
          <w:color w:val="000000"/>
          <w:kern w:val="0"/>
          <w:sz w:val="30"/>
          <w:szCs w:val="32"/>
        </w:rPr>
        <w:t>。</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投料试车合格的，费用由发包人承担；因承包人原因造成投料试车不合格的，承包人应按照发包人要求进行整改，由此产生的整改费用由承包人承担；非因承包人原因导致投料试车不合格的，</w:t>
      </w:r>
      <w:r>
        <w:rPr>
          <w:rFonts w:hint="eastAsia" w:eastAsia="仿宋_GB2312"/>
          <w:color w:val="000000"/>
          <w:kern w:val="0"/>
          <w:sz w:val="30"/>
          <w:szCs w:val="32"/>
        </w:rPr>
        <w:t>如</w:t>
      </w:r>
      <w:r>
        <w:rPr>
          <w:rFonts w:eastAsia="仿宋_GB2312"/>
          <w:color w:val="000000"/>
          <w:kern w:val="0"/>
          <w:sz w:val="30"/>
          <w:szCs w:val="32"/>
        </w:rPr>
        <w:t>发包人要求承包人进行整改</w:t>
      </w:r>
      <w:r>
        <w:rPr>
          <w:rFonts w:hint="eastAsia" w:eastAsia="仿宋_GB2312"/>
          <w:color w:val="000000"/>
          <w:kern w:val="0"/>
          <w:sz w:val="30"/>
          <w:szCs w:val="32"/>
        </w:rPr>
        <w:t>的</w:t>
      </w:r>
      <w:r>
        <w:rPr>
          <w:rFonts w:eastAsia="仿宋_GB2312"/>
          <w:color w:val="000000"/>
          <w:kern w:val="0"/>
          <w:sz w:val="30"/>
          <w:szCs w:val="32"/>
        </w:rPr>
        <w:t>，由此产生的费用由发包人承担。</w:t>
      </w:r>
    </w:p>
    <w:p>
      <w:pPr>
        <w:pStyle w:val="8"/>
        <w:spacing w:before="120" w:after="120" w:line="360" w:lineRule="auto"/>
        <w:rPr>
          <w:rFonts w:eastAsia="黑体"/>
          <w:b w:val="0"/>
          <w:color w:val="000000"/>
          <w:sz w:val="30"/>
          <w:szCs w:val="32"/>
        </w:rPr>
      </w:pPr>
      <w:bookmarkStart w:id="1178" w:name="_Toc337558808"/>
      <w:r>
        <w:rPr>
          <w:rFonts w:eastAsia="黑体"/>
          <w:b w:val="0"/>
          <w:color w:val="000000"/>
          <w:sz w:val="30"/>
          <w:szCs w:val="32"/>
        </w:rPr>
        <w:t xml:space="preserve">    </w:t>
      </w:r>
      <w:bookmarkStart w:id="1179" w:name="_Toc351203590"/>
      <w:r>
        <w:rPr>
          <w:rFonts w:eastAsia="黑体"/>
          <w:b w:val="0"/>
          <w:color w:val="000000"/>
          <w:sz w:val="30"/>
          <w:szCs w:val="32"/>
        </w:rPr>
        <w:t>13.4提前交付单位工程的验收</w:t>
      </w:r>
      <w:bookmarkEnd w:id="1179"/>
    </w:p>
    <w:bookmarkEnd w:id="1178"/>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13.4.1 发包人需要在工程竣工前使用单位工程的，或承包人提出提前交付已经竣工的单位工程且经发包人同意的，可进行单位工程验收，验收的程序按照第13.2款</w:t>
      </w:r>
      <w:r>
        <w:rPr>
          <w:rFonts w:hint="eastAsia" w:eastAsia="仿宋_GB2312"/>
          <w:color w:val="000000"/>
          <w:kern w:val="0"/>
          <w:sz w:val="30"/>
          <w:szCs w:val="32"/>
        </w:rPr>
        <w:t>〔</w:t>
      </w:r>
      <w:r>
        <w:rPr>
          <w:rFonts w:eastAsia="仿宋_GB2312"/>
          <w:color w:val="000000"/>
          <w:kern w:val="0"/>
          <w:sz w:val="30"/>
          <w:szCs w:val="32"/>
        </w:rPr>
        <w:t>竣工验收</w:t>
      </w:r>
      <w:r>
        <w:rPr>
          <w:rFonts w:hint="eastAsia" w:eastAsia="仿宋_GB2312"/>
          <w:color w:val="000000"/>
          <w:kern w:val="0"/>
          <w:sz w:val="30"/>
          <w:szCs w:val="32"/>
        </w:rPr>
        <w:t>〕</w:t>
      </w:r>
      <w:r>
        <w:rPr>
          <w:rFonts w:eastAsia="仿宋_GB2312"/>
          <w:color w:val="000000"/>
          <w:kern w:val="0"/>
          <w:sz w:val="30"/>
          <w:szCs w:val="32"/>
        </w:rPr>
        <w:t>的约定进行。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13.4.2 发包人要求在工程竣工前交付单位工程，由此导致承包人费用增加和（或）工期延误的，由发包人承担由此增加的费用和（或）延误的工期，并支付承包人合理的利润。</w:t>
      </w:r>
    </w:p>
    <w:p>
      <w:pPr>
        <w:pStyle w:val="8"/>
        <w:spacing w:before="120" w:after="120" w:line="360" w:lineRule="auto"/>
        <w:ind w:firstLine="600" w:firstLineChars="200"/>
        <w:rPr>
          <w:rFonts w:eastAsia="黑体"/>
          <w:b w:val="0"/>
          <w:color w:val="000000"/>
          <w:sz w:val="30"/>
          <w:szCs w:val="32"/>
        </w:rPr>
      </w:pPr>
      <w:bookmarkStart w:id="1180" w:name="_Toc351203591"/>
      <w:r>
        <w:rPr>
          <w:rFonts w:eastAsia="黑体"/>
          <w:b w:val="0"/>
          <w:color w:val="000000"/>
          <w:sz w:val="30"/>
          <w:szCs w:val="32"/>
        </w:rPr>
        <w:t>13.5 施工期运行</w:t>
      </w:r>
      <w:bookmarkEnd w:id="1180"/>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13.5.1 施工期运行是指合同工程尚未全部竣工，其中某项或某几项单位工程或工程设备安装已竣工，根据专用合同条款约定，需要投入施工期运行的，经发包人按第13.4款</w:t>
      </w:r>
      <w:r>
        <w:rPr>
          <w:rFonts w:hint="eastAsia" w:eastAsia="仿宋_GB2312"/>
          <w:color w:val="000000"/>
          <w:kern w:val="0"/>
          <w:sz w:val="30"/>
          <w:szCs w:val="32"/>
        </w:rPr>
        <w:t>〔</w:t>
      </w:r>
      <w:r>
        <w:rPr>
          <w:rFonts w:eastAsia="仿宋_GB2312"/>
          <w:color w:val="000000"/>
          <w:kern w:val="0"/>
          <w:sz w:val="30"/>
          <w:szCs w:val="32"/>
        </w:rPr>
        <w:t>提前交付单位工程的验收</w:t>
      </w:r>
      <w:r>
        <w:rPr>
          <w:rFonts w:hint="eastAsia" w:eastAsia="仿宋_GB2312"/>
          <w:color w:val="000000"/>
          <w:kern w:val="0"/>
          <w:sz w:val="30"/>
          <w:szCs w:val="32"/>
        </w:rPr>
        <w:t>〕</w:t>
      </w:r>
      <w:r>
        <w:rPr>
          <w:rFonts w:eastAsia="仿宋_GB2312"/>
          <w:color w:val="000000"/>
          <w:kern w:val="0"/>
          <w:sz w:val="30"/>
          <w:szCs w:val="32"/>
        </w:rPr>
        <w:t>的约定验收合格，证明能确保安全后，才能在施工期投入运行。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13.5.2 在施工期运行中发现工程或工程设备损坏或存在缺陷的，由承包人按第15.2款</w:t>
      </w:r>
      <w:r>
        <w:rPr>
          <w:rFonts w:hint="eastAsia" w:eastAsia="仿宋_GB2312"/>
          <w:color w:val="000000"/>
          <w:kern w:val="0"/>
          <w:sz w:val="30"/>
          <w:szCs w:val="32"/>
        </w:rPr>
        <w:t>〔</w:t>
      </w:r>
      <w:r>
        <w:rPr>
          <w:rFonts w:eastAsia="仿宋_GB2312"/>
          <w:color w:val="000000"/>
          <w:kern w:val="0"/>
          <w:sz w:val="30"/>
          <w:szCs w:val="32"/>
        </w:rPr>
        <w:t>缺陷责任期</w:t>
      </w:r>
      <w:r>
        <w:rPr>
          <w:rFonts w:hint="eastAsia" w:eastAsia="仿宋_GB2312"/>
          <w:color w:val="000000"/>
          <w:kern w:val="0"/>
          <w:sz w:val="30"/>
          <w:szCs w:val="32"/>
        </w:rPr>
        <w:t>〕</w:t>
      </w:r>
      <w:r>
        <w:rPr>
          <w:rFonts w:eastAsia="仿宋_GB2312"/>
          <w:color w:val="000000"/>
          <w:kern w:val="0"/>
          <w:sz w:val="30"/>
          <w:szCs w:val="32"/>
        </w:rPr>
        <w:t>约定进行修复。</w:t>
      </w:r>
    </w:p>
    <w:p>
      <w:pPr>
        <w:pStyle w:val="8"/>
        <w:spacing w:before="120" w:after="120" w:line="360" w:lineRule="auto"/>
        <w:ind w:firstLine="600" w:firstLineChars="200"/>
        <w:rPr>
          <w:rFonts w:eastAsia="黑体"/>
          <w:b w:val="0"/>
          <w:color w:val="000000"/>
          <w:sz w:val="30"/>
          <w:szCs w:val="32"/>
        </w:rPr>
      </w:pPr>
      <w:bookmarkStart w:id="1181" w:name="_Toc296346613"/>
      <w:bookmarkStart w:id="1182" w:name="_Toc296503112"/>
      <w:bookmarkStart w:id="1183" w:name="_Toc351203592"/>
      <w:bookmarkStart w:id="1184" w:name="_Toc337558809"/>
      <w:r>
        <w:rPr>
          <w:rFonts w:eastAsia="黑体"/>
          <w:b w:val="0"/>
          <w:color w:val="000000"/>
          <w:sz w:val="30"/>
          <w:szCs w:val="32"/>
        </w:rPr>
        <w:t>13.6 竣工退</w:t>
      </w:r>
      <w:bookmarkEnd w:id="1181"/>
      <w:bookmarkEnd w:id="1182"/>
      <w:r>
        <w:rPr>
          <w:rFonts w:eastAsia="黑体"/>
          <w:b w:val="0"/>
          <w:color w:val="000000"/>
          <w:sz w:val="30"/>
          <w:szCs w:val="32"/>
        </w:rPr>
        <w:t>场</w:t>
      </w:r>
      <w:bookmarkEnd w:id="1183"/>
    </w:p>
    <w:bookmarkEnd w:id="1184"/>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13.6.1 竣工退场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颁发工程接收证书后，承包人应按以下要求对施工现场进行清理：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（1）施工现场内残留的垃圾已全部清除出场；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（2）临时工程已拆除，场地已进行清理、平整或复原；</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（3）按合同约定应撤离的人员、承包人施工设备和剩余的材料，包括废弃的施工设备和材料，已按计划撤离施工现场；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（4）施工现场周边及其附近道路、河道的施工堆积物，已全部清理；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（5）施工现场其他场地清理工作已全部完成。</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13.6.2 地表还原</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7"/>
        <w:spacing w:before="120" w:after="120" w:line="360" w:lineRule="auto"/>
        <w:rPr>
          <w:rFonts w:ascii="Times New Roman" w:hAnsi="Times New Roman" w:eastAsia="黑体"/>
          <w:b w:val="0"/>
          <w:color w:val="000000"/>
          <w:sz w:val="32"/>
          <w:szCs w:val="32"/>
        </w:rPr>
      </w:pPr>
      <w:bookmarkStart w:id="1185" w:name="_Toc351203593"/>
      <w:bookmarkStart w:id="1186" w:name="_Toc337558810"/>
      <w:bookmarkStart w:id="1187" w:name="_Toc296503113"/>
      <w:bookmarkStart w:id="1188" w:name="_Toc296346614"/>
      <w:r>
        <w:rPr>
          <w:rFonts w:ascii="Times New Roman" w:hAnsi="Times New Roman" w:eastAsia="黑体"/>
          <w:b w:val="0"/>
          <w:color w:val="000000"/>
          <w:sz w:val="32"/>
          <w:szCs w:val="32"/>
        </w:rPr>
        <w:t>14. 竣工结算</w:t>
      </w:r>
      <w:bookmarkEnd w:id="1185"/>
    </w:p>
    <w:bookmarkEnd w:id="1186"/>
    <w:p>
      <w:pPr>
        <w:pStyle w:val="8"/>
        <w:spacing w:before="120" w:after="120" w:line="360" w:lineRule="auto"/>
        <w:ind w:firstLine="600" w:firstLineChars="200"/>
        <w:rPr>
          <w:rFonts w:eastAsia="黑体"/>
          <w:b w:val="0"/>
          <w:color w:val="000000"/>
          <w:sz w:val="30"/>
          <w:szCs w:val="32"/>
        </w:rPr>
      </w:pPr>
      <w:bookmarkStart w:id="1189" w:name="_Toc351203594"/>
      <w:bookmarkStart w:id="1190" w:name="_Toc337558811"/>
      <w:r>
        <w:rPr>
          <w:rFonts w:eastAsia="黑体"/>
          <w:b w:val="0"/>
          <w:color w:val="000000"/>
          <w:sz w:val="30"/>
          <w:szCs w:val="32"/>
        </w:rPr>
        <w:t>14.1 竣工结算申请</w:t>
      </w:r>
      <w:bookmarkEnd w:id="1189"/>
    </w:p>
    <w:bookmarkEnd w:id="1190"/>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kern w:val="0"/>
          <w:sz w:val="30"/>
          <w:szCs w:val="32"/>
        </w:rPr>
        <w:t>除专用合同条款另有约定外，</w:t>
      </w:r>
      <w:r>
        <w:rPr>
          <w:rFonts w:eastAsia="仿宋_GB2312"/>
          <w:color w:val="000000"/>
          <w:sz w:val="30"/>
          <w:szCs w:val="32"/>
        </w:rPr>
        <w:t>承包人应在工程竣工验收合格后28天内向发包人和监理人提交竣工结算申请单，并提交完整的结算资料，</w:t>
      </w:r>
      <w:r>
        <w:rPr>
          <w:rFonts w:hint="eastAsia" w:eastAsia="仿宋_GB2312"/>
          <w:color w:val="000000"/>
          <w:sz w:val="30"/>
          <w:szCs w:val="32"/>
        </w:rPr>
        <w:t>有关</w:t>
      </w:r>
      <w:r>
        <w:rPr>
          <w:rFonts w:eastAsia="仿宋_GB2312"/>
          <w:color w:val="000000"/>
          <w:sz w:val="30"/>
          <w:szCs w:val="32"/>
        </w:rPr>
        <w:t>竣工结算申请单</w:t>
      </w:r>
      <w:r>
        <w:rPr>
          <w:rFonts w:hint="eastAsia" w:eastAsia="仿宋_GB2312"/>
          <w:color w:val="000000"/>
          <w:sz w:val="30"/>
          <w:szCs w:val="32"/>
        </w:rPr>
        <w:t>的资料清单和</w:t>
      </w:r>
      <w:r>
        <w:rPr>
          <w:rFonts w:eastAsia="仿宋_GB2312"/>
          <w:color w:val="000000"/>
          <w:sz w:val="30"/>
          <w:szCs w:val="32"/>
        </w:rPr>
        <w:t>份数</w:t>
      </w:r>
      <w:r>
        <w:rPr>
          <w:rFonts w:hint="eastAsia" w:eastAsia="仿宋_GB2312"/>
          <w:color w:val="000000"/>
          <w:sz w:val="30"/>
          <w:szCs w:val="32"/>
        </w:rPr>
        <w:t>等要求</w:t>
      </w:r>
      <w:r>
        <w:rPr>
          <w:rFonts w:eastAsia="仿宋_GB2312"/>
          <w:color w:val="000000"/>
          <w:sz w:val="30"/>
          <w:szCs w:val="32"/>
        </w:rPr>
        <w:t>由合同当事人在专用合同条款中约定。</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除专用合同条款另有约定外，竣工结算申请单应包括以下内容：</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（1）竣工结算合同价格；</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（2）发包人已支付承包人的款项；</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（3）应扣留的质量保证金</w:t>
      </w:r>
      <w:r>
        <w:rPr>
          <w:rFonts w:hint="eastAsia" w:eastAsia="仿宋_GB2312"/>
          <w:color w:val="000000"/>
          <w:sz w:val="30"/>
          <w:szCs w:val="32"/>
        </w:rPr>
        <w:t>。已缴纳履约保证金的或提供其他工程质量担保方式的除外</w:t>
      </w:r>
      <w:r>
        <w:rPr>
          <w:rFonts w:eastAsia="仿宋_GB2312"/>
          <w:color w:val="000000"/>
          <w:sz w:val="30"/>
          <w:szCs w:val="32"/>
        </w:rPr>
        <w:t xml:space="preserve">； </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（4）发包人应支付承包人的合同价款。</w:t>
      </w:r>
    </w:p>
    <w:p>
      <w:pPr>
        <w:pStyle w:val="8"/>
        <w:spacing w:before="120" w:after="120" w:line="360" w:lineRule="auto"/>
        <w:ind w:firstLine="600" w:firstLineChars="200"/>
        <w:rPr>
          <w:rFonts w:eastAsia="黑体"/>
          <w:b w:val="0"/>
          <w:color w:val="000000"/>
          <w:sz w:val="30"/>
          <w:szCs w:val="32"/>
        </w:rPr>
      </w:pPr>
      <w:bookmarkStart w:id="1191" w:name="_Toc351203595"/>
      <w:bookmarkStart w:id="1192" w:name="_Toc337558812"/>
      <w:r>
        <w:rPr>
          <w:rFonts w:eastAsia="黑体"/>
          <w:b w:val="0"/>
          <w:color w:val="000000"/>
          <w:sz w:val="30"/>
          <w:szCs w:val="32"/>
        </w:rPr>
        <w:t>14.2 竣工结算审核</w:t>
      </w:r>
      <w:bookmarkEnd w:id="1191"/>
    </w:p>
    <w:bookmarkEnd w:id="119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（1）除专用合同条款另有约定外，监理人应在收到竣工结算申请单后14天内完成核查并报送发包人。发包人应在收到监理人提交的经审核的竣工结算申请单后14天内完成</w:t>
      </w:r>
      <w:r>
        <w:rPr>
          <w:rFonts w:hint="eastAsia" w:eastAsia="仿宋_GB2312"/>
          <w:color w:val="000000"/>
          <w:kern w:val="0"/>
          <w:sz w:val="30"/>
          <w:szCs w:val="32"/>
        </w:rPr>
        <w:t>审批</w:t>
      </w:r>
      <w:r>
        <w:rPr>
          <w:rFonts w:eastAsia="仿宋_GB2312"/>
          <w:color w:val="000000"/>
          <w:kern w:val="0"/>
          <w:sz w:val="30"/>
          <w:szCs w:val="32"/>
        </w:rPr>
        <w:t>，并由监理人向承包人签发经发包人签认的竣工付款证书。监理人或</w:t>
      </w:r>
      <w:r>
        <w:rPr>
          <w:rFonts w:eastAsia="仿宋_GB2312"/>
          <w:color w:val="000000"/>
          <w:sz w:val="30"/>
          <w:szCs w:val="32"/>
        </w:rPr>
        <w:t>发包人对竣工</w:t>
      </w:r>
      <w:r>
        <w:rPr>
          <w:rFonts w:eastAsia="仿宋_GB2312"/>
          <w:color w:val="000000"/>
          <w:kern w:val="0"/>
          <w:sz w:val="30"/>
          <w:szCs w:val="32"/>
        </w:rPr>
        <w:t>结算</w:t>
      </w:r>
      <w:r>
        <w:rPr>
          <w:rFonts w:eastAsia="仿宋_GB2312"/>
          <w:color w:val="000000"/>
          <w:sz w:val="30"/>
          <w:szCs w:val="32"/>
        </w:rPr>
        <w:t>申请单有异议的，有权要求承包人进行修正和提供补充资料，承包人应提交修正后的竣工</w:t>
      </w:r>
      <w:r>
        <w:rPr>
          <w:rFonts w:eastAsia="仿宋_GB2312"/>
          <w:color w:val="000000"/>
          <w:kern w:val="0"/>
          <w:sz w:val="30"/>
          <w:szCs w:val="32"/>
        </w:rPr>
        <w:t>结算</w:t>
      </w:r>
      <w:r>
        <w:rPr>
          <w:rFonts w:eastAsia="仿宋_GB2312"/>
          <w:color w:val="000000"/>
          <w:sz w:val="30"/>
          <w:szCs w:val="32"/>
        </w:rPr>
        <w:t>申请单。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发包人在收到承包人提交竣工结算申请书后28天</w:t>
      </w:r>
      <w:r>
        <w:rPr>
          <w:rFonts w:hint="eastAsia" w:eastAsia="仿宋_GB2312"/>
          <w:color w:val="000000"/>
          <w:kern w:val="0"/>
          <w:sz w:val="30"/>
          <w:szCs w:val="32"/>
        </w:rPr>
        <w:t>内</w:t>
      </w:r>
      <w:r>
        <w:rPr>
          <w:rFonts w:eastAsia="仿宋_GB2312"/>
          <w:color w:val="000000"/>
          <w:kern w:val="0"/>
          <w:sz w:val="30"/>
          <w:szCs w:val="32"/>
        </w:rPr>
        <w:t>未完成</w:t>
      </w:r>
      <w:r>
        <w:rPr>
          <w:rFonts w:hint="eastAsia" w:eastAsia="仿宋_GB2312"/>
          <w:color w:val="000000"/>
          <w:kern w:val="0"/>
          <w:sz w:val="30"/>
          <w:szCs w:val="32"/>
        </w:rPr>
        <w:t>审批</w:t>
      </w:r>
      <w:r>
        <w:rPr>
          <w:rFonts w:eastAsia="仿宋_GB2312"/>
          <w:color w:val="000000"/>
          <w:kern w:val="0"/>
          <w:sz w:val="30"/>
          <w:szCs w:val="32"/>
        </w:rPr>
        <w:t>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（3）承包人对发包人签认的竣工付款证书有异议的，对于有异议部分应在收到发包人签认的竣工付款证书后7天内提出异议，并由合同当事人按照专用合同条款约定</w:t>
      </w:r>
      <w:r>
        <w:rPr>
          <w:rFonts w:hint="eastAsia" w:eastAsia="仿宋_GB2312"/>
          <w:color w:val="000000"/>
          <w:kern w:val="0"/>
          <w:sz w:val="30"/>
          <w:szCs w:val="32"/>
        </w:rPr>
        <w:t>的方式和程序</w:t>
      </w:r>
      <w:r>
        <w:rPr>
          <w:rFonts w:eastAsia="仿宋_GB2312"/>
          <w:color w:val="000000"/>
          <w:kern w:val="0"/>
          <w:sz w:val="30"/>
          <w:szCs w:val="32"/>
        </w:rPr>
        <w:t>进行复核，或按照第20条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约定处理。对于无异议部分，发包人应签发临时竣工付款证书，并按本款第（2）项完成付款</w:t>
      </w:r>
      <w:r>
        <w:rPr>
          <w:rFonts w:hint="eastAsia" w:eastAsia="仿宋_GB2312"/>
          <w:color w:val="000000"/>
          <w:kern w:val="0"/>
          <w:sz w:val="30"/>
          <w:szCs w:val="32"/>
        </w:rPr>
        <w:t>。</w:t>
      </w:r>
      <w:r>
        <w:rPr>
          <w:rFonts w:eastAsia="仿宋_GB2312"/>
          <w:color w:val="000000"/>
          <w:kern w:val="0"/>
          <w:sz w:val="30"/>
          <w:szCs w:val="32"/>
        </w:rPr>
        <w:t>承包人逾期未提出异议的，视为认可发包人的</w:t>
      </w:r>
      <w:r>
        <w:rPr>
          <w:rFonts w:hint="eastAsia" w:eastAsia="仿宋_GB2312"/>
          <w:color w:val="000000"/>
          <w:kern w:val="0"/>
          <w:sz w:val="30"/>
          <w:szCs w:val="32"/>
        </w:rPr>
        <w:t>审批</w:t>
      </w:r>
      <w:r>
        <w:rPr>
          <w:rFonts w:eastAsia="仿宋_GB2312"/>
          <w:color w:val="000000"/>
          <w:kern w:val="0"/>
          <w:sz w:val="30"/>
          <w:szCs w:val="32"/>
        </w:rPr>
        <w:t>结果。</w:t>
      </w:r>
    </w:p>
    <w:p>
      <w:pPr>
        <w:pStyle w:val="8"/>
        <w:spacing w:before="120" w:after="120" w:line="360" w:lineRule="auto"/>
        <w:ind w:firstLine="600" w:firstLineChars="200"/>
        <w:rPr>
          <w:rFonts w:eastAsia="黑体"/>
          <w:b w:val="0"/>
          <w:color w:val="000000"/>
          <w:sz w:val="30"/>
          <w:szCs w:val="32"/>
        </w:rPr>
      </w:pPr>
      <w:bookmarkStart w:id="1193" w:name="_Toc351203596"/>
      <w:bookmarkStart w:id="1194" w:name="_Toc337558813"/>
      <w:r>
        <w:rPr>
          <w:rFonts w:eastAsia="黑体"/>
          <w:b w:val="0"/>
          <w:color w:val="000000"/>
          <w:sz w:val="30"/>
          <w:szCs w:val="32"/>
        </w:rPr>
        <w:t>14.3 甩项竣工协议</w:t>
      </w:r>
      <w:bookmarkEnd w:id="1193"/>
    </w:p>
    <w:bookmarkEnd w:id="1194"/>
    <w:p>
      <w:pPr>
        <w:autoSpaceDE w:val="0"/>
        <w:autoSpaceDN w:val="0"/>
        <w:adjustRightInd w:val="0"/>
        <w:spacing w:line="360" w:lineRule="auto"/>
        <w:ind w:firstLine="588" w:firstLineChars="196"/>
        <w:jc w:val="left"/>
        <w:rPr>
          <w:rFonts w:eastAsia="仿宋_GB2312"/>
          <w:color w:val="000000"/>
          <w:kern w:val="0"/>
          <w:sz w:val="30"/>
          <w:szCs w:val="32"/>
        </w:rPr>
      </w:pPr>
      <w:r>
        <w:rPr>
          <w:rFonts w:eastAsia="仿宋_GB2312"/>
          <w:sz w:val="30"/>
          <w:szCs w:val="32"/>
        </w:rPr>
        <w:t>发包人要求甩项竣工的，合同当事人应签订甩项竣工协议。在甩项竣工协议中应明确，合同当事人按照第14.1款</w:t>
      </w:r>
      <w:r>
        <w:rPr>
          <w:rFonts w:hint="eastAsia" w:eastAsia="仿宋_GB2312"/>
          <w:sz w:val="30"/>
          <w:szCs w:val="32"/>
        </w:rPr>
        <w:t>〔</w:t>
      </w:r>
      <w:r>
        <w:rPr>
          <w:rFonts w:eastAsia="仿宋_GB2312"/>
          <w:sz w:val="30"/>
          <w:szCs w:val="32"/>
        </w:rPr>
        <w:t>竣工</w:t>
      </w:r>
      <w:r>
        <w:rPr>
          <w:rFonts w:hint="eastAsia" w:eastAsia="仿宋_GB2312"/>
          <w:sz w:val="30"/>
          <w:szCs w:val="32"/>
        </w:rPr>
        <w:t>结算</w:t>
      </w:r>
      <w:r>
        <w:rPr>
          <w:rFonts w:eastAsia="仿宋_GB2312"/>
          <w:sz w:val="30"/>
          <w:szCs w:val="32"/>
        </w:rPr>
        <w:t>申请</w:t>
      </w:r>
      <w:r>
        <w:rPr>
          <w:rFonts w:hint="eastAsia" w:eastAsia="仿宋_GB2312"/>
          <w:sz w:val="30"/>
          <w:szCs w:val="32"/>
        </w:rPr>
        <w:t>〕</w:t>
      </w:r>
      <w:r>
        <w:rPr>
          <w:rFonts w:eastAsia="仿宋_GB2312"/>
          <w:sz w:val="30"/>
          <w:szCs w:val="32"/>
        </w:rPr>
        <w:t>及14.2款</w:t>
      </w:r>
      <w:r>
        <w:rPr>
          <w:rFonts w:hint="eastAsia" w:eastAsia="仿宋_GB2312"/>
          <w:sz w:val="30"/>
          <w:szCs w:val="32"/>
        </w:rPr>
        <w:t>〔</w:t>
      </w:r>
      <w:r>
        <w:rPr>
          <w:rFonts w:eastAsia="仿宋_GB2312"/>
          <w:sz w:val="30"/>
          <w:szCs w:val="32"/>
        </w:rPr>
        <w:t>竣工结算审核</w:t>
      </w:r>
      <w:r>
        <w:rPr>
          <w:rFonts w:hint="eastAsia" w:eastAsia="仿宋_GB2312"/>
          <w:sz w:val="30"/>
          <w:szCs w:val="32"/>
        </w:rPr>
        <w:t>〕</w:t>
      </w:r>
      <w:r>
        <w:rPr>
          <w:rFonts w:eastAsia="仿宋_GB2312"/>
          <w:sz w:val="30"/>
          <w:szCs w:val="32"/>
        </w:rPr>
        <w:t>的约定，</w:t>
      </w:r>
      <w:r>
        <w:rPr>
          <w:rFonts w:hint="eastAsia" w:eastAsia="仿宋_GB2312"/>
          <w:sz w:val="30"/>
          <w:szCs w:val="32"/>
        </w:rPr>
        <w:t>对已</w:t>
      </w:r>
      <w:r>
        <w:rPr>
          <w:rFonts w:eastAsia="仿宋_GB2312"/>
          <w:sz w:val="30"/>
          <w:szCs w:val="32"/>
        </w:rPr>
        <w:t>完合格工程</w:t>
      </w:r>
      <w:r>
        <w:rPr>
          <w:rFonts w:hint="eastAsia" w:eastAsia="仿宋_GB2312"/>
          <w:sz w:val="30"/>
          <w:szCs w:val="32"/>
        </w:rPr>
        <w:t>进行</w:t>
      </w:r>
      <w:r>
        <w:rPr>
          <w:rFonts w:eastAsia="仿宋_GB2312"/>
          <w:sz w:val="30"/>
          <w:szCs w:val="32"/>
        </w:rPr>
        <w:t>结算，并支付相应</w:t>
      </w:r>
      <w:r>
        <w:rPr>
          <w:rFonts w:hint="eastAsia" w:eastAsia="仿宋_GB2312"/>
          <w:sz w:val="30"/>
          <w:szCs w:val="32"/>
        </w:rPr>
        <w:t>合同</w:t>
      </w:r>
      <w:r>
        <w:rPr>
          <w:rFonts w:eastAsia="仿宋_GB2312"/>
          <w:sz w:val="30"/>
          <w:szCs w:val="32"/>
        </w:rPr>
        <w:t>价款。</w:t>
      </w:r>
    </w:p>
    <w:p>
      <w:pPr>
        <w:pStyle w:val="8"/>
        <w:spacing w:before="120" w:after="120" w:line="360" w:lineRule="auto"/>
        <w:ind w:firstLine="600" w:firstLineChars="200"/>
        <w:rPr>
          <w:rFonts w:eastAsia="黑体"/>
          <w:b w:val="0"/>
          <w:color w:val="000000"/>
          <w:sz w:val="30"/>
          <w:szCs w:val="32"/>
        </w:rPr>
      </w:pPr>
      <w:bookmarkStart w:id="1195" w:name="_Toc351203597"/>
      <w:bookmarkStart w:id="1196" w:name="_Toc337558814"/>
      <w:r>
        <w:rPr>
          <w:rFonts w:eastAsia="黑体"/>
          <w:b w:val="0"/>
          <w:color w:val="000000"/>
          <w:sz w:val="30"/>
          <w:szCs w:val="32"/>
        </w:rPr>
        <w:t>14.4 最终结清</w:t>
      </w:r>
      <w:bookmarkEnd w:id="1195"/>
    </w:p>
    <w:bookmarkEnd w:id="119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14.4.1 最终结清申请单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除专用合同条款另有约定外，</w:t>
      </w:r>
      <w:r>
        <w:rPr>
          <w:rFonts w:eastAsia="仿宋_GB2312"/>
          <w:color w:val="000000"/>
          <w:kern w:val="0"/>
          <w:sz w:val="30"/>
          <w:szCs w:val="32"/>
        </w:rPr>
        <w:t>最终结清申请单</w:t>
      </w:r>
      <w:r>
        <w:rPr>
          <w:rFonts w:eastAsia="仿宋_GB2312"/>
          <w:color w:val="000000"/>
          <w:sz w:val="30"/>
          <w:szCs w:val="32"/>
        </w:rPr>
        <w:t>应列明质量保证金、应扣除的质量保证金、缺陷责任期内发生的增减费用。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14.4.2 最终结清证书和支付</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（1）除专用合同条款另有约定外，发包人应在收到承包人提交的最终结清申请单后14天内完成审批并向承包人颁发最终结清证书。发包人逾期未完成</w:t>
      </w:r>
      <w:r>
        <w:rPr>
          <w:rFonts w:hint="eastAsia" w:eastAsia="仿宋_GB2312"/>
          <w:color w:val="000000"/>
          <w:kern w:val="0"/>
          <w:sz w:val="30"/>
          <w:szCs w:val="32"/>
        </w:rPr>
        <w:t>审批</w:t>
      </w:r>
      <w:r>
        <w:rPr>
          <w:rFonts w:eastAsia="仿宋_GB2312"/>
          <w:color w:val="000000"/>
          <w:kern w:val="0"/>
          <w:sz w:val="30"/>
          <w:szCs w:val="32"/>
        </w:rPr>
        <w:t>，又未提出修改意见的，视为发包人同意承包人提交的最终结清申请单，且自发包人收到承包人提交的最终结清申请单后15天起视为已颁发最终结清证书。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（3）承包人对发包人颁发的最终结清证书有异议的，按第20条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的约定办理。</w:t>
      </w:r>
    </w:p>
    <w:p>
      <w:pPr>
        <w:pStyle w:val="7"/>
        <w:spacing w:before="120" w:after="120" w:line="360" w:lineRule="auto"/>
        <w:rPr>
          <w:rFonts w:ascii="Times New Roman" w:hAnsi="Times New Roman" w:eastAsia="黑体"/>
          <w:b w:val="0"/>
          <w:color w:val="000000"/>
          <w:sz w:val="32"/>
          <w:szCs w:val="32"/>
        </w:rPr>
      </w:pPr>
      <w:bookmarkStart w:id="1197" w:name="_Toc351203598"/>
      <w:bookmarkStart w:id="1198" w:name="_Toc337558815"/>
      <w:r>
        <w:rPr>
          <w:rFonts w:ascii="Times New Roman" w:hAnsi="Times New Roman" w:eastAsia="黑体"/>
          <w:b w:val="0"/>
          <w:color w:val="000000"/>
          <w:sz w:val="32"/>
          <w:szCs w:val="32"/>
        </w:rPr>
        <w:t>15. 缺陷责任与保修</w:t>
      </w:r>
      <w:bookmarkEnd w:id="1197"/>
    </w:p>
    <w:bookmarkEnd w:id="1187"/>
    <w:bookmarkEnd w:id="1188"/>
    <w:bookmarkEnd w:id="1198"/>
    <w:p>
      <w:pPr>
        <w:pStyle w:val="8"/>
        <w:spacing w:before="120" w:after="120" w:line="360" w:lineRule="auto"/>
        <w:ind w:firstLine="600" w:firstLineChars="200"/>
        <w:rPr>
          <w:rFonts w:eastAsia="黑体"/>
          <w:b w:val="0"/>
          <w:color w:val="000000"/>
          <w:sz w:val="30"/>
          <w:szCs w:val="32"/>
        </w:rPr>
      </w:pPr>
      <w:bookmarkStart w:id="1199" w:name="_Toc351203599"/>
      <w:bookmarkStart w:id="1200" w:name="_Toc337558816"/>
      <w:bookmarkStart w:id="1201" w:name="_Toc296346615"/>
      <w:bookmarkStart w:id="1202" w:name="_Toc296503114"/>
      <w:r>
        <w:rPr>
          <w:rFonts w:eastAsia="黑体"/>
          <w:b w:val="0"/>
          <w:color w:val="000000"/>
          <w:sz w:val="30"/>
          <w:szCs w:val="32"/>
        </w:rPr>
        <w:t>15.1 工程保修的原则</w:t>
      </w:r>
      <w:bookmarkEnd w:id="1199"/>
    </w:p>
    <w:bookmarkEnd w:id="1200"/>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在工程移交发包人后，因承包人原因产生的质量缺陷，承包人应承担质量缺陷责任和保修义务。缺陷责任期届满，承包人仍应按合同约定的工程各部位保修年限承担保修义务。</w:t>
      </w:r>
    </w:p>
    <w:p>
      <w:pPr>
        <w:pStyle w:val="8"/>
        <w:spacing w:before="120" w:after="120" w:line="360" w:lineRule="auto"/>
        <w:ind w:firstLine="600" w:firstLineChars="200"/>
        <w:rPr>
          <w:rFonts w:eastAsia="黑体"/>
          <w:b w:val="0"/>
          <w:color w:val="000000"/>
          <w:sz w:val="30"/>
          <w:szCs w:val="32"/>
        </w:rPr>
      </w:pPr>
      <w:bookmarkStart w:id="1203" w:name="_Toc351203600"/>
      <w:bookmarkStart w:id="1204" w:name="_Toc337558817"/>
      <w:r>
        <w:rPr>
          <w:rFonts w:eastAsia="黑体"/>
          <w:b w:val="0"/>
          <w:color w:val="000000"/>
          <w:sz w:val="30"/>
          <w:szCs w:val="32"/>
        </w:rPr>
        <w:t>15.2 缺陷责任期</w:t>
      </w:r>
      <w:bookmarkEnd w:id="1201"/>
      <w:bookmarkEnd w:id="1202"/>
      <w:bookmarkEnd w:id="1203"/>
    </w:p>
    <w:bookmarkEnd w:id="1204"/>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15.2.1 缺陷责任期</w:t>
      </w:r>
      <w:r>
        <w:rPr>
          <w:rFonts w:hint="eastAsia" w:eastAsia="仿宋_GB2312"/>
          <w:color w:val="000000"/>
          <w:kern w:val="0"/>
          <w:sz w:val="30"/>
          <w:szCs w:val="32"/>
        </w:rPr>
        <w:t>从工程通过竣工验收之日</w:t>
      </w:r>
      <w:r>
        <w:rPr>
          <w:rFonts w:eastAsia="仿宋_GB2312"/>
          <w:color w:val="000000"/>
          <w:kern w:val="0"/>
          <w:sz w:val="30"/>
          <w:szCs w:val="32"/>
        </w:rPr>
        <w:t>起计算，合同当事人应在专用合同条款约定缺陷责任期的具体期限，但该期限最长不超过24个月。</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单位工程先于全部工程进行验收，经验收合格并交付使用的，该单位工程缺陷责任期自单位工程验收合格之日起算。</w:t>
      </w:r>
      <w:r>
        <w:rPr>
          <w:rFonts w:hint="eastAsia" w:eastAsia="仿宋_GB2312"/>
          <w:color w:val="000000"/>
          <w:kern w:val="0"/>
          <w:sz w:val="30"/>
          <w:szCs w:val="32"/>
        </w:rPr>
        <w:t>因承包人原因导致工程无法按合同约定期限进行竣工验收的，缺陷责任期从实际通过竣工验收之日起计算。</w:t>
      </w:r>
      <w:r>
        <w:rPr>
          <w:rFonts w:eastAsia="仿宋_GB2312"/>
          <w:color w:val="000000"/>
          <w:kern w:val="0"/>
          <w:sz w:val="30"/>
          <w:szCs w:val="32"/>
        </w:rPr>
        <w:t>因发包人原因导致工程无法按合同约定期限进行竣工验收的，</w:t>
      </w:r>
      <w:r>
        <w:rPr>
          <w:rFonts w:hint="eastAsia" w:eastAsia="仿宋_GB2312"/>
          <w:color w:val="000000"/>
          <w:kern w:val="0"/>
          <w:sz w:val="30"/>
          <w:szCs w:val="32"/>
        </w:rPr>
        <w:t>在承包人提交竣工验收报告90天后，工程自动进入缺陷责任期</w:t>
      </w:r>
      <w:r>
        <w:rPr>
          <w:rFonts w:eastAsia="仿宋_GB2312"/>
          <w:color w:val="000000"/>
          <w:kern w:val="0"/>
          <w:sz w:val="30"/>
          <w:szCs w:val="32"/>
        </w:rPr>
        <w:t>；发包人未经竣工验收擅自使用工程的，缺陷责任期自工程转移占有之日起开始计算。</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15.2.2</w:t>
      </w:r>
      <w:r>
        <w:rPr>
          <w:rFonts w:hint="eastAsia" w:eastAsia="仿宋_GB2312"/>
          <w:color w:val="000000"/>
          <w:kern w:val="0"/>
          <w:sz w:val="30"/>
          <w:szCs w:val="32"/>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eastAsia="仿宋_GB2312"/>
          <w:color w:val="000000"/>
          <w:kern w:val="0"/>
          <w:sz w:val="30"/>
          <w:szCs w:val="32"/>
        </w:rPr>
        <w:t>发包人有权要求承</w:t>
      </w:r>
      <w:r>
        <w:rPr>
          <w:rFonts w:eastAsia="仿宋_GB2312"/>
          <w:bCs/>
          <w:color w:val="000000"/>
          <w:sz w:val="30"/>
          <w:szCs w:val="32"/>
        </w:rPr>
        <w:t>包人延长缺陷责任期，</w:t>
      </w:r>
      <w:r>
        <w:rPr>
          <w:rFonts w:eastAsia="仿宋_GB2312"/>
          <w:color w:val="000000"/>
          <w:kern w:val="0"/>
          <w:sz w:val="30"/>
          <w:szCs w:val="32"/>
        </w:rPr>
        <w:t>并应在原缺陷责任期届满前发出延长通知</w:t>
      </w:r>
      <w:r>
        <w:rPr>
          <w:rFonts w:hint="eastAsia" w:eastAsia="仿宋_GB2312"/>
          <w:color w:val="000000"/>
          <w:kern w:val="0"/>
          <w:sz w:val="30"/>
          <w:szCs w:val="32"/>
        </w:rPr>
        <w:t>。</w:t>
      </w:r>
      <w:r>
        <w:rPr>
          <w:rFonts w:eastAsia="仿宋_GB2312"/>
          <w:bCs/>
          <w:color w:val="000000"/>
          <w:sz w:val="30"/>
          <w:szCs w:val="32"/>
        </w:rPr>
        <w:t>但缺陷责任期</w:t>
      </w:r>
      <w:r>
        <w:rPr>
          <w:rFonts w:hint="eastAsia" w:eastAsia="仿宋_GB2312"/>
          <w:bCs/>
          <w:color w:val="000000"/>
          <w:sz w:val="30"/>
          <w:szCs w:val="32"/>
        </w:rPr>
        <w:t>（含延长部分）</w:t>
      </w:r>
      <w:r>
        <w:rPr>
          <w:rFonts w:eastAsia="仿宋_GB2312"/>
          <w:bCs/>
          <w:color w:val="000000"/>
          <w:sz w:val="30"/>
          <w:szCs w:val="32"/>
        </w:rPr>
        <w:t>最长</w:t>
      </w:r>
      <w:r>
        <w:rPr>
          <w:rFonts w:eastAsia="仿宋_GB2312"/>
          <w:color w:val="000000"/>
          <w:kern w:val="0"/>
          <w:sz w:val="30"/>
          <w:szCs w:val="32"/>
        </w:rPr>
        <w:t>不能超过24个月。</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由他人原因造成的缺陷，发包人负责组织维修，承包人不承担费用，且发包人不得从保证金中扣除费用。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15.2.4</w:t>
      </w:r>
      <w:r>
        <w:rPr>
          <w:rFonts w:hint="eastAsia" w:eastAsia="仿宋_GB2312"/>
          <w:color w:val="000000"/>
          <w:kern w:val="0"/>
          <w:sz w:val="30"/>
          <w:szCs w:val="32"/>
        </w:rPr>
        <w:t xml:space="preserve"> </w:t>
      </w:r>
      <w:r>
        <w:rPr>
          <w:rFonts w:eastAsia="仿宋_GB2312"/>
          <w:color w:val="000000"/>
          <w:kern w:val="0"/>
          <w:sz w:val="30"/>
          <w:szCs w:val="32"/>
        </w:rPr>
        <w:t>除专用合同条款另有约定外，承包人应于缺陷责任期届满后7天内向发包人发出缺陷责任期</w:t>
      </w:r>
      <w:r>
        <w:rPr>
          <w:rFonts w:hint="eastAsia" w:eastAsia="仿宋_GB2312"/>
          <w:color w:val="000000"/>
          <w:kern w:val="0"/>
          <w:sz w:val="30"/>
          <w:szCs w:val="32"/>
        </w:rPr>
        <w:t>届</w:t>
      </w:r>
      <w:r>
        <w:rPr>
          <w:rFonts w:eastAsia="仿宋_GB2312"/>
          <w:color w:val="000000"/>
          <w:kern w:val="0"/>
          <w:sz w:val="30"/>
          <w:szCs w:val="32"/>
        </w:rPr>
        <w:t>满通知，发包人应在</w:t>
      </w:r>
      <w:r>
        <w:rPr>
          <w:rFonts w:hint="eastAsia" w:eastAsia="仿宋_GB2312"/>
          <w:color w:val="000000"/>
          <w:kern w:val="0"/>
          <w:sz w:val="30"/>
          <w:szCs w:val="32"/>
        </w:rPr>
        <w:t>收</w:t>
      </w:r>
      <w:r>
        <w:rPr>
          <w:rFonts w:eastAsia="仿宋_GB2312"/>
          <w:color w:val="000000"/>
          <w:kern w:val="0"/>
          <w:sz w:val="30"/>
          <w:szCs w:val="32"/>
        </w:rPr>
        <w:t>到缺陷责任期满通知后14天内核实承包人是否履行缺陷</w:t>
      </w:r>
      <w:r>
        <w:rPr>
          <w:rFonts w:hint="eastAsia" w:eastAsia="仿宋_GB2312"/>
          <w:color w:val="000000"/>
          <w:kern w:val="0"/>
          <w:sz w:val="30"/>
          <w:szCs w:val="32"/>
        </w:rPr>
        <w:t>修复</w:t>
      </w:r>
      <w:r>
        <w:rPr>
          <w:rFonts w:eastAsia="仿宋_GB2312"/>
          <w:color w:val="000000"/>
          <w:kern w:val="0"/>
          <w:sz w:val="30"/>
          <w:szCs w:val="32"/>
        </w:rPr>
        <w:t>义务，承包人未能履行缺陷</w:t>
      </w:r>
      <w:r>
        <w:rPr>
          <w:rFonts w:hint="eastAsia" w:eastAsia="仿宋_GB2312"/>
          <w:color w:val="000000"/>
          <w:kern w:val="0"/>
          <w:sz w:val="30"/>
          <w:szCs w:val="32"/>
        </w:rPr>
        <w:t>修复</w:t>
      </w:r>
      <w:r>
        <w:rPr>
          <w:rFonts w:eastAsia="仿宋_GB2312"/>
          <w:color w:val="000000"/>
          <w:kern w:val="0"/>
          <w:sz w:val="30"/>
          <w:szCs w:val="32"/>
        </w:rPr>
        <w:t>义务的，发包人有权扣除相应金额的维修费用。发包人应在</w:t>
      </w:r>
      <w:r>
        <w:rPr>
          <w:rFonts w:hint="eastAsia" w:eastAsia="仿宋_GB2312"/>
          <w:color w:val="000000"/>
          <w:kern w:val="0"/>
          <w:sz w:val="30"/>
          <w:szCs w:val="32"/>
        </w:rPr>
        <w:t>收到</w:t>
      </w:r>
      <w:r>
        <w:rPr>
          <w:rFonts w:eastAsia="仿宋_GB2312"/>
          <w:color w:val="000000"/>
          <w:kern w:val="0"/>
          <w:sz w:val="30"/>
          <w:szCs w:val="32"/>
        </w:rPr>
        <w:t>缺陷责任期</w:t>
      </w:r>
      <w:r>
        <w:rPr>
          <w:rFonts w:hint="eastAsia" w:eastAsia="仿宋_GB2312"/>
          <w:color w:val="000000"/>
          <w:kern w:val="0"/>
          <w:sz w:val="30"/>
          <w:szCs w:val="32"/>
        </w:rPr>
        <w:t>届</w:t>
      </w:r>
      <w:r>
        <w:rPr>
          <w:rFonts w:eastAsia="仿宋_GB2312"/>
          <w:color w:val="000000"/>
          <w:kern w:val="0"/>
          <w:sz w:val="30"/>
          <w:szCs w:val="32"/>
        </w:rPr>
        <w:t>满</w:t>
      </w:r>
      <w:r>
        <w:rPr>
          <w:rFonts w:hint="eastAsia" w:eastAsia="仿宋_GB2312"/>
          <w:color w:val="000000"/>
          <w:kern w:val="0"/>
          <w:sz w:val="30"/>
          <w:szCs w:val="32"/>
        </w:rPr>
        <w:t>通知后</w:t>
      </w:r>
      <w:r>
        <w:rPr>
          <w:rFonts w:eastAsia="仿宋_GB2312"/>
          <w:color w:val="000000"/>
          <w:kern w:val="0"/>
          <w:sz w:val="30"/>
          <w:szCs w:val="32"/>
        </w:rPr>
        <w:t>14天内，向承包人颁发缺陷责任期终止证</w:t>
      </w:r>
      <w:r>
        <w:rPr>
          <w:rFonts w:hint="eastAsia" w:eastAsia="仿宋_GB2312"/>
          <w:color w:val="000000"/>
          <w:kern w:val="0"/>
          <w:sz w:val="30"/>
          <w:szCs w:val="32"/>
        </w:rPr>
        <w:t>书</w:t>
      </w:r>
      <w:r>
        <w:rPr>
          <w:rFonts w:eastAsia="仿宋_GB2312"/>
          <w:color w:val="000000"/>
          <w:kern w:val="0"/>
          <w:sz w:val="30"/>
          <w:szCs w:val="32"/>
        </w:rPr>
        <w:t>。</w:t>
      </w:r>
    </w:p>
    <w:p>
      <w:pPr>
        <w:pStyle w:val="8"/>
        <w:spacing w:before="120" w:after="120" w:line="360" w:lineRule="auto"/>
        <w:ind w:firstLine="600" w:firstLineChars="200"/>
        <w:rPr>
          <w:rFonts w:eastAsia="黑体"/>
          <w:b w:val="0"/>
          <w:color w:val="000000"/>
          <w:sz w:val="30"/>
          <w:szCs w:val="32"/>
        </w:rPr>
      </w:pPr>
      <w:bookmarkStart w:id="1205" w:name="_Toc351203601"/>
      <w:bookmarkStart w:id="1206" w:name="_Toc337558818"/>
      <w:bookmarkStart w:id="1207" w:name="_Toc296346616"/>
      <w:bookmarkStart w:id="1208" w:name="_Toc296503115"/>
      <w:r>
        <w:rPr>
          <w:rFonts w:eastAsia="黑体"/>
          <w:b w:val="0"/>
          <w:color w:val="000000"/>
          <w:sz w:val="30"/>
          <w:szCs w:val="32"/>
        </w:rPr>
        <w:t>15.3 质量保证金</w:t>
      </w:r>
      <w:bookmarkEnd w:id="1205"/>
    </w:p>
    <w:bookmarkEnd w:id="1206"/>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经合同当事人协商一致扣留质量保证金的，应在专用合同条款中予以明确。</w:t>
      </w:r>
    </w:p>
    <w:p>
      <w:pPr>
        <w:spacing w:line="360" w:lineRule="auto"/>
        <w:ind w:firstLine="600" w:firstLineChars="200"/>
        <w:jc w:val="left"/>
        <w:rPr>
          <w:rFonts w:eastAsia="仿宋_GB2312"/>
          <w:color w:val="000000"/>
          <w:sz w:val="30"/>
          <w:szCs w:val="32"/>
        </w:rPr>
      </w:pPr>
      <w:r>
        <w:rPr>
          <w:rFonts w:hint="eastAsia" w:eastAsia="仿宋_GB2312"/>
          <w:color w:val="000000"/>
          <w:sz w:val="30"/>
          <w:szCs w:val="32"/>
        </w:rPr>
        <w:t>在工程项目竣工前，承包人已经提供履约担保的，发包人不得同时预留工程质量保证金。</w:t>
      </w:r>
    </w:p>
    <w:p>
      <w:pPr>
        <w:autoSpaceDE w:val="0"/>
        <w:autoSpaceDN w:val="0"/>
        <w:adjustRightInd w:val="0"/>
        <w:spacing w:line="360" w:lineRule="auto"/>
        <w:ind w:firstLine="600" w:firstLineChars="200"/>
        <w:jc w:val="left"/>
        <w:rPr>
          <w:rFonts w:eastAsia="仿宋_GB2312"/>
          <w:color w:val="000000"/>
          <w:kern w:val="0"/>
          <w:sz w:val="30"/>
          <w:szCs w:val="32"/>
        </w:rPr>
      </w:pP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15.3.1 </w:t>
      </w:r>
      <w:r>
        <w:rPr>
          <w:rFonts w:hint="eastAsia" w:eastAsia="仿宋_GB2312"/>
          <w:color w:val="000000"/>
          <w:kern w:val="0"/>
          <w:sz w:val="30"/>
          <w:szCs w:val="32"/>
        </w:rPr>
        <w:t>承包人提供</w:t>
      </w:r>
      <w:r>
        <w:rPr>
          <w:rFonts w:eastAsia="仿宋_GB2312"/>
          <w:color w:val="000000"/>
          <w:kern w:val="0"/>
          <w:sz w:val="30"/>
          <w:szCs w:val="32"/>
        </w:rPr>
        <w:t>质量保证金的</w:t>
      </w:r>
      <w:r>
        <w:rPr>
          <w:rFonts w:hint="eastAsia" w:eastAsia="仿宋_GB2312"/>
          <w:color w:val="000000"/>
          <w:kern w:val="0"/>
          <w:sz w:val="30"/>
          <w:szCs w:val="32"/>
        </w:rPr>
        <w:t>方</w:t>
      </w:r>
      <w:r>
        <w:rPr>
          <w:rFonts w:eastAsia="仿宋_GB2312"/>
          <w:color w:val="000000"/>
          <w:kern w:val="0"/>
          <w:sz w:val="30"/>
          <w:szCs w:val="32"/>
        </w:rPr>
        <w:t>式</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承包人提供</w:t>
      </w:r>
      <w:r>
        <w:rPr>
          <w:rFonts w:eastAsia="仿宋_GB2312"/>
          <w:color w:val="000000"/>
          <w:kern w:val="0"/>
          <w:sz w:val="30"/>
          <w:szCs w:val="32"/>
        </w:rPr>
        <w:t>质量保证金</w:t>
      </w:r>
      <w:r>
        <w:rPr>
          <w:rFonts w:hint="eastAsia" w:eastAsia="仿宋_GB2312"/>
          <w:color w:val="000000"/>
          <w:kern w:val="0"/>
          <w:sz w:val="30"/>
          <w:szCs w:val="32"/>
        </w:rPr>
        <w:t>有</w:t>
      </w:r>
      <w:r>
        <w:rPr>
          <w:rFonts w:eastAsia="仿宋_GB2312"/>
          <w:color w:val="000000"/>
          <w:kern w:val="0"/>
          <w:sz w:val="30"/>
          <w:szCs w:val="32"/>
        </w:rPr>
        <w:t>以下</w:t>
      </w:r>
      <w:r>
        <w:rPr>
          <w:rFonts w:hint="eastAsia" w:eastAsia="仿宋_GB2312"/>
          <w:color w:val="000000"/>
          <w:kern w:val="0"/>
          <w:sz w:val="30"/>
          <w:szCs w:val="32"/>
        </w:rPr>
        <w:t>三种方</w:t>
      </w:r>
      <w:r>
        <w:rPr>
          <w:rFonts w:eastAsia="仿宋_GB2312"/>
          <w:color w:val="000000"/>
          <w:kern w:val="0"/>
          <w:sz w:val="30"/>
          <w:szCs w:val="32"/>
        </w:rPr>
        <w:t>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（1）质量保证金保函； </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w:t>
      </w:r>
      <w:r>
        <w:rPr>
          <w:rFonts w:eastAsia="仿宋_GB2312"/>
          <w:color w:val="000000"/>
          <w:kern w:val="0"/>
          <w:sz w:val="30"/>
          <w:szCs w:val="32"/>
        </w:rPr>
        <w:t>2）相应比例的工程款；</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（3）双方约定的其他</w:t>
      </w:r>
      <w:r>
        <w:rPr>
          <w:rFonts w:hint="eastAsia" w:eastAsia="仿宋_GB2312"/>
          <w:color w:val="000000"/>
          <w:kern w:val="0"/>
          <w:sz w:val="30"/>
          <w:szCs w:val="32"/>
        </w:rPr>
        <w:t>方</w:t>
      </w:r>
      <w:r>
        <w:rPr>
          <w:rFonts w:eastAsia="仿宋_GB2312"/>
          <w:color w:val="000000"/>
          <w:kern w:val="0"/>
          <w:sz w:val="30"/>
          <w:szCs w:val="32"/>
        </w:rPr>
        <w:t>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除专用合同条款另有约定外，质量保证金</w:t>
      </w:r>
      <w:r>
        <w:rPr>
          <w:rFonts w:hint="eastAsia" w:eastAsia="仿宋_GB2312"/>
          <w:color w:val="000000"/>
          <w:kern w:val="0"/>
          <w:sz w:val="30"/>
          <w:szCs w:val="32"/>
        </w:rPr>
        <w:t>原则上</w:t>
      </w:r>
      <w:r>
        <w:rPr>
          <w:rFonts w:eastAsia="仿宋_GB2312"/>
          <w:color w:val="000000"/>
          <w:kern w:val="0"/>
          <w:sz w:val="30"/>
          <w:szCs w:val="32"/>
        </w:rPr>
        <w:t>采</w:t>
      </w:r>
      <w:r>
        <w:rPr>
          <w:rFonts w:hint="eastAsia" w:eastAsia="仿宋_GB2312"/>
          <w:color w:val="000000"/>
          <w:kern w:val="0"/>
          <w:sz w:val="30"/>
          <w:szCs w:val="32"/>
        </w:rPr>
        <w:t>用上述</w:t>
      </w:r>
      <w:r>
        <w:rPr>
          <w:rFonts w:eastAsia="仿宋_GB2312"/>
          <w:color w:val="000000"/>
          <w:kern w:val="0"/>
          <w:sz w:val="30"/>
          <w:szCs w:val="32"/>
        </w:rPr>
        <w:t>第（1）种</w:t>
      </w:r>
      <w:r>
        <w:rPr>
          <w:rFonts w:hint="eastAsia" w:eastAsia="仿宋_GB2312"/>
          <w:color w:val="000000"/>
          <w:kern w:val="0"/>
          <w:sz w:val="30"/>
          <w:szCs w:val="32"/>
        </w:rPr>
        <w:t>方式。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15.3.2 质量保证金的扣留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质量保证金</w:t>
      </w:r>
      <w:r>
        <w:rPr>
          <w:rFonts w:hint="eastAsia" w:eastAsia="仿宋_GB2312"/>
          <w:color w:val="000000"/>
          <w:kern w:val="0"/>
          <w:sz w:val="30"/>
          <w:szCs w:val="32"/>
        </w:rPr>
        <w:t>的</w:t>
      </w:r>
      <w:r>
        <w:rPr>
          <w:rFonts w:eastAsia="仿宋_GB2312"/>
          <w:color w:val="000000"/>
          <w:kern w:val="0"/>
          <w:sz w:val="30"/>
          <w:szCs w:val="32"/>
        </w:rPr>
        <w:t>扣留</w:t>
      </w:r>
      <w:r>
        <w:rPr>
          <w:rFonts w:hint="eastAsia" w:eastAsia="仿宋_GB2312"/>
          <w:color w:val="000000"/>
          <w:kern w:val="0"/>
          <w:sz w:val="30"/>
          <w:szCs w:val="32"/>
        </w:rPr>
        <w:t>有</w:t>
      </w:r>
      <w:r>
        <w:rPr>
          <w:rFonts w:eastAsia="仿宋_GB2312"/>
          <w:color w:val="000000"/>
          <w:kern w:val="0"/>
          <w:sz w:val="30"/>
          <w:szCs w:val="32"/>
        </w:rPr>
        <w:t>以下</w:t>
      </w:r>
      <w:r>
        <w:rPr>
          <w:rFonts w:hint="eastAsia" w:eastAsia="仿宋_GB2312"/>
          <w:color w:val="000000"/>
          <w:kern w:val="0"/>
          <w:sz w:val="30"/>
          <w:szCs w:val="32"/>
        </w:rPr>
        <w:t>三</w:t>
      </w:r>
      <w:r>
        <w:rPr>
          <w:rFonts w:eastAsia="仿宋_GB2312"/>
          <w:color w:val="000000"/>
          <w:kern w:val="0"/>
          <w:sz w:val="30"/>
          <w:szCs w:val="32"/>
        </w:rPr>
        <w:t>种</w:t>
      </w:r>
      <w:r>
        <w:rPr>
          <w:rFonts w:hint="eastAsia" w:eastAsia="仿宋_GB2312"/>
          <w:color w:val="000000"/>
          <w:kern w:val="0"/>
          <w:sz w:val="30"/>
          <w:szCs w:val="32"/>
        </w:rPr>
        <w:t>方式</w:t>
      </w:r>
      <w:r>
        <w:rPr>
          <w:rFonts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（1）在支付工程进度款时逐次扣留，在此情形下，质量保证金的计算基数不包括预付款的支付、扣回以及价格调整的金额；</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（2）工</w:t>
      </w:r>
      <w:bookmarkStart w:id="1209" w:name="#go6"/>
      <w:bookmarkEnd w:id="1209"/>
      <w:r>
        <w:rPr>
          <w:rFonts w:eastAsia="仿宋_GB2312"/>
          <w:color w:val="000000"/>
          <w:kern w:val="0"/>
          <w:sz w:val="30"/>
          <w:szCs w:val="32"/>
        </w:rPr>
        <w:t>程竣工结算时一次性扣留质量保证金；</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（3）双方约定的其他扣留方式。</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除专用合同条款另有约定外，质量保证金</w:t>
      </w:r>
      <w:r>
        <w:rPr>
          <w:rFonts w:hint="eastAsia" w:eastAsia="仿宋_GB2312"/>
          <w:color w:val="000000"/>
          <w:kern w:val="0"/>
          <w:sz w:val="30"/>
          <w:szCs w:val="32"/>
        </w:rPr>
        <w:t>的</w:t>
      </w:r>
      <w:r>
        <w:rPr>
          <w:rFonts w:eastAsia="仿宋_GB2312"/>
          <w:color w:val="000000"/>
          <w:kern w:val="0"/>
          <w:sz w:val="30"/>
          <w:szCs w:val="32"/>
        </w:rPr>
        <w:t>扣留</w:t>
      </w:r>
      <w:r>
        <w:rPr>
          <w:rFonts w:hint="eastAsia" w:eastAsia="仿宋_GB2312"/>
          <w:color w:val="000000"/>
          <w:kern w:val="0"/>
          <w:sz w:val="30"/>
          <w:szCs w:val="32"/>
        </w:rPr>
        <w:t>原则上</w:t>
      </w:r>
      <w:r>
        <w:rPr>
          <w:rFonts w:eastAsia="仿宋_GB2312"/>
          <w:color w:val="000000"/>
          <w:kern w:val="0"/>
          <w:sz w:val="30"/>
          <w:szCs w:val="32"/>
        </w:rPr>
        <w:t>采</w:t>
      </w:r>
      <w:r>
        <w:rPr>
          <w:rFonts w:hint="eastAsia" w:eastAsia="仿宋_GB2312"/>
          <w:color w:val="000000"/>
          <w:kern w:val="0"/>
          <w:sz w:val="30"/>
          <w:szCs w:val="32"/>
        </w:rPr>
        <w:t>用上述</w:t>
      </w:r>
      <w:r>
        <w:rPr>
          <w:rFonts w:eastAsia="仿宋_GB2312"/>
          <w:color w:val="000000"/>
          <w:kern w:val="0"/>
          <w:sz w:val="30"/>
          <w:szCs w:val="32"/>
        </w:rPr>
        <w:t>第（1）种方式</w:t>
      </w:r>
      <w:r>
        <w:rPr>
          <w:rFonts w:hint="eastAsia"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w:t>
      </w:r>
      <w:bookmarkStart w:id="1210" w:name="#go4"/>
      <w:bookmarkEnd w:id="1210"/>
      <w:r>
        <w:rPr>
          <w:rFonts w:eastAsia="仿宋_GB2312"/>
          <w:color w:val="000000"/>
          <w:kern w:val="0"/>
          <w:sz w:val="30"/>
          <w:szCs w:val="32"/>
        </w:rPr>
        <w:t>包人累计扣留的质量保证金不得超过</w:t>
      </w:r>
      <w:r>
        <w:rPr>
          <w:rFonts w:hint="eastAsia" w:eastAsia="仿宋_GB2312"/>
          <w:color w:val="000000"/>
          <w:kern w:val="0"/>
          <w:sz w:val="30"/>
          <w:szCs w:val="32"/>
        </w:rPr>
        <w:t>工程价款结算总额</w:t>
      </w:r>
      <w:r>
        <w:rPr>
          <w:rFonts w:eastAsia="仿宋_GB2312"/>
          <w:color w:val="000000"/>
          <w:kern w:val="0"/>
          <w:sz w:val="30"/>
          <w:szCs w:val="32"/>
        </w:rPr>
        <w:t>的3%</w:t>
      </w:r>
      <w:r>
        <w:rPr>
          <w:rFonts w:hint="eastAsia" w:eastAsia="仿宋_GB2312"/>
          <w:color w:val="000000"/>
          <w:kern w:val="0"/>
          <w:sz w:val="30"/>
          <w:szCs w:val="32"/>
        </w:rPr>
        <w:t>。如</w:t>
      </w:r>
      <w:r>
        <w:rPr>
          <w:rFonts w:eastAsia="仿宋_GB2312"/>
          <w:color w:val="000000"/>
          <w:kern w:val="0"/>
          <w:sz w:val="30"/>
          <w:szCs w:val="32"/>
        </w:rPr>
        <w:t>承包人在发包人签发竣工付款证书后28天内提交质量保证金保函，发包人应同时退还扣留的作为质量保证金的工程价款</w:t>
      </w:r>
      <w:r>
        <w:rPr>
          <w:rFonts w:hint="eastAsia" w:eastAsia="仿宋_GB2312"/>
          <w:color w:val="000000"/>
          <w:kern w:val="0"/>
          <w:sz w:val="30"/>
          <w:szCs w:val="32"/>
        </w:rPr>
        <w:t>；保函金额不得超过工程价款结算总额的3%</w:t>
      </w:r>
      <w:r>
        <w:rPr>
          <w:rFonts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发包人在退还质量保证金的同时</w:t>
      </w:r>
      <w:r>
        <w:rPr>
          <w:rFonts w:eastAsia="仿宋_GB2312"/>
          <w:color w:val="000000"/>
          <w:kern w:val="0"/>
          <w:sz w:val="30"/>
          <w:szCs w:val="32"/>
        </w:rPr>
        <w:t>按照中国人民银行发布的同期同类贷款基准利率支付</w:t>
      </w:r>
      <w:r>
        <w:rPr>
          <w:rFonts w:hint="eastAsia" w:eastAsia="仿宋_GB2312"/>
          <w:color w:val="000000"/>
          <w:kern w:val="0"/>
          <w:sz w:val="30"/>
          <w:szCs w:val="32"/>
        </w:rPr>
        <w:t>利息。</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15.3.3 </w:t>
      </w:r>
      <w:r>
        <w:rPr>
          <w:rFonts w:eastAsia="仿宋_GB2312"/>
          <w:color w:val="000000"/>
          <w:sz w:val="30"/>
          <w:szCs w:val="32"/>
        </w:rPr>
        <w:t>质量保证金</w:t>
      </w:r>
      <w:r>
        <w:rPr>
          <w:rFonts w:eastAsia="仿宋_GB2312"/>
          <w:color w:val="000000"/>
          <w:kern w:val="0"/>
          <w:sz w:val="30"/>
          <w:szCs w:val="32"/>
        </w:rPr>
        <w:t>的退还</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缺陷责任期内，承包人认真履行合同约定的责任，到期后，承包人可向发包人申请返还保证金。</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发包人和承包人对保证金预留、返还以及工程维修质量、费用有争议的，按本合同第20条约定的争议和纠纷解决程序处理</w:t>
      </w:r>
      <w:r>
        <w:rPr>
          <w:rFonts w:eastAsia="仿宋_GB2312"/>
          <w:color w:val="000000"/>
          <w:kern w:val="0"/>
          <w:sz w:val="30"/>
          <w:szCs w:val="32"/>
        </w:rPr>
        <w:t>。</w:t>
      </w:r>
    </w:p>
    <w:p>
      <w:pPr>
        <w:pStyle w:val="8"/>
        <w:spacing w:before="120" w:after="120" w:line="360" w:lineRule="auto"/>
        <w:ind w:firstLine="600" w:firstLineChars="200"/>
        <w:rPr>
          <w:rFonts w:eastAsia="黑体"/>
          <w:b w:val="0"/>
          <w:color w:val="000000"/>
          <w:sz w:val="30"/>
          <w:szCs w:val="32"/>
        </w:rPr>
      </w:pPr>
      <w:bookmarkStart w:id="1211" w:name="_Toc351203602"/>
      <w:bookmarkStart w:id="1212" w:name="_Toc337558819"/>
      <w:r>
        <w:rPr>
          <w:rFonts w:eastAsia="黑体"/>
          <w:b w:val="0"/>
          <w:color w:val="000000"/>
          <w:sz w:val="30"/>
          <w:szCs w:val="32"/>
        </w:rPr>
        <w:t>15.4 保修</w:t>
      </w:r>
      <w:bookmarkEnd w:id="1211"/>
    </w:p>
    <w:bookmarkEnd w:id="1207"/>
    <w:bookmarkEnd w:id="1208"/>
    <w:bookmarkEnd w:id="1212"/>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15.4.1保修责任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600" w:firstLineChars="200"/>
        <w:jc w:val="left"/>
        <w:rPr>
          <w:rFonts w:eastAsia="仿宋_GB2312"/>
          <w:color w:val="000000"/>
          <w:sz w:val="30"/>
          <w:szCs w:val="32"/>
        </w:rPr>
      </w:pPr>
      <w:r>
        <w:rPr>
          <w:rFonts w:eastAsia="仿宋_GB2312"/>
          <w:color w:val="000000"/>
          <w:sz w:val="30"/>
          <w:szCs w:val="32"/>
        </w:rPr>
        <w:t>发包人未经竣工验收擅自使用工程的，保修期自</w:t>
      </w:r>
      <w:r>
        <w:rPr>
          <w:rFonts w:eastAsia="仿宋_GB2312"/>
          <w:color w:val="000000"/>
          <w:kern w:val="0"/>
          <w:sz w:val="30"/>
          <w:szCs w:val="32"/>
        </w:rPr>
        <w:t>转移占有之日起算</w:t>
      </w:r>
      <w:r>
        <w:rPr>
          <w:rFonts w:eastAsia="仿宋_GB2312"/>
          <w:color w:val="00000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15.4.2 修复费用</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保修期内，修复的费用按照以下约定处理：</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15.4.3 修复通知</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15.4.4 未能修复</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eastAsia="仿宋_GB2312"/>
          <w:color w:val="000000"/>
          <w:kern w:val="0"/>
          <w:sz w:val="30"/>
          <w:szCs w:val="32"/>
        </w:rPr>
        <w:t>但修复范围超出缺陷或损坏范围的，超出范围部分的修复费用由发包人承担。</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15.4.5 承包人出入权</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7"/>
        <w:spacing w:before="120" w:after="120" w:line="360" w:lineRule="auto"/>
        <w:rPr>
          <w:rFonts w:ascii="Times New Roman" w:hAnsi="Times New Roman" w:eastAsia="黑体"/>
          <w:b w:val="0"/>
          <w:color w:val="000000"/>
          <w:sz w:val="32"/>
          <w:szCs w:val="32"/>
        </w:rPr>
      </w:pPr>
      <w:bookmarkStart w:id="1213" w:name="_Toc351203603"/>
      <w:bookmarkStart w:id="1214" w:name="_Toc337558820"/>
      <w:r>
        <w:rPr>
          <w:rFonts w:ascii="Times New Roman" w:hAnsi="Times New Roman" w:eastAsia="黑体"/>
          <w:b w:val="0"/>
          <w:color w:val="000000"/>
          <w:sz w:val="32"/>
          <w:szCs w:val="32"/>
        </w:rPr>
        <w:t>16. 违约</w:t>
      </w:r>
      <w:bookmarkEnd w:id="1213"/>
    </w:p>
    <w:bookmarkEnd w:id="1214"/>
    <w:p>
      <w:pPr>
        <w:pStyle w:val="8"/>
        <w:spacing w:before="120" w:after="120" w:line="360" w:lineRule="auto"/>
        <w:ind w:firstLine="600" w:firstLineChars="200"/>
        <w:rPr>
          <w:rFonts w:eastAsia="黑体"/>
          <w:b w:val="0"/>
          <w:color w:val="000000"/>
          <w:sz w:val="30"/>
          <w:szCs w:val="32"/>
        </w:rPr>
      </w:pPr>
      <w:bookmarkStart w:id="1215" w:name="_Toc296346630"/>
      <w:bookmarkStart w:id="1216" w:name="_Toc296503129"/>
      <w:bookmarkStart w:id="1217" w:name="_Toc351203604"/>
      <w:bookmarkStart w:id="1218" w:name="_Toc337558821"/>
      <w:r>
        <w:rPr>
          <w:rFonts w:eastAsia="黑体"/>
          <w:b w:val="0"/>
          <w:color w:val="000000"/>
          <w:sz w:val="30"/>
          <w:szCs w:val="32"/>
        </w:rPr>
        <w:t>16.1 发</w:t>
      </w:r>
      <w:bookmarkEnd w:id="1215"/>
      <w:bookmarkEnd w:id="1216"/>
      <w:r>
        <w:rPr>
          <w:rFonts w:eastAsia="黑体"/>
          <w:b w:val="0"/>
          <w:color w:val="000000"/>
          <w:sz w:val="30"/>
          <w:szCs w:val="32"/>
        </w:rPr>
        <w:t>包人违约</w:t>
      </w:r>
      <w:bookmarkEnd w:id="1217"/>
    </w:p>
    <w:bookmarkEnd w:id="1218"/>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16.1.1 发包人违约的情形</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在合同履行过程中发生的下列情形，属于发包人违约：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（1）因发包人原因未能在计划开工日期前7天内下达开工通知的；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（2）因发包人原因未能按合同约定支付合同价款的；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（3）发包人违反第10.1款</w:t>
      </w:r>
      <w:r>
        <w:rPr>
          <w:rFonts w:hint="eastAsia" w:eastAsia="仿宋_GB2312"/>
          <w:color w:val="000000"/>
          <w:kern w:val="0"/>
          <w:sz w:val="30"/>
          <w:szCs w:val="32"/>
        </w:rPr>
        <w:t>〔</w:t>
      </w:r>
      <w:r>
        <w:rPr>
          <w:rFonts w:eastAsia="仿宋_GB2312"/>
          <w:color w:val="000000"/>
          <w:kern w:val="0"/>
          <w:sz w:val="30"/>
          <w:szCs w:val="32"/>
        </w:rPr>
        <w:t>变更的范围</w:t>
      </w:r>
      <w:r>
        <w:rPr>
          <w:rFonts w:hint="eastAsia" w:eastAsia="仿宋_GB2312"/>
          <w:color w:val="000000"/>
          <w:kern w:val="0"/>
          <w:sz w:val="30"/>
          <w:szCs w:val="32"/>
        </w:rPr>
        <w:t>〕</w:t>
      </w:r>
      <w:r>
        <w:rPr>
          <w:rFonts w:eastAsia="仿宋_GB2312"/>
          <w:color w:val="000000"/>
          <w:kern w:val="0"/>
          <w:sz w:val="30"/>
          <w:szCs w:val="32"/>
        </w:rPr>
        <w:t>第（2）项约定，自行实施被取消的工作或转由他人实施的；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（5）因发包人违反合同约定造成暂停施工的；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（6）发包人无正当理由没有在约定期限内发出复工指示，导致承包人无法复工的；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（7）发包人明确表示或者以其行为表明不履行合同主要义务的；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（8）发包人未能按照合同约定履行其他义务的。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16.1.2 发包人违约的责任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16.1.3 因发包人违约解除合同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除专用合同条款另有约定外，承包人按第16.1.1项</w:t>
      </w:r>
      <w:r>
        <w:rPr>
          <w:rFonts w:hint="eastAsia" w:eastAsia="仿宋_GB2312"/>
          <w:color w:val="000000"/>
          <w:kern w:val="0"/>
          <w:sz w:val="30"/>
          <w:szCs w:val="32"/>
        </w:rPr>
        <w:t>〔</w:t>
      </w:r>
      <w:r>
        <w:rPr>
          <w:rFonts w:eastAsia="仿宋_GB2312"/>
          <w:color w:val="000000"/>
          <w:kern w:val="0"/>
          <w:sz w:val="30"/>
          <w:szCs w:val="32"/>
        </w:rPr>
        <w:t>发包人违约的情形</w:t>
      </w:r>
      <w:r>
        <w:rPr>
          <w:rFonts w:hint="eastAsia" w:eastAsia="仿宋_GB2312"/>
          <w:color w:val="000000"/>
          <w:kern w:val="0"/>
          <w:sz w:val="30"/>
          <w:szCs w:val="32"/>
        </w:rPr>
        <w:t>〕</w:t>
      </w:r>
      <w:r>
        <w:rPr>
          <w:rFonts w:eastAsia="仿宋_GB2312"/>
          <w:color w:val="000000"/>
          <w:kern w:val="0"/>
          <w:sz w:val="30"/>
          <w:szCs w:val="32"/>
        </w:rPr>
        <w:t>约定暂停施工满28天后</w:t>
      </w:r>
      <w:r>
        <w:rPr>
          <w:rFonts w:hint="eastAsia" w:eastAsia="仿宋_GB2312"/>
          <w:color w:val="000000"/>
          <w:kern w:val="0"/>
          <w:sz w:val="30"/>
          <w:szCs w:val="32"/>
        </w:rPr>
        <w:t>，</w:t>
      </w:r>
      <w:r>
        <w:rPr>
          <w:rFonts w:eastAsia="仿宋_GB2312"/>
          <w:color w:val="000000"/>
          <w:kern w:val="0"/>
          <w:sz w:val="30"/>
          <w:szCs w:val="32"/>
        </w:rPr>
        <w:t>发包人仍不纠正其违约行为并致使合同目的不能实现的，</w:t>
      </w:r>
      <w:r>
        <w:rPr>
          <w:rFonts w:hint="eastAsia" w:eastAsia="仿宋_GB2312"/>
          <w:color w:val="000000"/>
          <w:kern w:val="0"/>
          <w:sz w:val="30"/>
          <w:szCs w:val="32"/>
        </w:rPr>
        <w:t>或</w:t>
      </w:r>
      <w:r>
        <w:rPr>
          <w:rFonts w:eastAsia="仿宋_GB2312"/>
          <w:color w:val="000000"/>
          <w:kern w:val="0"/>
          <w:sz w:val="30"/>
          <w:szCs w:val="32"/>
        </w:rPr>
        <w:t>出现第16.1.1项</w:t>
      </w:r>
      <w:r>
        <w:rPr>
          <w:rFonts w:hint="eastAsia" w:eastAsia="仿宋_GB2312"/>
          <w:color w:val="000000"/>
          <w:kern w:val="0"/>
          <w:sz w:val="30"/>
          <w:szCs w:val="32"/>
        </w:rPr>
        <w:t>〔</w:t>
      </w:r>
      <w:r>
        <w:rPr>
          <w:rFonts w:eastAsia="仿宋_GB2312"/>
          <w:color w:val="000000"/>
          <w:kern w:val="0"/>
          <w:sz w:val="30"/>
          <w:szCs w:val="32"/>
        </w:rPr>
        <w:t>发包人违约的情形</w:t>
      </w:r>
      <w:r>
        <w:rPr>
          <w:rFonts w:hint="eastAsia" w:eastAsia="仿宋_GB2312"/>
          <w:color w:val="000000"/>
          <w:kern w:val="0"/>
          <w:sz w:val="30"/>
          <w:szCs w:val="32"/>
        </w:rPr>
        <w:t>〕</w:t>
      </w:r>
      <w:r>
        <w:rPr>
          <w:rFonts w:eastAsia="仿宋_GB2312"/>
          <w:color w:val="000000"/>
          <w:kern w:val="0"/>
          <w:sz w:val="30"/>
          <w:szCs w:val="32"/>
        </w:rPr>
        <w:t>第（7）目约定的违约情况，承包人有权解除合同，发包人应承担由此增加的费用，并支付承包人合理的利润。</w:t>
      </w:r>
    </w:p>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kern w:val="0"/>
          <w:sz w:val="30"/>
          <w:szCs w:val="32"/>
        </w:rPr>
        <w:t>16.1.4 因发包人违约解除合同后的付款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承包人按照本款约定解除合同的，发包人应在解除合同后28天内支付下列款项，并解除履约担保：</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（1）合同解除前所完成工作的价款；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（2）承包人为工程施工订购并已付款的材料、工程设备和其他物品的价款；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（3）承包人撤离施工现场以及遣散承包人人员的款项；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（4）按照合同约定在合同解除前应支付的违约金；</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（5）按照合同约定应当支付给承包人的其他款项；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（6）按照合同约定应退还的质量保证金；</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（7）因解除合同给承包人造成的损失。</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合同当事人未能就解除合同后的结清达成一致的，按照第20条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的约定处理。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承包人应妥善做好已完工程和与工程有关的已购材料、工程设备的保护和移交工作，并将施工设备和人员撤出施工现场，发包人应为承包人撤出提供必要条件。</w:t>
      </w:r>
    </w:p>
    <w:p>
      <w:pPr>
        <w:pStyle w:val="8"/>
        <w:spacing w:before="120" w:after="120" w:line="360" w:lineRule="auto"/>
        <w:ind w:firstLine="600" w:firstLineChars="200"/>
        <w:rPr>
          <w:rFonts w:eastAsia="黑体"/>
          <w:b w:val="0"/>
          <w:color w:val="000000"/>
          <w:sz w:val="30"/>
          <w:szCs w:val="32"/>
        </w:rPr>
      </w:pPr>
      <w:bookmarkStart w:id="1219" w:name="_Toc351203605"/>
      <w:bookmarkStart w:id="1220" w:name="_Toc296503131"/>
      <w:bookmarkStart w:id="1221" w:name="_Toc337558822"/>
      <w:bookmarkStart w:id="1222" w:name="_Toc296346632"/>
      <w:r>
        <w:rPr>
          <w:rFonts w:eastAsia="黑体"/>
          <w:b w:val="0"/>
          <w:color w:val="000000"/>
          <w:sz w:val="30"/>
          <w:szCs w:val="32"/>
        </w:rPr>
        <w:t>16.2 承包人违约</w:t>
      </w:r>
      <w:bookmarkEnd w:id="1219"/>
    </w:p>
    <w:bookmarkEnd w:id="1220"/>
    <w:bookmarkEnd w:id="1221"/>
    <w:bookmarkEnd w:id="1222"/>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16.2.1 承包人违约的情形</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在合同履行过程中发生的下列情形，属于承包人违约：</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（1）承包人违反合同约定进行转包或违法分包的；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（2）承包人违反合同约定采购和使用不合格的材料和工程设备的；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（3）因承包人原因导致工程质量不符合合同要求的；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（4）承包人违反第8.9款</w:t>
      </w:r>
      <w:r>
        <w:rPr>
          <w:rFonts w:hint="eastAsia" w:eastAsia="仿宋_GB2312"/>
          <w:color w:val="000000"/>
          <w:kern w:val="0"/>
          <w:sz w:val="30"/>
          <w:szCs w:val="32"/>
        </w:rPr>
        <w:t>〔</w:t>
      </w:r>
      <w:r>
        <w:rPr>
          <w:rFonts w:eastAsia="仿宋_GB2312"/>
          <w:color w:val="000000"/>
          <w:kern w:val="0"/>
          <w:sz w:val="30"/>
          <w:szCs w:val="32"/>
        </w:rPr>
        <w:t>材料与设备专用</w:t>
      </w:r>
      <w:r>
        <w:rPr>
          <w:rFonts w:hint="eastAsia" w:eastAsia="仿宋_GB2312"/>
          <w:color w:val="000000"/>
          <w:kern w:val="0"/>
          <w:sz w:val="30"/>
          <w:szCs w:val="32"/>
        </w:rPr>
        <w:t>要求〕</w:t>
      </w:r>
      <w:r>
        <w:rPr>
          <w:rFonts w:eastAsia="仿宋_GB2312"/>
          <w:color w:val="000000"/>
          <w:kern w:val="0"/>
          <w:sz w:val="30"/>
          <w:szCs w:val="32"/>
        </w:rPr>
        <w:t>的约定，未经批准，私自将已按照合同约定进入施工现场的材料或设备撤离施工现场的；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（5）承包人未能按施工进度计划及时完成合同约定的工作，造成工期延误的；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（6）承包人在缺陷责任期及保修期内，未能在合理期限对工程缺陷进行修复，或拒绝按发包人要求进行修复的；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（7）承包人明确表示或者以其行为表明不履行合同主要义务的；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（8）承包人未能按照合同约定履行其他义务的。</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承包人发生除本项第（7）目约定以外的其他违约情况时，监理人可向承包人发出整改通知，要求其在指定的期限内改正。</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16.2.2 承包人违约的责任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承包人应承担因其违约行为而增加的费用</w:t>
      </w:r>
      <w:r>
        <w:rPr>
          <w:rFonts w:hint="eastAsia" w:eastAsia="仿宋_GB2312"/>
          <w:color w:val="000000"/>
          <w:kern w:val="0"/>
          <w:sz w:val="30"/>
          <w:szCs w:val="32"/>
        </w:rPr>
        <w:t>和（或）延误的</w:t>
      </w:r>
      <w:r>
        <w:rPr>
          <w:rFonts w:eastAsia="仿宋_GB2312"/>
          <w:color w:val="000000"/>
          <w:kern w:val="0"/>
          <w:sz w:val="30"/>
          <w:szCs w:val="32"/>
        </w:rPr>
        <w:t>工期。此外，合同当事人可在专用合同条款中另行约定承包人违约责任的承担方式和计算方法。</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16.2.3 因承包人违约解除合同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除专用合同条款另有约定外，出现第16.2.1项</w:t>
      </w:r>
      <w:r>
        <w:rPr>
          <w:rFonts w:hint="eastAsia" w:eastAsia="仿宋_GB2312"/>
          <w:color w:val="000000"/>
          <w:kern w:val="0"/>
          <w:sz w:val="30"/>
          <w:szCs w:val="32"/>
        </w:rPr>
        <w:t>〔</w:t>
      </w:r>
      <w:r>
        <w:rPr>
          <w:rFonts w:eastAsia="仿宋_GB2312"/>
          <w:color w:val="000000"/>
          <w:kern w:val="0"/>
          <w:sz w:val="30"/>
          <w:szCs w:val="32"/>
        </w:rPr>
        <w:t>承包人违约的情形</w:t>
      </w:r>
      <w:r>
        <w:rPr>
          <w:rFonts w:hint="eastAsia" w:eastAsia="仿宋_GB2312"/>
          <w:color w:val="000000"/>
          <w:kern w:val="0"/>
          <w:sz w:val="30"/>
          <w:szCs w:val="32"/>
        </w:rPr>
        <w:t>〕</w:t>
      </w:r>
      <w:r>
        <w:rPr>
          <w:rFonts w:eastAsia="仿宋_GB2312"/>
          <w:color w:val="000000"/>
          <w:kern w:val="0"/>
          <w:sz w:val="30"/>
          <w:szCs w:val="32"/>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eastAsia="仿宋_GB2312"/>
          <w:color w:val="000000"/>
          <w:kern w:val="0"/>
          <w:sz w:val="30"/>
          <w:szCs w:val="32"/>
        </w:rPr>
        <w:t>合同当事人应在专用合同条款约定相应费用的承担方式。</w:t>
      </w:r>
      <w:r>
        <w:rPr>
          <w:rFonts w:eastAsia="仿宋_GB2312"/>
          <w:color w:val="000000"/>
          <w:kern w:val="0"/>
          <w:sz w:val="30"/>
          <w:szCs w:val="32"/>
        </w:rPr>
        <w:t>发包人</w:t>
      </w:r>
      <w:r>
        <w:rPr>
          <w:rFonts w:hint="eastAsia" w:eastAsia="仿宋_GB2312"/>
          <w:color w:val="000000"/>
          <w:kern w:val="0"/>
          <w:sz w:val="30"/>
          <w:szCs w:val="32"/>
        </w:rPr>
        <w:t>继续使用的</w:t>
      </w:r>
      <w:r>
        <w:rPr>
          <w:rFonts w:eastAsia="仿宋_GB2312"/>
          <w:color w:val="000000"/>
          <w:kern w:val="0"/>
          <w:sz w:val="30"/>
          <w:szCs w:val="32"/>
        </w:rPr>
        <w:t>行为不免除或减轻承包人应承担的违约责任。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16.2.4因承包人违约解除合同后的处理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因承包人原因导致合同解除的，则合同当事人应在合同解除后28天内完成估价、付款和清算，并按以下约定执行：</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（1）合同解除后，按第4.4款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商定或确定承包人实际完成工作对应的合同价款，以及承包人已提供的材料、工程设备、施工设备和临时工程等的价值；</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（2）合同解除后，承包人应支付的违约金；</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（3）合同解除后，因解除合同给发包人造成的损失；</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（4）合同解除后，承包人应按照发包人要求和监理人的指示完成现场的清理和撤离；</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（5）发包人和承包人应在合同解除后进行清算，出具最终结清付款证书，结清全部款项。</w:t>
      </w:r>
    </w:p>
    <w:p>
      <w:pPr>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因承包人违约解除合同的，</w:t>
      </w:r>
      <w:r>
        <w:rPr>
          <w:rFonts w:eastAsia="仿宋_GB2312"/>
          <w:color w:val="000000"/>
          <w:kern w:val="0"/>
          <w:sz w:val="30"/>
          <w:szCs w:val="32"/>
        </w:rPr>
        <w:t>发包人有权暂停对承包人的付款，查清各项付款和已扣款项。发包人和承包人未能就合同解除后的清算和款项支付达成一致的，按照第20条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的约定处理。</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16.2.5采购合同权益转让</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8"/>
        <w:spacing w:before="120" w:after="120" w:line="360" w:lineRule="auto"/>
        <w:ind w:firstLine="600" w:firstLineChars="200"/>
        <w:rPr>
          <w:rFonts w:eastAsia="黑体"/>
          <w:b w:val="0"/>
          <w:color w:val="000000"/>
          <w:sz w:val="30"/>
          <w:szCs w:val="32"/>
        </w:rPr>
      </w:pPr>
      <w:bookmarkStart w:id="1223" w:name="_Toc351203606"/>
      <w:r>
        <w:rPr>
          <w:rFonts w:eastAsia="黑体"/>
          <w:b w:val="0"/>
          <w:color w:val="000000"/>
          <w:sz w:val="30"/>
          <w:szCs w:val="32"/>
        </w:rPr>
        <w:t>16.3 第三人造成的违约</w:t>
      </w:r>
      <w:bookmarkEnd w:id="1223"/>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在履行合同过程中，一方当事人因第三人的原因造成违约的，应当向对方当事人承担违约责任。一方当事人和第三人之间的纠纷，依照法律规定或者按照约定解决。</w:t>
      </w:r>
    </w:p>
    <w:p>
      <w:pPr>
        <w:pStyle w:val="7"/>
        <w:spacing w:before="120" w:after="120" w:line="360" w:lineRule="auto"/>
        <w:rPr>
          <w:rFonts w:ascii="Times New Roman" w:hAnsi="Times New Roman" w:eastAsia="黑体"/>
          <w:b w:val="0"/>
          <w:color w:val="000000"/>
          <w:sz w:val="32"/>
          <w:szCs w:val="32"/>
        </w:rPr>
      </w:pPr>
      <w:bookmarkStart w:id="1224" w:name="_Toc351203607"/>
      <w:bookmarkStart w:id="1225" w:name="_Toc296346617"/>
      <w:bookmarkStart w:id="1226" w:name="_Toc337558823"/>
      <w:bookmarkStart w:id="1227" w:name="_Toc296503116"/>
      <w:r>
        <w:rPr>
          <w:rFonts w:ascii="Times New Roman" w:hAnsi="Times New Roman" w:eastAsia="黑体"/>
          <w:b w:val="0"/>
          <w:color w:val="000000"/>
          <w:sz w:val="32"/>
          <w:szCs w:val="32"/>
        </w:rPr>
        <w:t>17. 不可抗力</w:t>
      </w:r>
      <w:bookmarkEnd w:id="1224"/>
      <w:r>
        <w:rPr>
          <w:rFonts w:ascii="Times New Roman" w:hAnsi="Times New Roman" w:eastAsia="黑体"/>
          <w:b w:val="0"/>
          <w:color w:val="000000"/>
          <w:sz w:val="32"/>
          <w:szCs w:val="32"/>
        </w:rPr>
        <w:t xml:space="preserve"> </w:t>
      </w:r>
      <w:bookmarkEnd w:id="1225"/>
      <w:bookmarkEnd w:id="1226"/>
      <w:bookmarkEnd w:id="1227"/>
    </w:p>
    <w:p>
      <w:pPr>
        <w:pStyle w:val="8"/>
        <w:spacing w:before="120" w:after="120" w:line="360" w:lineRule="auto"/>
        <w:ind w:firstLine="600" w:firstLineChars="200"/>
        <w:rPr>
          <w:rFonts w:eastAsia="黑体"/>
          <w:b w:val="0"/>
          <w:color w:val="000000"/>
          <w:sz w:val="30"/>
          <w:szCs w:val="32"/>
        </w:rPr>
      </w:pPr>
      <w:bookmarkStart w:id="1228" w:name="_Toc351203608"/>
      <w:bookmarkStart w:id="1229" w:name="_Toc296346618"/>
      <w:bookmarkStart w:id="1230" w:name="_Toc337558824"/>
      <w:bookmarkStart w:id="1231" w:name="_Toc296503117"/>
      <w:r>
        <w:rPr>
          <w:rFonts w:eastAsia="黑体"/>
          <w:b w:val="0"/>
          <w:color w:val="000000"/>
          <w:sz w:val="30"/>
          <w:szCs w:val="32"/>
        </w:rPr>
        <w:t>17.1 不可抗力的确认</w:t>
      </w:r>
      <w:bookmarkEnd w:id="1228"/>
    </w:p>
    <w:bookmarkEnd w:id="1229"/>
    <w:bookmarkEnd w:id="1230"/>
    <w:bookmarkEnd w:id="1231"/>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的约定处理。发生争议时，按第20条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的约定处理。</w:t>
      </w:r>
    </w:p>
    <w:p>
      <w:pPr>
        <w:pStyle w:val="8"/>
        <w:spacing w:before="120" w:after="120" w:line="360" w:lineRule="auto"/>
        <w:ind w:firstLine="600" w:firstLineChars="200"/>
        <w:rPr>
          <w:rFonts w:eastAsia="黑体"/>
          <w:b w:val="0"/>
          <w:color w:val="000000"/>
          <w:sz w:val="30"/>
          <w:szCs w:val="32"/>
        </w:rPr>
      </w:pPr>
      <w:bookmarkStart w:id="1232" w:name="_Toc351203609"/>
      <w:bookmarkStart w:id="1233" w:name="_Toc337558825"/>
      <w:bookmarkStart w:id="1234" w:name="_Toc296503118"/>
      <w:bookmarkStart w:id="1235" w:name="_Toc296346619"/>
      <w:r>
        <w:rPr>
          <w:rFonts w:eastAsia="黑体"/>
          <w:b w:val="0"/>
          <w:color w:val="000000"/>
          <w:sz w:val="30"/>
          <w:szCs w:val="32"/>
        </w:rPr>
        <w:t>17.2 不可抗力的通知</w:t>
      </w:r>
      <w:bookmarkEnd w:id="1232"/>
    </w:p>
    <w:bookmarkEnd w:id="1233"/>
    <w:bookmarkEnd w:id="1234"/>
    <w:bookmarkEnd w:id="1235"/>
    <w:p>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合同</w:t>
      </w:r>
      <w:r>
        <w:rPr>
          <w:rFonts w:eastAsia="仿宋_GB2312"/>
          <w:color w:val="000000"/>
          <w:kern w:val="0"/>
          <w:sz w:val="30"/>
          <w:szCs w:val="32"/>
        </w:rPr>
        <w:t>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不可抗力持续发生的，合同一方当事人应及时向合同另一方当事人和监理人提交中间报告，说明不可抗力和履行合同受阻的情况，并于不可抗力事件结束后28天内提交最终报告及有关资料。</w:t>
      </w:r>
    </w:p>
    <w:p>
      <w:pPr>
        <w:pStyle w:val="8"/>
        <w:spacing w:before="120" w:after="120" w:line="360" w:lineRule="auto"/>
        <w:ind w:firstLine="600" w:firstLineChars="200"/>
        <w:rPr>
          <w:rFonts w:eastAsia="黑体"/>
          <w:b w:val="0"/>
          <w:color w:val="000000"/>
          <w:sz w:val="30"/>
          <w:szCs w:val="32"/>
        </w:rPr>
      </w:pPr>
      <w:bookmarkStart w:id="1236" w:name="_Toc351203610"/>
      <w:bookmarkStart w:id="1237" w:name="_Toc337558826"/>
      <w:bookmarkStart w:id="1238" w:name="_Toc296346620"/>
      <w:bookmarkStart w:id="1239" w:name="_Toc296503119"/>
      <w:r>
        <w:rPr>
          <w:rFonts w:eastAsia="黑体"/>
          <w:b w:val="0"/>
          <w:color w:val="000000"/>
          <w:sz w:val="30"/>
          <w:szCs w:val="32"/>
        </w:rPr>
        <w:t>17.3 不可抗力后果的承担</w:t>
      </w:r>
      <w:bookmarkEnd w:id="1236"/>
    </w:p>
    <w:bookmarkEnd w:id="1237"/>
    <w:bookmarkEnd w:id="1238"/>
    <w:bookmarkEnd w:id="1239"/>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17.3.1 </w:t>
      </w:r>
      <w:r>
        <w:rPr>
          <w:rFonts w:hint="eastAsia" w:eastAsia="仿宋_GB2312"/>
          <w:color w:val="000000"/>
          <w:kern w:val="0"/>
          <w:sz w:val="30"/>
          <w:szCs w:val="32"/>
        </w:rPr>
        <w:t>不可抗力引起的后果及造成的损失由合同当事人按照法律规定及合同约定各自承担。</w:t>
      </w:r>
      <w:r>
        <w:rPr>
          <w:rFonts w:eastAsia="仿宋_GB2312"/>
          <w:color w:val="000000"/>
          <w:kern w:val="0"/>
          <w:sz w:val="30"/>
          <w:szCs w:val="32"/>
        </w:rPr>
        <w:t>不可抗力发生前已完</w:t>
      </w:r>
      <w:r>
        <w:rPr>
          <w:rFonts w:hint="eastAsia" w:eastAsia="仿宋_GB2312"/>
          <w:color w:val="000000"/>
          <w:kern w:val="0"/>
          <w:sz w:val="30"/>
          <w:szCs w:val="32"/>
        </w:rPr>
        <w:t>成的</w:t>
      </w:r>
      <w:r>
        <w:rPr>
          <w:rFonts w:eastAsia="仿宋_GB2312"/>
          <w:color w:val="000000"/>
          <w:kern w:val="0"/>
          <w:sz w:val="30"/>
          <w:szCs w:val="32"/>
        </w:rPr>
        <w:t>工程应当按照合同约定进行计量</w:t>
      </w:r>
      <w:r>
        <w:rPr>
          <w:rFonts w:hint="eastAsia" w:eastAsia="仿宋_GB2312"/>
          <w:color w:val="000000"/>
          <w:kern w:val="0"/>
          <w:sz w:val="30"/>
          <w:szCs w:val="32"/>
        </w:rPr>
        <w:t>支付</w:t>
      </w:r>
      <w:r>
        <w:rPr>
          <w:rFonts w:eastAsia="仿宋_GB2312"/>
          <w:color w:val="000000"/>
          <w:kern w:val="0"/>
          <w:sz w:val="30"/>
          <w:szCs w:val="32"/>
        </w:rPr>
        <w:t>。</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17.3.2 不可抗力导致的人员伤亡、财产损失、费用增加和（或）工期延误等后果，由合同当事人按以下原则承担：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（2）承包人施工设备的损坏由承包人承担；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（3）发包人和承包人承担各自人员伤亡和财产的损失；</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（5）因不可抗力引起或将引起工期延误，发包人要求赶工的，由此增加的赶工费用由发包人承担；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（6）承包人在停工期间按照发包人要求照管、清理和修复工程的费用由发包人承担。</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因合同一方迟延履行合同义务，在迟延履行期间遭遇不可抗力的，不免除其违约责任。</w:t>
      </w:r>
    </w:p>
    <w:p>
      <w:pPr>
        <w:pStyle w:val="8"/>
        <w:spacing w:before="120" w:after="120" w:line="360" w:lineRule="auto"/>
        <w:ind w:firstLine="600" w:firstLineChars="200"/>
        <w:rPr>
          <w:rFonts w:eastAsia="黑体"/>
          <w:b w:val="0"/>
          <w:color w:val="000000"/>
          <w:sz w:val="30"/>
          <w:szCs w:val="32"/>
        </w:rPr>
      </w:pPr>
      <w:bookmarkStart w:id="1240" w:name="_Toc351203611"/>
      <w:bookmarkStart w:id="1241" w:name="_Toc337558827"/>
      <w:r>
        <w:rPr>
          <w:rFonts w:eastAsia="黑体"/>
          <w:b w:val="0"/>
          <w:color w:val="000000"/>
          <w:sz w:val="30"/>
          <w:szCs w:val="32"/>
        </w:rPr>
        <w:t>17.4 因不可抗力解除合同</w:t>
      </w:r>
      <w:bookmarkEnd w:id="1240"/>
    </w:p>
    <w:bookmarkEnd w:id="1241"/>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因不可抗力导致合同无法履行连续超过84天或累计超过140天的，发包人和承包人均有权解除合同。合同解除后，由双方当事人按照第4.4款</w:t>
      </w:r>
      <w:r>
        <w:rPr>
          <w:rFonts w:hint="eastAsia" w:eastAsia="仿宋_GB2312"/>
          <w:color w:val="000000"/>
          <w:kern w:val="0"/>
          <w:sz w:val="30"/>
          <w:szCs w:val="32"/>
        </w:rPr>
        <w:t>〔</w:t>
      </w:r>
      <w:r>
        <w:rPr>
          <w:rFonts w:eastAsia="仿宋_GB2312"/>
          <w:color w:val="000000"/>
          <w:kern w:val="0"/>
          <w:sz w:val="30"/>
          <w:szCs w:val="32"/>
        </w:rPr>
        <w:t>商定或确定</w:t>
      </w:r>
      <w:r>
        <w:rPr>
          <w:rFonts w:hint="eastAsia" w:eastAsia="仿宋_GB2312"/>
          <w:color w:val="000000"/>
          <w:kern w:val="0"/>
          <w:sz w:val="30"/>
          <w:szCs w:val="32"/>
        </w:rPr>
        <w:t>〕</w:t>
      </w:r>
      <w:r>
        <w:rPr>
          <w:rFonts w:eastAsia="仿宋_GB2312"/>
          <w:color w:val="000000"/>
          <w:kern w:val="0"/>
          <w:sz w:val="30"/>
          <w:szCs w:val="32"/>
        </w:rPr>
        <w:t>商定或确定发包人应支付的款项，该款项包括：</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（1）合同解除前承包人已完成工作的价款；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（2）承包人为工程订购的并已交付给承包人，或承包人有责任接受交付的材料、工程设备和其他物品的价款；</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（3）发包人要求承包人退货或解除订货合同而产生的费用，或因不能退货或解除合同而产生的损失；</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（4）承包人撤离施工现场以及遣散承包人人员的费用；</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（5）按照合同约定在合同解除前应支付给承包人的其他款项；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（6）扣减承包人按照合同约定应向发包人支付的款项；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（7）双方商定或确定的其他款项。</w:t>
      </w:r>
    </w:p>
    <w:p>
      <w:pPr>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除专用合同条款另有约定外，合同解除后，发包人应在商定或确定上述款项后28天内完成上述款项的支付。</w:t>
      </w:r>
    </w:p>
    <w:p>
      <w:pPr>
        <w:pStyle w:val="7"/>
        <w:spacing w:before="120" w:after="120" w:line="360" w:lineRule="auto"/>
        <w:rPr>
          <w:rFonts w:ascii="Times New Roman" w:hAnsi="Times New Roman" w:eastAsia="黑体"/>
          <w:b w:val="0"/>
          <w:color w:val="000000"/>
          <w:sz w:val="32"/>
          <w:szCs w:val="32"/>
        </w:rPr>
      </w:pPr>
      <w:bookmarkStart w:id="1242" w:name="_Toc351203612"/>
      <w:bookmarkStart w:id="1243" w:name="_Toc296346621"/>
      <w:bookmarkStart w:id="1244" w:name="_Toc296503120"/>
      <w:bookmarkStart w:id="1245" w:name="_Toc337558828"/>
      <w:r>
        <w:rPr>
          <w:rFonts w:ascii="Times New Roman" w:hAnsi="Times New Roman" w:eastAsia="黑体"/>
          <w:b w:val="0"/>
          <w:color w:val="000000"/>
          <w:sz w:val="32"/>
          <w:szCs w:val="32"/>
        </w:rPr>
        <w:t>18. 保险</w:t>
      </w:r>
      <w:bookmarkEnd w:id="1242"/>
    </w:p>
    <w:bookmarkEnd w:id="1243"/>
    <w:bookmarkEnd w:id="1244"/>
    <w:bookmarkEnd w:id="1245"/>
    <w:p>
      <w:pPr>
        <w:pStyle w:val="8"/>
        <w:spacing w:before="120" w:after="120" w:line="360" w:lineRule="auto"/>
        <w:ind w:firstLine="600" w:firstLineChars="200"/>
        <w:rPr>
          <w:rFonts w:eastAsia="黑体"/>
          <w:b w:val="0"/>
          <w:color w:val="000000"/>
          <w:sz w:val="30"/>
          <w:szCs w:val="32"/>
        </w:rPr>
      </w:pPr>
      <w:bookmarkStart w:id="1246" w:name="_Toc351203613"/>
      <w:bookmarkStart w:id="1247" w:name="_Toc296346622"/>
      <w:bookmarkStart w:id="1248" w:name="_Toc296503121"/>
      <w:bookmarkStart w:id="1249" w:name="_Toc337558829"/>
      <w:r>
        <w:rPr>
          <w:rFonts w:eastAsia="黑体"/>
          <w:b w:val="0"/>
          <w:color w:val="000000"/>
          <w:sz w:val="30"/>
          <w:szCs w:val="32"/>
        </w:rPr>
        <w:t>18.1 工程保险</w:t>
      </w:r>
      <w:bookmarkEnd w:id="1246"/>
    </w:p>
    <w:bookmarkEnd w:id="1247"/>
    <w:bookmarkEnd w:id="1248"/>
    <w:bookmarkEnd w:id="1249"/>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除专用合同条款另有约定外，发包人应投保建筑工程一切险或安装工程一切险；发包人委托承包人投保的，因投保产生的保险费和其他相关费用由发包人承担。</w:t>
      </w:r>
    </w:p>
    <w:p>
      <w:pPr>
        <w:pStyle w:val="8"/>
        <w:spacing w:before="120" w:after="120" w:line="360" w:lineRule="auto"/>
        <w:ind w:firstLine="600" w:firstLineChars="200"/>
        <w:rPr>
          <w:rFonts w:eastAsia="黑体"/>
          <w:b w:val="0"/>
          <w:color w:val="000000"/>
          <w:sz w:val="30"/>
          <w:szCs w:val="32"/>
        </w:rPr>
      </w:pPr>
      <w:bookmarkStart w:id="1250" w:name="_Toc351203614"/>
      <w:bookmarkStart w:id="1251" w:name="_Toc296346623"/>
      <w:bookmarkStart w:id="1252" w:name="_Toc296503122"/>
      <w:bookmarkStart w:id="1253" w:name="_Toc337558830"/>
      <w:r>
        <w:rPr>
          <w:rFonts w:eastAsia="黑体"/>
          <w:b w:val="0"/>
          <w:color w:val="000000"/>
          <w:sz w:val="30"/>
          <w:szCs w:val="32"/>
        </w:rPr>
        <w:t>18.2 工伤保险</w:t>
      </w:r>
      <w:bookmarkEnd w:id="1250"/>
    </w:p>
    <w:bookmarkEnd w:id="1251"/>
    <w:bookmarkEnd w:id="1252"/>
    <w:bookmarkEnd w:id="1253"/>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18.2.2 承包人应依照法律规定参加工伤保险，并为其履行合同的全部员工办理工伤保险，缴纳工伤保险费，并要求分包人及由承包人为履行合同聘请的第三方依法参加工伤保险。</w:t>
      </w:r>
    </w:p>
    <w:p>
      <w:pPr>
        <w:pStyle w:val="8"/>
        <w:spacing w:before="120" w:after="120" w:line="360" w:lineRule="auto"/>
        <w:ind w:firstLine="600" w:firstLineChars="200"/>
        <w:rPr>
          <w:rFonts w:eastAsia="黑体"/>
          <w:b w:val="0"/>
          <w:color w:val="000000"/>
          <w:sz w:val="30"/>
          <w:szCs w:val="32"/>
        </w:rPr>
      </w:pPr>
      <w:bookmarkStart w:id="1254" w:name="_Toc351203615"/>
      <w:bookmarkStart w:id="1255" w:name="_Toc337558831"/>
      <w:bookmarkStart w:id="1256" w:name="_Toc296346626"/>
      <w:bookmarkStart w:id="1257" w:name="_Toc296503125"/>
      <w:r>
        <w:rPr>
          <w:rFonts w:eastAsia="黑体"/>
          <w:b w:val="0"/>
          <w:color w:val="000000"/>
          <w:sz w:val="30"/>
          <w:szCs w:val="32"/>
        </w:rPr>
        <w:t>18.3其他保险</w:t>
      </w:r>
      <w:bookmarkEnd w:id="1254"/>
    </w:p>
    <w:bookmarkEnd w:id="1255"/>
    <w:bookmarkEnd w:id="1256"/>
    <w:bookmarkEnd w:id="1257"/>
    <w:p>
      <w:pPr>
        <w:spacing w:line="360" w:lineRule="auto"/>
        <w:ind w:firstLine="600" w:firstLineChars="200"/>
        <w:jc w:val="left"/>
        <w:rPr>
          <w:rFonts w:eastAsia="仿宋_GB2312"/>
          <w:color w:val="000000"/>
          <w:sz w:val="30"/>
          <w:szCs w:val="32"/>
        </w:rPr>
      </w:pPr>
      <w:r>
        <w:rPr>
          <w:rFonts w:eastAsia="仿宋_GB2312"/>
          <w:color w:val="000000"/>
          <w:sz w:val="30"/>
          <w:szCs w:val="32"/>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600" w:firstLineChars="200"/>
        <w:jc w:val="left"/>
        <w:rPr>
          <w:rFonts w:eastAsia="仿宋_GB2312"/>
          <w:color w:val="000000"/>
          <w:sz w:val="30"/>
          <w:szCs w:val="32"/>
        </w:rPr>
      </w:pPr>
      <w:r>
        <w:rPr>
          <w:rFonts w:eastAsia="仿宋_GB2312"/>
          <w:color w:val="000000"/>
          <w:sz w:val="30"/>
          <w:szCs w:val="32"/>
        </w:rPr>
        <w:t>除专用合同条款另有约定外，承包人应为其施工设备等办理财产保险。</w:t>
      </w:r>
    </w:p>
    <w:p>
      <w:pPr>
        <w:pStyle w:val="8"/>
        <w:spacing w:before="120" w:after="120" w:line="360" w:lineRule="auto"/>
        <w:ind w:firstLine="600" w:firstLineChars="200"/>
        <w:rPr>
          <w:rFonts w:eastAsia="黑体"/>
          <w:b w:val="0"/>
          <w:color w:val="000000"/>
          <w:sz w:val="30"/>
          <w:szCs w:val="32"/>
        </w:rPr>
      </w:pPr>
      <w:bookmarkStart w:id="1258" w:name="_Toc351203616"/>
      <w:r>
        <w:rPr>
          <w:rFonts w:eastAsia="黑体"/>
          <w:b w:val="0"/>
          <w:color w:val="000000"/>
          <w:sz w:val="30"/>
          <w:szCs w:val="32"/>
        </w:rPr>
        <w:t>18.4持续保险</w:t>
      </w:r>
      <w:bookmarkEnd w:id="1258"/>
    </w:p>
    <w:p>
      <w:pPr>
        <w:spacing w:line="360" w:lineRule="auto"/>
        <w:ind w:firstLine="600" w:firstLineChars="200"/>
        <w:jc w:val="left"/>
        <w:rPr>
          <w:rFonts w:eastAsia="仿宋_GB2312"/>
          <w:color w:val="000000"/>
          <w:sz w:val="30"/>
          <w:szCs w:val="32"/>
        </w:rPr>
      </w:pPr>
      <w:r>
        <w:rPr>
          <w:rFonts w:eastAsia="仿宋_GB2312"/>
          <w:color w:val="000000"/>
          <w:sz w:val="30"/>
          <w:szCs w:val="32"/>
        </w:rPr>
        <w:t>合同当事人应与保险人保持联系，使保险人能够随时了解工程实施中的变动，并确保按保险合同条款要求持续保险。</w:t>
      </w:r>
    </w:p>
    <w:p>
      <w:pPr>
        <w:pStyle w:val="8"/>
        <w:spacing w:before="120" w:after="120" w:line="360" w:lineRule="auto"/>
        <w:ind w:firstLine="600" w:firstLineChars="200"/>
        <w:rPr>
          <w:rFonts w:eastAsia="黑体"/>
          <w:b w:val="0"/>
          <w:color w:val="000000"/>
          <w:sz w:val="30"/>
          <w:szCs w:val="32"/>
        </w:rPr>
      </w:pPr>
      <w:bookmarkStart w:id="1259" w:name="_Toc351203617"/>
      <w:bookmarkStart w:id="1260" w:name="_Toc296346627"/>
      <w:bookmarkStart w:id="1261" w:name="_Toc337558832"/>
      <w:bookmarkStart w:id="1262" w:name="_Toc296503126"/>
      <w:r>
        <w:rPr>
          <w:rFonts w:eastAsia="黑体"/>
          <w:b w:val="0"/>
          <w:color w:val="000000"/>
          <w:sz w:val="30"/>
          <w:szCs w:val="32"/>
        </w:rPr>
        <w:t>18.5 保险凭证</w:t>
      </w:r>
      <w:bookmarkEnd w:id="1259"/>
    </w:p>
    <w:bookmarkEnd w:id="1260"/>
    <w:bookmarkEnd w:id="1261"/>
    <w:bookmarkEnd w:id="1262"/>
    <w:p>
      <w:pPr>
        <w:spacing w:line="360" w:lineRule="auto"/>
        <w:ind w:firstLine="600" w:firstLineChars="200"/>
        <w:jc w:val="left"/>
        <w:rPr>
          <w:rFonts w:eastAsia="仿宋_GB2312"/>
          <w:color w:val="000000"/>
          <w:sz w:val="30"/>
          <w:szCs w:val="32"/>
        </w:rPr>
      </w:pPr>
      <w:r>
        <w:rPr>
          <w:rFonts w:eastAsia="仿宋_GB2312"/>
          <w:color w:val="000000"/>
          <w:sz w:val="30"/>
          <w:szCs w:val="32"/>
        </w:rPr>
        <w:t>合同当事人应及时向另一方当事人提交其已投保的各项保险的凭证和保险单复印件。</w:t>
      </w:r>
    </w:p>
    <w:p>
      <w:pPr>
        <w:pStyle w:val="8"/>
        <w:spacing w:before="120" w:after="120" w:line="360" w:lineRule="auto"/>
        <w:ind w:firstLine="600" w:firstLineChars="200"/>
        <w:rPr>
          <w:rFonts w:eastAsia="黑体"/>
          <w:b w:val="0"/>
          <w:color w:val="000000"/>
          <w:sz w:val="30"/>
          <w:szCs w:val="32"/>
        </w:rPr>
      </w:pPr>
      <w:bookmarkStart w:id="1263" w:name="_Toc351203618"/>
      <w:bookmarkStart w:id="1264" w:name="_Toc296346628"/>
      <w:bookmarkStart w:id="1265" w:name="_Toc337558833"/>
      <w:bookmarkStart w:id="1266" w:name="_Toc296503127"/>
      <w:r>
        <w:rPr>
          <w:rFonts w:eastAsia="黑体"/>
          <w:b w:val="0"/>
          <w:color w:val="000000"/>
          <w:sz w:val="30"/>
          <w:szCs w:val="32"/>
        </w:rPr>
        <w:t>18.6 未按约定投保的补救</w:t>
      </w:r>
      <w:bookmarkEnd w:id="1263"/>
    </w:p>
    <w:bookmarkEnd w:id="1264"/>
    <w:bookmarkEnd w:id="1265"/>
    <w:bookmarkEnd w:id="1266"/>
    <w:p>
      <w:pPr>
        <w:spacing w:line="360" w:lineRule="auto"/>
        <w:ind w:firstLine="600" w:firstLineChars="200"/>
        <w:jc w:val="left"/>
        <w:rPr>
          <w:rFonts w:eastAsia="仿宋_GB2312"/>
          <w:color w:val="000000"/>
          <w:sz w:val="30"/>
          <w:szCs w:val="32"/>
        </w:rPr>
      </w:pPr>
      <w:r>
        <w:rPr>
          <w:rFonts w:eastAsia="仿宋_GB2312"/>
          <w:color w:val="000000"/>
          <w:sz w:val="30"/>
          <w:szCs w:val="32"/>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600" w:firstLineChars="200"/>
        <w:jc w:val="left"/>
        <w:rPr>
          <w:rFonts w:eastAsia="仿宋_GB2312"/>
          <w:color w:val="000000"/>
          <w:sz w:val="30"/>
          <w:szCs w:val="32"/>
        </w:rPr>
      </w:pPr>
      <w:r>
        <w:rPr>
          <w:rFonts w:eastAsia="仿宋_GB2312"/>
          <w:color w:val="000000"/>
          <w:sz w:val="30"/>
          <w:szCs w:val="32"/>
        </w:rPr>
        <w:t>18.6.2承包人未按合同约定办理保险，或未能使保险持续有效的，则发包人可代为办理，所需费用由承包人承担。承包人未按合同约定办理保险，导致未能得到足额赔偿的，由承包人负责补足。</w:t>
      </w:r>
    </w:p>
    <w:p>
      <w:pPr>
        <w:pStyle w:val="8"/>
        <w:spacing w:before="120" w:after="120" w:line="360" w:lineRule="auto"/>
        <w:ind w:firstLine="600" w:firstLineChars="200"/>
        <w:rPr>
          <w:rFonts w:eastAsia="黑体"/>
          <w:b w:val="0"/>
          <w:color w:val="000000"/>
          <w:sz w:val="30"/>
          <w:szCs w:val="32"/>
        </w:rPr>
      </w:pPr>
      <w:bookmarkStart w:id="1267" w:name="_Toc351203619"/>
      <w:bookmarkStart w:id="1268" w:name="_Toc337558834"/>
      <w:r>
        <w:rPr>
          <w:rFonts w:eastAsia="黑体"/>
          <w:b w:val="0"/>
          <w:color w:val="000000"/>
          <w:sz w:val="30"/>
          <w:szCs w:val="32"/>
        </w:rPr>
        <w:t>18.7 通知义务</w:t>
      </w:r>
      <w:bookmarkEnd w:id="1267"/>
    </w:p>
    <w:bookmarkEnd w:id="1268"/>
    <w:p>
      <w:pPr>
        <w:spacing w:line="360" w:lineRule="auto"/>
        <w:ind w:firstLine="600" w:firstLineChars="200"/>
        <w:jc w:val="left"/>
        <w:rPr>
          <w:rFonts w:eastAsia="仿宋_GB2312"/>
          <w:color w:val="000000"/>
          <w:sz w:val="30"/>
          <w:szCs w:val="32"/>
        </w:rPr>
      </w:pPr>
      <w:r>
        <w:rPr>
          <w:rFonts w:eastAsia="仿宋_GB2312"/>
          <w:color w:val="000000"/>
          <w:sz w:val="30"/>
          <w:szCs w:val="32"/>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600" w:firstLineChars="200"/>
        <w:jc w:val="left"/>
        <w:rPr>
          <w:rFonts w:eastAsia="仿宋_GB2312"/>
          <w:color w:val="000000"/>
          <w:sz w:val="30"/>
          <w:szCs w:val="32"/>
        </w:rPr>
      </w:pPr>
      <w:r>
        <w:rPr>
          <w:rFonts w:eastAsia="仿宋_GB2312"/>
          <w:color w:val="000000"/>
          <w:sz w:val="30"/>
          <w:szCs w:val="32"/>
        </w:rPr>
        <w:t>保险事故发生时，投保人应按照保险合同规定的条件和期限及时向保险人报告。发包人和承包人应当在知道保险事故发生后及时通知对方。</w:t>
      </w:r>
    </w:p>
    <w:p>
      <w:pPr>
        <w:pStyle w:val="7"/>
        <w:spacing w:before="120" w:after="120" w:line="360" w:lineRule="auto"/>
        <w:rPr>
          <w:rFonts w:ascii="Times New Roman" w:hAnsi="Times New Roman" w:eastAsia="黑体"/>
          <w:b w:val="0"/>
          <w:color w:val="000000"/>
          <w:sz w:val="32"/>
          <w:szCs w:val="32"/>
        </w:rPr>
      </w:pPr>
      <w:bookmarkStart w:id="1269" w:name="_Toc351203620"/>
      <w:bookmarkStart w:id="1270" w:name="_Toc337558835"/>
      <w:bookmarkStart w:id="1271" w:name="_Toc296503140"/>
      <w:bookmarkStart w:id="1272" w:name="_Toc296346641"/>
      <w:r>
        <w:rPr>
          <w:rFonts w:ascii="Times New Roman" w:hAnsi="Times New Roman" w:eastAsia="黑体"/>
          <w:b w:val="0"/>
          <w:color w:val="000000"/>
          <w:sz w:val="32"/>
          <w:szCs w:val="32"/>
        </w:rPr>
        <w:t>19. 索赔</w:t>
      </w:r>
      <w:bookmarkEnd w:id="1269"/>
    </w:p>
    <w:bookmarkEnd w:id="1270"/>
    <w:bookmarkEnd w:id="1271"/>
    <w:bookmarkEnd w:id="1272"/>
    <w:p>
      <w:pPr>
        <w:pStyle w:val="8"/>
        <w:spacing w:before="120" w:after="120" w:line="360" w:lineRule="auto"/>
        <w:ind w:firstLine="600" w:firstLineChars="200"/>
        <w:rPr>
          <w:rFonts w:eastAsia="黑体"/>
          <w:b w:val="0"/>
          <w:color w:val="000000"/>
          <w:sz w:val="30"/>
          <w:szCs w:val="32"/>
        </w:rPr>
      </w:pPr>
      <w:bookmarkStart w:id="1273" w:name="_Toc351203621"/>
      <w:bookmarkStart w:id="1274" w:name="_Toc296503141"/>
      <w:bookmarkStart w:id="1275" w:name="_Toc337558836"/>
      <w:bookmarkStart w:id="1276" w:name="_Toc296346642"/>
      <w:r>
        <w:rPr>
          <w:rFonts w:eastAsia="黑体"/>
          <w:b w:val="0"/>
          <w:color w:val="000000"/>
          <w:sz w:val="30"/>
          <w:szCs w:val="32"/>
        </w:rPr>
        <w:t>19.1承包人的索赔</w:t>
      </w:r>
      <w:bookmarkEnd w:id="1273"/>
    </w:p>
    <w:bookmarkEnd w:id="1274"/>
    <w:bookmarkEnd w:id="1275"/>
    <w:bookmarkEnd w:id="1276"/>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根据合同约定，承包人认为有权得到追加付款和（或）延长工期的，应按以下程序向</w:t>
      </w:r>
      <w:r>
        <w:rPr>
          <w:rFonts w:hint="eastAsia" w:eastAsia="仿宋_GB2312"/>
          <w:color w:val="000000"/>
          <w:kern w:val="0"/>
          <w:sz w:val="30"/>
          <w:szCs w:val="32"/>
        </w:rPr>
        <w:t>发包</w:t>
      </w:r>
      <w:r>
        <w:rPr>
          <w:rFonts w:eastAsia="仿宋_GB2312"/>
          <w:color w:val="000000"/>
          <w:kern w:val="0"/>
          <w:sz w:val="30"/>
          <w:szCs w:val="32"/>
        </w:rPr>
        <w:t>人提出索赔：</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（4）在索赔事件影响结束后28天内，承包人应向监理人递交最终索赔报告，说明最终要求索赔的追加付款金额和（或）延长的工期，并附必要的记录和证明材料。</w:t>
      </w:r>
    </w:p>
    <w:p>
      <w:pPr>
        <w:pStyle w:val="8"/>
        <w:spacing w:before="120" w:after="120" w:line="360" w:lineRule="auto"/>
        <w:ind w:firstLine="600" w:firstLineChars="200"/>
        <w:rPr>
          <w:rFonts w:eastAsia="黑体"/>
          <w:b w:val="0"/>
          <w:color w:val="000000"/>
          <w:sz w:val="30"/>
          <w:szCs w:val="32"/>
        </w:rPr>
      </w:pPr>
      <w:bookmarkStart w:id="1277" w:name="_Toc351203622"/>
      <w:bookmarkStart w:id="1278" w:name="_Toc296503142"/>
      <w:bookmarkStart w:id="1279" w:name="_Toc337558837"/>
      <w:bookmarkStart w:id="1280" w:name="_Toc296346643"/>
      <w:r>
        <w:rPr>
          <w:rFonts w:eastAsia="黑体"/>
          <w:b w:val="0"/>
          <w:color w:val="000000"/>
          <w:sz w:val="30"/>
          <w:szCs w:val="32"/>
        </w:rPr>
        <w:t>19.2 对承包人索赔的处理</w:t>
      </w:r>
      <w:bookmarkEnd w:id="1277"/>
    </w:p>
    <w:bookmarkEnd w:id="1278"/>
    <w:bookmarkEnd w:id="1279"/>
    <w:bookmarkEnd w:id="1280"/>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对承包人索赔的处理如下：</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（3）承包人接受索赔处理结果的，索赔款项在当期进度款中进行支付；承包人不接受索赔处理结果的，按照第20条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约定处理。</w:t>
      </w:r>
    </w:p>
    <w:p>
      <w:pPr>
        <w:pStyle w:val="8"/>
        <w:spacing w:before="120" w:after="120" w:line="360" w:lineRule="auto"/>
        <w:ind w:firstLine="600" w:firstLineChars="200"/>
        <w:rPr>
          <w:rFonts w:eastAsia="黑体"/>
          <w:b w:val="0"/>
          <w:color w:val="000000"/>
          <w:sz w:val="30"/>
          <w:szCs w:val="32"/>
        </w:rPr>
      </w:pPr>
      <w:bookmarkStart w:id="1281" w:name="_Toc351203623"/>
      <w:bookmarkStart w:id="1282" w:name="_Toc296503143"/>
      <w:bookmarkStart w:id="1283" w:name="_Toc296346644"/>
      <w:bookmarkStart w:id="1284" w:name="_Toc337558838"/>
      <w:r>
        <w:rPr>
          <w:rFonts w:eastAsia="黑体"/>
          <w:b w:val="0"/>
          <w:color w:val="000000"/>
          <w:sz w:val="30"/>
          <w:szCs w:val="32"/>
        </w:rPr>
        <w:t>19.3发包人的索赔</w:t>
      </w:r>
      <w:bookmarkEnd w:id="1281"/>
    </w:p>
    <w:bookmarkEnd w:id="1282"/>
    <w:bookmarkEnd w:id="1283"/>
    <w:bookmarkEnd w:id="1284"/>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根据合同约定，发包人认为有权得到赔付金额和（或）延长缺陷责任期的，监理人应向承包人发出通知并附有详细的证明。</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8"/>
        <w:spacing w:before="120" w:after="120" w:line="360" w:lineRule="auto"/>
        <w:ind w:firstLine="600" w:firstLineChars="200"/>
        <w:rPr>
          <w:rFonts w:eastAsia="黑体"/>
          <w:b w:val="0"/>
          <w:color w:val="000000"/>
          <w:sz w:val="30"/>
          <w:szCs w:val="32"/>
        </w:rPr>
      </w:pPr>
      <w:bookmarkStart w:id="1285" w:name="_Toc351203624"/>
      <w:bookmarkStart w:id="1286" w:name="_Toc296503144"/>
      <w:bookmarkStart w:id="1287" w:name="_Toc296346645"/>
      <w:bookmarkStart w:id="1288" w:name="_Toc337558839"/>
      <w:r>
        <w:rPr>
          <w:rFonts w:eastAsia="黑体"/>
          <w:b w:val="0"/>
          <w:color w:val="000000"/>
          <w:sz w:val="30"/>
          <w:szCs w:val="32"/>
        </w:rPr>
        <w:t>19.4 对发包人索赔的处理</w:t>
      </w:r>
      <w:bookmarkEnd w:id="1285"/>
    </w:p>
    <w:bookmarkEnd w:id="1286"/>
    <w:bookmarkEnd w:id="1287"/>
    <w:bookmarkEnd w:id="1288"/>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对发包人索赔的处理如下：</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（1）承包人收到发包人提交的索赔报告后，应及时审查索赔报告的内容、查验发包人证明材料；</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（3）承包人接受索赔处理结果的，发包人可从应支付给承包人的合同价款中扣除赔付的金额或延长缺陷责任期；发包人不接受索赔处理结果的，按第20条</w:t>
      </w:r>
      <w:r>
        <w:rPr>
          <w:rFonts w:hint="eastAsia" w:eastAsia="仿宋_GB2312"/>
          <w:color w:val="000000"/>
          <w:kern w:val="0"/>
          <w:sz w:val="30"/>
          <w:szCs w:val="32"/>
        </w:rPr>
        <w:t>〔</w:t>
      </w:r>
      <w:r>
        <w:rPr>
          <w:rFonts w:eastAsia="仿宋_GB2312"/>
          <w:color w:val="000000"/>
          <w:kern w:val="0"/>
          <w:sz w:val="30"/>
          <w:szCs w:val="32"/>
        </w:rPr>
        <w:t>争议解决</w:t>
      </w:r>
      <w:r>
        <w:rPr>
          <w:rFonts w:hint="eastAsia" w:eastAsia="仿宋_GB2312"/>
          <w:color w:val="000000"/>
          <w:kern w:val="0"/>
          <w:sz w:val="30"/>
          <w:szCs w:val="32"/>
        </w:rPr>
        <w:t>〕</w:t>
      </w:r>
      <w:r>
        <w:rPr>
          <w:rFonts w:eastAsia="仿宋_GB2312"/>
          <w:color w:val="000000"/>
          <w:kern w:val="0"/>
          <w:sz w:val="30"/>
          <w:szCs w:val="32"/>
        </w:rPr>
        <w:t>约定处理。</w:t>
      </w:r>
    </w:p>
    <w:p>
      <w:pPr>
        <w:pStyle w:val="8"/>
        <w:spacing w:before="120" w:after="120" w:line="360" w:lineRule="auto"/>
        <w:ind w:firstLine="600" w:firstLineChars="200"/>
        <w:rPr>
          <w:rFonts w:eastAsia="黑体"/>
          <w:b w:val="0"/>
          <w:color w:val="000000"/>
          <w:sz w:val="30"/>
          <w:szCs w:val="32"/>
        </w:rPr>
      </w:pPr>
      <w:bookmarkStart w:id="1289" w:name="_Toc351203625"/>
      <w:r>
        <w:rPr>
          <w:rFonts w:eastAsia="黑体"/>
          <w:b w:val="0"/>
          <w:color w:val="000000"/>
          <w:sz w:val="30"/>
          <w:szCs w:val="32"/>
        </w:rPr>
        <w:t>19.5 提出索赔的期限</w:t>
      </w:r>
      <w:bookmarkEnd w:id="1289"/>
    </w:p>
    <w:p>
      <w:pPr>
        <w:spacing w:line="360" w:lineRule="auto"/>
        <w:ind w:firstLine="600" w:firstLineChars="200"/>
        <w:rPr>
          <w:rFonts w:eastAsia="仿宋_GB2312"/>
          <w:color w:val="000000"/>
          <w:kern w:val="0"/>
          <w:sz w:val="30"/>
          <w:szCs w:val="32"/>
        </w:rPr>
      </w:pPr>
      <w:r>
        <w:rPr>
          <w:rFonts w:eastAsia="仿宋_GB2312"/>
          <w:color w:val="000000"/>
          <w:kern w:val="0"/>
          <w:sz w:val="30"/>
          <w:szCs w:val="32"/>
        </w:rPr>
        <w:t>（1）承包人按第14.2款</w:t>
      </w:r>
      <w:r>
        <w:rPr>
          <w:rFonts w:hint="eastAsia" w:eastAsia="仿宋_GB2312"/>
          <w:color w:val="000000"/>
          <w:kern w:val="0"/>
          <w:sz w:val="30"/>
          <w:szCs w:val="32"/>
        </w:rPr>
        <w:t>〔</w:t>
      </w:r>
      <w:r>
        <w:rPr>
          <w:rFonts w:eastAsia="仿宋_GB2312"/>
          <w:color w:val="000000"/>
          <w:kern w:val="0"/>
          <w:sz w:val="30"/>
          <w:szCs w:val="32"/>
        </w:rPr>
        <w:t>竣工结算审核</w:t>
      </w:r>
      <w:r>
        <w:rPr>
          <w:rFonts w:hint="eastAsia" w:eastAsia="仿宋_GB2312"/>
          <w:color w:val="000000"/>
          <w:kern w:val="0"/>
          <w:sz w:val="30"/>
          <w:szCs w:val="32"/>
        </w:rPr>
        <w:t>〕</w:t>
      </w:r>
      <w:r>
        <w:rPr>
          <w:rFonts w:eastAsia="仿宋_GB2312"/>
          <w:color w:val="000000"/>
          <w:kern w:val="0"/>
          <w:sz w:val="30"/>
          <w:szCs w:val="32"/>
        </w:rPr>
        <w:t>约定接收竣工付款证书后，应被视为已无权再提出在工程接收证书颁发前所发生的任何索赔。</w:t>
      </w:r>
    </w:p>
    <w:p>
      <w:pPr>
        <w:spacing w:line="360" w:lineRule="auto"/>
        <w:ind w:firstLine="600" w:firstLineChars="200"/>
        <w:rPr>
          <w:rFonts w:eastAsia="仿宋_GB2312"/>
          <w:color w:val="000000"/>
          <w:kern w:val="0"/>
          <w:sz w:val="30"/>
          <w:szCs w:val="32"/>
        </w:rPr>
      </w:pPr>
      <w:r>
        <w:rPr>
          <w:rFonts w:eastAsia="仿宋_GB2312"/>
          <w:color w:val="000000"/>
          <w:kern w:val="0"/>
          <w:sz w:val="30"/>
          <w:szCs w:val="32"/>
        </w:rPr>
        <w:t>（2）承包人按第14.4款</w:t>
      </w:r>
      <w:r>
        <w:rPr>
          <w:rFonts w:hint="eastAsia" w:eastAsia="仿宋_GB2312"/>
          <w:color w:val="000000"/>
          <w:kern w:val="0"/>
          <w:sz w:val="30"/>
          <w:szCs w:val="32"/>
        </w:rPr>
        <w:t>〔</w:t>
      </w:r>
      <w:r>
        <w:rPr>
          <w:rFonts w:eastAsia="仿宋_GB2312"/>
          <w:color w:val="000000"/>
          <w:kern w:val="0"/>
          <w:sz w:val="30"/>
          <w:szCs w:val="32"/>
        </w:rPr>
        <w:t>最终结清</w:t>
      </w:r>
      <w:r>
        <w:rPr>
          <w:rFonts w:hint="eastAsia" w:eastAsia="仿宋_GB2312"/>
          <w:color w:val="000000"/>
          <w:kern w:val="0"/>
          <w:sz w:val="30"/>
          <w:szCs w:val="32"/>
        </w:rPr>
        <w:t>〕</w:t>
      </w:r>
      <w:r>
        <w:rPr>
          <w:rFonts w:eastAsia="仿宋_GB2312"/>
          <w:color w:val="000000"/>
          <w:kern w:val="0"/>
          <w:sz w:val="30"/>
          <w:szCs w:val="32"/>
        </w:rPr>
        <w:t>提交的最终结清申请单中，只限于提出工程接收证书颁发后发生的索赔。提出索赔的期限自接受最终结清证书时终止。</w:t>
      </w:r>
    </w:p>
    <w:p>
      <w:pPr>
        <w:pStyle w:val="7"/>
        <w:spacing w:before="120" w:after="120" w:line="360" w:lineRule="auto"/>
        <w:rPr>
          <w:rFonts w:ascii="Times New Roman" w:hAnsi="Times New Roman" w:eastAsia="黑体"/>
          <w:b w:val="0"/>
          <w:color w:val="000000"/>
          <w:sz w:val="32"/>
          <w:szCs w:val="32"/>
        </w:rPr>
      </w:pPr>
      <w:bookmarkStart w:id="1290" w:name="_Toc351203626"/>
      <w:r>
        <w:rPr>
          <w:rFonts w:ascii="Times New Roman" w:hAnsi="Times New Roman" w:eastAsia="黑体"/>
          <w:b w:val="0"/>
          <w:color w:val="000000"/>
          <w:sz w:val="32"/>
          <w:szCs w:val="32"/>
        </w:rPr>
        <w:t>20</w:t>
      </w:r>
      <w:bookmarkStart w:id="1291" w:name="_Toc296503146"/>
      <w:bookmarkStart w:id="1292" w:name="_Toc337558840"/>
      <w:bookmarkStart w:id="1293" w:name="_Toc296346647"/>
      <w:r>
        <w:rPr>
          <w:rFonts w:ascii="Times New Roman" w:hAnsi="Times New Roman" w:eastAsia="黑体"/>
          <w:b w:val="0"/>
          <w:color w:val="000000"/>
          <w:sz w:val="32"/>
          <w:szCs w:val="32"/>
        </w:rPr>
        <w:t>. 争议解决</w:t>
      </w:r>
      <w:bookmarkEnd w:id="1290"/>
    </w:p>
    <w:bookmarkEnd w:id="1291"/>
    <w:bookmarkEnd w:id="1292"/>
    <w:bookmarkEnd w:id="1293"/>
    <w:p>
      <w:pPr>
        <w:pStyle w:val="8"/>
        <w:spacing w:before="120" w:after="120" w:line="360" w:lineRule="auto"/>
        <w:ind w:firstLine="600" w:firstLineChars="200"/>
        <w:rPr>
          <w:rFonts w:eastAsia="黑体"/>
          <w:b w:val="0"/>
          <w:color w:val="000000"/>
          <w:sz w:val="30"/>
          <w:szCs w:val="32"/>
        </w:rPr>
      </w:pPr>
      <w:bookmarkStart w:id="1294" w:name="_Toc351203627"/>
      <w:bookmarkStart w:id="1295" w:name="_Toc337558841"/>
      <w:bookmarkStart w:id="1296" w:name="_Toc296346648"/>
      <w:bookmarkStart w:id="1297" w:name="_Toc296503147"/>
      <w:r>
        <w:rPr>
          <w:rFonts w:eastAsia="黑体"/>
          <w:b w:val="0"/>
          <w:color w:val="000000"/>
          <w:sz w:val="30"/>
          <w:szCs w:val="32"/>
        </w:rPr>
        <w:t>20.1和解</w:t>
      </w:r>
      <w:bookmarkEnd w:id="1294"/>
    </w:p>
    <w:bookmarkEnd w:id="1295"/>
    <w:bookmarkEnd w:id="1296"/>
    <w:bookmarkEnd w:id="1297"/>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合同当事人可以就争议自行和解，自行和解达成协议的经双方签字并盖章后作为合同补充文件，双方均应遵照执行。</w:t>
      </w:r>
    </w:p>
    <w:p>
      <w:pPr>
        <w:pStyle w:val="8"/>
        <w:spacing w:before="120" w:after="120" w:line="360" w:lineRule="auto"/>
        <w:ind w:firstLine="600" w:firstLineChars="200"/>
        <w:rPr>
          <w:rFonts w:eastAsia="黑体"/>
          <w:b w:val="0"/>
          <w:color w:val="000000"/>
          <w:sz w:val="30"/>
          <w:szCs w:val="32"/>
        </w:rPr>
      </w:pPr>
      <w:bookmarkStart w:id="1298" w:name="_Toc351203628"/>
      <w:r>
        <w:rPr>
          <w:rFonts w:eastAsia="黑体"/>
          <w:b w:val="0"/>
          <w:color w:val="000000"/>
          <w:sz w:val="30"/>
          <w:szCs w:val="32"/>
        </w:rPr>
        <w:t>20</w:t>
      </w:r>
      <w:bookmarkStart w:id="1299" w:name="_Toc296346649"/>
      <w:bookmarkStart w:id="1300" w:name="_Toc337558842"/>
      <w:bookmarkStart w:id="1301" w:name="_Toc296503148"/>
      <w:r>
        <w:rPr>
          <w:rFonts w:eastAsia="黑体"/>
          <w:b w:val="0"/>
          <w:color w:val="000000"/>
          <w:sz w:val="30"/>
          <w:szCs w:val="32"/>
        </w:rPr>
        <w:t>.2调解</w:t>
      </w:r>
      <w:bookmarkEnd w:id="1298"/>
    </w:p>
    <w:bookmarkEnd w:id="1299"/>
    <w:bookmarkEnd w:id="1300"/>
    <w:bookmarkEnd w:id="1301"/>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合同当事人可以就争议请求建设行政主管部门</w:t>
      </w:r>
      <w:r>
        <w:rPr>
          <w:rFonts w:hint="eastAsia" w:eastAsia="仿宋_GB2312"/>
          <w:color w:val="000000"/>
          <w:kern w:val="0"/>
          <w:sz w:val="30"/>
          <w:szCs w:val="32"/>
        </w:rPr>
        <w:t>、行业协会</w:t>
      </w:r>
      <w:r>
        <w:rPr>
          <w:rFonts w:eastAsia="仿宋_GB2312"/>
          <w:color w:val="000000"/>
          <w:kern w:val="0"/>
          <w:sz w:val="30"/>
          <w:szCs w:val="32"/>
        </w:rPr>
        <w:t>或</w:t>
      </w:r>
      <w:r>
        <w:rPr>
          <w:rFonts w:hint="eastAsia" w:eastAsia="仿宋_GB2312"/>
          <w:color w:val="000000"/>
          <w:kern w:val="0"/>
          <w:sz w:val="30"/>
          <w:szCs w:val="32"/>
        </w:rPr>
        <w:t>其他</w:t>
      </w:r>
      <w:r>
        <w:rPr>
          <w:rFonts w:eastAsia="仿宋_GB2312"/>
          <w:color w:val="000000"/>
          <w:kern w:val="0"/>
          <w:sz w:val="30"/>
          <w:szCs w:val="32"/>
        </w:rPr>
        <w:t>第三方进行调解，调解达成协议的，经双方签字并盖章后作为合同补充文件，双方均应遵照执行。</w:t>
      </w:r>
    </w:p>
    <w:p>
      <w:pPr>
        <w:pStyle w:val="8"/>
        <w:spacing w:before="120" w:after="120" w:line="360" w:lineRule="auto"/>
        <w:ind w:firstLine="600" w:firstLineChars="200"/>
        <w:rPr>
          <w:rFonts w:eastAsia="黑体"/>
          <w:b w:val="0"/>
          <w:color w:val="000000"/>
          <w:sz w:val="30"/>
          <w:szCs w:val="32"/>
        </w:rPr>
      </w:pPr>
      <w:bookmarkStart w:id="1302" w:name="_Toc351203629"/>
      <w:bookmarkStart w:id="1303" w:name="_Toc337558843"/>
      <w:bookmarkStart w:id="1304" w:name="_Toc296346650"/>
      <w:bookmarkStart w:id="1305" w:name="_Toc296503149"/>
      <w:r>
        <w:rPr>
          <w:rFonts w:eastAsia="黑体"/>
          <w:b w:val="0"/>
          <w:color w:val="000000"/>
          <w:sz w:val="30"/>
          <w:szCs w:val="32"/>
        </w:rPr>
        <w:t>20.3争议评审</w:t>
      </w:r>
      <w:bookmarkEnd w:id="1302"/>
    </w:p>
    <w:bookmarkEnd w:id="1303"/>
    <w:bookmarkEnd w:id="1304"/>
    <w:bookmarkEnd w:id="1305"/>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合同当事人在专用合同条款中约定采取争议评审方式解决争议</w:t>
      </w:r>
      <w:r>
        <w:rPr>
          <w:rFonts w:hint="eastAsia" w:eastAsia="仿宋_GB2312"/>
          <w:color w:val="000000"/>
          <w:kern w:val="0"/>
          <w:sz w:val="30"/>
          <w:szCs w:val="32"/>
        </w:rPr>
        <w:t>以及评审规则，并</w:t>
      </w:r>
      <w:r>
        <w:rPr>
          <w:rFonts w:eastAsia="仿宋_GB2312"/>
          <w:color w:val="000000"/>
          <w:kern w:val="0"/>
          <w:sz w:val="30"/>
          <w:szCs w:val="32"/>
        </w:rPr>
        <w:t xml:space="preserve">按下列约定执行：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20.3.1 争议评审小组的确定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eastAsia="仿宋_GB2312"/>
          <w:color w:val="000000"/>
          <w:kern w:val="0"/>
          <w:sz w:val="30"/>
          <w:szCs w:val="32"/>
        </w:rPr>
        <w:t>评审</w:t>
      </w:r>
      <w:r>
        <w:rPr>
          <w:rFonts w:eastAsia="仿宋_GB2312"/>
          <w:color w:val="000000"/>
          <w:kern w:val="0"/>
          <w:sz w:val="30"/>
          <w:szCs w:val="32"/>
        </w:rPr>
        <w:t xml:space="preserve">机构指定第三名首席争议评审员。 </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除专用合同条款另有约定外，评审员报酬由发包人和承包人各承担一半。</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20.3.2 争议评审小组的决定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20.3.3 争议评审小组决定的效力</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争议评审小组作出的书面决定经合同当事人签字确认后，对双方具有约束力，双方应遵照执行。</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任何一方当事人不接受争议评审小组决定</w:t>
      </w:r>
      <w:r>
        <w:rPr>
          <w:rFonts w:hint="eastAsia" w:eastAsia="仿宋_GB2312"/>
          <w:color w:val="000000"/>
          <w:kern w:val="0"/>
          <w:sz w:val="30"/>
          <w:szCs w:val="32"/>
        </w:rPr>
        <w:t>或不履行争议评审小组决定的</w:t>
      </w:r>
      <w:r>
        <w:rPr>
          <w:rFonts w:eastAsia="仿宋_GB2312"/>
          <w:color w:val="000000"/>
          <w:kern w:val="0"/>
          <w:sz w:val="30"/>
          <w:szCs w:val="32"/>
        </w:rPr>
        <w:t>，双方可选择采用其他争议解决方式。</w:t>
      </w:r>
    </w:p>
    <w:p>
      <w:pPr>
        <w:pStyle w:val="8"/>
        <w:spacing w:before="120" w:after="120" w:line="360" w:lineRule="auto"/>
        <w:ind w:firstLine="600" w:firstLineChars="200"/>
        <w:rPr>
          <w:rFonts w:eastAsia="黑体"/>
          <w:b w:val="0"/>
          <w:color w:val="000000"/>
          <w:sz w:val="30"/>
          <w:szCs w:val="32"/>
        </w:rPr>
      </w:pPr>
      <w:bookmarkStart w:id="1306" w:name="_Toc351203630"/>
      <w:bookmarkStart w:id="1307" w:name="_Toc296503150"/>
      <w:bookmarkStart w:id="1308" w:name="_Toc296346651"/>
      <w:bookmarkStart w:id="1309" w:name="_Toc337558844"/>
      <w:r>
        <w:rPr>
          <w:rFonts w:eastAsia="黑体"/>
          <w:b w:val="0"/>
          <w:color w:val="000000"/>
          <w:sz w:val="30"/>
          <w:szCs w:val="32"/>
        </w:rPr>
        <w:t>20.4仲裁或诉讼</w:t>
      </w:r>
      <w:bookmarkEnd w:id="1306"/>
    </w:p>
    <w:bookmarkEnd w:id="1307"/>
    <w:bookmarkEnd w:id="1308"/>
    <w:bookmarkEnd w:id="1309"/>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因合同及合同有关事项产生的争议，合同当事人可以在专用合同条款中约定以下一种方式解决争议：</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（1）向约定的仲裁委员会申请仲裁；</w:t>
      </w:r>
    </w:p>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（2）向有管辖权的人民法院起诉。</w:t>
      </w:r>
    </w:p>
    <w:p>
      <w:pPr>
        <w:pStyle w:val="8"/>
        <w:spacing w:before="120" w:after="120" w:line="360" w:lineRule="auto"/>
        <w:ind w:firstLine="600" w:firstLineChars="200"/>
        <w:rPr>
          <w:rFonts w:eastAsia="黑体"/>
          <w:b w:val="0"/>
          <w:color w:val="000000"/>
          <w:sz w:val="30"/>
          <w:szCs w:val="32"/>
        </w:rPr>
      </w:pPr>
      <w:bookmarkStart w:id="1310" w:name="_Toc351203631"/>
      <w:bookmarkStart w:id="1311" w:name="_Toc337558845"/>
      <w:bookmarkStart w:id="1312" w:name="_Toc296346653"/>
      <w:bookmarkStart w:id="1313" w:name="_Toc296503152"/>
      <w:r>
        <w:rPr>
          <w:rFonts w:eastAsia="黑体"/>
          <w:b w:val="0"/>
          <w:color w:val="000000"/>
          <w:sz w:val="30"/>
          <w:szCs w:val="32"/>
        </w:rPr>
        <w:t>20.5争议解决条款效力</w:t>
      </w:r>
      <w:bookmarkEnd w:id="1310"/>
    </w:p>
    <w:bookmarkEnd w:id="1311"/>
    <w:bookmarkEnd w:id="1312"/>
    <w:bookmarkEnd w:id="1313"/>
    <w:p>
      <w:pPr>
        <w:autoSpaceDE w:val="0"/>
        <w:autoSpaceDN w:val="0"/>
        <w:adjustRightInd w:val="0"/>
        <w:spacing w:line="360" w:lineRule="auto"/>
        <w:ind w:firstLine="600" w:firstLineChars="200"/>
        <w:jc w:val="left"/>
        <w:rPr>
          <w:rFonts w:eastAsia="仿宋_GB2312"/>
          <w:color w:val="000000"/>
          <w:kern w:val="0"/>
          <w:sz w:val="30"/>
          <w:szCs w:val="32"/>
        </w:rPr>
      </w:pPr>
      <w:r>
        <w:rPr>
          <w:rFonts w:eastAsia="仿宋_GB2312"/>
          <w:color w:val="000000"/>
          <w:kern w:val="0"/>
          <w:sz w:val="30"/>
          <w:szCs w:val="32"/>
        </w:rPr>
        <w:t xml:space="preserve">合同有关争议解决的条款独立存在，合同的变更、解除、终止、无效或者被撤销均不影响其效力。 </w:t>
      </w:r>
    </w:p>
    <w:p>
      <w:pPr>
        <w:pStyle w:val="6"/>
        <w:numPr>
          <w:ilvl w:val="0"/>
          <w:numId w:val="6"/>
        </w:numPr>
        <w:jc w:val="center"/>
        <w:rPr>
          <w:rFonts w:hint="eastAsia" w:ascii="华文中宋" w:hAnsi="华文中宋" w:eastAsia="华文中宋"/>
          <w:sz w:val="44"/>
          <w:szCs w:val="44"/>
        </w:rPr>
      </w:pPr>
      <w:bookmarkStart w:id="1314" w:name="_Toc351203632"/>
      <w:r>
        <w:rPr>
          <w:rFonts w:ascii="华文中宋" w:hAnsi="华文中宋" w:eastAsia="华文中宋"/>
          <w:sz w:val="44"/>
          <w:szCs w:val="44"/>
        </w:rPr>
        <w:br w:type="page"/>
      </w:r>
      <w:bookmarkStart w:id="1315" w:name="_Toc10650"/>
      <w:r>
        <w:rPr>
          <w:rFonts w:hint="eastAsia" w:ascii="华文中宋" w:hAnsi="华文中宋" w:eastAsia="华文中宋"/>
          <w:sz w:val="44"/>
          <w:szCs w:val="44"/>
        </w:rPr>
        <w:t>专用合同条款</w:t>
      </w:r>
      <w:bookmarkEnd w:id="1314"/>
      <w:bookmarkEnd w:id="1315"/>
    </w:p>
    <w:p>
      <w:pPr>
        <w:numPr>
          <w:ilvl w:val="2"/>
          <w:numId w:val="7"/>
        </w:numPr>
        <w:tabs>
          <w:tab w:val="left" w:pos="426"/>
        </w:tabs>
        <w:spacing w:line="360" w:lineRule="auto"/>
        <w:ind w:left="1680" w:hanging="834"/>
        <w:outlineLvl w:val="3"/>
        <w:rPr>
          <w:rFonts w:hint="eastAsia" w:ascii="宋体" w:hAnsi="宋体"/>
          <w:bCs/>
          <w:sz w:val="24"/>
          <w:lang w:val="zh-CN"/>
        </w:rPr>
      </w:pPr>
      <w:r>
        <w:rPr>
          <w:rFonts w:ascii="宋体" w:hAnsi="宋体"/>
          <w:bCs/>
          <w:sz w:val="24"/>
          <w:lang w:val="zh-CN"/>
        </w:rPr>
        <w:t>一般约定</w:t>
      </w:r>
    </w:p>
    <w:p>
      <w:pPr>
        <w:numPr>
          <w:ilvl w:val="3"/>
          <w:numId w:val="7"/>
        </w:numPr>
        <w:tabs>
          <w:tab w:val="left" w:pos="0"/>
          <w:tab w:val="left" w:pos="709"/>
        </w:tabs>
        <w:spacing w:line="360" w:lineRule="auto"/>
        <w:ind w:left="1276" w:hanging="850"/>
        <w:outlineLvl w:val="3"/>
        <w:rPr>
          <w:rFonts w:hint="eastAsia" w:ascii="宋体" w:hAnsi="宋体"/>
          <w:bCs/>
          <w:sz w:val="24"/>
          <w:lang w:val="zh-CN"/>
        </w:rPr>
      </w:pPr>
      <w:r>
        <w:rPr>
          <w:rFonts w:ascii="宋体" w:hAnsi="宋体"/>
          <w:bCs/>
          <w:sz w:val="24"/>
          <w:lang w:val="zh-CN"/>
        </w:rPr>
        <w:t>词语定义与解释</w:t>
      </w:r>
    </w:p>
    <w:p>
      <w:pPr>
        <w:autoSpaceDE w:val="0"/>
        <w:autoSpaceDN w:val="0"/>
        <w:spacing w:line="360" w:lineRule="auto"/>
        <w:ind w:firstLine="480" w:firstLineChars="200"/>
        <w:rPr>
          <w:rFonts w:hint="eastAsia" w:ascii="宋体" w:hAnsi="宋体"/>
          <w:sz w:val="24"/>
        </w:rPr>
      </w:pPr>
      <w:r>
        <w:rPr>
          <w:rFonts w:ascii="宋体" w:hAnsi="宋体"/>
          <w:sz w:val="24"/>
        </w:rPr>
        <w:t>合同协议书、合同条款中的下列词语具有本款所赋予的含义：</w:t>
      </w:r>
    </w:p>
    <w:p>
      <w:pPr>
        <w:numPr>
          <w:ilvl w:val="2"/>
          <w:numId w:val="8"/>
        </w:numPr>
        <w:tabs>
          <w:tab w:val="left" w:pos="709"/>
          <w:tab w:val="left" w:pos="1276"/>
          <w:tab w:val="left" w:pos="1418"/>
          <w:tab w:val="left" w:pos="1701"/>
        </w:tabs>
        <w:autoSpaceDE w:val="0"/>
        <w:autoSpaceDN w:val="0"/>
        <w:spacing w:line="360" w:lineRule="auto"/>
        <w:ind w:left="426" w:leftChars="203"/>
        <w:rPr>
          <w:rFonts w:hint="eastAsia" w:ascii="宋体" w:hAnsi="宋体"/>
          <w:sz w:val="24"/>
        </w:rPr>
      </w:pPr>
      <w:r>
        <w:rPr>
          <w:rFonts w:ascii="宋体" w:hAnsi="宋体"/>
          <w:sz w:val="24"/>
        </w:rPr>
        <w:t>合同</w:t>
      </w:r>
    </w:p>
    <w:p>
      <w:pPr>
        <w:autoSpaceDE w:val="0"/>
        <w:autoSpaceDN w:val="0"/>
        <w:spacing w:line="360" w:lineRule="auto"/>
        <w:ind w:firstLine="480" w:firstLineChars="200"/>
        <w:rPr>
          <w:rFonts w:hint="eastAsia" w:ascii="宋体" w:hAnsi="宋体"/>
          <w:sz w:val="24"/>
        </w:rPr>
      </w:pPr>
      <w:r>
        <w:rPr>
          <w:rFonts w:ascii="宋体" w:hAnsi="宋体"/>
          <w:sz w:val="24"/>
        </w:rPr>
        <w:t xml:space="preserve">1.1.1.1 </w:t>
      </w:r>
      <w:r>
        <w:rPr>
          <w:rFonts w:hint="eastAsia" w:ascii="宋体" w:hAnsi="宋体"/>
          <w:sz w:val="24"/>
        </w:rPr>
        <w:t>合同：是指根据法律规定和合同当事人约定具有约束力的文件，构成合同的文件包括合同协议书及其附件、确定中标（如果有）、投标函及其附录（如果有）、合同条款及其附件、技术标准和要求、图纸、报价表、分部分项报价分析表（已标价的工程量清单）或预算书以及其他合同文件。</w:t>
      </w:r>
    </w:p>
    <w:p>
      <w:pPr>
        <w:spacing w:line="360" w:lineRule="auto"/>
        <w:ind w:firstLine="480" w:firstLineChars="200"/>
        <w:rPr>
          <w:rFonts w:hint="eastAsia" w:ascii="宋体" w:hAnsi="宋体"/>
          <w:sz w:val="24"/>
        </w:rPr>
      </w:pPr>
      <w:r>
        <w:rPr>
          <w:rFonts w:ascii="宋体" w:hAnsi="宋体"/>
          <w:sz w:val="24"/>
        </w:rPr>
        <w:t>1.1.1.8</w:t>
      </w:r>
      <w:r>
        <w:rPr>
          <w:rFonts w:hint="eastAsia" w:ascii="宋体" w:hAnsi="宋体"/>
          <w:sz w:val="24"/>
        </w:rPr>
        <w:t xml:space="preserve"> 报价表、分部分项报价分析表（已标价的工程量清单）</w:t>
      </w:r>
      <w:r>
        <w:rPr>
          <w:rFonts w:ascii="宋体" w:hAnsi="宋体"/>
          <w:sz w:val="24"/>
        </w:rPr>
        <w:t>：是指构成合同的由承包人按照规定的格式和要求填写并标明价格的工程量清单，包括说明和表格。</w:t>
      </w:r>
    </w:p>
    <w:p>
      <w:pPr>
        <w:autoSpaceDE w:val="0"/>
        <w:autoSpaceDN w:val="0"/>
        <w:spacing w:line="360" w:lineRule="auto"/>
        <w:ind w:firstLine="480" w:firstLineChars="200"/>
      </w:pPr>
      <w:r>
        <w:rPr>
          <w:rFonts w:ascii="宋体" w:hAnsi="宋体"/>
          <w:sz w:val="24"/>
        </w:rPr>
        <w:t>1.1.2.</w:t>
      </w:r>
      <w:r>
        <w:rPr>
          <w:rFonts w:hint="eastAsia" w:ascii="宋体" w:hAnsi="宋体"/>
          <w:sz w:val="24"/>
        </w:rPr>
        <w:t>4</w:t>
      </w:r>
      <w:r>
        <w:rPr>
          <w:rFonts w:ascii="宋体" w:hAnsi="宋体"/>
          <w:sz w:val="24"/>
        </w:rPr>
        <w:t xml:space="preserve"> 监理人：是指在合同条款中指明的，受发包人委托按照法律规定进行工程监督管理并具备相应工程监理资质的法人或其他组织。</w:t>
      </w:r>
    </w:p>
    <w:p>
      <w:pPr>
        <w:autoSpaceDE w:val="0"/>
        <w:autoSpaceDN w:val="0"/>
        <w:spacing w:line="360" w:lineRule="auto"/>
        <w:ind w:firstLine="480" w:firstLineChars="200"/>
        <w:rPr>
          <w:rFonts w:hint="eastAsia" w:ascii="宋体" w:hAnsi="宋体"/>
          <w:sz w:val="24"/>
        </w:rPr>
      </w:pPr>
      <w:r>
        <w:rPr>
          <w:rFonts w:ascii="宋体" w:hAnsi="宋体"/>
          <w:sz w:val="24"/>
        </w:rPr>
        <w:t>1.1.2.</w:t>
      </w:r>
      <w:r>
        <w:rPr>
          <w:rFonts w:hint="eastAsia" w:ascii="宋体" w:hAnsi="宋体"/>
          <w:sz w:val="24"/>
        </w:rPr>
        <w:t>5</w:t>
      </w:r>
      <w:r>
        <w:rPr>
          <w:rFonts w:ascii="宋体" w:hAnsi="宋体"/>
          <w:sz w:val="24"/>
        </w:rPr>
        <w:t xml:space="preserve"> 设计人：是指在合同条款中指明的，受发包人委托负责工程设计并具备相应工程设计资质的法人或其他组织。</w:t>
      </w:r>
    </w:p>
    <w:p>
      <w:pPr>
        <w:autoSpaceDE w:val="0"/>
        <w:autoSpaceDN w:val="0"/>
        <w:spacing w:line="360" w:lineRule="auto"/>
        <w:ind w:firstLine="480" w:firstLineChars="200"/>
        <w:rPr>
          <w:rFonts w:hint="eastAsia" w:ascii="宋体" w:hAnsi="宋体"/>
          <w:sz w:val="24"/>
        </w:rPr>
      </w:pPr>
      <w:r>
        <w:rPr>
          <w:rFonts w:hint="eastAsia" w:ascii="宋体" w:hAnsi="宋体"/>
          <w:sz w:val="24"/>
        </w:rPr>
        <w:t>其他合同当事人及相关方：</w:t>
      </w:r>
    </w:p>
    <w:p>
      <w:pPr>
        <w:autoSpaceDE w:val="0"/>
        <w:autoSpaceDN w:val="0"/>
        <w:spacing w:line="360" w:lineRule="auto"/>
        <w:ind w:firstLine="480" w:firstLineChars="200"/>
        <w:rPr>
          <w:rFonts w:hint="eastAsia" w:ascii="宋体" w:hAnsi="宋体"/>
          <w:sz w:val="24"/>
        </w:rPr>
      </w:pPr>
      <w:r>
        <w:rPr>
          <w:rFonts w:hint="eastAsia" w:ascii="宋体" w:hAnsi="宋体"/>
          <w:sz w:val="24"/>
        </w:rPr>
        <w:t>（1）工程质量监督部门：是指国务院有关部门、县级以上建设行政主管部门或其授权的工程质量监督机构。由发包人负责委托。</w:t>
      </w:r>
    </w:p>
    <w:p>
      <w:pPr>
        <w:autoSpaceDE w:val="0"/>
        <w:autoSpaceDN w:val="0"/>
        <w:spacing w:line="360" w:lineRule="auto"/>
        <w:ind w:firstLine="480" w:firstLineChars="200"/>
        <w:rPr>
          <w:rFonts w:hint="eastAsia" w:ascii="宋体" w:hAnsi="宋体"/>
          <w:sz w:val="24"/>
        </w:rPr>
      </w:pPr>
      <w:r>
        <w:rPr>
          <w:rFonts w:hint="eastAsia" w:ascii="宋体" w:hAnsi="宋体"/>
          <w:sz w:val="24"/>
        </w:rPr>
        <w:t>（2）工程造价咨询人：是指</w:t>
      </w:r>
      <w:r>
        <w:rPr>
          <w:rFonts w:ascii="宋体" w:hAnsi="宋体"/>
          <w:sz w:val="24"/>
        </w:rPr>
        <w:t>受发包人委托进行工程造价咨询管理并具备相应工程造价咨询资质的法人或其他组织</w:t>
      </w:r>
      <w:r>
        <w:rPr>
          <w:rFonts w:hint="eastAsia" w:ascii="宋体" w:hAnsi="宋体"/>
          <w:sz w:val="24"/>
        </w:rPr>
        <w:t>。</w:t>
      </w:r>
    </w:p>
    <w:p>
      <w:pPr>
        <w:tabs>
          <w:tab w:val="left" w:pos="0"/>
          <w:tab w:val="left" w:pos="709"/>
        </w:tabs>
        <w:spacing w:line="360" w:lineRule="auto"/>
        <w:ind w:left="426"/>
        <w:outlineLvl w:val="3"/>
        <w:rPr>
          <w:rFonts w:hint="eastAsia" w:ascii="宋体" w:hAnsi="宋体" w:eastAsia="仿宋"/>
          <w:sz w:val="24"/>
        </w:rPr>
      </w:pPr>
      <w:r>
        <w:rPr>
          <w:rFonts w:hint="eastAsia" w:ascii="宋体" w:hAnsi="宋体"/>
          <w:sz w:val="24"/>
        </w:rPr>
        <w:t>1.1.2.6专用条款未列明的</w:t>
      </w:r>
      <w:r>
        <w:rPr>
          <w:rFonts w:ascii="宋体" w:hAnsi="宋体"/>
          <w:bCs/>
          <w:sz w:val="24"/>
          <w:lang w:val="zh-CN"/>
        </w:rPr>
        <w:t>词语定义与解释</w:t>
      </w:r>
      <w:r>
        <w:rPr>
          <w:rFonts w:hint="eastAsia" w:ascii="宋体" w:hAnsi="宋体"/>
          <w:bCs/>
          <w:sz w:val="24"/>
        </w:rPr>
        <w:t>和</w:t>
      </w:r>
      <w:r>
        <w:rPr>
          <w:rFonts w:hint="eastAsia" w:ascii="宋体" w:hAnsi="宋体"/>
          <w:sz w:val="24"/>
        </w:rPr>
        <w:t>当事人及相关方执行通用条款。</w:t>
      </w:r>
    </w:p>
    <w:p>
      <w:pPr>
        <w:numPr>
          <w:ilvl w:val="255"/>
          <w:numId w:val="0"/>
        </w:numPr>
        <w:tabs>
          <w:tab w:val="left" w:pos="709"/>
          <w:tab w:val="left" w:pos="1276"/>
          <w:tab w:val="left" w:pos="1418"/>
          <w:tab w:val="left" w:pos="1701"/>
        </w:tabs>
        <w:autoSpaceDE w:val="0"/>
        <w:autoSpaceDN w:val="0"/>
        <w:spacing w:line="360" w:lineRule="auto"/>
        <w:ind w:left="426" w:leftChars="203"/>
        <w:rPr>
          <w:rFonts w:hint="eastAsia" w:ascii="宋体" w:hAnsi="宋体"/>
          <w:sz w:val="24"/>
        </w:rPr>
      </w:pPr>
      <w:r>
        <w:rPr>
          <w:rFonts w:hint="eastAsia" w:ascii="宋体" w:hAnsi="宋体"/>
          <w:sz w:val="24"/>
        </w:rPr>
        <w:t>1.1.3</w:t>
      </w:r>
      <w:r>
        <w:rPr>
          <w:rFonts w:ascii="宋体" w:hAnsi="宋体"/>
          <w:sz w:val="24"/>
        </w:rPr>
        <w:t>工程</w:t>
      </w:r>
      <w:r>
        <w:rPr>
          <w:rFonts w:hint="eastAsia" w:ascii="宋体" w:hAnsi="宋体"/>
          <w:sz w:val="24"/>
        </w:rPr>
        <w:t>和</w:t>
      </w:r>
      <w:r>
        <w:rPr>
          <w:rFonts w:ascii="宋体" w:hAnsi="宋体"/>
          <w:sz w:val="24"/>
        </w:rPr>
        <w:t>设备</w:t>
      </w:r>
    </w:p>
    <w:p>
      <w:pPr>
        <w:spacing w:line="360" w:lineRule="auto"/>
        <w:ind w:firstLine="487" w:firstLineChars="203"/>
        <w:rPr>
          <w:rFonts w:hint="eastAsia" w:ascii="宋体" w:hAnsi="宋体"/>
          <w:sz w:val="24"/>
        </w:rPr>
      </w:pPr>
      <w:r>
        <w:rPr>
          <w:rFonts w:hint="eastAsia" w:ascii="宋体" w:hAnsi="宋体"/>
          <w:sz w:val="24"/>
        </w:rPr>
        <w:t>1.1.3.5工程设备：是指构成永久工程的机电设备、金属结构设备、仪器及其他类似的设备和装置。</w:t>
      </w:r>
    </w:p>
    <w:p>
      <w:pPr>
        <w:spacing w:line="360" w:lineRule="auto"/>
        <w:ind w:firstLine="487" w:firstLineChars="203"/>
        <w:rPr>
          <w:rFonts w:hint="eastAsia" w:ascii="宋体" w:hAnsi="宋体"/>
          <w:sz w:val="24"/>
        </w:rPr>
      </w:pPr>
      <w:r>
        <w:rPr>
          <w:rFonts w:hint="eastAsia" w:ascii="宋体" w:hAnsi="宋体"/>
          <w:sz w:val="24"/>
        </w:rPr>
        <w:t>1.1.3.5施工设备：执行通用条款。</w:t>
      </w:r>
    </w:p>
    <w:p>
      <w:pPr>
        <w:spacing w:line="360" w:lineRule="auto"/>
        <w:ind w:firstLine="487" w:firstLineChars="203"/>
        <w:rPr>
          <w:rFonts w:hint="eastAsia" w:ascii="宋体" w:hAnsi="宋体"/>
          <w:sz w:val="24"/>
        </w:rPr>
      </w:pPr>
      <w:r>
        <w:rPr>
          <w:rFonts w:hint="eastAsia" w:ascii="宋体" w:hAnsi="宋体"/>
          <w:sz w:val="24"/>
        </w:rPr>
        <w:t>1.1.3.6</w:t>
      </w:r>
      <w:r>
        <w:rPr>
          <w:rFonts w:ascii="宋体" w:hAnsi="宋体"/>
          <w:sz w:val="24"/>
        </w:rPr>
        <w:t>施工现场：</w:t>
      </w:r>
      <w:r>
        <w:rPr>
          <w:rFonts w:hint="eastAsia" w:ascii="宋体" w:hAnsi="宋体"/>
          <w:sz w:val="24"/>
        </w:rPr>
        <w:t>执行通用条款。</w:t>
      </w:r>
    </w:p>
    <w:p>
      <w:pPr>
        <w:spacing w:line="360" w:lineRule="auto"/>
        <w:ind w:firstLine="487" w:firstLineChars="203"/>
        <w:rPr>
          <w:rFonts w:hint="eastAsia" w:ascii="宋体" w:hAnsi="宋体"/>
          <w:sz w:val="24"/>
        </w:rPr>
      </w:pPr>
      <w:r>
        <w:rPr>
          <w:rFonts w:hint="eastAsia" w:ascii="宋体" w:hAnsi="宋体"/>
          <w:sz w:val="24"/>
        </w:rPr>
        <w:t>1.1.3.7临时设施：执行通用条款。</w:t>
      </w:r>
    </w:p>
    <w:p>
      <w:pPr>
        <w:spacing w:line="360" w:lineRule="auto"/>
        <w:ind w:firstLine="487" w:firstLineChars="203"/>
        <w:rPr>
          <w:rFonts w:hint="eastAsia" w:ascii="宋体" w:hAnsi="宋体"/>
          <w:sz w:val="24"/>
        </w:rPr>
      </w:pPr>
      <w:r>
        <w:rPr>
          <w:rFonts w:hint="eastAsia" w:ascii="宋体" w:hAnsi="宋体"/>
          <w:sz w:val="24"/>
        </w:rPr>
        <w:t>1.1.3.8永久占地：执行通用条款。</w:t>
      </w:r>
    </w:p>
    <w:p>
      <w:pPr>
        <w:spacing w:line="360" w:lineRule="auto"/>
        <w:ind w:firstLine="487" w:firstLineChars="203"/>
        <w:rPr>
          <w:rFonts w:hint="eastAsia" w:ascii="宋体" w:hAnsi="宋体"/>
          <w:sz w:val="24"/>
        </w:rPr>
      </w:pPr>
      <w:r>
        <w:rPr>
          <w:rFonts w:hint="eastAsia" w:ascii="宋体" w:hAnsi="宋体"/>
          <w:sz w:val="24"/>
        </w:rPr>
        <w:t>1.1.3.9临时占地：执行通用条款。</w:t>
      </w:r>
    </w:p>
    <w:p>
      <w:pPr>
        <w:numPr>
          <w:ilvl w:val="255"/>
          <w:numId w:val="0"/>
        </w:numPr>
        <w:tabs>
          <w:tab w:val="left" w:pos="709"/>
          <w:tab w:val="left" w:pos="1276"/>
          <w:tab w:val="left" w:pos="1418"/>
          <w:tab w:val="left" w:pos="1701"/>
        </w:tabs>
        <w:autoSpaceDE w:val="0"/>
        <w:autoSpaceDN w:val="0"/>
        <w:spacing w:line="360" w:lineRule="auto"/>
        <w:ind w:left="426" w:leftChars="203"/>
        <w:rPr>
          <w:rFonts w:hint="eastAsia" w:ascii="宋体" w:hAnsi="宋体"/>
          <w:sz w:val="24"/>
        </w:rPr>
      </w:pPr>
      <w:r>
        <w:rPr>
          <w:rFonts w:hint="eastAsia" w:ascii="宋体" w:hAnsi="宋体"/>
          <w:sz w:val="24"/>
        </w:rPr>
        <w:t>1.1.4日期</w:t>
      </w:r>
      <w:r>
        <w:rPr>
          <w:rFonts w:ascii="宋体" w:hAnsi="宋体"/>
          <w:sz w:val="24"/>
        </w:rPr>
        <w:t>和期限</w:t>
      </w:r>
    </w:p>
    <w:p>
      <w:pPr>
        <w:spacing w:line="360" w:lineRule="auto"/>
        <w:ind w:firstLine="487" w:firstLineChars="203"/>
        <w:rPr>
          <w:rFonts w:hint="eastAsia" w:ascii="宋体" w:hAnsi="宋体"/>
          <w:sz w:val="24"/>
        </w:rPr>
      </w:pPr>
      <w:r>
        <w:rPr>
          <w:rFonts w:hint="eastAsia" w:ascii="宋体" w:hAnsi="宋体"/>
          <w:sz w:val="24"/>
        </w:rPr>
        <w:t>1.1.4.1 开工日期：执行通用条款。</w:t>
      </w:r>
    </w:p>
    <w:p>
      <w:pPr>
        <w:spacing w:line="360" w:lineRule="auto"/>
        <w:ind w:firstLine="487" w:firstLineChars="203"/>
        <w:rPr>
          <w:rFonts w:hint="eastAsia" w:ascii="宋体" w:hAnsi="宋体"/>
          <w:sz w:val="24"/>
        </w:rPr>
      </w:pPr>
      <w:r>
        <w:rPr>
          <w:rFonts w:hint="eastAsia" w:ascii="宋体" w:hAnsi="宋体"/>
          <w:sz w:val="24"/>
        </w:rPr>
        <w:t xml:space="preserve">1.1.4.2 竣工日期：执行通用条款 </w:t>
      </w:r>
    </w:p>
    <w:p>
      <w:pPr>
        <w:spacing w:line="360" w:lineRule="auto"/>
        <w:ind w:firstLine="487" w:firstLineChars="203"/>
        <w:rPr>
          <w:rFonts w:hint="eastAsia" w:ascii="宋体" w:hAnsi="宋体"/>
          <w:sz w:val="24"/>
        </w:rPr>
      </w:pPr>
      <w:r>
        <w:rPr>
          <w:rFonts w:hint="eastAsia" w:ascii="宋体" w:hAnsi="宋体"/>
          <w:sz w:val="24"/>
        </w:rPr>
        <w:t>1.1.4.3 工期：执行通用条款。</w:t>
      </w:r>
    </w:p>
    <w:p>
      <w:pPr>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4</w:t>
      </w:r>
      <w:r>
        <w:rPr>
          <w:rFonts w:ascii="宋体" w:hAnsi="宋体"/>
          <w:sz w:val="24"/>
        </w:rPr>
        <w:t>.</w:t>
      </w:r>
      <w:r>
        <w:rPr>
          <w:rFonts w:hint="eastAsia" w:ascii="宋体" w:hAnsi="宋体"/>
          <w:sz w:val="24"/>
        </w:rPr>
        <w:t>4</w:t>
      </w:r>
      <w:r>
        <w:rPr>
          <w:rFonts w:ascii="宋体" w:hAnsi="宋体"/>
          <w:sz w:val="24"/>
        </w:rPr>
        <w:t xml:space="preserve"> 缺陷责任期：是指承包人按照合同约定承担缺陷修复义务，且发包人</w:t>
      </w:r>
      <w:r>
        <w:rPr>
          <w:rFonts w:hint="eastAsia" w:ascii="宋体" w:hAnsi="宋体"/>
          <w:sz w:val="24"/>
        </w:rPr>
        <w:t>预</w:t>
      </w:r>
      <w:r>
        <w:rPr>
          <w:rFonts w:ascii="宋体" w:hAnsi="宋体"/>
          <w:sz w:val="24"/>
        </w:rPr>
        <w:t>留质量保证金的期限，</w:t>
      </w:r>
      <w:r>
        <w:rPr>
          <w:rFonts w:hint="eastAsia" w:ascii="宋体" w:hAnsi="宋体"/>
          <w:sz w:val="24"/>
        </w:rPr>
        <w:t>自</w:t>
      </w:r>
      <w:r>
        <w:rPr>
          <w:rFonts w:ascii="宋体" w:hAnsi="宋体"/>
          <w:sz w:val="24"/>
        </w:rPr>
        <w:t>工程</w:t>
      </w:r>
      <w:r>
        <w:rPr>
          <w:rFonts w:hint="eastAsia" w:ascii="宋体" w:hAnsi="宋体"/>
          <w:sz w:val="24"/>
        </w:rPr>
        <w:t>实际竣工日期</w:t>
      </w:r>
      <w:r>
        <w:rPr>
          <w:rFonts w:ascii="宋体" w:hAnsi="宋体"/>
          <w:sz w:val="24"/>
        </w:rPr>
        <w:t>起计算。</w:t>
      </w:r>
    </w:p>
    <w:p>
      <w:pPr>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4</w:t>
      </w:r>
      <w:r>
        <w:rPr>
          <w:rFonts w:ascii="宋体" w:hAnsi="宋体"/>
          <w:sz w:val="24"/>
        </w:rPr>
        <w:t>.</w:t>
      </w:r>
      <w:r>
        <w:rPr>
          <w:rFonts w:hint="eastAsia" w:ascii="宋体" w:hAnsi="宋体"/>
          <w:sz w:val="24"/>
        </w:rPr>
        <w:t>5</w:t>
      </w:r>
      <w:r>
        <w:rPr>
          <w:rFonts w:ascii="宋体" w:hAnsi="宋体"/>
          <w:sz w:val="24"/>
        </w:rPr>
        <w:t xml:space="preserve"> 保修期：</w:t>
      </w:r>
      <w:r>
        <w:rPr>
          <w:rFonts w:hint="eastAsia" w:ascii="宋体" w:hAnsi="宋体"/>
          <w:sz w:val="24"/>
        </w:rPr>
        <w:t>执行通用条款</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4</w:t>
      </w:r>
      <w:r>
        <w:rPr>
          <w:rFonts w:ascii="宋体" w:hAnsi="宋体"/>
          <w:sz w:val="24"/>
        </w:rPr>
        <w:t>.</w:t>
      </w:r>
      <w:r>
        <w:rPr>
          <w:rFonts w:hint="eastAsia" w:ascii="宋体" w:hAnsi="宋体"/>
          <w:sz w:val="24"/>
        </w:rPr>
        <w:t>7</w:t>
      </w:r>
      <w:r>
        <w:rPr>
          <w:rFonts w:ascii="宋体" w:hAnsi="宋体"/>
          <w:sz w:val="24"/>
        </w:rPr>
        <w:t xml:space="preserve"> 天：除特别指明外，均指日历天。合同中按天计算时间的，从开始当天计算，期限最后一天的截止时间为当天24:00时。</w:t>
      </w:r>
    </w:p>
    <w:p>
      <w:pPr>
        <w:numPr>
          <w:ilvl w:val="255"/>
          <w:numId w:val="0"/>
        </w:numPr>
        <w:tabs>
          <w:tab w:val="left" w:pos="709"/>
          <w:tab w:val="left" w:pos="1276"/>
          <w:tab w:val="left" w:pos="1418"/>
          <w:tab w:val="left" w:pos="1701"/>
        </w:tabs>
        <w:autoSpaceDE w:val="0"/>
        <w:autoSpaceDN w:val="0"/>
        <w:spacing w:line="360" w:lineRule="auto"/>
        <w:ind w:left="426" w:leftChars="203"/>
        <w:rPr>
          <w:rFonts w:hint="eastAsia" w:ascii="宋体" w:hAnsi="宋体"/>
          <w:sz w:val="24"/>
        </w:rPr>
      </w:pPr>
      <w:r>
        <w:rPr>
          <w:rFonts w:hint="eastAsia" w:ascii="宋体" w:hAnsi="宋体"/>
          <w:sz w:val="24"/>
        </w:rPr>
        <w:t>1.1.5</w:t>
      </w:r>
      <w:r>
        <w:rPr>
          <w:rFonts w:ascii="宋体" w:hAnsi="宋体"/>
          <w:sz w:val="24"/>
        </w:rPr>
        <w:t>合同价格和费用</w:t>
      </w:r>
    </w:p>
    <w:p>
      <w:pPr>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5</w:t>
      </w:r>
      <w:r>
        <w:rPr>
          <w:rFonts w:ascii="宋体" w:hAnsi="宋体"/>
          <w:sz w:val="24"/>
        </w:rPr>
        <w:t>.</w:t>
      </w:r>
      <w:r>
        <w:rPr>
          <w:rFonts w:hint="eastAsia" w:ascii="宋体" w:hAnsi="宋体"/>
          <w:sz w:val="24"/>
        </w:rPr>
        <w:t>2</w:t>
      </w:r>
      <w:r>
        <w:rPr>
          <w:rFonts w:ascii="宋体" w:hAnsi="宋体"/>
          <w:sz w:val="24"/>
        </w:rPr>
        <w:t>合同</w:t>
      </w:r>
      <w:r>
        <w:rPr>
          <w:rFonts w:hint="eastAsia" w:ascii="宋体" w:hAnsi="宋体"/>
          <w:sz w:val="24"/>
        </w:rPr>
        <w:t>价格</w:t>
      </w:r>
      <w:r>
        <w:rPr>
          <w:rFonts w:ascii="宋体" w:hAnsi="宋体"/>
          <w:sz w:val="24"/>
        </w:rPr>
        <w:t>：是指发包人和承包人在合同协议书中约定完成承包范围内全部工程并承担缺陷修复</w:t>
      </w:r>
      <w:r>
        <w:rPr>
          <w:rFonts w:hint="eastAsia" w:ascii="宋体" w:hAnsi="宋体"/>
          <w:sz w:val="24"/>
        </w:rPr>
        <w:t>、</w:t>
      </w:r>
      <w:r>
        <w:rPr>
          <w:rFonts w:ascii="宋体" w:hAnsi="宋体"/>
          <w:sz w:val="24"/>
        </w:rPr>
        <w:t>质量保修的金额</w:t>
      </w:r>
      <w:r>
        <w:rPr>
          <w:rFonts w:hint="eastAsia" w:ascii="宋体" w:hAnsi="宋体"/>
          <w:sz w:val="24"/>
        </w:rPr>
        <w:t>，</w:t>
      </w:r>
      <w:r>
        <w:rPr>
          <w:rFonts w:ascii="宋体" w:hAnsi="宋体"/>
          <w:sz w:val="24"/>
        </w:rPr>
        <w:t>包括</w:t>
      </w:r>
      <w:r>
        <w:rPr>
          <w:rFonts w:hint="eastAsia" w:ascii="宋体" w:hAnsi="宋体"/>
          <w:sz w:val="24"/>
        </w:rPr>
        <w:t>安全文明施工费及</w:t>
      </w:r>
      <w:r>
        <w:rPr>
          <w:rFonts w:ascii="宋体" w:hAnsi="宋体"/>
          <w:sz w:val="24"/>
        </w:rPr>
        <w:t>合同履行过程中按合同约定</w:t>
      </w:r>
      <w:r>
        <w:rPr>
          <w:rFonts w:hint="eastAsia" w:ascii="宋体" w:hAnsi="宋体"/>
          <w:sz w:val="24"/>
        </w:rPr>
        <w:t>发生的价格变化。</w:t>
      </w:r>
    </w:p>
    <w:p>
      <w:pPr>
        <w:spacing w:line="360" w:lineRule="auto"/>
        <w:ind w:firstLine="480" w:firstLineChars="200"/>
        <w:rPr>
          <w:rFonts w:hint="eastAsia" w:ascii="宋体" w:hAnsi="宋体"/>
          <w:sz w:val="24"/>
        </w:rPr>
      </w:pPr>
      <w:r>
        <w:rPr>
          <w:rFonts w:ascii="宋体" w:hAnsi="宋体"/>
          <w:sz w:val="24"/>
        </w:rPr>
        <w:t>1.1.5.</w:t>
      </w:r>
      <w:r>
        <w:rPr>
          <w:rFonts w:hint="eastAsia" w:ascii="宋体" w:hAnsi="宋体"/>
          <w:sz w:val="24"/>
        </w:rPr>
        <w:t>2</w:t>
      </w:r>
      <w:r>
        <w:rPr>
          <w:rFonts w:ascii="宋体" w:hAnsi="宋体"/>
          <w:sz w:val="24"/>
        </w:rPr>
        <w:t xml:space="preserve"> 费用：</w:t>
      </w:r>
      <w:r>
        <w:rPr>
          <w:rFonts w:hint="eastAsia" w:ascii="宋体" w:hAnsi="宋体"/>
          <w:sz w:val="24"/>
        </w:rPr>
        <w:t>执行通用条款。</w:t>
      </w:r>
    </w:p>
    <w:p>
      <w:pPr>
        <w:spacing w:line="360" w:lineRule="auto"/>
        <w:ind w:firstLine="480" w:firstLineChars="200"/>
        <w:rPr>
          <w:rFonts w:hint="eastAsia" w:ascii="宋体" w:hAnsi="宋体"/>
          <w:sz w:val="24"/>
        </w:rPr>
      </w:pPr>
      <w:r>
        <w:rPr>
          <w:rFonts w:ascii="宋体" w:hAnsi="宋体"/>
          <w:sz w:val="24"/>
        </w:rPr>
        <w:t>1.1.5.</w:t>
      </w:r>
      <w:r>
        <w:rPr>
          <w:rFonts w:hint="eastAsia" w:ascii="宋体" w:hAnsi="宋体"/>
          <w:sz w:val="24"/>
        </w:rPr>
        <w:t>3</w:t>
      </w:r>
      <w:r>
        <w:rPr>
          <w:rFonts w:ascii="宋体" w:hAnsi="宋体"/>
          <w:sz w:val="24"/>
        </w:rPr>
        <w:t xml:space="preserve"> 暂估价：</w:t>
      </w:r>
      <w:r>
        <w:rPr>
          <w:rFonts w:hint="eastAsia" w:ascii="宋体" w:hAnsi="宋体"/>
          <w:sz w:val="24"/>
        </w:rPr>
        <w:t>执行通用条款。</w:t>
      </w:r>
    </w:p>
    <w:p>
      <w:pPr>
        <w:spacing w:line="360" w:lineRule="auto"/>
        <w:ind w:firstLine="480" w:firstLineChars="200"/>
        <w:rPr>
          <w:rFonts w:hint="eastAsia" w:ascii="宋体" w:hAnsi="宋体"/>
          <w:sz w:val="24"/>
          <w:highlight w:val="yellow"/>
        </w:rPr>
      </w:pPr>
      <w:r>
        <w:rPr>
          <w:rFonts w:ascii="宋体" w:hAnsi="宋体"/>
          <w:sz w:val="24"/>
        </w:rPr>
        <w:t>1.1.5.</w:t>
      </w:r>
      <w:r>
        <w:rPr>
          <w:rFonts w:hint="eastAsia" w:ascii="宋体" w:hAnsi="宋体"/>
          <w:sz w:val="24"/>
        </w:rPr>
        <w:t>4</w:t>
      </w:r>
      <w:r>
        <w:rPr>
          <w:rFonts w:ascii="宋体" w:hAnsi="宋体"/>
          <w:sz w:val="24"/>
        </w:rPr>
        <w:t xml:space="preserve"> 计日工：</w:t>
      </w:r>
      <w:r>
        <w:rPr>
          <w:rFonts w:hint="eastAsia" w:ascii="宋体" w:hAnsi="宋体"/>
          <w:sz w:val="24"/>
        </w:rPr>
        <w:t>执行通用条款</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1.1.5.</w:t>
      </w:r>
      <w:r>
        <w:rPr>
          <w:rFonts w:hint="eastAsia" w:ascii="宋体" w:hAnsi="宋体"/>
          <w:sz w:val="24"/>
        </w:rPr>
        <w:t>7</w:t>
      </w:r>
      <w:r>
        <w:rPr>
          <w:rFonts w:ascii="宋体" w:hAnsi="宋体"/>
          <w:sz w:val="24"/>
        </w:rPr>
        <w:t>质量保证金：是指按照</w:t>
      </w:r>
      <w:r>
        <w:rPr>
          <w:rFonts w:hint="eastAsia" w:ascii="宋体" w:hAnsi="宋体"/>
          <w:sz w:val="24"/>
        </w:rPr>
        <w:t>本合同〔</w:t>
      </w:r>
      <w:r>
        <w:rPr>
          <w:rFonts w:ascii="宋体" w:hAnsi="宋体"/>
          <w:sz w:val="24"/>
        </w:rPr>
        <w:t>质量保证金</w:t>
      </w:r>
      <w:r>
        <w:rPr>
          <w:rFonts w:hint="eastAsia" w:ascii="宋体" w:hAnsi="宋体"/>
          <w:sz w:val="24"/>
        </w:rPr>
        <w:t>〕</w:t>
      </w:r>
      <w:r>
        <w:rPr>
          <w:rFonts w:ascii="宋体" w:hAnsi="宋体"/>
          <w:sz w:val="24"/>
        </w:rPr>
        <w:t>约定承包人用于保证其在缺陷责任期内履行缺陷修补义务的担保。</w:t>
      </w:r>
    </w:p>
    <w:p>
      <w:pPr>
        <w:numPr>
          <w:ilvl w:val="255"/>
          <w:numId w:val="0"/>
        </w:numPr>
        <w:tabs>
          <w:tab w:val="left" w:pos="709"/>
          <w:tab w:val="left" w:pos="1276"/>
          <w:tab w:val="left" w:pos="1418"/>
          <w:tab w:val="left" w:pos="1701"/>
        </w:tabs>
        <w:autoSpaceDE w:val="0"/>
        <w:autoSpaceDN w:val="0"/>
        <w:spacing w:line="360" w:lineRule="auto"/>
        <w:ind w:left="426" w:leftChars="203"/>
        <w:rPr>
          <w:rFonts w:hint="eastAsia" w:ascii="宋体" w:hAnsi="宋体" w:eastAsia="仿宋"/>
          <w:sz w:val="24"/>
        </w:rPr>
      </w:pPr>
      <w:r>
        <w:rPr>
          <w:rFonts w:hint="eastAsia" w:ascii="宋体" w:hAnsi="宋体"/>
          <w:sz w:val="24"/>
        </w:rPr>
        <w:t>1.1.6</w:t>
      </w:r>
      <w:r>
        <w:rPr>
          <w:rFonts w:ascii="宋体" w:hAnsi="宋体"/>
          <w:sz w:val="24"/>
        </w:rPr>
        <w:t>其他</w:t>
      </w:r>
      <w:r>
        <w:rPr>
          <w:rFonts w:hint="eastAsia" w:ascii="宋体" w:hAnsi="宋体"/>
          <w:sz w:val="24"/>
        </w:rPr>
        <w:t>：</w:t>
      </w:r>
    </w:p>
    <w:p>
      <w:pPr>
        <w:spacing w:line="360" w:lineRule="auto"/>
        <w:ind w:firstLine="480" w:firstLineChars="200"/>
        <w:rPr>
          <w:rFonts w:hint="eastAsia" w:ascii="宋体" w:hAnsi="宋体"/>
          <w:sz w:val="24"/>
        </w:rPr>
      </w:pPr>
      <w:r>
        <w:rPr>
          <w:rFonts w:ascii="宋体" w:hAnsi="宋体"/>
          <w:sz w:val="24"/>
        </w:rPr>
        <w:t>1.1.6.1 书面形式：</w:t>
      </w:r>
      <w:r>
        <w:rPr>
          <w:rFonts w:hint="eastAsia" w:ascii="宋体" w:hAnsi="宋体"/>
          <w:sz w:val="24"/>
        </w:rPr>
        <w:t>执行通用条款</w:t>
      </w:r>
      <w:r>
        <w:rPr>
          <w:rFonts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（1）不可抗力：是指合同当事人在签订合同时不可预见，在合同履行过程中不可避免且不能克服的自然灾害和社会性突发事件，如地震、海啸、瘟疫、动乱、戒严、暴动、战争等情形。</w:t>
      </w:r>
    </w:p>
    <w:p>
      <w:pPr>
        <w:spacing w:line="360" w:lineRule="auto"/>
        <w:ind w:firstLine="480" w:firstLineChars="200"/>
        <w:rPr>
          <w:rFonts w:hint="eastAsia" w:ascii="宋体" w:hAnsi="宋体"/>
          <w:sz w:val="24"/>
        </w:rPr>
      </w:pPr>
      <w:r>
        <w:rPr>
          <w:rFonts w:hint="eastAsia" w:ascii="宋体" w:hAnsi="宋体"/>
          <w:sz w:val="24"/>
        </w:rPr>
        <w:t>（2） 违约责任：是指合同当事人一方不履行合同义务或履行合同义务不符合合同约定所应承担的责任。</w:t>
      </w:r>
    </w:p>
    <w:p>
      <w:pPr>
        <w:spacing w:line="360" w:lineRule="auto"/>
        <w:ind w:firstLine="480" w:firstLineChars="200"/>
        <w:rPr>
          <w:rFonts w:hint="eastAsia" w:ascii="宋体" w:hAnsi="宋体"/>
          <w:sz w:val="24"/>
        </w:rPr>
      </w:pPr>
      <w:r>
        <w:rPr>
          <w:rFonts w:hint="eastAsia" w:ascii="宋体" w:hAnsi="宋体"/>
          <w:sz w:val="24"/>
        </w:rPr>
        <w:t>（3）索赔：是指在合同履行过程中，合同一方因对方不履行合同所规定的义务而遭受损失后，向对方提出经济补偿和（或）工期顺延的要求。</w:t>
      </w:r>
    </w:p>
    <w:p>
      <w:pPr>
        <w:numPr>
          <w:ilvl w:val="3"/>
          <w:numId w:val="7"/>
        </w:numPr>
        <w:tabs>
          <w:tab w:val="left" w:pos="0"/>
          <w:tab w:val="left" w:pos="709"/>
        </w:tabs>
        <w:spacing w:line="360" w:lineRule="auto"/>
        <w:ind w:left="1276" w:hanging="851"/>
        <w:outlineLvl w:val="3"/>
        <w:rPr>
          <w:rFonts w:hint="eastAsia" w:ascii="宋体" w:hAnsi="宋体"/>
          <w:sz w:val="24"/>
        </w:rPr>
      </w:pPr>
      <w:r>
        <w:rPr>
          <w:rFonts w:ascii="宋体" w:hAnsi="宋体"/>
          <w:bCs/>
          <w:sz w:val="24"/>
          <w:lang w:val="zh-CN"/>
        </w:rPr>
        <w:t>语言文字</w:t>
      </w:r>
      <w:r>
        <w:rPr>
          <w:rFonts w:hint="eastAsia" w:ascii="宋体" w:hAnsi="宋体"/>
          <w:bCs/>
          <w:sz w:val="24"/>
          <w:lang w:val="zh-CN"/>
        </w:rPr>
        <w:t>：</w:t>
      </w:r>
      <w:r>
        <w:rPr>
          <w:rFonts w:hint="eastAsia" w:ascii="宋体" w:hAnsi="宋体"/>
          <w:bCs/>
          <w:sz w:val="24"/>
        </w:rPr>
        <w:t>执行通用条款。</w:t>
      </w:r>
    </w:p>
    <w:p>
      <w:pPr>
        <w:numPr>
          <w:ilvl w:val="3"/>
          <w:numId w:val="7"/>
        </w:numPr>
        <w:tabs>
          <w:tab w:val="left" w:pos="0"/>
          <w:tab w:val="left" w:pos="709"/>
        </w:tabs>
        <w:spacing w:line="360" w:lineRule="auto"/>
        <w:ind w:left="1276" w:hanging="851"/>
        <w:outlineLvl w:val="3"/>
        <w:rPr>
          <w:rFonts w:hint="eastAsia" w:ascii="宋体" w:hAnsi="宋体"/>
          <w:sz w:val="24"/>
        </w:rPr>
      </w:pPr>
      <w:r>
        <w:rPr>
          <w:rFonts w:ascii="宋体" w:hAnsi="宋体"/>
          <w:bCs/>
          <w:sz w:val="24"/>
          <w:lang w:val="zh-CN"/>
        </w:rPr>
        <w:t>法律</w:t>
      </w:r>
      <w:r>
        <w:rPr>
          <w:rFonts w:hint="eastAsia" w:ascii="宋体" w:hAnsi="宋体"/>
          <w:bCs/>
          <w:sz w:val="24"/>
          <w:lang w:val="zh-CN"/>
        </w:rPr>
        <w:t>：</w:t>
      </w:r>
      <w:r>
        <w:rPr>
          <w:rFonts w:hint="eastAsia" w:ascii="宋体" w:hAnsi="宋体"/>
          <w:bCs/>
          <w:sz w:val="24"/>
        </w:rPr>
        <w:t>执行通用条款。</w:t>
      </w:r>
    </w:p>
    <w:p>
      <w:pPr>
        <w:numPr>
          <w:ilvl w:val="3"/>
          <w:numId w:val="7"/>
        </w:numPr>
        <w:tabs>
          <w:tab w:val="left" w:pos="0"/>
          <w:tab w:val="left" w:pos="709"/>
        </w:tabs>
        <w:spacing w:line="360" w:lineRule="auto"/>
        <w:ind w:left="1276" w:hanging="851"/>
        <w:outlineLvl w:val="3"/>
        <w:rPr>
          <w:rFonts w:hint="eastAsia" w:ascii="宋体" w:hAnsi="宋体"/>
          <w:bCs/>
          <w:sz w:val="24"/>
          <w:lang w:val="zh-CN"/>
        </w:rPr>
      </w:pPr>
      <w:r>
        <w:rPr>
          <w:rFonts w:ascii="宋体" w:hAnsi="宋体"/>
          <w:bCs/>
          <w:sz w:val="24"/>
          <w:lang w:val="zh-CN"/>
        </w:rPr>
        <w:t>标准和规范</w:t>
      </w:r>
    </w:p>
    <w:p>
      <w:pPr>
        <w:autoSpaceDE w:val="0"/>
        <w:autoSpaceDN w:val="0"/>
        <w:spacing w:line="360" w:lineRule="auto"/>
        <w:ind w:firstLine="480" w:firstLineChars="200"/>
        <w:rPr>
          <w:rFonts w:hint="eastAsia" w:ascii="宋体" w:hAnsi="宋体"/>
          <w:sz w:val="24"/>
        </w:rPr>
      </w:pPr>
      <w:r>
        <w:rPr>
          <w:rFonts w:ascii="宋体" w:hAnsi="宋体"/>
          <w:sz w:val="24"/>
        </w:rPr>
        <w:t>1.4.1 合同履行中必须使用适用于本工程的现行的国家标准、规范</w:t>
      </w:r>
      <w:r>
        <w:rPr>
          <w:rFonts w:hint="eastAsia" w:ascii="宋体" w:hAnsi="宋体"/>
          <w:sz w:val="24"/>
        </w:rPr>
        <w:t>，</w:t>
      </w:r>
      <w:r>
        <w:rPr>
          <w:rFonts w:ascii="宋体" w:hAnsi="宋体"/>
          <w:sz w:val="24"/>
        </w:rPr>
        <w:t>国家没有相应标准</w:t>
      </w:r>
      <w:r>
        <w:rPr>
          <w:rFonts w:hint="eastAsia" w:ascii="宋体" w:hAnsi="宋体"/>
          <w:sz w:val="24"/>
        </w:rPr>
        <w:t>、</w:t>
      </w:r>
      <w:r>
        <w:rPr>
          <w:rFonts w:ascii="宋体" w:hAnsi="宋体"/>
          <w:sz w:val="24"/>
        </w:rPr>
        <w:t>规范时</w:t>
      </w:r>
      <w:r>
        <w:rPr>
          <w:rFonts w:hint="eastAsia" w:ascii="宋体" w:hAnsi="宋体"/>
          <w:sz w:val="24"/>
        </w:rPr>
        <w:t>，</w:t>
      </w:r>
      <w:r>
        <w:rPr>
          <w:rFonts w:ascii="宋体" w:hAnsi="宋体"/>
          <w:sz w:val="24"/>
        </w:rPr>
        <w:t>可使用行业标准</w:t>
      </w:r>
      <w:r>
        <w:rPr>
          <w:rFonts w:hint="eastAsia" w:ascii="宋体" w:hAnsi="宋体"/>
          <w:sz w:val="24"/>
        </w:rPr>
        <w:t>；</w:t>
      </w:r>
      <w:r>
        <w:rPr>
          <w:rFonts w:ascii="宋体" w:hAnsi="宋体"/>
          <w:sz w:val="24"/>
        </w:rPr>
        <w:t>工程所在地的地方性标准，以及相应的规范、规程等。若标准</w:t>
      </w:r>
      <w:r>
        <w:rPr>
          <w:rFonts w:hint="eastAsia" w:ascii="宋体" w:hAnsi="宋体"/>
          <w:sz w:val="24"/>
        </w:rPr>
        <w:t>、</w:t>
      </w:r>
      <w:r>
        <w:rPr>
          <w:rFonts w:ascii="宋体" w:hAnsi="宋体"/>
          <w:sz w:val="24"/>
        </w:rPr>
        <w:t>规范相抵触时</w:t>
      </w:r>
      <w:r>
        <w:rPr>
          <w:rFonts w:hint="eastAsia" w:ascii="宋体" w:hAnsi="宋体"/>
          <w:sz w:val="24"/>
        </w:rPr>
        <w:t>，</w:t>
      </w:r>
      <w:r>
        <w:rPr>
          <w:rFonts w:ascii="宋体" w:hAnsi="宋体"/>
          <w:sz w:val="24"/>
        </w:rPr>
        <w:t>则执行较为严格的标准</w:t>
      </w:r>
      <w:r>
        <w:rPr>
          <w:rFonts w:hint="eastAsia" w:ascii="宋体" w:hAnsi="宋体"/>
          <w:sz w:val="24"/>
        </w:rPr>
        <w:t>、</w:t>
      </w:r>
      <w:r>
        <w:rPr>
          <w:rFonts w:ascii="宋体" w:hAnsi="宋体"/>
          <w:sz w:val="24"/>
        </w:rPr>
        <w:t>规范</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1.4.</w:t>
      </w:r>
      <w:r>
        <w:rPr>
          <w:rFonts w:hint="eastAsia" w:ascii="宋体" w:hAnsi="宋体"/>
          <w:sz w:val="24"/>
        </w:rPr>
        <w:t>3</w:t>
      </w:r>
      <w:r>
        <w:rPr>
          <w:rFonts w:ascii="宋体" w:hAnsi="宋体"/>
          <w:sz w:val="24"/>
        </w:rPr>
        <w:t xml:space="preserve"> 合同履行中必须执行国家强制性标准</w:t>
      </w:r>
      <w:r>
        <w:rPr>
          <w:rFonts w:hint="eastAsia" w:ascii="宋体" w:hAnsi="宋体"/>
          <w:sz w:val="24"/>
        </w:rPr>
        <w:t>。</w:t>
      </w:r>
    </w:p>
    <w:p>
      <w:pPr>
        <w:numPr>
          <w:ilvl w:val="3"/>
          <w:numId w:val="7"/>
        </w:numPr>
        <w:tabs>
          <w:tab w:val="left" w:pos="0"/>
          <w:tab w:val="left" w:pos="709"/>
        </w:tabs>
        <w:spacing w:line="360" w:lineRule="auto"/>
        <w:ind w:left="1276" w:hanging="851"/>
        <w:outlineLvl w:val="3"/>
        <w:rPr>
          <w:rFonts w:hint="eastAsia" w:ascii="宋体" w:hAnsi="宋体"/>
          <w:bCs/>
          <w:sz w:val="24"/>
          <w:lang w:val="zh-CN"/>
        </w:rPr>
      </w:pPr>
      <w:r>
        <w:rPr>
          <w:rFonts w:ascii="宋体" w:hAnsi="宋体"/>
          <w:bCs/>
          <w:sz w:val="24"/>
          <w:lang w:val="zh-CN"/>
        </w:rPr>
        <w:t>合同文件的优先顺序</w:t>
      </w:r>
    </w:p>
    <w:p>
      <w:pPr>
        <w:autoSpaceDE w:val="0"/>
        <w:autoSpaceDN w:val="0"/>
        <w:spacing w:line="360" w:lineRule="auto"/>
        <w:ind w:firstLine="480" w:firstLineChars="200"/>
        <w:rPr>
          <w:rFonts w:hint="eastAsia" w:ascii="宋体" w:hAnsi="宋体"/>
          <w:sz w:val="24"/>
        </w:rPr>
      </w:pPr>
      <w:r>
        <w:rPr>
          <w:rFonts w:hint="eastAsia" w:ascii="宋体" w:hAnsi="宋体"/>
          <w:sz w:val="24"/>
        </w:rPr>
        <w:t>组成合同的各项文件应互相解释，互为说明,</w:t>
      </w:r>
      <w:r>
        <w:rPr>
          <w:rFonts w:ascii="宋体" w:hAnsi="宋体"/>
          <w:sz w:val="24"/>
        </w:rPr>
        <w:t>本合同文件优先解释顺序如下：</w:t>
      </w:r>
    </w:p>
    <w:p>
      <w:pPr>
        <w:autoSpaceDE w:val="0"/>
        <w:autoSpaceDN w:val="0"/>
        <w:spacing w:line="360" w:lineRule="auto"/>
        <w:ind w:firstLine="480" w:firstLineChars="200"/>
        <w:rPr>
          <w:rFonts w:hint="eastAsia" w:ascii="宋体" w:hAnsi="宋体"/>
          <w:sz w:val="24"/>
        </w:rPr>
      </w:pPr>
      <w:r>
        <w:rPr>
          <w:rFonts w:hint="eastAsia" w:ascii="宋体" w:hAnsi="宋体"/>
          <w:sz w:val="24"/>
        </w:rPr>
        <w:t>（1）</w:t>
      </w:r>
      <w:r>
        <w:rPr>
          <w:rFonts w:ascii="宋体" w:hAnsi="宋体"/>
          <w:sz w:val="24"/>
        </w:rPr>
        <w:t>合同协议书及其附件</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合同</w:t>
      </w:r>
      <w:r>
        <w:rPr>
          <w:rFonts w:hint="eastAsia" w:ascii="宋体" w:hAnsi="宋体"/>
          <w:sz w:val="24"/>
        </w:rPr>
        <w:t>专用</w:t>
      </w:r>
      <w:r>
        <w:rPr>
          <w:rFonts w:ascii="宋体" w:hAnsi="宋体"/>
          <w:sz w:val="24"/>
        </w:rPr>
        <w:t xml:space="preserve">条款及其附件； </w:t>
      </w:r>
    </w:p>
    <w:p>
      <w:pPr>
        <w:autoSpaceDE w:val="0"/>
        <w:autoSpaceDN w:val="0"/>
        <w:spacing w:line="360" w:lineRule="auto"/>
        <w:ind w:firstLine="480" w:firstLineChars="200"/>
        <w:contextualSpacing/>
        <w:rPr>
          <w:rFonts w:hint="eastAsia" w:ascii="宋体" w:hAnsi="宋体"/>
          <w:sz w:val="24"/>
        </w:rPr>
      </w:pPr>
      <w:r>
        <w:rPr>
          <w:rFonts w:ascii="宋体" w:hAnsi="宋体"/>
          <w:sz w:val="24"/>
        </w:rPr>
        <w:t>（3）</w:t>
      </w:r>
      <w:r>
        <w:rPr>
          <w:rFonts w:hint="eastAsia" w:ascii="宋体" w:hAnsi="宋体"/>
          <w:sz w:val="24"/>
        </w:rPr>
        <w:t>合同通用条款</w:t>
      </w:r>
    </w:p>
    <w:p>
      <w:pPr>
        <w:autoSpaceDE w:val="0"/>
        <w:autoSpaceDN w:val="0"/>
        <w:spacing w:line="360" w:lineRule="auto"/>
        <w:ind w:firstLine="480" w:firstLineChars="200"/>
        <w:contextualSpacing/>
        <w:rPr>
          <w:rFonts w:hint="eastAsia" w:ascii="宋体" w:hAnsi="宋体"/>
          <w:sz w:val="24"/>
        </w:rPr>
      </w:pPr>
      <w:r>
        <w:rPr>
          <w:rFonts w:hint="eastAsia" w:ascii="宋体" w:hAnsi="宋体"/>
          <w:sz w:val="24"/>
        </w:rPr>
        <w:t>（4）招标文件（含图纸）；</w:t>
      </w:r>
    </w:p>
    <w:p>
      <w:pPr>
        <w:autoSpaceDE w:val="0"/>
        <w:autoSpaceDN w:val="0"/>
        <w:spacing w:line="360" w:lineRule="auto"/>
        <w:ind w:firstLine="480" w:firstLineChars="200"/>
        <w:contextualSpacing/>
        <w:rPr>
          <w:rFonts w:hint="eastAsia" w:ascii="宋体" w:hAnsi="宋体"/>
          <w:sz w:val="24"/>
        </w:rPr>
      </w:pPr>
      <w:r>
        <w:rPr>
          <w:rFonts w:hint="eastAsia" w:ascii="宋体" w:hAnsi="宋体"/>
          <w:sz w:val="24"/>
        </w:rPr>
        <w:t>（5）投标</w:t>
      </w:r>
      <w:r>
        <w:rPr>
          <w:rFonts w:ascii="宋体" w:hAnsi="宋体"/>
          <w:sz w:val="24"/>
        </w:rPr>
        <w:t>函；</w:t>
      </w:r>
    </w:p>
    <w:p>
      <w:pPr>
        <w:autoSpaceDE w:val="0"/>
        <w:autoSpaceDN w:val="0"/>
        <w:spacing w:line="360" w:lineRule="auto"/>
        <w:ind w:firstLine="480" w:firstLineChars="200"/>
        <w:contextualSpacing/>
        <w:rPr>
          <w:rFonts w:hint="eastAsia" w:ascii="宋体" w:hAnsi="宋体"/>
          <w:sz w:val="24"/>
        </w:rPr>
      </w:pPr>
      <w:r>
        <w:rPr>
          <w:rFonts w:hint="eastAsia" w:ascii="宋体" w:hAnsi="宋体"/>
          <w:sz w:val="24"/>
        </w:rPr>
        <w:t>（6）投标文件（含图纸）；</w:t>
      </w:r>
    </w:p>
    <w:p>
      <w:pPr>
        <w:autoSpaceDE w:val="0"/>
        <w:autoSpaceDN w:val="0"/>
        <w:spacing w:line="360" w:lineRule="auto"/>
        <w:ind w:firstLine="480" w:firstLineChars="200"/>
        <w:contextualSpacing/>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）其他合同文件。</w:t>
      </w:r>
    </w:p>
    <w:p>
      <w:pPr>
        <w:autoSpaceDE w:val="0"/>
        <w:autoSpaceDN w:val="0"/>
        <w:spacing w:line="360" w:lineRule="auto"/>
        <w:ind w:firstLine="480" w:firstLineChars="200"/>
        <w:contextualSpacing/>
        <w:rPr>
          <w:rFonts w:hint="eastAsia" w:ascii="宋体" w:hAnsi="宋体"/>
          <w:sz w:val="24"/>
        </w:rPr>
      </w:pPr>
      <w:r>
        <w:rPr>
          <w:rFonts w:hint="eastAsia" w:ascii="宋体" w:hAnsi="宋体"/>
          <w:sz w:val="24"/>
        </w:rPr>
        <w:t>上述各项合同文件包括合同当事人就该项合同文件所作出的补充和修改，属于同一类内容的文件，应以最新签署的为准。</w:t>
      </w:r>
    </w:p>
    <w:p>
      <w:pPr>
        <w:autoSpaceDE w:val="0"/>
        <w:autoSpaceDN w:val="0"/>
        <w:spacing w:line="360" w:lineRule="auto"/>
        <w:ind w:firstLine="480" w:firstLineChars="200"/>
        <w:contextualSpacing/>
        <w:rPr>
          <w:rFonts w:hint="eastAsia" w:ascii="宋体" w:hAnsi="宋体"/>
          <w:sz w:val="24"/>
        </w:rPr>
      </w:pPr>
      <w:r>
        <w:rPr>
          <w:rFonts w:hint="eastAsia" w:ascii="宋体" w:hAnsi="宋体"/>
          <w:sz w:val="24"/>
        </w:rPr>
        <w:t>在合同订立及履行过程中形成的与合同有关的文件均构成合同文件组成部分，并根据其性质确定优先解释顺序。</w:t>
      </w:r>
    </w:p>
    <w:p>
      <w:pPr>
        <w:numPr>
          <w:ilvl w:val="3"/>
          <w:numId w:val="7"/>
        </w:numPr>
        <w:tabs>
          <w:tab w:val="left" w:pos="0"/>
          <w:tab w:val="left" w:pos="709"/>
        </w:tabs>
        <w:spacing w:line="360" w:lineRule="auto"/>
        <w:ind w:left="1276" w:hanging="851"/>
        <w:outlineLvl w:val="3"/>
        <w:rPr>
          <w:rFonts w:hint="eastAsia" w:ascii="宋体" w:hAnsi="宋体"/>
          <w:bCs/>
          <w:sz w:val="24"/>
          <w:lang w:val="zh-CN"/>
        </w:rPr>
      </w:pPr>
      <w:r>
        <w:rPr>
          <w:rFonts w:ascii="宋体" w:hAnsi="宋体"/>
          <w:bCs/>
          <w:sz w:val="24"/>
          <w:lang w:val="zh-CN"/>
        </w:rPr>
        <w:t>图纸和承包人文件</w:t>
      </w:r>
    </w:p>
    <w:p>
      <w:pPr>
        <w:spacing w:line="360" w:lineRule="auto"/>
        <w:ind w:firstLine="480" w:firstLineChars="200"/>
        <w:rPr>
          <w:rFonts w:hint="eastAsia" w:ascii="宋体" w:hAnsi="宋体"/>
          <w:sz w:val="24"/>
        </w:rPr>
      </w:pPr>
      <w:r>
        <w:rPr>
          <w:rFonts w:ascii="宋体" w:hAnsi="宋体"/>
          <w:sz w:val="24"/>
        </w:rPr>
        <w:t>1.6.1 图纸的提供和交底</w:t>
      </w:r>
    </w:p>
    <w:p>
      <w:pPr>
        <w:spacing w:line="360" w:lineRule="auto"/>
        <w:ind w:firstLine="480" w:firstLineChars="200"/>
        <w:rPr>
          <w:rFonts w:hint="eastAsia" w:ascii="宋体" w:hAnsi="宋体"/>
          <w:sz w:val="24"/>
        </w:rPr>
      </w:pPr>
      <w:r>
        <w:rPr>
          <w:rFonts w:ascii="宋体" w:hAnsi="宋体"/>
          <w:sz w:val="24"/>
        </w:rPr>
        <w:t>发包人向承包人提供图纸的期限：</w:t>
      </w:r>
      <w:r>
        <w:rPr>
          <w:rFonts w:hint="eastAsia" w:ascii="宋体" w:hAnsi="宋体"/>
          <w:color w:val="0000FF"/>
          <w:sz w:val="24"/>
          <w:u w:val="single"/>
        </w:rPr>
        <w:t xml:space="preserve"> 签订合同之日起7个工作日内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发包人向承包人提供图纸的数量：</w:t>
      </w:r>
      <w:r>
        <w:rPr>
          <w:rFonts w:hint="eastAsia" w:ascii="宋体" w:hAnsi="宋体"/>
          <w:color w:val="0000FF"/>
          <w:sz w:val="24"/>
          <w:u w:val="single"/>
        </w:rPr>
        <w:t xml:space="preserve">电子版图纸1套 </w:t>
      </w:r>
      <w:r>
        <w:rPr>
          <w:rFonts w:ascii="宋体" w:hAnsi="宋体"/>
          <w:color w:val="0000FF"/>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发包人向承包人提供图纸的内容</w:t>
      </w:r>
      <w:r>
        <w:rPr>
          <w:rFonts w:ascii="宋体" w:hAnsi="宋体"/>
          <w:sz w:val="24"/>
          <w:u w:val="single"/>
        </w:rPr>
        <w:t>：</w:t>
      </w:r>
      <w:r>
        <w:rPr>
          <w:rFonts w:hint="eastAsia" w:ascii="宋体" w:hAnsi="宋体"/>
          <w:color w:val="0000FF"/>
          <w:sz w:val="24"/>
          <w:u w:val="single"/>
        </w:rPr>
        <w:t>全部施工图纸</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设计交底及图纸会审时间：</w:t>
      </w:r>
      <w:r>
        <w:rPr>
          <w:rFonts w:hint="eastAsia" w:ascii="宋体" w:hAnsi="宋体"/>
          <w:sz w:val="24"/>
          <w:u w:val="single"/>
        </w:rPr>
        <w:t xml:space="preserve">  </w:t>
      </w:r>
      <w:r>
        <w:rPr>
          <w:rFonts w:hint="eastAsia" w:ascii="宋体" w:hAnsi="宋体"/>
          <w:color w:val="0000FF"/>
          <w:sz w:val="24"/>
          <w:u w:val="single"/>
        </w:rPr>
        <w:t xml:space="preserve">签订合同之日起7个工作日内 </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发包人应组织承包人、监理人和设计人进行设计交底和图纸会审。</w:t>
      </w:r>
    </w:p>
    <w:p>
      <w:pPr>
        <w:spacing w:line="360" w:lineRule="auto"/>
        <w:ind w:firstLine="480" w:firstLineChars="200"/>
        <w:rPr>
          <w:rFonts w:hint="eastAsia" w:ascii="宋体" w:hAnsi="宋体"/>
          <w:sz w:val="24"/>
        </w:rPr>
      </w:pPr>
      <w:r>
        <w:rPr>
          <w:rFonts w:hint="eastAsia" w:ascii="宋体" w:hAnsi="宋体"/>
          <w:sz w:val="24"/>
        </w:rPr>
        <w:t>如发包人对图纸进行修改和补充的，承包人应按修改和补充后的图纸施工。</w:t>
      </w:r>
    </w:p>
    <w:p>
      <w:pPr>
        <w:spacing w:line="360" w:lineRule="auto"/>
        <w:ind w:firstLine="480" w:firstLineChars="200"/>
        <w:rPr>
          <w:rFonts w:hint="eastAsia" w:ascii="宋体" w:hAnsi="宋体"/>
          <w:sz w:val="24"/>
        </w:rPr>
      </w:pPr>
      <w:r>
        <w:rPr>
          <w:rFonts w:hint="eastAsia" w:ascii="宋体" w:hAnsi="宋体"/>
          <w:sz w:val="24"/>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80" w:firstLineChars="200"/>
        <w:rPr>
          <w:rFonts w:hint="eastAsia" w:ascii="宋体" w:hAnsi="宋体"/>
          <w:sz w:val="24"/>
        </w:rPr>
      </w:pPr>
      <w:r>
        <w:rPr>
          <w:rFonts w:ascii="宋体" w:hAnsi="宋体"/>
          <w:sz w:val="24"/>
        </w:rPr>
        <w:t>1.6.4 承包人文件</w:t>
      </w:r>
    </w:p>
    <w:p>
      <w:pPr>
        <w:spacing w:line="360" w:lineRule="auto"/>
        <w:ind w:firstLine="480" w:firstLineChars="200"/>
        <w:rPr>
          <w:rFonts w:hint="eastAsia" w:ascii="宋体" w:hAnsi="宋体"/>
          <w:sz w:val="24"/>
        </w:rPr>
      </w:pPr>
      <w:r>
        <w:rPr>
          <w:rFonts w:ascii="宋体" w:hAnsi="宋体"/>
          <w:sz w:val="24"/>
        </w:rPr>
        <w:t>承包人</w:t>
      </w:r>
      <w:r>
        <w:rPr>
          <w:rFonts w:hint="eastAsia" w:ascii="宋体" w:hAnsi="宋体"/>
          <w:sz w:val="24"/>
        </w:rPr>
        <w:t>须</w:t>
      </w:r>
      <w:r>
        <w:rPr>
          <w:rFonts w:ascii="宋体" w:hAnsi="宋体"/>
          <w:sz w:val="24"/>
        </w:rPr>
        <w:t>提供的文件包括：</w:t>
      </w:r>
      <w:r>
        <w:rPr>
          <w:rFonts w:hint="eastAsia" w:ascii="宋体" w:hAnsi="宋体"/>
          <w:sz w:val="24"/>
          <w:u w:val="single"/>
        </w:rPr>
        <w:t>发包人即监理单位需要的文件</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承包人提供的文件的期限为：</w:t>
      </w:r>
      <w:r>
        <w:rPr>
          <w:rFonts w:hint="eastAsia" w:ascii="宋体" w:hAnsi="宋体"/>
          <w:sz w:val="24"/>
          <w:u w:val="single"/>
        </w:rPr>
        <w:t xml:space="preserve">    </w:t>
      </w:r>
      <w:r>
        <w:rPr>
          <w:rFonts w:hint="eastAsia" w:ascii="宋体" w:hAnsi="宋体"/>
          <w:color w:val="0000FF"/>
          <w:sz w:val="24"/>
          <w:u w:val="single"/>
        </w:rPr>
        <w:t xml:space="preserve"> 开工前3天内</w:t>
      </w:r>
      <w:r>
        <w:rPr>
          <w:rFonts w:ascii="宋体" w:hAnsi="宋体"/>
          <w:color w:val="0000FF"/>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承包人提供的文件的数量为：</w:t>
      </w:r>
      <w:r>
        <w:rPr>
          <w:rFonts w:ascii="宋体" w:hAnsi="宋体"/>
          <w:sz w:val="24"/>
          <w:u w:val="single"/>
        </w:rPr>
        <w:t xml:space="preserve">    </w:t>
      </w:r>
      <w:r>
        <w:rPr>
          <w:rFonts w:hint="eastAsia" w:ascii="宋体" w:hAnsi="宋体"/>
          <w:color w:val="0000FF"/>
          <w:sz w:val="24"/>
          <w:u w:val="single"/>
        </w:rPr>
        <w:t xml:space="preserve">4份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承包人提供的文件的形式为：</w:t>
      </w:r>
      <w:r>
        <w:rPr>
          <w:rFonts w:hint="eastAsia" w:ascii="宋体" w:hAnsi="宋体"/>
          <w:sz w:val="24"/>
        </w:rPr>
        <w:t xml:space="preserve"> </w:t>
      </w:r>
      <w:r>
        <w:rPr>
          <w:rFonts w:ascii="宋体" w:hAnsi="宋体"/>
          <w:sz w:val="24"/>
        </w:rPr>
        <w:t xml:space="preserve"> </w:t>
      </w:r>
      <w:r>
        <w:rPr>
          <w:rFonts w:hint="eastAsia" w:ascii="宋体" w:hAnsi="宋体"/>
          <w:color w:val="0000FF"/>
          <w:sz w:val="24"/>
          <w:u w:val="single"/>
        </w:rPr>
        <w:t xml:space="preserve">  纸质及电子版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发包人</w:t>
      </w:r>
      <w:r>
        <w:rPr>
          <w:rFonts w:hint="eastAsia" w:ascii="宋体" w:hAnsi="宋体"/>
          <w:sz w:val="24"/>
        </w:rPr>
        <w:t>审批</w:t>
      </w:r>
      <w:r>
        <w:rPr>
          <w:rFonts w:ascii="宋体" w:hAnsi="宋体"/>
          <w:sz w:val="24"/>
        </w:rPr>
        <w:t>承包人文件的期限：</w:t>
      </w:r>
      <w:r>
        <w:rPr>
          <w:rFonts w:ascii="宋体" w:hAnsi="宋体"/>
          <w:sz w:val="24"/>
          <w:u w:val="single"/>
        </w:rPr>
        <w:t xml:space="preserve">  </w:t>
      </w:r>
      <w:r>
        <w:rPr>
          <w:rFonts w:hint="eastAsia" w:ascii="宋体" w:hAnsi="宋体"/>
          <w:color w:val="0000FF"/>
          <w:sz w:val="24"/>
          <w:u w:val="single"/>
        </w:rPr>
        <w:t>按照甲方项目管理办法执行</w:t>
      </w:r>
      <w:r>
        <w:rPr>
          <w:rFonts w:ascii="宋体" w:hAnsi="宋体"/>
          <w:color w:val="0000FF"/>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发包人</w:t>
      </w:r>
      <w:r>
        <w:rPr>
          <w:rFonts w:hint="eastAsia" w:ascii="宋体" w:hAnsi="宋体"/>
          <w:sz w:val="24"/>
        </w:rPr>
        <w:t>/</w:t>
      </w:r>
      <w:r>
        <w:rPr>
          <w:rFonts w:ascii="宋体" w:hAnsi="宋体"/>
          <w:sz w:val="24"/>
        </w:rPr>
        <w:t>监理人的审查并不减轻或免除承包人根据合同约定应当承担的责任。</w:t>
      </w:r>
    </w:p>
    <w:p>
      <w:pPr>
        <w:spacing w:line="360" w:lineRule="auto"/>
        <w:ind w:firstLine="480" w:firstLineChars="200"/>
        <w:rPr>
          <w:rFonts w:hint="eastAsia" w:ascii="宋体" w:hAnsi="宋体"/>
          <w:sz w:val="24"/>
        </w:rPr>
      </w:pPr>
      <w:r>
        <w:rPr>
          <w:rFonts w:ascii="宋体" w:hAnsi="宋体"/>
          <w:sz w:val="24"/>
        </w:rPr>
        <w:t xml:space="preserve">1.6.5 </w:t>
      </w:r>
      <w:r>
        <w:rPr>
          <w:rFonts w:hint="eastAsia" w:ascii="宋体" w:hAnsi="宋体"/>
          <w:sz w:val="24"/>
        </w:rPr>
        <w:t>图纸、承包人文件保管和现场准备</w:t>
      </w:r>
    </w:p>
    <w:p>
      <w:pPr>
        <w:spacing w:line="360" w:lineRule="auto"/>
        <w:ind w:firstLine="480" w:firstLineChars="200"/>
        <w:rPr>
          <w:rFonts w:hint="eastAsia" w:ascii="宋体" w:hAnsi="宋体"/>
          <w:sz w:val="24"/>
        </w:rPr>
      </w:pPr>
      <w:r>
        <w:rPr>
          <w:rFonts w:hint="eastAsia" w:ascii="宋体" w:hAnsi="宋体"/>
          <w:sz w:val="24"/>
        </w:rPr>
        <w:t>发给承包人的图纸、文件由承包人负责保管。</w:t>
      </w:r>
      <w:r>
        <w:rPr>
          <w:rFonts w:ascii="宋体" w:hAnsi="宋体"/>
          <w:sz w:val="24"/>
        </w:rPr>
        <w:t>承包人应在施工现场另外保存一套完整的图纸和承包人文件，供发包人、监理人及有关人员进行工程检查时使用。</w:t>
      </w:r>
    </w:p>
    <w:p>
      <w:pPr>
        <w:numPr>
          <w:ilvl w:val="3"/>
          <w:numId w:val="7"/>
        </w:numPr>
        <w:tabs>
          <w:tab w:val="left" w:pos="0"/>
          <w:tab w:val="left" w:pos="709"/>
        </w:tabs>
        <w:spacing w:line="360" w:lineRule="auto"/>
        <w:ind w:left="1276" w:hanging="851"/>
        <w:outlineLvl w:val="3"/>
        <w:rPr>
          <w:rFonts w:hint="eastAsia" w:ascii="宋体" w:hAnsi="宋体"/>
          <w:bCs/>
          <w:sz w:val="24"/>
          <w:lang w:val="zh-CN"/>
        </w:rPr>
      </w:pPr>
      <w:r>
        <w:rPr>
          <w:rFonts w:ascii="宋体" w:hAnsi="宋体"/>
          <w:bCs/>
          <w:sz w:val="24"/>
          <w:lang w:val="zh-CN"/>
        </w:rPr>
        <w:t>联络</w:t>
      </w:r>
    </w:p>
    <w:p>
      <w:pPr>
        <w:autoSpaceDE w:val="0"/>
        <w:autoSpaceDN w:val="0"/>
        <w:spacing w:line="360" w:lineRule="auto"/>
        <w:ind w:firstLine="480" w:firstLineChars="200"/>
        <w:rPr>
          <w:rFonts w:hint="eastAsia" w:ascii="宋体" w:hAnsi="宋体"/>
          <w:sz w:val="24"/>
        </w:rPr>
      </w:pPr>
      <w:r>
        <w:rPr>
          <w:rFonts w:ascii="宋体" w:hAnsi="宋体"/>
          <w:sz w:val="24"/>
        </w:rPr>
        <w:t>1.7.1与合同有关的通知、批准、证明、证书、指示、指令、要求、请求、同意、意见、确定和决定等函件均应采用书面形式</w:t>
      </w:r>
      <w:r>
        <w:rPr>
          <w:rFonts w:hint="eastAsia" w:ascii="宋体" w:hAnsi="宋体"/>
          <w:sz w:val="24"/>
        </w:rPr>
        <w:t>，并</w:t>
      </w:r>
      <w:r>
        <w:rPr>
          <w:rFonts w:ascii="宋体" w:hAnsi="宋体"/>
          <w:sz w:val="24"/>
        </w:rPr>
        <w:t>在</w:t>
      </w:r>
      <w:r>
        <w:rPr>
          <w:rFonts w:hint="eastAsia" w:ascii="宋体" w:hAnsi="宋体"/>
          <w:sz w:val="24"/>
        </w:rPr>
        <w:t>规定时间内</w:t>
      </w:r>
      <w:r>
        <w:rPr>
          <w:rFonts w:ascii="宋体" w:hAnsi="宋体"/>
          <w:sz w:val="24"/>
        </w:rPr>
        <w:t>将函件送达对方</w:t>
      </w:r>
      <w:r>
        <w:rPr>
          <w:rFonts w:hint="eastAsia" w:ascii="宋体" w:hAnsi="宋体"/>
          <w:sz w:val="24"/>
        </w:rPr>
        <w:t>。</w:t>
      </w:r>
    </w:p>
    <w:p>
      <w:pPr>
        <w:spacing w:line="360" w:lineRule="auto"/>
        <w:ind w:firstLine="480" w:firstLineChars="200"/>
        <w:rPr>
          <w:rFonts w:hint="eastAsia" w:ascii="宋体" w:hAnsi="宋体"/>
          <w:sz w:val="24"/>
        </w:rPr>
      </w:pPr>
      <w:r>
        <w:rPr>
          <w:rFonts w:ascii="宋体" w:hAnsi="宋体"/>
          <w:sz w:val="24"/>
        </w:rPr>
        <w:t>1.7.2 发包人接收文件的地点：</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发包人指定的接收人为：</w:t>
      </w:r>
      <w:r>
        <w:rPr>
          <w:rFonts w:ascii="宋体" w:hAnsi="宋体"/>
          <w:sz w:val="24"/>
          <w:u w:val="single"/>
        </w:rPr>
        <w:t xml:space="preserve"> </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cs="宋体"/>
          <w:sz w:val="24"/>
        </w:rPr>
      </w:pPr>
      <w:r>
        <w:rPr>
          <w:rFonts w:ascii="宋体" w:hAnsi="宋体"/>
          <w:sz w:val="24"/>
        </w:rPr>
        <w:t>承包人接收文件的地点：</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承包人指定的接收人为：</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监理人接收文件的地点：</w:t>
      </w:r>
      <w:r>
        <w:rPr>
          <w:rFonts w:ascii="宋体" w:hAnsi="宋体"/>
          <w:sz w:val="24"/>
          <w:u w:val="single"/>
        </w:rPr>
        <w:t xml:space="preserve"> </w:t>
      </w:r>
      <w:r>
        <w:rPr>
          <w:rFonts w:hint="eastAsia" w:ascii="宋体" w:hAnsi="宋体"/>
          <w:sz w:val="24"/>
          <w:u w:val="single"/>
        </w:rPr>
        <w:t xml:space="preserve">                  。</w:t>
      </w:r>
    </w:p>
    <w:p>
      <w:pPr>
        <w:spacing w:line="360" w:lineRule="auto"/>
        <w:ind w:firstLine="480" w:firstLineChars="200"/>
        <w:rPr>
          <w:rFonts w:hint="eastAsia" w:ascii="宋体" w:hAnsi="宋体"/>
          <w:sz w:val="24"/>
        </w:rPr>
      </w:pPr>
      <w:r>
        <w:rPr>
          <w:rFonts w:ascii="宋体" w:hAnsi="宋体"/>
          <w:sz w:val="24"/>
        </w:rPr>
        <w:t>监理人指定的接收人为：</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1.7.3 发包人和承包人应当及时签收另一方送达至送达地点和指定接收人的来往信函。拒不签收的，责任由拒绝接收一方承担。</w:t>
      </w:r>
    </w:p>
    <w:p>
      <w:pPr>
        <w:numPr>
          <w:ilvl w:val="3"/>
          <w:numId w:val="7"/>
        </w:numPr>
        <w:tabs>
          <w:tab w:val="left" w:pos="0"/>
          <w:tab w:val="left" w:pos="709"/>
        </w:tabs>
        <w:spacing w:line="360" w:lineRule="auto"/>
        <w:ind w:left="1276" w:hanging="851"/>
        <w:outlineLvl w:val="3"/>
        <w:rPr>
          <w:rFonts w:hint="eastAsia" w:ascii="宋体" w:hAnsi="宋体"/>
          <w:bCs/>
          <w:sz w:val="24"/>
          <w:lang w:val="zh-CN"/>
        </w:rPr>
      </w:pPr>
      <w:r>
        <w:rPr>
          <w:rFonts w:hint="eastAsia" w:ascii="宋体" w:hAnsi="宋体"/>
          <w:bCs/>
          <w:sz w:val="24"/>
          <w:lang w:val="zh-CN"/>
        </w:rPr>
        <w:t>严禁贿赂：</w:t>
      </w:r>
      <w:r>
        <w:rPr>
          <w:rFonts w:hint="eastAsia" w:ascii="宋体" w:hAnsi="宋体"/>
          <w:bCs/>
          <w:sz w:val="24"/>
        </w:rPr>
        <w:t>执行通用条款。</w:t>
      </w:r>
    </w:p>
    <w:p>
      <w:pPr>
        <w:numPr>
          <w:ilvl w:val="3"/>
          <w:numId w:val="7"/>
        </w:numPr>
        <w:tabs>
          <w:tab w:val="left" w:pos="0"/>
          <w:tab w:val="left" w:pos="709"/>
        </w:tabs>
        <w:spacing w:line="360" w:lineRule="auto"/>
        <w:ind w:left="1276" w:hanging="851"/>
        <w:outlineLvl w:val="3"/>
        <w:rPr>
          <w:rFonts w:hint="eastAsia" w:ascii="宋体" w:hAnsi="宋体"/>
          <w:bCs/>
          <w:sz w:val="24"/>
          <w:lang w:val="zh-CN"/>
        </w:rPr>
      </w:pPr>
      <w:r>
        <w:rPr>
          <w:rFonts w:ascii="宋体" w:hAnsi="宋体"/>
          <w:bCs/>
          <w:sz w:val="24"/>
          <w:lang w:val="zh-CN"/>
        </w:rPr>
        <w:t>化石、文物</w:t>
      </w:r>
      <w:r>
        <w:rPr>
          <w:rFonts w:hint="eastAsia" w:ascii="宋体" w:hAnsi="宋体"/>
          <w:bCs/>
          <w:sz w:val="24"/>
          <w:lang w:val="zh-CN"/>
        </w:rPr>
        <w:t>：</w:t>
      </w:r>
      <w:r>
        <w:rPr>
          <w:rFonts w:hint="eastAsia" w:ascii="宋体" w:hAnsi="宋体"/>
          <w:bCs/>
          <w:sz w:val="24"/>
        </w:rPr>
        <w:t>执行通用条款。</w:t>
      </w:r>
    </w:p>
    <w:p>
      <w:pPr>
        <w:numPr>
          <w:ilvl w:val="255"/>
          <w:numId w:val="0"/>
        </w:numPr>
        <w:tabs>
          <w:tab w:val="left" w:pos="0"/>
          <w:tab w:val="left" w:pos="709"/>
        </w:tabs>
        <w:spacing w:line="360" w:lineRule="auto"/>
        <w:ind w:left="425"/>
        <w:outlineLvl w:val="3"/>
        <w:rPr>
          <w:rFonts w:hint="eastAsia" w:ascii="宋体" w:hAnsi="宋体"/>
          <w:bCs/>
          <w:sz w:val="24"/>
          <w:lang w:val="zh-CN"/>
        </w:rPr>
      </w:pPr>
      <w:r>
        <w:rPr>
          <w:rFonts w:hint="eastAsia" w:ascii="宋体" w:hAnsi="宋体"/>
          <w:bCs/>
          <w:sz w:val="24"/>
        </w:rPr>
        <w:t>1.10.3</w:t>
      </w:r>
      <w:r>
        <w:rPr>
          <w:rFonts w:hint="eastAsia" w:ascii="宋体" w:hAnsi="宋体"/>
          <w:bCs/>
          <w:sz w:val="24"/>
          <w:lang w:val="zh-CN"/>
        </w:rPr>
        <w:t>场内施工</w:t>
      </w:r>
      <w:r>
        <w:rPr>
          <w:rFonts w:ascii="宋体" w:hAnsi="宋体"/>
          <w:bCs/>
          <w:sz w:val="24"/>
          <w:lang w:val="zh-CN"/>
        </w:rPr>
        <w:t>道路</w:t>
      </w:r>
    </w:p>
    <w:p>
      <w:pPr>
        <w:spacing w:line="360" w:lineRule="auto"/>
        <w:ind w:firstLine="480" w:firstLineChars="200"/>
        <w:rPr>
          <w:rFonts w:hint="eastAsia" w:ascii="宋体" w:hAnsi="宋体"/>
          <w:sz w:val="24"/>
        </w:rPr>
      </w:pPr>
      <w:r>
        <w:rPr>
          <w:rFonts w:ascii="宋体" w:hAnsi="宋体"/>
          <w:sz w:val="24"/>
        </w:rPr>
        <w:t>发包人向承包人提供工程施工所需的场内主干道路。因承包人原因造成道路或交通设施损坏的，承包人负责修复并承担由此增加的费用。</w:t>
      </w:r>
    </w:p>
    <w:p>
      <w:pPr>
        <w:spacing w:line="360" w:lineRule="auto"/>
        <w:ind w:firstLine="480" w:firstLineChars="200"/>
        <w:rPr>
          <w:rFonts w:hint="eastAsia" w:ascii="宋体" w:hAnsi="宋体"/>
          <w:sz w:val="24"/>
        </w:rPr>
      </w:pPr>
      <w:r>
        <w:rPr>
          <w:rFonts w:ascii="宋体" w:hAnsi="宋体"/>
          <w:sz w:val="24"/>
        </w:rPr>
        <w:t>承包人负责修建、维修、养护和管理施工所需的其他场内临时道路和交通设施。发包人和监理人可以为实现合同目的使用承包人修建的场内临时道路和交通设施。</w:t>
      </w:r>
    </w:p>
    <w:p>
      <w:pPr>
        <w:numPr>
          <w:ilvl w:val="255"/>
          <w:numId w:val="0"/>
        </w:numPr>
        <w:tabs>
          <w:tab w:val="left" w:pos="0"/>
          <w:tab w:val="left" w:pos="709"/>
        </w:tabs>
        <w:spacing w:line="360" w:lineRule="auto"/>
        <w:ind w:left="425"/>
        <w:outlineLvl w:val="3"/>
        <w:rPr>
          <w:rFonts w:hint="eastAsia" w:ascii="宋体" w:hAnsi="宋体"/>
          <w:bCs/>
          <w:sz w:val="24"/>
          <w:lang w:val="zh-CN"/>
        </w:rPr>
      </w:pPr>
      <w:r>
        <w:rPr>
          <w:rFonts w:hint="eastAsia" w:ascii="宋体" w:hAnsi="宋体"/>
          <w:bCs/>
          <w:sz w:val="24"/>
        </w:rPr>
        <w:t>1.10.4</w:t>
      </w:r>
      <w:r>
        <w:rPr>
          <w:rFonts w:hint="eastAsia" w:ascii="宋体" w:hAnsi="宋体"/>
          <w:bCs/>
          <w:sz w:val="24"/>
          <w:lang w:val="zh-CN"/>
        </w:rPr>
        <w:t>超大件和超重件的运输</w:t>
      </w:r>
    </w:p>
    <w:p>
      <w:pPr>
        <w:spacing w:line="360" w:lineRule="auto"/>
        <w:ind w:firstLine="480" w:firstLineChars="200"/>
        <w:rPr>
          <w:rFonts w:hint="eastAsia" w:ascii="宋体" w:hAnsi="宋体"/>
          <w:sz w:val="24"/>
        </w:rPr>
      </w:pPr>
      <w:r>
        <w:rPr>
          <w:rFonts w:hint="eastAsia" w:ascii="宋体" w:hAnsi="宋体"/>
          <w:sz w:val="24"/>
        </w:rPr>
        <w:t>由承包人负责运输的超大件或超重件，应由承包人负责向交通管理部门办理申请手续，发包人给予协助。运输超大件或超重件所需的道路和桥梁临时加固改造费用和其他有关费用，由承包人承担。</w:t>
      </w:r>
    </w:p>
    <w:p>
      <w:pPr>
        <w:numPr>
          <w:ilvl w:val="255"/>
          <w:numId w:val="0"/>
        </w:numPr>
        <w:tabs>
          <w:tab w:val="left" w:pos="0"/>
          <w:tab w:val="left" w:pos="709"/>
        </w:tabs>
        <w:spacing w:line="360" w:lineRule="auto"/>
        <w:ind w:left="425"/>
        <w:outlineLvl w:val="3"/>
        <w:rPr>
          <w:rFonts w:hint="eastAsia" w:ascii="宋体" w:hAnsi="宋体"/>
          <w:bCs/>
          <w:sz w:val="24"/>
          <w:lang w:val="zh-CN"/>
        </w:rPr>
      </w:pPr>
      <w:r>
        <w:rPr>
          <w:rFonts w:hint="eastAsia" w:ascii="宋体" w:hAnsi="宋体"/>
          <w:bCs/>
          <w:sz w:val="24"/>
        </w:rPr>
        <w:t>1.11</w:t>
      </w:r>
      <w:r>
        <w:rPr>
          <w:rFonts w:ascii="宋体" w:hAnsi="宋体"/>
          <w:bCs/>
          <w:sz w:val="24"/>
          <w:lang w:val="zh-CN"/>
        </w:rPr>
        <w:t xml:space="preserve">知识产权 </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11</w:t>
      </w:r>
      <w:r>
        <w:rPr>
          <w:rFonts w:ascii="宋体" w:hAnsi="宋体"/>
          <w:sz w:val="24"/>
        </w:rPr>
        <w:t>.1发包人提供给承包人的图纸、技术规范以及反映发包人要求的其他文件的著作权属于发包人。未经发包人书面同意，承包人不得为了合同以外的目的而复制、使用上述文件或将之提供给任何第三方。</w:t>
      </w:r>
    </w:p>
    <w:p>
      <w:pPr>
        <w:autoSpaceDE w:val="0"/>
        <w:autoSpaceDN w:val="0"/>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1</w:t>
      </w:r>
      <w:r>
        <w:rPr>
          <w:rFonts w:ascii="宋体" w:hAnsi="宋体"/>
          <w:sz w:val="24"/>
        </w:rPr>
        <w:t>.2承包人为实施工程所编制的文件，除署名权以外的著作权属于发包人，承包人因实施工程</w:t>
      </w:r>
      <w:r>
        <w:rPr>
          <w:rFonts w:hint="eastAsia" w:ascii="宋体" w:hAnsi="宋体"/>
          <w:sz w:val="24"/>
        </w:rPr>
        <w:t>可</w:t>
      </w:r>
      <w:r>
        <w:rPr>
          <w:rFonts w:ascii="宋体" w:hAnsi="宋体"/>
          <w:sz w:val="24"/>
        </w:rPr>
        <w:t>复制、使用此类文件，但不能用于与合同无关的其他事项。未经发包人书面同意，承包人不得为了合同以外的目的而复制、使用上述文件或将之提供给任何第三方。</w:t>
      </w:r>
    </w:p>
    <w:p>
      <w:pPr>
        <w:autoSpaceDE w:val="0"/>
        <w:autoSpaceDN w:val="0"/>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1</w:t>
      </w:r>
      <w:r>
        <w:rPr>
          <w:rFonts w:ascii="宋体" w:hAnsi="宋体"/>
          <w:sz w:val="24"/>
        </w:rPr>
        <w:t>.3 合同当事人保证在履行合同过程中不侵犯对方及第三方的知识产权。承包人在使用材料、施工设备、工程设备或采用施工工艺时，因侵犯他人的专利权或其他知识产权所引起的责任，由承包人承担。</w:t>
      </w:r>
    </w:p>
    <w:p>
      <w:pPr>
        <w:autoSpaceDE w:val="0"/>
        <w:autoSpaceDN w:val="0"/>
        <w:spacing w:line="360" w:lineRule="auto"/>
        <w:ind w:firstLine="480" w:firstLineChars="200"/>
        <w:rPr>
          <w:rFonts w:hint="eastAsia" w:ascii="宋体" w:hAnsi="宋体"/>
          <w:sz w:val="24"/>
        </w:rPr>
      </w:pPr>
      <w:r>
        <w:rPr>
          <w:rFonts w:ascii="宋体" w:hAnsi="宋体"/>
          <w:sz w:val="24"/>
        </w:rPr>
        <w:t>1.1</w:t>
      </w:r>
      <w:r>
        <w:rPr>
          <w:rFonts w:hint="eastAsia" w:ascii="宋体" w:hAnsi="宋体"/>
          <w:sz w:val="24"/>
        </w:rPr>
        <w:t>1</w:t>
      </w:r>
      <w:r>
        <w:rPr>
          <w:rFonts w:ascii="宋体" w:hAnsi="宋体"/>
          <w:sz w:val="24"/>
        </w:rPr>
        <w:t>.4承包人在合同签订前和签订时已确定采用的专利、专有技术、技术秘密的使用费已包含在合同</w:t>
      </w:r>
      <w:r>
        <w:rPr>
          <w:rFonts w:hint="eastAsia" w:ascii="宋体" w:hAnsi="宋体"/>
          <w:sz w:val="24"/>
        </w:rPr>
        <w:t>价格</w:t>
      </w:r>
      <w:r>
        <w:rPr>
          <w:rFonts w:ascii="宋体" w:hAnsi="宋体"/>
          <w:sz w:val="24"/>
        </w:rPr>
        <w:t>中。</w:t>
      </w:r>
    </w:p>
    <w:p>
      <w:pPr>
        <w:numPr>
          <w:ilvl w:val="255"/>
          <w:numId w:val="0"/>
        </w:numPr>
        <w:tabs>
          <w:tab w:val="left" w:pos="0"/>
          <w:tab w:val="left" w:pos="709"/>
        </w:tabs>
        <w:spacing w:line="360" w:lineRule="auto"/>
        <w:outlineLvl w:val="3"/>
        <w:rPr>
          <w:rFonts w:hint="eastAsia" w:ascii="宋体" w:hAnsi="宋体"/>
          <w:bCs/>
          <w:sz w:val="24"/>
          <w:lang w:val="zh-CN"/>
        </w:rPr>
      </w:pPr>
      <w:r>
        <w:rPr>
          <w:rFonts w:hint="eastAsia" w:ascii="宋体" w:hAnsi="宋体"/>
          <w:bCs/>
          <w:sz w:val="24"/>
        </w:rPr>
        <w:t>1.12保密：执行通用条款。</w:t>
      </w:r>
    </w:p>
    <w:p>
      <w:pPr>
        <w:numPr>
          <w:ilvl w:val="255"/>
          <w:numId w:val="0"/>
        </w:numPr>
        <w:tabs>
          <w:tab w:val="left" w:pos="426"/>
        </w:tabs>
        <w:spacing w:line="360" w:lineRule="auto"/>
        <w:ind w:left="-6"/>
        <w:outlineLvl w:val="3"/>
        <w:rPr>
          <w:rFonts w:hint="eastAsia" w:ascii="宋体" w:hAnsi="宋体"/>
          <w:bCs/>
          <w:sz w:val="24"/>
        </w:rPr>
      </w:pPr>
      <w:r>
        <w:rPr>
          <w:rFonts w:hint="eastAsia" w:ascii="宋体" w:hAnsi="宋体"/>
          <w:bCs/>
          <w:sz w:val="24"/>
        </w:rPr>
        <w:t>1.13工程量清单错误的修正：执行通用条款。</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发包人</w:t>
      </w:r>
    </w:p>
    <w:p>
      <w:pPr>
        <w:tabs>
          <w:tab w:val="left" w:pos="709"/>
        </w:tabs>
        <w:spacing w:line="360" w:lineRule="auto"/>
        <w:outlineLvl w:val="4"/>
        <w:rPr>
          <w:rFonts w:hint="eastAsia" w:ascii="宋体" w:hAnsi="宋体"/>
          <w:bCs/>
          <w:sz w:val="24"/>
          <w:lang w:val="zh-CN"/>
        </w:rPr>
      </w:pPr>
      <w:r>
        <w:rPr>
          <w:rFonts w:hint="eastAsia" w:ascii="宋体" w:hAnsi="宋体"/>
          <w:bCs/>
          <w:sz w:val="24"/>
          <w:lang w:val="zh-CN"/>
        </w:rPr>
        <w:t>2.1</w:t>
      </w:r>
      <w:r>
        <w:rPr>
          <w:rFonts w:ascii="宋体" w:hAnsi="宋体"/>
          <w:bCs/>
          <w:sz w:val="24"/>
          <w:lang w:val="zh-CN"/>
        </w:rPr>
        <w:t>许可或批准</w:t>
      </w:r>
    </w:p>
    <w:p>
      <w:pPr>
        <w:autoSpaceDE w:val="0"/>
        <w:autoSpaceDN w:val="0"/>
        <w:spacing w:line="360" w:lineRule="auto"/>
        <w:ind w:firstLine="480" w:firstLineChars="200"/>
        <w:rPr>
          <w:rFonts w:hint="eastAsia" w:ascii="宋体" w:hAnsi="宋体"/>
          <w:sz w:val="24"/>
        </w:rPr>
      </w:pPr>
      <w:r>
        <w:rPr>
          <w:rFonts w:ascii="宋体" w:hAnsi="宋体"/>
          <w:sz w:val="24"/>
        </w:rPr>
        <w:t>发包人</w:t>
      </w:r>
      <w:r>
        <w:rPr>
          <w:rFonts w:hint="eastAsia" w:ascii="宋体" w:hAnsi="宋体"/>
          <w:sz w:val="24"/>
        </w:rPr>
        <w:t>负责</w:t>
      </w:r>
      <w:r>
        <w:rPr>
          <w:rFonts w:ascii="宋体" w:hAnsi="宋体"/>
          <w:sz w:val="24"/>
        </w:rPr>
        <w:t>办理法律规定的应有其办理的许可、批准或备案。</w:t>
      </w:r>
    </w:p>
    <w:p>
      <w:pPr>
        <w:spacing w:line="360" w:lineRule="auto"/>
        <w:outlineLvl w:val="4"/>
        <w:rPr>
          <w:rFonts w:hint="eastAsia" w:ascii="宋体" w:hAnsi="宋体"/>
          <w:bCs/>
          <w:sz w:val="24"/>
          <w:lang w:val="zh-CN"/>
        </w:rPr>
      </w:pPr>
      <w:r>
        <w:rPr>
          <w:rFonts w:ascii="宋体" w:hAnsi="宋体"/>
          <w:bCs/>
          <w:sz w:val="24"/>
          <w:lang w:val="zh-CN"/>
        </w:rPr>
        <w:t>2.2 发包人代表</w:t>
      </w:r>
    </w:p>
    <w:p>
      <w:pPr>
        <w:spacing w:line="360" w:lineRule="auto"/>
        <w:ind w:firstLine="480" w:firstLineChars="200"/>
        <w:rPr>
          <w:rFonts w:hint="eastAsia" w:ascii="宋体" w:hAnsi="宋体"/>
          <w:sz w:val="24"/>
        </w:rPr>
      </w:pPr>
      <w:r>
        <w:rPr>
          <w:rFonts w:ascii="宋体" w:hAnsi="宋体"/>
          <w:sz w:val="24"/>
        </w:rPr>
        <w:t>发包人代表：</w:t>
      </w:r>
    </w:p>
    <w:p>
      <w:pPr>
        <w:spacing w:line="360" w:lineRule="auto"/>
        <w:ind w:firstLine="480" w:firstLineChars="200"/>
        <w:rPr>
          <w:rFonts w:hint="eastAsia" w:ascii="宋体" w:hAnsi="宋体"/>
          <w:sz w:val="24"/>
        </w:rPr>
      </w:pPr>
      <w:r>
        <w:rPr>
          <w:rFonts w:ascii="宋体" w:hAnsi="宋体"/>
          <w:sz w:val="24"/>
        </w:rPr>
        <w:t>姓    名：</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职    务：</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联系电话：</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电子信箱：</w:t>
      </w:r>
      <w:r>
        <w:rPr>
          <w:rFonts w:ascii="宋体" w:hAnsi="宋体"/>
          <w:sz w:val="24"/>
          <w:u w:val="single"/>
        </w:rPr>
        <w:t xml:space="preserve"> </w:t>
      </w:r>
      <w:r>
        <w:fldChar w:fldCharType="begin"/>
      </w:r>
      <w:r>
        <w:instrText xml:space="preserve"> HYPERLINK "mailto:18804767279@163.com" </w:instrText>
      </w:r>
      <w:r>
        <w:fldChar w:fldCharType="separate"/>
      </w:r>
      <w:r>
        <w:fldChar w:fldCharType="end"/>
      </w:r>
      <w:r>
        <w:rPr>
          <w:rStyle w:val="26"/>
          <w:rFonts w:hint="eastAsia" w:ascii="宋体" w:hAnsi="宋体"/>
          <w:sz w:val="24"/>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通信地址：</w:t>
      </w:r>
      <w:r>
        <w:rPr>
          <w:rFonts w:ascii="宋体" w:hAnsi="宋体"/>
          <w:sz w:val="24"/>
          <w:u w:val="single"/>
        </w:rPr>
        <w:t xml:space="preserve"> </w:t>
      </w:r>
      <w:r>
        <w:rPr>
          <w:rFonts w:hint="eastAsia" w:ascii="宋体" w:hAnsi="宋体"/>
          <w:sz w:val="24"/>
          <w:u w:val="single"/>
        </w:rPr>
        <w:t xml:space="preserve">                    </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发包人代表在发包人的授权范围内，负责处理合同履行过程中与发包人有关的具体事宜。发包人代表在授权范围内的行为由发包人承担法律责任。发包人更换发包人代表的，应提前7天书面通知承包人。</w:t>
      </w:r>
      <w:r>
        <w:rPr>
          <w:rFonts w:hint="eastAsia" w:ascii="宋体" w:hAnsi="宋体"/>
          <w:sz w:val="24"/>
        </w:rPr>
        <w:t>发包人代表不能按照合同约定履行其职责及义务，并导致合同无法继续正常履行的，承包人可以要求发包人撤换发包人代表。</w:t>
      </w:r>
    </w:p>
    <w:p>
      <w:pPr>
        <w:spacing w:line="360" w:lineRule="auto"/>
        <w:outlineLvl w:val="4"/>
        <w:rPr>
          <w:rFonts w:hint="eastAsia" w:ascii="宋体" w:hAnsi="宋体"/>
          <w:bCs/>
          <w:sz w:val="24"/>
          <w:lang w:val="zh-CN"/>
        </w:rPr>
      </w:pPr>
      <w:r>
        <w:rPr>
          <w:rFonts w:ascii="宋体" w:hAnsi="宋体"/>
          <w:bCs/>
          <w:sz w:val="24"/>
          <w:lang w:val="zh-CN"/>
        </w:rPr>
        <w:t>2.3 发包人人员</w:t>
      </w:r>
    </w:p>
    <w:p>
      <w:pPr>
        <w:spacing w:line="360" w:lineRule="auto"/>
        <w:ind w:firstLine="480" w:firstLineChars="200"/>
        <w:rPr>
          <w:rFonts w:hint="eastAsia" w:ascii="宋体" w:hAnsi="宋体"/>
          <w:sz w:val="24"/>
        </w:rPr>
      </w:pPr>
      <w:r>
        <w:rPr>
          <w:rFonts w:ascii="宋体" w:hAnsi="宋体"/>
          <w:sz w:val="24"/>
        </w:rPr>
        <w:t>发包人人员包括发包人代表及其他由发包人派驻施工现场的人员。</w:t>
      </w:r>
    </w:p>
    <w:p>
      <w:pPr>
        <w:spacing w:line="360" w:lineRule="auto"/>
        <w:outlineLvl w:val="4"/>
        <w:rPr>
          <w:rFonts w:hint="eastAsia" w:ascii="宋体" w:hAnsi="宋体"/>
          <w:bCs/>
          <w:sz w:val="24"/>
          <w:lang w:val="zh-CN"/>
        </w:rPr>
      </w:pPr>
      <w:r>
        <w:rPr>
          <w:rFonts w:ascii="宋体" w:hAnsi="宋体"/>
          <w:bCs/>
          <w:sz w:val="24"/>
          <w:lang w:val="zh-CN"/>
        </w:rPr>
        <w:t xml:space="preserve">2.4 施工现场、施工条件和基础资料的提供  </w:t>
      </w:r>
    </w:p>
    <w:p>
      <w:pPr>
        <w:autoSpaceDE w:val="0"/>
        <w:autoSpaceDN w:val="0"/>
        <w:spacing w:line="360" w:lineRule="auto"/>
        <w:ind w:firstLine="480" w:firstLineChars="200"/>
        <w:rPr>
          <w:rFonts w:hint="eastAsia" w:ascii="宋体" w:hAnsi="宋体"/>
          <w:sz w:val="24"/>
        </w:rPr>
      </w:pPr>
      <w:r>
        <w:rPr>
          <w:rFonts w:ascii="宋体" w:hAnsi="宋体"/>
          <w:sz w:val="24"/>
        </w:rPr>
        <w:t>2.4.1 提供施工现场</w:t>
      </w:r>
    </w:p>
    <w:p>
      <w:pPr>
        <w:autoSpaceDE w:val="0"/>
        <w:autoSpaceDN w:val="0"/>
        <w:spacing w:line="360" w:lineRule="auto"/>
        <w:ind w:firstLine="480" w:firstLineChars="200"/>
        <w:rPr>
          <w:rFonts w:hint="eastAsia" w:ascii="宋体" w:hAnsi="宋体"/>
          <w:sz w:val="24"/>
        </w:rPr>
      </w:pPr>
      <w:r>
        <w:rPr>
          <w:rFonts w:ascii="宋体" w:hAnsi="宋体"/>
          <w:sz w:val="24"/>
        </w:rPr>
        <w:t>发包人应</w:t>
      </w:r>
      <w:r>
        <w:rPr>
          <w:rFonts w:hint="eastAsia" w:ascii="宋体" w:hAnsi="宋体"/>
          <w:sz w:val="24"/>
        </w:rPr>
        <w:t>在开工</w:t>
      </w:r>
      <w:r>
        <w:rPr>
          <w:rFonts w:ascii="宋体" w:hAnsi="宋体"/>
          <w:sz w:val="24"/>
        </w:rPr>
        <w:t>前</w:t>
      </w:r>
      <w:r>
        <w:rPr>
          <w:rFonts w:hint="eastAsia" w:ascii="宋体" w:hAnsi="宋体"/>
          <w:sz w:val="24"/>
          <w:u w:val="single"/>
        </w:rPr>
        <w:t xml:space="preserve">   3    </w:t>
      </w:r>
      <w:r>
        <w:rPr>
          <w:rFonts w:hint="eastAsia" w:ascii="宋体" w:hAnsi="宋体"/>
          <w:sz w:val="24"/>
        </w:rPr>
        <w:t>天</w:t>
      </w:r>
      <w:r>
        <w:rPr>
          <w:rFonts w:ascii="宋体" w:hAnsi="宋体"/>
          <w:sz w:val="24"/>
        </w:rPr>
        <w:t>向承包人移交施工现场。</w:t>
      </w:r>
    </w:p>
    <w:p>
      <w:pPr>
        <w:autoSpaceDE w:val="0"/>
        <w:autoSpaceDN w:val="0"/>
        <w:spacing w:line="360" w:lineRule="auto"/>
        <w:ind w:firstLine="480" w:firstLineChars="200"/>
        <w:rPr>
          <w:rFonts w:hint="eastAsia" w:ascii="宋体" w:hAnsi="宋体"/>
          <w:sz w:val="24"/>
        </w:rPr>
      </w:pPr>
      <w:r>
        <w:rPr>
          <w:rFonts w:ascii="宋体" w:hAnsi="宋体"/>
          <w:sz w:val="24"/>
        </w:rPr>
        <w:t>2.4.2 提供施工条件</w:t>
      </w:r>
    </w:p>
    <w:p>
      <w:pPr>
        <w:autoSpaceDE w:val="0"/>
        <w:autoSpaceDN w:val="0"/>
        <w:spacing w:line="360" w:lineRule="auto"/>
        <w:ind w:firstLine="480" w:firstLineChars="200"/>
        <w:rPr>
          <w:rFonts w:hint="eastAsia" w:ascii="宋体" w:hAnsi="宋体"/>
          <w:sz w:val="24"/>
        </w:rPr>
      </w:pPr>
      <w:r>
        <w:rPr>
          <w:rFonts w:ascii="宋体" w:hAnsi="宋体"/>
          <w:sz w:val="24"/>
        </w:rPr>
        <w:t>发包人应负责提供施工所需要的条件，包括：</w:t>
      </w:r>
    </w:p>
    <w:p>
      <w:pPr>
        <w:autoSpaceDE w:val="0"/>
        <w:autoSpaceDN w:val="0"/>
        <w:spacing w:line="360" w:lineRule="auto"/>
        <w:ind w:firstLine="480" w:firstLineChars="200"/>
        <w:rPr>
          <w:rFonts w:hint="eastAsia" w:ascii="宋体" w:hAnsi="宋体"/>
          <w:sz w:val="24"/>
        </w:rPr>
      </w:pPr>
      <w:r>
        <w:rPr>
          <w:rFonts w:ascii="宋体" w:hAnsi="宋体"/>
          <w:sz w:val="24"/>
        </w:rPr>
        <w:t>（1）施工用水、用电交接点由发包人指定</w:t>
      </w:r>
      <w:r>
        <w:rPr>
          <w:rFonts w:hint="eastAsia" w:ascii="宋体" w:hAnsi="宋体"/>
          <w:sz w:val="24"/>
        </w:rPr>
        <w:t>，</w:t>
      </w:r>
      <w:r>
        <w:rPr>
          <w:rFonts w:ascii="宋体" w:hAnsi="宋体"/>
          <w:sz w:val="24"/>
        </w:rPr>
        <w:t>并保证施工期间的需要</w:t>
      </w:r>
      <w:r>
        <w:rPr>
          <w:rFonts w:hint="eastAsia" w:ascii="宋体" w:hAnsi="宋体"/>
          <w:sz w:val="24"/>
        </w:rPr>
        <w:t>，</w:t>
      </w:r>
      <w:r>
        <w:rPr>
          <w:rFonts w:ascii="宋体" w:hAnsi="宋体"/>
          <w:sz w:val="24"/>
        </w:rPr>
        <w:t>交接点距本工程施工现场界区不超过</w:t>
      </w:r>
      <w:r>
        <w:rPr>
          <w:rFonts w:hint="eastAsia" w:ascii="宋体" w:hAnsi="宋体"/>
          <w:sz w:val="24"/>
        </w:rPr>
        <w:t>400米；</w:t>
      </w:r>
    </w:p>
    <w:p>
      <w:pPr>
        <w:autoSpaceDE w:val="0"/>
        <w:autoSpaceDN w:val="0"/>
        <w:spacing w:line="360" w:lineRule="auto"/>
        <w:ind w:firstLine="480" w:firstLineChars="200"/>
        <w:rPr>
          <w:rFonts w:hint="eastAsia" w:ascii="宋体" w:hAnsi="宋体"/>
          <w:sz w:val="24"/>
        </w:rPr>
      </w:pPr>
      <w:r>
        <w:rPr>
          <w:rFonts w:ascii="宋体" w:hAnsi="宋体"/>
          <w:sz w:val="24"/>
        </w:rPr>
        <w:t>（2）向承包人提供正常施工所需要的进入施工现场的交通条件；</w:t>
      </w:r>
    </w:p>
    <w:p>
      <w:pPr>
        <w:autoSpaceDE w:val="0"/>
        <w:autoSpaceDN w:val="0"/>
        <w:spacing w:line="360" w:lineRule="auto"/>
        <w:ind w:firstLine="480" w:firstLineChars="200"/>
        <w:rPr>
          <w:rFonts w:hint="eastAsia" w:ascii="宋体" w:hAnsi="宋体"/>
          <w:sz w:val="24"/>
        </w:rPr>
      </w:pPr>
      <w:r>
        <w:rPr>
          <w:rFonts w:ascii="宋体" w:hAnsi="宋体"/>
          <w:sz w:val="24"/>
        </w:rPr>
        <w:t>（3）协调处理施工现场周围地下管线和邻近建筑物、构筑物的保护工作</w:t>
      </w:r>
      <w:r>
        <w:rPr>
          <w:rFonts w:hint="eastAsia" w:ascii="宋体" w:hAnsi="宋体"/>
          <w:sz w:val="24"/>
        </w:rPr>
        <w:t>。由于承包人原因造成施工现场周围地下管线和邻近建筑物、构筑物损害或其他伤害的，由承包人承当相应责任和费用。</w:t>
      </w:r>
    </w:p>
    <w:p>
      <w:pPr>
        <w:autoSpaceDE w:val="0"/>
        <w:autoSpaceDN w:val="0"/>
        <w:spacing w:line="360" w:lineRule="auto"/>
        <w:ind w:firstLine="480" w:firstLineChars="200"/>
        <w:rPr>
          <w:rFonts w:hint="eastAsia" w:ascii="宋体" w:hAnsi="宋体"/>
          <w:sz w:val="24"/>
        </w:rPr>
      </w:pPr>
      <w:r>
        <w:rPr>
          <w:rFonts w:ascii="宋体" w:hAnsi="宋体"/>
          <w:sz w:val="24"/>
        </w:rPr>
        <w:t>2.4.3 提供基础资料</w:t>
      </w:r>
    </w:p>
    <w:p>
      <w:pPr>
        <w:autoSpaceDE w:val="0"/>
        <w:autoSpaceDN w:val="0"/>
        <w:spacing w:line="360" w:lineRule="auto"/>
        <w:ind w:firstLine="480" w:firstLineChars="200"/>
        <w:rPr>
          <w:rFonts w:hint="eastAsia" w:ascii="宋体" w:hAnsi="宋体"/>
          <w:sz w:val="24"/>
        </w:rPr>
      </w:pPr>
      <w:r>
        <w:rPr>
          <w:rFonts w:hint="eastAsia" w:ascii="宋体" w:hAnsi="宋体"/>
          <w:sz w:val="24"/>
        </w:rPr>
        <w:t>（1）向承包人提供施工现场地质勘察资料，相邻建筑物、构筑物和地下工程等有关基础资料并对</w:t>
      </w:r>
      <w:r>
        <w:rPr>
          <w:rFonts w:ascii="宋体" w:hAnsi="宋体"/>
          <w:sz w:val="24"/>
        </w:rPr>
        <w:t>所提供资料的真实性、准确性</w:t>
      </w:r>
      <w:r>
        <w:rPr>
          <w:rFonts w:hint="eastAsia" w:ascii="宋体" w:hAnsi="宋体"/>
          <w:sz w:val="24"/>
        </w:rPr>
        <w:t>和完整性</w:t>
      </w:r>
      <w:r>
        <w:rPr>
          <w:rFonts w:ascii="宋体" w:hAnsi="宋体"/>
          <w:sz w:val="24"/>
        </w:rPr>
        <w:t>负责</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hint="eastAsia" w:ascii="宋体" w:hAnsi="宋体"/>
          <w:sz w:val="24"/>
        </w:rPr>
        <w:t>（2）将水准点与坐标控制点以书面形式提交给承包人，并进行现场交验。</w:t>
      </w:r>
    </w:p>
    <w:p>
      <w:pPr>
        <w:autoSpaceDE w:val="0"/>
        <w:autoSpaceDN w:val="0"/>
        <w:spacing w:line="360" w:lineRule="auto"/>
        <w:ind w:firstLine="480" w:firstLineChars="200"/>
        <w:rPr>
          <w:rFonts w:hint="eastAsia" w:ascii="宋体" w:hAnsi="宋体"/>
          <w:sz w:val="24"/>
        </w:rPr>
      </w:pPr>
      <w:r>
        <w:rPr>
          <w:rFonts w:hint="eastAsia" w:ascii="宋体" w:hAnsi="宋体"/>
          <w:sz w:val="24"/>
        </w:rPr>
        <w:t>（3）按照法律规定需要提供的其他基础资料在开工前不能提供的，发包人应尽其努力及时地在相应工程施工前的合理期限内提供，合理期限应以不影响承包人的正常施工为限。</w:t>
      </w:r>
    </w:p>
    <w:p>
      <w:pPr>
        <w:pStyle w:val="2"/>
        <w:ind w:firstLine="480"/>
        <w:rPr>
          <w:rFonts w:hint="eastAsia" w:ascii="宋体" w:hAnsi="宋体"/>
          <w:sz w:val="24"/>
          <w:szCs w:val="24"/>
        </w:rPr>
      </w:pPr>
      <w:r>
        <w:rPr>
          <w:rFonts w:hint="eastAsia" w:ascii="宋体" w:hAnsi="宋体"/>
          <w:sz w:val="24"/>
          <w:szCs w:val="24"/>
        </w:rPr>
        <w:t>2.4.4逾期提供的责任：执行通用条款。</w:t>
      </w:r>
    </w:p>
    <w:p>
      <w:pPr>
        <w:spacing w:line="360" w:lineRule="auto"/>
        <w:outlineLvl w:val="4"/>
        <w:rPr>
          <w:rFonts w:hint="eastAsia" w:ascii="宋体" w:hAnsi="宋体"/>
          <w:bCs/>
          <w:sz w:val="24"/>
          <w:lang w:val="zh-CN"/>
        </w:rPr>
      </w:pPr>
      <w:r>
        <w:rPr>
          <w:rFonts w:ascii="宋体" w:hAnsi="宋体"/>
          <w:bCs/>
          <w:sz w:val="24"/>
          <w:lang w:val="zh-CN"/>
        </w:rPr>
        <w:t>2.</w:t>
      </w:r>
      <w:r>
        <w:rPr>
          <w:rFonts w:hint="eastAsia" w:ascii="宋体" w:hAnsi="宋体"/>
          <w:bCs/>
          <w:sz w:val="24"/>
        </w:rPr>
        <w:t>6</w:t>
      </w:r>
      <w:r>
        <w:rPr>
          <w:rFonts w:ascii="宋体" w:hAnsi="宋体"/>
          <w:bCs/>
          <w:sz w:val="24"/>
          <w:lang w:val="zh-CN"/>
        </w:rPr>
        <w:t xml:space="preserve"> 支付合同价款</w:t>
      </w:r>
    </w:p>
    <w:p>
      <w:pPr>
        <w:autoSpaceDE w:val="0"/>
        <w:autoSpaceDN w:val="0"/>
        <w:spacing w:line="360" w:lineRule="auto"/>
        <w:ind w:firstLine="480" w:firstLineChars="200"/>
        <w:rPr>
          <w:rFonts w:hint="eastAsia" w:ascii="宋体" w:hAnsi="宋体"/>
          <w:sz w:val="24"/>
        </w:rPr>
      </w:pPr>
      <w:r>
        <w:rPr>
          <w:rFonts w:ascii="宋体" w:hAnsi="宋体"/>
          <w:sz w:val="24"/>
        </w:rPr>
        <w:t>发包人应按合同约定向承包人及时支付合同价款。</w:t>
      </w:r>
    </w:p>
    <w:p>
      <w:pPr>
        <w:spacing w:line="360" w:lineRule="auto"/>
        <w:outlineLvl w:val="4"/>
        <w:rPr>
          <w:rFonts w:hint="eastAsia" w:ascii="宋体" w:hAnsi="宋体"/>
          <w:bCs/>
          <w:sz w:val="24"/>
          <w:lang w:val="zh-CN"/>
        </w:rPr>
      </w:pPr>
      <w:r>
        <w:rPr>
          <w:rFonts w:ascii="宋体" w:hAnsi="宋体"/>
          <w:bCs/>
          <w:sz w:val="24"/>
          <w:lang w:val="zh-CN"/>
        </w:rPr>
        <w:t>2.</w:t>
      </w:r>
      <w:r>
        <w:rPr>
          <w:rFonts w:hint="eastAsia" w:ascii="宋体" w:hAnsi="宋体"/>
          <w:bCs/>
          <w:sz w:val="24"/>
        </w:rPr>
        <w:t>7</w:t>
      </w:r>
      <w:r>
        <w:rPr>
          <w:rFonts w:ascii="宋体" w:hAnsi="宋体"/>
          <w:bCs/>
          <w:sz w:val="24"/>
          <w:lang w:val="zh-CN"/>
        </w:rPr>
        <w:t xml:space="preserve"> 组织竣工验收</w:t>
      </w:r>
    </w:p>
    <w:p>
      <w:pPr>
        <w:autoSpaceDE w:val="0"/>
        <w:autoSpaceDN w:val="0"/>
        <w:spacing w:line="360" w:lineRule="auto"/>
        <w:ind w:firstLine="480" w:firstLineChars="200"/>
        <w:rPr>
          <w:rFonts w:hint="eastAsia" w:ascii="宋体" w:hAnsi="宋体"/>
          <w:sz w:val="24"/>
        </w:rPr>
      </w:pPr>
      <w:r>
        <w:rPr>
          <w:rFonts w:ascii="宋体" w:hAnsi="宋体"/>
          <w:sz w:val="24"/>
        </w:rPr>
        <w:t>发包人应按合同约定及时组织竣工验收。</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承包人</w:t>
      </w:r>
    </w:p>
    <w:p>
      <w:pPr>
        <w:spacing w:line="360" w:lineRule="auto"/>
        <w:outlineLvl w:val="4"/>
        <w:rPr>
          <w:rFonts w:hint="eastAsia" w:ascii="宋体" w:hAnsi="宋体"/>
          <w:bCs/>
          <w:sz w:val="24"/>
          <w:lang w:val="zh-CN"/>
        </w:rPr>
      </w:pPr>
      <w:r>
        <w:rPr>
          <w:rFonts w:ascii="宋体" w:hAnsi="宋体"/>
          <w:bCs/>
          <w:sz w:val="24"/>
          <w:lang w:val="zh-CN"/>
        </w:rPr>
        <w:t>3.1 承包人的一般义务</w:t>
      </w:r>
    </w:p>
    <w:p>
      <w:pPr>
        <w:autoSpaceDE w:val="0"/>
        <w:autoSpaceDN w:val="0"/>
        <w:spacing w:line="360" w:lineRule="auto"/>
        <w:ind w:firstLine="480" w:firstLineChars="200"/>
        <w:rPr>
          <w:rFonts w:hint="eastAsia" w:ascii="宋体" w:hAnsi="宋体"/>
          <w:sz w:val="24"/>
        </w:rPr>
      </w:pPr>
      <w:r>
        <w:rPr>
          <w:rFonts w:ascii="宋体" w:hAnsi="宋体"/>
          <w:sz w:val="24"/>
        </w:rPr>
        <w:t>承包人在履行合同过程中应遵守法律和工程建设标准规范，并履行以下义务：</w:t>
      </w:r>
    </w:p>
    <w:p>
      <w:pPr>
        <w:numPr>
          <w:ilvl w:val="0"/>
          <w:numId w:val="5"/>
        </w:numPr>
        <w:autoSpaceDE w:val="0"/>
        <w:autoSpaceDN w:val="0"/>
        <w:spacing w:line="360" w:lineRule="auto"/>
        <w:ind w:firstLine="480" w:firstLineChars="200"/>
        <w:rPr>
          <w:rFonts w:hint="eastAsia" w:ascii="宋体" w:hAnsi="宋体"/>
          <w:sz w:val="24"/>
        </w:rPr>
      </w:pPr>
      <w:r>
        <w:rPr>
          <w:rFonts w:ascii="宋体" w:hAnsi="宋体"/>
          <w:sz w:val="24"/>
        </w:rPr>
        <w:t>办理法律规定</w:t>
      </w:r>
      <w:r>
        <w:rPr>
          <w:rFonts w:hint="eastAsia" w:ascii="宋体" w:hAnsi="宋体"/>
          <w:sz w:val="24"/>
        </w:rPr>
        <w:t>应</w:t>
      </w:r>
      <w:r>
        <w:rPr>
          <w:rFonts w:ascii="宋体" w:hAnsi="宋体"/>
          <w:sz w:val="24"/>
        </w:rPr>
        <w:t>由承包人办理的许可和批准，并将</w:t>
      </w:r>
      <w:r>
        <w:rPr>
          <w:rFonts w:hint="eastAsia" w:ascii="宋体" w:hAnsi="宋体"/>
          <w:sz w:val="24"/>
        </w:rPr>
        <w:t>办理</w:t>
      </w:r>
      <w:r>
        <w:rPr>
          <w:rFonts w:ascii="宋体" w:hAnsi="宋体"/>
          <w:sz w:val="24"/>
        </w:rPr>
        <w:t>结果书面报送发包人留存；</w:t>
      </w:r>
    </w:p>
    <w:p>
      <w:pPr>
        <w:autoSpaceDE w:val="0"/>
        <w:autoSpaceDN w:val="0"/>
        <w:spacing w:line="360" w:lineRule="auto"/>
        <w:ind w:firstLine="480" w:firstLineChars="200"/>
        <w:rPr>
          <w:rFonts w:hint="eastAsia" w:ascii="宋体" w:hAnsi="宋体"/>
          <w:sz w:val="24"/>
        </w:rPr>
      </w:pPr>
      <w:r>
        <w:rPr>
          <w:rFonts w:ascii="宋体" w:hAnsi="宋体"/>
          <w:sz w:val="24"/>
        </w:rPr>
        <w:t>（2）按法律规定和合同约定完成工程，并在保修期内承担保修义务；</w:t>
      </w:r>
    </w:p>
    <w:p>
      <w:pPr>
        <w:autoSpaceDE w:val="0"/>
        <w:autoSpaceDN w:val="0"/>
        <w:spacing w:line="360" w:lineRule="auto"/>
        <w:ind w:firstLine="480" w:firstLineChars="200"/>
        <w:rPr>
          <w:rFonts w:hint="eastAsia" w:ascii="宋体" w:hAnsi="宋体"/>
          <w:sz w:val="24"/>
        </w:rPr>
      </w:pPr>
      <w:r>
        <w:rPr>
          <w:rFonts w:ascii="宋体" w:hAnsi="宋体"/>
          <w:sz w:val="24"/>
        </w:rPr>
        <w:t>（3）按法律规定和合同约定采取施工安全和环境保护措施，办理工伤保险，确保工程及人员、材料、设备和设施的安全；</w:t>
      </w:r>
    </w:p>
    <w:p>
      <w:pPr>
        <w:autoSpaceDE w:val="0"/>
        <w:autoSpaceDN w:val="0"/>
        <w:spacing w:line="360" w:lineRule="auto"/>
        <w:ind w:firstLine="480" w:firstLineChars="200"/>
        <w:rPr>
          <w:rFonts w:hint="eastAsia" w:ascii="宋体" w:hAnsi="宋体"/>
          <w:sz w:val="24"/>
        </w:rPr>
      </w:pPr>
      <w:r>
        <w:rPr>
          <w:rFonts w:ascii="宋体" w:hAnsi="宋体"/>
          <w:sz w:val="24"/>
        </w:rPr>
        <w:t>（4）按合同约定的工作内容和施工进度要求，编制施工组织设计和施工措施方案，并对所有施工作业和施工方法的完备性和安全可靠性负责；</w:t>
      </w:r>
    </w:p>
    <w:p>
      <w:pPr>
        <w:autoSpaceDE w:val="0"/>
        <w:autoSpaceDN w:val="0"/>
        <w:spacing w:line="360" w:lineRule="auto"/>
        <w:ind w:firstLine="480" w:firstLineChars="200"/>
        <w:rPr>
          <w:rFonts w:hint="eastAsia" w:ascii="宋体" w:hAnsi="宋体"/>
          <w:sz w:val="24"/>
        </w:rPr>
      </w:pPr>
      <w:r>
        <w:rPr>
          <w:rFonts w:ascii="宋体" w:hAnsi="宋体"/>
          <w:sz w:val="24"/>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应</w:t>
      </w:r>
      <w:r>
        <w:rPr>
          <w:rFonts w:ascii="宋体" w:hAnsi="宋体"/>
          <w:sz w:val="24"/>
        </w:rPr>
        <w:t>负责施工场地及其周边环境与生态的保护工作；</w:t>
      </w:r>
    </w:p>
    <w:p>
      <w:pPr>
        <w:autoSpaceDE w:val="0"/>
        <w:autoSpaceDN w:val="0"/>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应</w:t>
      </w:r>
      <w:r>
        <w:rPr>
          <w:rFonts w:ascii="宋体" w:hAnsi="宋体"/>
          <w:sz w:val="24"/>
        </w:rPr>
        <w:t>采取施工安全措施，确保工程及其人员、材料、设备和设施的安全，防止因工程施工造成的人身伤害和财产损失；</w:t>
      </w:r>
    </w:p>
    <w:p>
      <w:pPr>
        <w:autoSpaceDE w:val="0"/>
        <w:autoSpaceDN w:val="0"/>
        <w:spacing w:line="360" w:lineRule="auto"/>
        <w:ind w:firstLine="480" w:firstLineChars="200"/>
        <w:rPr>
          <w:rFonts w:hint="eastAsia" w:ascii="宋体" w:hAnsi="宋体"/>
          <w:sz w:val="24"/>
        </w:rPr>
      </w:pPr>
      <w:r>
        <w:rPr>
          <w:rFonts w:ascii="宋体" w:hAnsi="宋体"/>
          <w:sz w:val="24"/>
        </w:rPr>
        <w:t>（8）</w:t>
      </w:r>
      <w:r>
        <w:rPr>
          <w:rFonts w:hint="eastAsia" w:ascii="宋体" w:hAnsi="宋体"/>
          <w:sz w:val="24"/>
        </w:rPr>
        <w:t>将</w:t>
      </w:r>
      <w:r>
        <w:rPr>
          <w:rFonts w:ascii="宋体" w:hAnsi="宋体"/>
          <w:sz w:val="24"/>
        </w:rPr>
        <w:t>发包人按合同约定支付的各项价款专用于合同工程，且应及时支付其雇用人员工资；</w:t>
      </w:r>
    </w:p>
    <w:p>
      <w:pPr>
        <w:autoSpaceDE w:val="0"/>
        <w:autoSpaceDN w:val="0"/>
        <w:spacing w:line="360" w:lineRule="auto"/>
        <w:ind w:firstLine="482" w:firstLineChars="200"/>
        <w:rPr>
          <w:rFonts w:hint="eastAsia" w:ascii="宋体" w:hAnsi="宋体"/>
          <w:b/>
          <w:sz w:val="24"/>
        </w:rPr>
      </w:pPr>
      <w:r>
        <w:rPr>
          <w:rFonts w:hint="eastAsia" w:ascii="宋体" w:hAnsi="宋体"/>
          <w:b/>
          <w:sz w:val="24"/>
        </w:rPr>
        <w:t>（9）承包人应在现场设立项目管理机构，项目管理机构的主要管理人员（包括项目负责人或项目经理、技术负责人、质量管理负责人、安全管理负责人、施工管理负责人等）应当是承包人的正式员工。</w:t>
      </w:r>
    </w:p>
    <w:p>
      <w:pPr>
        <w:autoSpaceDE w:val="0"/>
        <w:autoSpaceDN w:val="0"/>
        <w:spacing w:line="360" w:lineRule="auto"/>
        <w:ind w:firstLine="482" w:firstLineChars="200"/>
        <w:rPr>
          <w:rFonts w:hint="eastAsia" w:ascii="宋体" w:hAnsi="宋体"/>
          <w:b/>
          <w:sz w:val="24"/>
        </w:rPr>
      </w:pPr>
      <w:r>
        <w:rPr>
          <w:rFonts w:ascii="宋体" w:hAnsi="宋体"/>
          <w:b/>
          <w:sz w:val="24"/>
        </w:rPr>
        <w:t>（</w:t>
      </w:r>
      <w:r>
        <w:rPr>
          <w:rFonts w:hint="eastAsia" w:ascii="宋体" w:hAnsi="宋体"/>
          <w:b/>
          <w:sz w:val="24"/>
        </w:rPr>
        <w:t>10</w:t>
      </w:r>
      <w:r>
        <w:rPr>
          <w:rFonts w:ascii="宋体" w:hAnsi="宋体"/>
          <w:b/>
          <w:sz w:val="24"/>
        </w:rPr>
        <w:t>）按照法律规定和规范编制竣工资料</w:t>
      </w:r>
      <w:r>
        <w:rPr>
          <w:rFonts w:hint="eastAsia" w:ascii="宋体" w:hAnsi="宋体"/>
          <w:b/>
          <w:sz w:val="24"/>
        </w:rPr>
        <w:t>，</w:t>
      </w:r>
      <w:r>
        <w:rPr>
          <w:rFonts w:ascii="宋体" w:hAnsi="宋体"/>
          <w:b/>
          <w:sz w:val="24"/>
        </w:rPr>
        <w:t>在工程验收合同后</w:t>
      </w:r>
      <w:r>
        <w:rPr>
          <w:rFonts w:hint="eastAsia" w:ascii="宋体" w:hAnsi="宋体"/>
          <w:b/>
          <w:sz w:val="24"/>
        </w:rPr>
        <w:t>30天内向发包人</w:t>
      </w:r>
      <w:r>
        <w:rPr>
          <w:rFonts w:ascii="宋体" w:hAnsi="宋体"/>
          <w:b/>
          <w:sz w:val="24"/>
        </w:rPr>
        <w:t>提供竣工资料</w:t>
      </w:r>
      <w:r>
        <w:rPr>
          <w:rFonts w:hint="eastAsia" w:ascii="宋体" w:hAnsi="宋体"/>
          <w:b/>
          <w:sz w:val="24"/>
          <w:u w:val="single"/>
        </w:rPr>
        <w:t>纸质版一式三份，可编辑电子版一份</w:t>
      </w:r>
      <w:r>
        <w:rPr>
          <w:rFonts w:ascii="宋体" w:hAnsi="宋体"/>
          <w:b/>
          <w:sz w:val="24"/>
        </w:rPr>
        <w:t>；</w:t>
      </w:r>
    </w:p>
    <w:p>
      <w:pPr>
        <w:autoSpaceDE w:val="0"/>
        <w:autoSpaceDN w:val="0"/>
        <w:spacing w:line="360" w:lineRule="auto"/>
        <w:ind w:firstLine="482" w:firstLineChars="200"/>
        <w:rPr>
          <w:rFonts w:hint="eastAsia" w:ascii="宋体" w:hAnsi="宋体"/>
          <w:b/>
          <w:sz w:val="24"/>
        </w:rPr>
      </w:pPr>
      <w:r>
        <w:rPr>
          <w:rFonts w:hint="eastAsia" w:ascii="宋体" w:hAnsi="宋体"/>
          <w:b/>
          <w:sz w:val="24"/>
        </w:rPr>
        <w:t>（11</w:t>
      </w:r>
      <w:r>
        <w:rPr>
          <w:rFonts w:ascii="宋体" w:hAnsi="宋体"/>
          <w:b/>
          <w:sz w:val="24"/>
        </w:rPr>
        <w:t>）</w:t>
      </w:r>
      <w:r>
        <w:rPr>
          <w:rFonts w:hint="eastAsia" w:ascii="宋体" w:hAnsi="宋体"/>
          <w:b/>
          <w:sz w:val="24"/>
        </w:rPr>
        <w:t>如当地规定自治区外的承包人需要办理入蒙备案的，由承包人负责办理；</w:t>
      </w:r>
    </w:p>
    <w:p>
      <w:pPr>
        <w:autoSpaceDE w:val="0"/>
        <w:autoSpaceDN w:val="0"/>
        <w:spacing w:line="360" w:lineRule="auto"/>
        <w:ind w:firstLine="480" w:firstLineChars="200"/>
        <w:rPr>
          <w:rFonts w:hint="eastAsia" w:ascii="宋体" w:hAnsi="宋体"/>
          <w:sz w:val="24"/>
        </w:rPr>
      </w:pPr>
      <w:r>
        <w:rPr>
          <w:rFonts w:hint="eastAsia" w:ascii="宋体" w:hAnsi="宋体"/>
          <w:sz w:val="24"/>
        </w:rPr>
        <w:t>（12）</w:t>
      </w:r>
      <w:r>
        <w:rPr>
          <w:rFonts w:ascii="宋体" w:hAnsi="宋体"/>
          <w:sz w:val="24"/>
        </w:rPr>
        <w:t>应履行的其他义务。</w:t>
      </w:r>
    </w:p>
    <w:p>
      <w:pPr>
        <w:spacing w:line="360" w:lineRule="auto"/>
        <w:outlineLvl w:val="4"/>
        <w:rPr>
          <w:rFonts w:hint="eastAsia" w:ascii="宋体" w:hAnsi="宋体"/>
          <w:bCs/>
          <w:sz w:val="24"/>
          <w:lang w:val="zh-CN"/>
        </w:rPr>
      </w:pPr>
      <w:r>
        <w:rPr>
          <w:rFonts w:ascii="宋体" w:hAnsi="宋体"/>
          <w:bCs/>
          <w:sz w:val="24"/>
          <w:lang w:val="zh-CN"/>
        </w:rPr>
        <w:t>3.2 项目经理</w:t>
      </w:r>
    </w:p>
    <w:p>
      <w:pPr>
        <w:autoSpaceDE w:val="0"/>
        <w:autoSpaceDN w:val="0"/>
        <w:spacing w:line="360" w:lineRule="auto"/>
        <w:ind w:firstLine="480" w:firstLineChars="200"/>
        <w:rPr>
          <w:rFonts w:hint="eastAsia" w:ascii="宋体" w:hAnsi="宋体"/>
          <w:sz w:val="24"/>
        </w:rPr>
      </w:pPr>
      <w:r>
        <w:rPr>
          <w:rFonts w:ascii="宋体" w:hAnsi="宋体"/>
          <w:sz w:val="24"/>
        </w:rPr>
        <w:t>3.2.1 项目经理</w:t>
      </w:r>
    </w:p>
    <w:p>
      <w:pPr>
        <w:spacing w:line="360" w:lineRule="auto"/>
        <w:ind w:firstLine="480" w:firstLineChars="200"/>
        <w:rPr>
          <w:rFonts w:hint="eastAsia" w:ascii="宋体" w:hAnsi="宋体"/>
          <w:sz w:val="24"/>
        </w:rPr>
      </w:pPr>
      <w:r>
        <w:rPr>
          <w:rFonts w:ascii="宋体" w:hAnsi="宋体"/>
          <w:sz w:val="24"/>
        </w:rPr>
        <w:t>姓    名：</w:t>
      </w:r>
      <w:r>
        <w:rPr>
          <w:rFonts w:ascii="宋体" w:hAnsi="宋体"/>
          <w:sz w:val="24"/>
          <w:u w:val="single"/>
        </w:rPr>
        <w:t xml:space="preserve"> </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u w:val="single"/>
        </w:rPr>
      </w:pPr>
      <w:r>
        <w:rPr>
          <w:rFonts w:hint="eastAsia" w:ascii="宋体" w:hAnsi="宋体"/>
          <w:sz w:val="24"/>
        </w:rPr>
        <w:t>建造师执业资格等级：</w:t>
      </w:r>
      <w:r>
        <w:rPr>
          <w:rFonts w:hint="eastAsia" w:ascii="宋体" w:hAnsi="宋体"/>
          <w:sz w:val="24"/>
          <w:u w:val="single"/>
        </w:rPr>
        <w:t xml:space="preserve">      ；</w:t>
      </w:r>
    </w:p>
    <w:p>
      <w:pPr>
        <w:spacing w:line="360" w:lineRule="auto"/>
        <w:ind w:firstLine="480" w:firstLineChars="200"/>
        <w:rPr>
          <w:rFonts w:hint="eastAsia" w:ascii="宋体" w:hAnsi="宋体"/>
          <w:sz w:val="24"/>
          <w:u w:val="single"/>
        </w:rPr>
      </w:pPr>
      <w:r>
        <w:rPr>
          <w:rFonts w:hint="eastAsia" w:ascii="宋体" w:hAnsi="宋体"/>
          <w:sz w:val="24"/>
        </w:rPr>
        <w:t>建造师注册证书号：</w:t>
      </w:r>
      <w:r>
        <w:rPr>
          <w:rFonts w:hint="eastAsia" w:ascii="宋体" w:hAnsi="宋体"/>
          <w:sz w:val="24"/>
          <w:u w:val="single"/>
        </w:rPr>
        <w:t xml:space="preserve">           ；</w:t>
      </w:r>
    </w:p>
    <w:p>
      <w:pPr>
        <w:spacing w:line="360" w:lineRule="auto"/>
        <w:ind w:firstLine="480" w:firstLineChars="200"/>
        <w:rPr>
          <w:rFonts w:hint="eastAsia" w:ascii="宋体" w:hAnsi="宋体"/>
          <w:sz w:val="24"/>
          <w:u w:val="single"/>
        </w:rPr>
      </w:pPr>
      <w:r>
        <w:rPr>
          <w:rFonts w:hint="eastAsia" w:ascii="宋体" w:hAnsi="宋体"/>
          <w:sz w:val="24"/>
        </w:rPr>
        <w:t>安全生产考核合格证书号：</w:t>
      </w:r>
      <w:r>
        <w:rPr>
          <w:rFonts w:hint="eastAsia" w:ascii="宋体" w:hAnsi="宋体"/>
          <w:sz w:val="24"/>
          <w:u w:val="single"/>
        </w:rPr>
        <w:t xml:space="preserve">          ；</w:t>
      </w:r>
    </w:p>
    <w:p>
      <w:pPr>
        <w:spacing w:line="360" w:lineRule="auto"/>
        <w:ind w:firstLine="480" w:firstLineChars="200"/>
        <w:rPr>
          <w:rFonts w:hint="eastAsia" w:ascii="宋体" w:hAnsi="宋体"/>
          <w:sz w:val="24"/>
        </w:rPr>
      </w:pPr>
      <w:r>
        <w:rPr>
          <w:rFonts w:ascii="宋体" w:hAnsi="宋体"/>
          <w:sz w:val="24"/>
        </w:rPr>
        <w:t>联系电话：</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电子信箱：</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承包人对项目经理的授权范围：</w:t>
      </w:r>
      <w:r>
        <w:rPr>
          <w:rFonts w:ascii="宋体" w:hAnsi="宋体"/>
          <w:sz w:val="24"/>
          <w:u w:val="single"/>
        </w:rPr>
        <w:t xml:space="preserve"> </w:t>
      </w:r>
      <w:r>
        <w:rPr>
          <w:rFonts w:hint="eastAsia" w:ascii="宋体" w:hAnsi="宋体"/>
          <w:sz w:val="24"/>
          <w:u w:val="single"/>
        </w:rPr>
        <w:t xml:space="preserve"> 代表承包人负责履行合同  </w:t>
      </w:r>
      <w:r>
        <w:rPr>
          <w:rFonts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项目经理应是承包人正式聘用的员工，承包人应向发包人提交项目经理与承包人之间的劳动合同，以及承包人为项目经理缴纳社会保险的有效证明。</w:t>
      </w:r>
    </w:p>
    <w:p>
      <w:pPr>
        <w:autoSpaceDE w:val="0"/>
        <w:autoSpaceDN w:val="0"/>
        <w:spacing w:line="360" w:lineRule="auto"/>
        <w:ind w:firstLine="480" w:firstLineChars="200"/>
        <w:rPr>
          <w:rFonts w:hint="eastAsia" w:ascii="宋体" w:hAnsi="宋体"/>
          <w:sz w:val="24"/>
        </w:rPr>
      </w:pPr>
      <w:r>
        <w:rPr>
          <w:rFonts w:ascii="宋体" w:hAnsi="宋体"/>
          <w:sz w:val="24"/>
        </w:rPr>
        <w:t>3.2.2 项目经理按合同约定组织工程实施。在紧急情况下</w:t>
      </w:r>
      <w:r>
        <w:rPr>
          <w:rFonts w:hint="eastAsia" w:ascii="宋体" w:hAnsi="宋体"/>
          <w:sz w:val="24"/>
        </w:rPr>
        <w:t>为确保施工安全和人员安全</w:t>
      </w:r>
      <w:r>
        <w:rPr>
          <w:rFonts w:ascii="宋体" w:hAnsi="宋体"/>
          <w:sz w:val="24"/>
        </w:rPr>
        <w:t>，</w:t>
      </w:r>
      <w:r>
        <w:rPr>
          <w:rFonts w:hint="eastAsia" w:ascii="宋体" w:hAnsi="宋体"/>
          <w:sz w:val="24"/>
        </w:rPr>
        <w:t>在</w:t>
      </w:r>
      <w:r>
        <w:rPr>
          <w:rFonts w:ascii="宋体" w:hAnsi="宋体"/>
          <w:sz w:val="24"/>
        </w:rPr>
        <w:t>无法与发包人代表和总监理工程师</w:t>
      </w:r>
      <w:r>
        <w:rPr>
          <w:rFonts w:hint="eastAsia" w:ascii="宋体" w:hAnsi="宋体"/>
          <w:sz w:val="24"/>
        </w:rPr>
        <w:t>及时</w:t>
      </w:r>
      <w:r>
        <w:rPr>
          <w:rFonts w:ascii="宋体" w:hAnsi="宋体"/>
          <w:sz w:val="24"/>
        </w:rPr>
        <w:t>取得联系时，项目经理有权采取必要的措施保证与工程有关的人身、财产和工程的安全，但应在48小时内向发包人代表和总监理工程师提交书面报告。</w:t>
      </w:r>
    </w:p>
    <w:p>
      <w:pPr>
        <w:autoSpaceDE w:val="0"/>
        <w:autoSpaceDN w:val="0"/>
        <w:spacing w:line="360" w:lineRule="auto"/>
        <w:ind w:firstLine="480" w:firstLineChars="200"/>
        <w:rPr>
          <w:rFonts w:hint="eastAsia" w:ascii="宋体" w:hAnsi="宋体"/>
          <w:sz w:val="24"/>
        </w:rPr>
      </w:pPr>
      <w:r>
        <w:rPr>
          <w:rFonts w:ascii="宋体" w:hAnsi="宋体"/>
          <w:sz w:val="24"/>
        </w:rPr>
        <w:t>3.2.3 承包人需要更换项目经理的，应提前14天书面通知发包人和监理人，并征得发包人书面同意。</w:t>
      </w:r>
    </w:p>
    <w:p>
      <w:pPr>
        <w:autoSpaceDE w:val="0"/>
        <w:autoSpaceDN w:val="0"/>
        <w:spacing w:line="360" w:lineRule="auto"/>
        <w:ind w:firstLine="480" w:firstLineChars="200"/>
        <w:rPr>
          <w:rFonts w:hint="eastAsia" w:ascii="宋体" w:hAnsi="宋体"/>
          <w:sz w:val="24"/>
        </w:rPr>
      </w:pPr>
      <w:r>
        <w:rPr>
          <w:rFonts w:ascii="宋体" w:hAnsi="宋体"/>
          <w:sz w:val="24"/>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宋体" w:hAnsi="宋体"/>
          <w:sz w:val="24"/>
        </w:rPr>
        <w:t>继</w:t>
      </w:r>
      <w:r>
        <w:rPr>
          <w:rFonts w:ascii="宋体" w:hAnsi="宋体"/>
          <w:sz w:val="24"/>
        </w:rPr>
        <w:t>任项目经理继续履行合同约定的职责。</w:t>
      </w:r>
    </w:p>
    <w:p>
      <w:pPr>
        <w:autoSpaceDE w:val="0"/>
        <w:autoSpaceDN w:val="0"/>
        <w:spacing w:line="360" w:lineRule="auto"/>
        <w:ind w:firstLine="480" w:firstLineChars="200"/>
        <w:rPr>
          <w:rFonts w:hint="eastAsia" w:ascii="宋体" w:hAnsi="宋体"/>
          <w:sz w:val="24"/>
        </w:rPr>
      </w:pPr>
      <w:r>
        <w:rPr>
          <w:rFonts w:ascii="宋体" w:hAnsi="宋体"/>
          <w:sz w:val="24"/>
        </w:rPr>
        <w:t>3.2.5 项目经理因特殊情况授权其下属人员履行其某项工作职责的，该下属人员应具备履行相应职责的能力，并应提前7天将上述人员的姓名和授权范围书面通知监理人，并征得发包人书面同意。</w:t>
      </w:r>
    </w:p>
    <w:p>
      <w:pPr>
        <w:spacing w:line="360" w:lineRule="auto"/>
        <w:outlineLvl w:val="4"/>
        <w:rPr>
          <w:rFonts w:hint="eastAsia" w:ascii="宋体" w:hAnsi="宋体"/>
          <w:bCs/>
          <w:sz w:val="24"/>
          <w:lang w:val="zh-CN"/>
        </w:rPr>
      </w:pPr>
      <w:r>
        <w:rPr>
          <w:rFonts w:ascii="宋体" w:hAnsi="宋体"/>
          <w:bCs/>
          <w:sz w:val="24"/>
          <w:lang w:val="zh-CN"/>
        </w:rPr>
        <w:t>3.3 承包人人员</w:t>
      </w:r>
    </w:p>
    <w:p>
      <w:pPr>
        <w:autoSpaceDE w:val="0"/>
        <w:autoSpaceDN w:val="0"/>
        <w:spacing w:line="360" w:lineRule="auto"/>
        <w:ind w:firstLine="480" w:firstLineChars="200"/>
        <w:rPr>
          <w:rFonts w:hint="eastAsia" w:ascii="宋体" w:hAnsi="宋体"/>
          <w:sz w:val="24"/>
        </w:rPr>
      </w:pPr>
      <w:r>
        <w:rPr>
          <w:rFonts w:ascii="宋体" w:hAnsi="宋体"/>
          <w:sz w:val="24"/>
        </w:rPr>
        <w:t>3.3.1承包人应在接到开工通知后7天内，向监理人提交承包人项目管理机构及施工现场人员安排的报告。</w:t>
      </w:r>
    </w:p>
    <w:p>
      <w:pPr>
        <w:autoSpaceDE w:val="0"/>
        <w:autoSpaceDN w:val="0"/>
        <w:spacing w:line="360" w:lineRule="auto"/>
        <w:ind w:firstLine="480" w:firstLineChars="200"/>
        <w:rPr>
          <w:rFonts w:hint="eastAsia" w:ascii="宋体" w:hAnsi="宋体"/>
          <w:sz w:val="24"/>
        </w:rPr>
      </w:pPr>
      <w:r>
        <w:rPr>
          <w:rFonts w:ascii="宋体" w:hAnsi="宋体"/>
          <w:sz w:val="24"/>
        </w:rPr>
        <w:t>3.3.2 承包人派驻到施工现场的主要施工管理人员应相对稳定。施工过程中</w:t>
      </w:r>
      <w:r>
        <w:rPr>
          <w:rFonts w:hint="eastAsia" w:ascii="宋体" w:hAnsi="宋体"/>
          <w:sz w:val="24"/>
        </w:rPr>
        <w:t>如有变动</w:t>
      </w:r>
      <w:r>
        <w:rPr>
          <w:rFonts w:ascii="宋体" w:hAnsi="宋体"/>
          <w:sz w:val="24"/>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spacing w:line="360" w:lineRule="auto"/>
        <w:ind w:firstLine="480" w:firstLineChars="200"/>
        <w:rPr>
          <w:rFonts w:hint="eastAsia" w:ascii="宋体" w:hAnsi="宋体"/>
          <w:sz w:val="24"/>
        </w:rPr>
      </w:pPr>
      <w:r>
        <w:rPr>
          <w:rFonts w:ascii="宋体" w:hAnsi="宋体"/>
          <w:sz w:val="24"/>
        </w:rPr>
        <w:t>特殊工种作业人员均应持有相应的资格证明，监理人可以随时检查。</w:t>
      </w:r>
    </w:p>
    <w:p>
      <w:pPr>
        <w:autoSpaceDE w:val="0"/>
        <w:autoSpaceDN w:val="0"/>
        <w:spacing w:line="360" w:lineRule="auto"/>
        <w:ind w:firstLine="480" w:firstLineChars="200"/>
        <w:rPr>
          <w:rFonts w:hint="eastAsia" w:ascii="宋体" w:hAnsi="宋体"/>
          <w:sz w:val="24"/>
        </w:rPr>
      </w:pPr>
      <w:r>
        <w:rPr>
          <w:rFonts w:ascii="宋体" w:hAnsi="宋体"/>
          <w:sz w:val="24"/>
        </w:rPr>
        <w:t>3.3.3 发包人对于承包人主要施工管理人员</w:t>
      </w:r>
      <w:r>
        <w:rPr>
          <w:rFonts w:hint="eastAsia" w:ascii="宋体" w:hAnsi="宋体"/>
          <w:sz w:val="24"/>
        </w:rPr>
        <w:t>的资格或能力</w:t>
      </w:r>
      <w:r>
        <w:rPr>
          <w:rFonts w:ascii="宋体" w:hAnsi="宋体"/>
          <w:sz w:val="24"/>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约定承担违约责任。</w:t>
      </w:r>
    </w:p>
    <w:p>
      <w:pPr>
        <w:autoSpaceDE w:val="0"/>
        <w:autoSpaceDN w:val="0"/>
        <w:spacing w:line="360" w:lineRule="auto"/>
        <w:ind w:firstLine="480" w:firstLineChars="200"/>
        <w:rPr>
          <w:rFonts w:hint="eastAsia" w:ascii="宋体" w:hAnsi="宋体"/>
          <w:sz w:val="24"/>
        </w:rPr>
      </w:pPr>
      <w:r>
        <w:rPr>
          <w:rFonts w:ascii="宋体" w:hAnsi="宋体"/>
          <w:sz w:val="24"/>
        </w:rPr>
        <w:t>3.3.4 承包人的主要施工管理人员离开施工现场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spacing w:line="360" w:lineRule="auto"/>
        <w:ind w:firstLine="480" w:firstLineChars="200"/>
        <w:rPr>
          <w:rFonts w:hint="eastAsia" w:ascii="宋体" w:hAnsi="宋体"/>
          <w:sz w:val="24"/>
        </w:rPr>
      </w:pPr>
      <w:r>
        <w:rPr>
          <w:rFonts w:ascii="宋体" w:hAnsi="宋体"/>
          <w:sz w:val="24"/>
        </w:rPr>
        <w:t>3.3.5 承包人擅自更换主要施工管理人员，或前述人员未经监理人或发包人同意擅自离开施工现场的，应按照合同约定承担违约责任。</w:t>
      </w:r>
    </w:p>
    <w:p>
      <w:pPr>
        <w:spacing w:line="360" w:lineRule="auto"/>
        <w:outlineLvl w:val="4"/>
        <w:rPr>
          <w:rFonts w:hint="eastAsia" w:ascii="宋体" w:hAnsi="宋体"/>
          <w:bCs/>
          <w:sz w:val="24"/>
          <w:lang w:val="zh-CN"/>
        </w:rPr>
      </w:pPr>
      <w:r>
        <w:rPr>
          <w:rFonts w:ascii="宋体" w:hAnsi="宋体"/>
          <w:bCs/>
          <w:sz w:val="24"/>
          <w:lang w:val="zh-CN"/>
        </w:rPr>
        <w:t>3.4 承包人现场查勘</w:t>
      </w:r>
    </w:p>
    <w:p>
      <w:pPr>
        <w:autoSpaceDE w:val="0"/>
        <w:autoSpaceDN w:val="0"/>
        <w:spacing w:line="360" w:lineRule="auto"/>
        <w:ind w:firstLine="480" w:firstLineChars="200"/>
        <w:rPr>
          <w:rFonts w:hint="eastAsia" w:ascii="宋体" w:hAnsi="宋体"/>
          <w:sz w:val="24"/>
        </w:rPr>
      </w:pPr>
      <w:r>
        <w:rPr>
          <w:rFonts w:ascii="宋体" w:hAnsi="宋体"/>
          <w:sz w:val="24"/>
        </w:rPr>
        <w:t>承包人应对基于发包人提交的基础资料所做出的解释和推断负责。</w:t>
      </w:r>
    </w:p>
    <w:p>
      <w:pPr>
        <w:autoSpaceDE w:val="0"/>
        <w:autoSpaceDN w:val="0"/>
        <w:spacing w:line="360" w:lineRule="auto"/>
        <w:ind w:firstLine="480" w:firstLineChars="200"/>
        <w:rPr>
          <w:rFonts w:hint="eastAsia" w:ascii="宋体" w:hAnsi="宋体"/>
          <w:sz w:val="24"/>
        </w:rPr>
      </w:pPr>
      <w:r>
        <w:rPr>
          <w:rFonts w:ascii="宋体" w:hAnsi="宋体"/>
          <w:sz w:val="24"/>
        </w:rPr>
        <w:t>承包人应对施工现场和施工条件进行查勘，并充分了解工程所在地的气象条件、交通条件、风俗习惯以及其他与完成合同工作有关的其他</w:t>
      </w:r>
      <w:r>
        <w:rPr>
          <w:rFonts w:hint="eastAsia" w:ascii="宋体" w:hAnsi="宋体"/>
          <w:sz w:val="24"/>
        </w:rPr>
        <w:t>情况</w:t>
      </w:r>
      <w:r>
        <w:rPr>
          <w:rFonts w:ascii="宋体" w:hAnsi="宋体"/>
          <w:sz w:val="24"/>
        </w:rPr>
        <w:t>。因承包人未能充分查勘、了解前述情况或未能充分估计前述情况所可能产生后果的，承包人承担由此增加的费用和（或）延误的工期。</w:t>
      </w:r>
    </w:p>
    <w:p>
      <w:pPr>
        <w:spacing w:line="360" w:lineRule="auto"/>
        <w:outlineLvl w:val="4"/>
        <w:rPr>
          <w:rFonts w:hint="eastAsia" w:ascii="宋体" w:hAnsi="宋体"/>
          <w:b/>
          <w:bCs/>
          <w:color w:val="000000"/>
          <w:sz w:val="24"/>
          <w:lang w:val="zh-CN"/>
        </w:rPr>
      </w:pPr>
      <w:r>
        <w:rPr>
          <w:rFonts w:ascii="宋体" w:hAnsi="宋体"/>
          <w:b/>
          <w:bCs/>
          <w:color w:val="000000"/>
          <w:sz w:val="24"/>
          <w:lang w:val="zh-CN"/>
        </w:rPr>
        <w:t>3.5 转包和分包</w:t>
      </w:r>
    </w:p>
    <w:p>
      <w:pPr>
        <w:spacing w:line="360" w:lineRule="auto"/>
        <w:ind w:firstLine="482" w:firstLineChars="200"/>
        <w:rPr>
          <w:rFonts w:hint="eastAsia" w:ascii="宋体" w:hAnsi="宋体"/>
          <w:b/>
          <w:color w:val="000000"/>
          <w:sz w:val="24"/>
        </w:rPr>
      </w:pPr>
      <w:r>
        <w:rPr>
          <w:rFonts w:hint="eastAsia" w:ascii="宋体" w:hAnsi="宋体"/>
          <w:b/>
          <w:color w:val="000000"/>
          <w:sz w:val="24"/>
        </w:rPr>
        <w:t>3.5.1本工程严禁转包或违法分包。</w:t>
      </w:r>
    </w:p>
    <w:p>
      <w:pPr>
        <w:spacing w:line="360" w:lineRule="auto"/>
        <w:ind w:firstLine="482" w:firstLineChars="200"/>
        <w:rPr>
          <w:rFonts w:hint="eastAsia" w:ascii="宋体" w:hAnsi="宋体"/>
          <w:b/>
          <w:color w:val="000000"/>
          <w:sz w:val="24"/>
        </w:rPr>
      </w:pPr>
      <w:r>
        <w:rPr>
          <w:rFonts w:hint="eastAsia" w:ascii="宋体" w:hAnsi="宋体"/>
          <w:b/>
          <w:color w:val="000000"/>
          <w:sz w:val="24"/>
        </w:rPr>
        <w:t>3.5.2承包人的分包必须得到发包人的同意。工程分包不免除和减轻承包人的责任和义务。</w:t>
      </w:r>
    </w:p>
    <w:p>
      <w:pPr>
        <w:spacing w:line="360" w:lineRule="auto"/>
        <w:outlineLvl w:val="4"/>
        <w:rPr>
          <w:rFonts w:hint="eastAsia" w:ascii="宋体" w:hAnsi="宋体" w:eastAsia="仿宋"/>
          <w:bCs/>
          <w:sz w:val="24"/>
        </w:rPr>
      </w:pPr>
      <w:r>
        <w:rPr>
          <w:rFonts w:ascii="宋体" w:hAnsi="宋体"/>
          <w:bCs/>
          <w:sz w:val="24"/>
          <w:lang w:val="zh-CN"/>
        </w:rPr>
        <w:t>3.6 工程照管与成品、半成品保护</w:t>
      </w:r>
      <w:r>
        <w:rPr>
          <w:rFonts w:hint="eastAsia" w:ascii="宋体" w:hAnsi="宋体"/>
          <w:bCs/>
          <w:sz w:val="24"/>
          <w:lang w:val="zh-CN"/>
        </w:rPr>
        <w:t>：</w:t>
      </w:r>
      <w:r>
        <w:rPr>
          <w:rFonts w:hint="eastAsia" w:ascii="宋体" w:hAnsi="宋体"/>
          <w:bCs/>
          <w:sz w:val="24"/>
        </w:rPr>
        <w:t>执行通用条款。</w:t>
      </w:r>
    </w:p>
    <w:p>
      <w:pPr>
        <w:spacing w:line="360" w:lineRule="auto"/>
        <w:outlineLvl w:val="4"/>
        <w:rPr>
          <w:rFonts w:hint="eastAsia" w:ascii="宋体" w:hAnsi="宋体"/>
          <w:bCs/>
          <w:sz w:val="24"/>
          <w:lang w:val="zh-CN"/>
        </w:rPr>
      </w:pPr>
      <w:r>
        <w:rPr>
          <w:rFonts w:ascii="宋体" w:hAnsi="宋体"/>
          <w:bCs/>
          <w:sz w:val="24"/>
          <w:lang w:val="zh-CN"/>
        </w:rPr>
        <w:t>3.7 履约担保</w:t>
      </w:r>
    </w:p>
    <w:p>
      <w:pPr>
        <w:spacing w:line="360" w:lineRule="auto"/>
        <w:ind w:firstLine="480" w:firstLineChars="200"/>
        <w:rPr>
          <w:rFonts w:hint="eastAsia" w:ascii="宋体" w:hAnsi="宋体"/>
          <w:sz w:val="24"/>
        </w:rPr>
      </w:pPr>
      <w:r>
        <w:rPr>
          <w:rFonts w:hint="eastAsia" w:ascii="宋体" w:hAnsi="宋体"/>
          <w:sz w:val="24"/>
        </w:rPr>
        <w:t>合同签订生效后，并在预付款支付前，承包人向发包人提交合同含税金额5%的银行履约保函。保函有效期至工程竣工验收合格之日，银行保函应由国内大型商业银行（国有大型银行优先）出具的见索即付保函，保函应附有银行电话，并得到发包人的认可；否则发包人有权拒绝付款。因承包人原因导致工期延长的，继续提供履约担保所增加的费用由承包人承担。</w:t>
      </w:r>
      <w:r>
        <w:rPr>
          <w:rFonts w:ascii="宋体" w:hAnsi="宋体"/>
          <w:sz w:val="24"/>
        </w:rPr>
        <w:t xml:space="preserve"> </w:t>
      </w:r>
    </w:p>
    <w:p>
      <w:pPr>
        <w:spacing w:line="360" w:lineRule="auto"/>
        <w:outlineLvl w:val="4"/>
        <w:rPr>
          <w:rFonts w:hint="eastAsia" w:ascii="宋体" w:hAnsi="宋体"/>
          <w:bCs/>
          <w:sz w:val="24"/>
          <w:lang w:val="zh-CN"/>
        </w:rPr>
      </w:pPr>
      <w:r>
        <w:rPr>
          <w:rFonts w:ascii="宋体" w:hAnsi="宋体"/>
          <w:bCs/>
          <w:sz w:val="24"/>
          <w:lang w:val="zh-CN"/>
        </w:rPr>
        <w:t>3.8 联合体</w:t>
      </w:r>
      <w:r>
        <w:rPr>
          <w:rFonts w:hint="eastAsia" w:ascii="宋体" w:hAnsi="宋体"/>
          <w:bCs/>
          <w:sz w:val="24"/>
          <w:lang w:val="zh-CN"/>
        </w:rPr>
        <w:t>（无）</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监理人</w:t>
      </w:r>
    </w:p>
    <w:p>
      <w:pPr>
        <w:spacing w:line="360" w:lineRule="auto"/>
        <w:outlineLvl w:val="4"/>
        <w:rPr>
          <w:rFonts w:hint="eastAsia" w:ascii="宋体" w:hAnsi="宋体"/>
          <w:bCs/>
          <w:sz w:val="24"/>
          <w:lang w:val="zh-CN"/>
        </w:rPr>
      </w:pPr>
      <w:r>
        <w:rPr>
          <w:rFonts w:ascii="宋体" w:hAnsi="宋体"/>
          <w:bCs/>
          <w:sz w:val="24"/>
          <w:lang w:val="zh-CN"/>
        </w:rPr>
        <w:t>4.1监理人的一般规定</w:t>
      </w:r>
    </w:p>
    <w:p>
      <w:pPr>
        <w:autoSpaceDE w:val="0"/>
        <w:autoSpaceDN w:val="0"/>
        <w:spacing w:line="360" w:lineRule="auto"/>
        <w:ind w:firstLine="480" w:firstLineChars="200"/>
        <w:rPr>
          <w:rFonts w:hint="eastAsia" w:ascii="宋体" w:hAnsi="宋体"/>
          <w:sz w:val="24"/>
        </w:rPr>
      </w:pPr>
      <w:r>
        <w:rPr>
          <w:rFonts w:ascii="宋体" w:hAnsi="宋体"/>
          <w:sz w:val="24"/>
        </w:rPr>
        <w:t>监理人根据发包人授权及法律规定，代表发包人对工程施工相关事项进行检查、查验、审核、验收，并签发相关指示，但监理人无权修改合同，且无权减轻或免除合同约定的承包人的任何责任与义务。</w:t>
      </w:r>
    </w:p>
    <w:p>
      <w:pPr>
        <w:spacing w:line="360" w:lineRule="auto"/>
        <w:ind w:firstLine="480" w:firstLineChars="200"/>
        <w:rPr>
          <w:rFonts w:hint="eastAsia" w:ascii="宋体" w:hAnsi="宋体"/>
          <w:sz w:val="24"/>
          <w:u w:val="single"/>
        </w:rPr>
      </w:pPr>
      <w:r>
        <w:rPr>
          <w:rFonts w:hint="eastAsia" w:ascii="宋体" w:hAnsi="宋体"/>
          <w:sz w:val="24"/>
          <w:u w:val="single"/>
        </w:rPr>
        <w:t>监理人在施工现场的办公场所由承包人提供</w:t>
      </w:r>
      <w:r>
        <w:rPr>
          <w:rFonts w:ascii="宋体" w:hAnsi="宋体"/>
          <w:sz w:val="24"/>
        </w:rPr>
        <w:t>。</w:t>
      </w:r>
    </w:p>
    <w:p>
      <w:pPr>
        <w:spacing w:line="360" w:lineRule="auto"/>
        <w:outlineLvl w:val="4"/>
        <w:rPr>
          <w:rFonts w:hint="eastAsia" w:ascii="宋体" w:hAnsi="宋体"/>
          <w:bCs/>
          <w:sz w:val="24"/>
          <w:lang w:val="zh-CN"/>
        </w:rPr>
      </w:pPr>
      <w:r>
        <w:rPr>
          <w:rFonts w:ascii="宋体" w:hAnsi="宋体"/>
          <w:bCs/>
          <w:sz w:val="24"/>
          <w:lang w:val="zh-CN"/>
        </w:rPr>
        <w:t>4.2 监理人员</w:t>
      </w:r>
    </w:p>
    <w:p>
      <w:pPr>
        <w:spacing w:line="360" w:lineRule="auto"/>
        <w:ind w:firstLine="480" w:firstLineChars="200"/>
        <w:rPr>
          <w:rFonts w:hint="eastAsia" w:ascii="宋体" w:hAnsi="宋体"/>
          <w:sz w:val="24"/>
        </w:rPr>
      </w:pPr>
      <w:r>
        <w:rPr>
          <w:rFonts w:ascii="宋体" w:hAnsi="宋体"/>
          <w:sz w:val="24"/>
        </w:rPr>
        <w:t>总监理工程师：</w:t>
      </w:r>
    </w:p>
    <w:p>
      <w:pPr>
        <w:spacing w:line="360" w:lineRule="auto"/>
        <w:ind w:firstLine="480" w:firstLineChars="200"/>
        <w:rPr>
          <w:rFonts w:hint="eastAsia" w:ascii="宋体" w:hAnsi="宋体"/>
          <w:sz w:val="24"/>
        </w:rPr>
      </w:pPr>
      <w:r>
        <w:rPr>
          <w:rFonts w:ascii="宋体" w:hAnsi="宋体"/>
          <w:sz w:val="24"/>
        </w:rPr>
        <w:t>姓    名：</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职    务：</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监理工程师执业资格证书号：</w:t>
      </w:r>
      <w:r>
        <w:rPr>
          <w:rFonts w:hint="eastAsia" w:ascii="宋体" w:hAnsi="宋体"/>
          <w:sz w:val="24"/>
          <w:u w:val="single"/>
        </w:rPr>
        <w:t xml:space="preserve">         ；</w:t>
      </w:r>
    </w:p>
    <w:p>
      <w:pPr>
        <w:spacing w:line="360" w:lineRule="auto"/>
        <w:ind w:firstLine="480" w:firstLineChars="200"/>
        <w:rPr>
          <w:rFonts w:hint="eastAsia" w:ascii="宋体" w:hAnsi="宋体"/>
          <w:sz w:val="24"/>
        </w:rPr>
      </w:pPr>
      <w:r>
        <w:rPr>
          <w:rFonts w:ascii="宋体" w:hAnsi="宋体"/>
          <w:sz w:val="24"/>
        </w:rPr>
        <w:t>联系电话：</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电子信箱：</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通信地址：</w:t>
      </w:r>
      <w:r>
        <w:rPr>
          <w:rFonts w:ascii="宋体" w:hAnsi="宋体"/>
          <w:sz w:val="24"/>
          <w:u w:val="single"/>
        </w:rPr>
        <w:t xml:space="preserve"> </w:t>
      </w:r>
      <w:r>
        <w:rPr>
          <w:rFonts w:hint="eastAsia"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关于监理人的其他约定：</w:t>
      </w:r>
      <w:r>
        <w:rPr>
          <w:rFonts w:ascii="宋体" w:hAnsi="宋体"/>
          <w:sz w:val="24"/>
          <w:u w:val="single"/>
        </w:rPr>
        <w:t xml:space="preserve">    无     </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spacing w:line="360" w:lineRule="auto"/>
        <w:outlineLvl w:val="4"/>
        <w:rPr>
          <w:rFonts w:hint="eastAsia" w:ascii="宋体" w:hAnsi="宋体"/>
          <w:sz w:val="24"/>
        </w:rPr>
      </w:pPr>
      <w:r>
        <w:rPr>
          <w:rFonts w:ascii="宋体" w:hAnsi="宋体"/>
          <w:bCs/>
          <w:sz w:val="24"/>
          <w:lang w:val="zh-CN"/>
        </w:rPr>
        <w:t>4.3监理人的指示</w:t>
      </w:r>
      <w:r>
        <w:rPr>
          <w:rFonts w:hint="eastAsia" w:ascii="宋体" w:hAnsi="宋体"/>
          <w:bCs/>
          <w:sz w:val="24"/>
          <w:lang w:val="zh-CN"/>
        </w:rPr>
        <w:t>：</w:t>
      </w:r>
      <w:r>
        <w:rPr>
          <w:rFonts w:hint="eastAsia" w:ascii="宋体" w:hAnsi="宋体"/>
          <w:bCs/>
          <w:sz w:val="24"/>
        </w:rPr>
        <w:t>执行通用条款。</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工程质量</w:t>
      </w:r>
    </w:p>
    <w:p>
      <w:pPr>
        <w:spacing w:line="360" w:lineRule="auto"/>
        <w:outlineLvl w:val="4"/>
        <w:rPr>
          <w:rFonts w:hint="eastAsia" w:ascii="宋体" w:hAnsi="宋体"/>
          <w:bCs/>
          <w:sz w:val="24"/>
          <w:lang w:val="zh-CN"/>
        </w:rPr>
      </w:pPr>
      <w:r>
        <w:rPr>
          <w:rFonts w:ascii="宋体" w:hAnsi="宋体"/>
          <w:bCs/>
          <w:sz w:val="24"/>
          <w:lang w:val="zh-CN"/>
        </w:rPr>
        <w:t>5.1质量要求</w:t>
      </w:r>
    </w:p>
    <w:p>
      <w:pPr>
        <w:autoSpaceDE w:val="0"/>
        <w:autoSpaceDN w:val="0"/>
        <w:spacing w:line="360" w:lineRule="auto"/>
        <w:ind w:firstLine="480" w:firstLineChars="200"/>
        <w:rPr>
          <w:rFonts w:hint="eastAsia" w:ascii="宋体" w:hAnsi="宋体"/>
          <w:sz w:val="24"/>
        </w:rPr>
      </w:pPr>
      <w:r>
        <w:rPr>
          <w:rFonts w:ascii="宋体" w:hAnsi="宋体"/>
          <w:sz w:val="24"/>
        </w:rPr>
        <w:t>5.1.1 工程质量按照合同协议书</w:t>
      </w:r>
      <w:r>
        <w:rPr>
          <w:rFonts w:hint="eastAsia" w:ascii="宋体" w:hAnsi="宋体"/>
          <w:sz w:val="24"/>
        </w:rPr>
        <w:t>约定</w:t>
      </w:r>
      <w:r>
        <w:rPr>
          <w:rFonts w:ascii="宋体" w:hAnsi="宋体"/>
          <w:sz w:val="24"/>
        </w:rPr>
        <w:t>执行</w:t>
      </w:r>
      <w:r>
        <w:rPr>
          <w:rFonts w:hint="eastAsia" w:ascii="宋体" w:hAnsi="宋体"/>
          <w:sz w:val="24"/>
        </w:rPr>
        <w:t>。</w:t>
      </w:r>
    </w:p>
    <w:p>
      <w:pPr>
        <w:autoSpaceDE w:val="0"/>
        <w:autoSpaceDN w:val="0"/>
        <w:spacing w:line="360" w:lineRule="auto"/>
        <w:ind w:firstLine="480" w:firstLineChars="200"/>
        <w:rPr>
          <w:rFonts w:hint="eastAsia" w:ascii="宋体" w:hAnsi="宋体"/>
          <w:color w:val="FF0000"/>
          <w:sz w:val="24"/>
        </w:rPr>
      </w:pPr>
      <w:r>
        <w:rPr>
          <w:rFonts w:ascii="宋体" w:hAnsi="宋体"/>
          <w:sz w:val="24"/>
        </w:rPr>
        <w:t>5.1.</w:t>
      </w:r>
      <w:r>
        <w:rPr>
          <w:rFonts w:hint="eastAsia" w:ascii="宋体" w:hAnsi="宋体"/>
          <w:sz w:val="24"/>
        </w:rPr>
        <w:t>2</w:t>
      </w:r>
      <w:r>
        <w:rPr>
          <w:rFonts w:ascii="宋体" w:hAnsi="宋体"/>
          <w:sz w:val="24"/>
        </w:rPr>
        <w:t xml:space="preserve"> 因承包人原因造成工程质量未达到合同约定标准的，发包人有权要求承包人返工直至工程质量达到合同约定的标准为止，并由承包人承担</w:t>
      </w:r>
      <w:r>
        <w:rPr>
          <w:rFonts w:hint="eastAsia" w:ascii="宋体" w:hAnsi="宋体"/>
          <w:sz w:val="24"/>
        </w:rPr>
        <w:t>全部返工</w:t>
      </w:r>
      <w:r>
        <w:rPr>
          <w:rFonts w:ascii="宋体" w:hAnsi="宋体"/>
          <w:sz w:val="24"/>
        </w:rPr>
        <w:t>的费用和（或）延误的工期</w:t>
      </w:r>
      <w:r>
        <w:rPr>
          <w:rFonts w:hint="eastAsia" w:ascii="宋体" w:hAnsi="宋体"/>
          <w:sz w:val="24"/>
        </w:rPr>
        <w:t>，同时承担违约责任</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hint="eastAsia" w:ascii="宋体" w:hAnsi="宋体"/>
          <w:sz w:val="24"/>
        </w:rPr>
        <w:t>5.1.3因发包人原因造成工程质量未达到合同约定标准的，由发包人承担由此延误的工期。</w:t>
      </w:r>
    </w:p>
    <w:p>
      <w:pPr>
        <w:pStyle w:val="2"/>
        <w:ind w:firstLine="480"/>
        <w:rPr>
          <w:rFonts w:hint="eastAsia" w:ascii="宋体" w:hAnsi="宋体"/>
          <w:sz w:val="24"/>
          <w:szCs w:val="24"/>
        </w:rPr>
      </w:pPr>
    </w:p>
    <w:p>
      <w:pPr>
        <w:spacing w:line="360" w:lineRule="auto"/>
        <w:outlineLvl w:val="4"/>
        <w:rPr>
          <w:rFonts w:hint="eastAsia" w:ascii="宋体" w:hAnsi="宋体"/>
          <w:bCs/>
          <w:sz w:val="24"/>
          <w:lang w:val="zh-CN"/>
        </w:rPr>
      </w:pPr>
      <w:r>
        <w:rPr>
          <w:rFonts w:ascii="宋体" w:hAnsi="宋体"/>
          <w:bCs/>
          <w:sz w:val="24"/>
          <w:lang w:val="zh-CN"/>
        </w:rPr>
        <w:t>5.2质量保证措施</w:t>
      </w:r>
    </w:p>
    <w:p>
      <w:pPr>
        <w:autoSpaceDE w:val="0"/>
        <w:autoSpaceDN w:val="0"/>
        <w:spacing w:line="360" w:lineRule="auto"/>
        <w:ind w:firstLine="480" w:firstLineChars="200"/>
        <w:rPr>
          <w:rFonts w:hint="eastAsia" w:ascii="宋体" w:hAnsi="宋体"/>
          <w:sz w:val="24"/>
        </w:rPr>
      </w:pPr>
      <w:r>
        <w:rPr>
          <w:rFonts w:hint="eastAsia" w:ascii="宋体" w:hAnsi="宋体"/>
          <w:sz w:val="24"/>
        </w:rPr>
        <w:t>5.2.1 发包人的质量管理</w:t>
      </w:r>
    </w:p>
    <w:p>
      <w:pPr>
        <w:autoSpaceDE w:val="0"/>
        <w:autoSpaceDN w:val="0"/>
        <w:spacing w:line="360" w:lineRule="auto"/>
        <w:ind w:firstLine="480" w:firstLineChars="200"/>
        <w:rPr>
          <w:rFonts w:hint="eastAsia" w:ascii="宋体" w:hAnsi="宋体"/>
          <w:sz w:val="24"/>
        </w:rPr>
      </w:pPr>
      <w:r>
        <w:rPr>
          <w:rFonts w:hint="eastAsia" w:ascii="宋体" w:hAnsi="宋体"/>
          <w:sz w:val="24"/>
        </w:rPr>
        <w:t>发包人应按照法律规定及合同约定完成与工程质量有关的各项工作。</w:t>
      </w:r>
    </w:p>
    <w:p>
      <w:pPr>
        <w:autoSpaceDE w:val="0"/>
        <w:autoSpaceDN w:val="0"/>
        <w:spacing w:line="360" w:lineRule="auto"/>
        <w:ind w:firstLine="480" w:firstLineChars="200"/>
        <w:rPr>
          <w:rFonts w:hint="eastAsia" w:ascii="宋体" w:hAnsi="宋体"/>
          <w:sz w:val="24"/>
        </w:rPr>
      </w:pPr>
      <w:r>
        <w:rPr>
          <w:rFonts w:ascii="宋体" w:hAnsi="宋体"/>
          <w:sz w:val="24"/>
        </w:rPr>
        <w:t>5.2.</w:t>
      </w:r>
      <w:r>
        <w:rPr>
          <w:rFonts w:hint="eastAsia" w:ascii="宋体" w:hAnsi="宋体"/>
          <w:sz w:val="24"/>
        </w:rPr>
        <w:t>2</w:t>
      </w:r>
      <w:r>
        <w:rPr>
          <w:rFonts w:ascii="宋体" w:hAnsi="宋体"/>
          <w:sz w:val="24"/>
        </w:rPr>
        <w:t xml:space="preserve"> 承包人的质量管理</w:t>
      </w:r>
    </w:p>
    <w:p>
      <w:pPr>
        <w:autoSpaceDE w:val="0"/>
        <w:autoSpaceDN w:val="0"/>
        <w:spacing w:line="360" w:lineRule="auto"/>
        <w:ind w:firstLine="480" w:firstLineChars="200"/>
        <w:rPr>
          <w:rFonts w:hint="eastAsia" w:ascii="宋体" w:hAnsi="宋体"/>
          <w:sz w:val="24"/>
        </w:rPr>
      </w:pPr>
      <w:r>
        <w:rPr>
          <w:rFonts w:ascii="宋体" w:hAnsi="宋体"/>
          <w:sz w:val="24"/>
        </w:rPr>
        <w:t>承包人</w:t>
      </w:r>
      <w:r>
        <w:rPr>
          <w:rFonts w:hint="eastAsia" w:ascii="宋体" w:hAnsi="宋体"/>
          <w:sz w:val="24"/>
        </w:rPr>
        <w:t>应</w:t>
      </w:r>
      <w:r>
        <w:rPr>
          <w:rFonts w:ascii="宋体" w:hAnsi="宋体"/>
          <w:sz w:val="24"/>
        </w:rPr>
        <w:t>按照约定</w:t>
      </w:r>
      <w:r>
        <w:rPr>
          <w:rFonts w:hint="eastAsia" w:ascii="宋体" w:hAnsi="宋体"/>
          <w:sz w:val="24"/>
        </w:rPr>
        <w:t>要求</w:t>
      </w:r>
      <w:r>
        <w:rPr>
          <w:rFonts w:ascii="宋体" w:hAnsi="宋体"/>
          <w:sz w:val="24"/>
        </w:rPr>
        <w:t>向发包人和监理人提交工程质量保证体系及措施文件，建立完善的质量检查制度，并提交相应的工程质量文件。</w:t>
      </w:r>
    </w:p>
    <w:p>
      <w:pPr>
        <w:autoSpaceDE w:val="0"/>
        <w:autoSpaceDN w:val="0"/>
        <w:spacing w:line="360" w:lineRule="auto"/>
        <w:ind w:firstLine="480" w:firstLineChars="200"/>
        <w:rPr>
          <w:rFonts w:hint="eastAsia" w:ascii="宋体" w:hAnsi="宋体"/>
          <w:sz w:val="24"/>
        </w:rPr>
      </w:pPr>
      <w:r>
        <w:rPr>
          <w:rFonts w:hint="eastAsia" w:ascii="宋体" w:hAnsi="宋体"/>
          <w:sz w:val="24"/>
        </w:rPr>
        <w:t>承包人应严格执行施工规范和操作规程，应对施工人员进行质量教育和技术培训，定期考核施工人员的劳动技能。</w:t>
      </w:r>
    </w:p>
    <w:p>
      <w:pPr>
        <w:autoSpaceDE w:val="0"/>
        <w:autoSpaceDN w:val="0"/>
        <w:spacing w:line="360" w:lineRule="auto"/>
        <w:ind w:firstLine="480" w:firstLineChars="200"/>
        <w:rPr>
          <w:rFonts w:hint="eastAsia" w:ascii="宋体" w:hAnsi="宋体"/>
          <w:sz w:val="24"/>
        </w:rPr>
      </w:pPr>
      <w:r>
        <w:rPr>
          <w:rFonts w:ascii="宋体" w:hAnsi="宋体"/>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w:t>
      </w:r>
      <w:r>
        <w:rPr>
          <w:rFonts w:hint="eastAsia" w:ascii="宋体" w:hAnsi="宋体"/>
          <w:sz w:val="24"/>
        </w:rPr>
        <w:t>、</w:t>
      </w:r>
      <w:r>
        <w:rPr>
          <w:rFonts w:ascii="宋体" w:hAnsi="宋体"/>
          <w:sz w:val="24"/>
        </w:rPr>
        <w:t>设备性能检测</w:t>
      </w:r>
      <w:r>
        <w:rPr>
          <w:rFonts w:hint="eastAsia" w:ascii="宋体" w:hAnsi="宋体"/>
          <w:sz w:val="24"/>
        </w:rPr>
        <w:t>和试验</w:t>
      </w:r>
      <w:r>
        <w:rPr>
          <w:rFonts w:ascii="宋体" w:hAnsi="宋体"/>
          <w:sz w:val="24"/>
        </w:rPr>
        <w:t>，提供试验样品、提交试验报告和测量成果以及其他工作。</w:t>
      </w:r>
    </w:p>
    <w:p>
      <w:pPr>
        <w:autoSpaceDE w:val="0"/>
        <w:autoSpaceDN w:val="0"/>
        <w:spacing w:line="360" w:lineRule="auto"/>
        <w:ind w:firstLine="480" w:firstLineChars="200"/>
        <w:rPr>
          <w:rFonts w:hint="eastAsia" w:ascii="宋体" w:hAnsi="宋体"/>
          <w:sz w:val="24"/>
        </w:rPr>
      </w:pPr>
      <w:r>
        <w:rPr>
          <w:rFonts w:ascii="宋体" w:hAnsi="宋体"/>
          <w:sz w:val="24"/>
        </w:rPr>
        <w:t>5.2.</w:t>
      </w:r>
      <w:r>
        <w:rPr>
          <w:rFonts w:hint="eastAsia" w:ascii="宋体" w:hAnsi="宋体"/>
          <w:sz w:val="24"/>
        </w:rPr>
        <w:t>3</w:t>
      </w:r>
      <w:r>
        <w:rPr>
          <w:rFonts w:ascii="宋体" w:hAnsi="宋体"/>
          <w:sz w:val="24"/>
        </w:rPr>
        <w:t xml:space="preserve"> 监理人的质量检查和检验</w:t>
      </w:r>
    </w:p>
    <w:p>
      <w:pPr>
        <w:autoSpaceDE w:val="0"/>
        <w:autoSpaceDN w:val="0"/>
        <w:spacing w:line="360" w:lineRule="auto"/>
        <w:ind w:firstLine="480" w:firstLineChars="200"/>
        <w:rPr>
          <w:rFonts w:hint="eastAsia" w:ascii="宋体" w:hAnsi="宋体"/>
          <w:sz w:val="24"/>
        </w:rPr>
      </w:pPr>
      <w:r>
        <w:rPr>
          <w:rFonts w:ascii="宋体" w:hAnsi="宋体"/>
          <w:sz w:val="24"/>
        </w:rPr>
        <w:t>监理人按照法律规定和</w:t>
      </w:r>
      <w:r>
        <w:rPr>
          <w:rFonts w:hint="eastAsia" w:ascii="宋体" w:hAnsi="宋体"/>
          <w:sz w:val="24"/>
        </w:rPr>
        <w:t>合同约定</w:t>
      </w:r>
      <w:r>
        <w:rPr>
          <w:rFonts w:ascii="宋体" w:hAnsi="宋体"/>
          <w:sz w:val="24"/>
        </w:rPr>
        <w:t>对工程的所有部位及其施工工艺、材料和工程设备进行检查和检验。承包人应为监理人的检查和检验提供方便，包括监理人到施工现场，或制造、加工地点，或其他地方进行察看和查阅施工原始记录</w:t>
      </w:r>
      <w:r>
        <w:rPr>
          <w:rFonts w:hint="eastAsia" w:ascii="宋体" w:hAnsi="宋体"/>
          <w:sz w:val="24"/>
        </w:rPr>
        <w:t>。检查检验不合格的，承包人按</w:t>
      </w:r>
      <w:r>
        <w:rPr>
          <w:rFonts w:ascii="宋体" w:hAnsi="宋体"/>
          <w:sz w:val="24"/>
        </w:rPr>
        <w:t>监理人的要求返工</w:t>
      </w:r>
      <w:r>
        <w:rPr>
          <w:rFonts w:hint="eastAsia" w:ascii="宋体" w:hAnsi="宋体"/>
          <w:sz w:val="24"/>
        </w:rPr>
        <w:t>、</w:t>
      </w:r>
      <w:r>
        <w:rPr>
          <w:rFonts w:ascii="宋体" w:hAnsi="宋体"/>
          <w:sz w:val="24"/>
        </w:rPr>
        <w:t>修改</w:t>
      </w:r>
      <w:r>
        <w:rPr>
          <w:rFonts w:hint="eastAsia" w:ascii="宋体" w:hAnsi="宋体"/>
          <w:sz w:val="24"/>
        </w:rPr>
        <w:t>，并承担相应费用，工期不予顺延。</w:t>
      </w:r>
      <w:r>
        <w:rPr>
          <w:rFonts w:ascii="宋体" w:hAnsi="宋体"/>
          <w:sz w:val="24"/>
        </w:rPr>
        <w:t>监理人进行的检查和检验，不免除或减轻承包人的责任。</w:t>
      </w:r>
    </w:p>
    <w:p>
      <w:pPr>
        <w:autoSpaceDE w:val="0"/>
        <w:autoSpaceDN w:val="0"/>
        <w:spacing w:line="360" w:lineRule="auto"/>
        <w:ind w:firstLine="480" w:firstLineChars="200"/>
        <w:rPr>
          <w:rFonts w:hint="eastAsia" w:ascii="宋体" w:hAnsi="宋体"/>
          <w:sz w:val="24"/>
        </w:rPr>
      </w:pPr>
      <w:r>
        <w:rPr>
          <w:rFonts w:ascii="宋体" w:hAnsi="宋体"/>
          <w:sz w:val="24"/>
        </w:rPr>
        <w:t>监理人的检查和检验不应影响施工正常进行。监理人的检查和检验影响施工正常进行的，</w:t>
      </w:r>
      <w:r>
        <w:rPr>
          <w:rFonts w:hint="eastAsia" w:ascii="宋体" w:hAnsi="宋体"/>
          <w:sz w:val="24"/>
        </w:rPr>
        <w:t>但</w:t>
      </w:r>
      <w:r>
        <w:rPr>
          <w:rFonts w:ascii="宋体" w:hAnsi="宋体"/>
          <w:sz w:val="24"/>
        </w:rPr>
        <w:t>经检查检验不合格的，影响正常施工的费用由承包人承担，工期不予顺延；经检查检验合格的，由此增加的费用和（或）延误的工期由发包人承担。</w:t>
      </w:r>
    </w:p>
    <w:p>
      <w:pPr>
        <w:spacing w:line="360" w:lineRule="auto"/>
        <w:outlineLvl w:val="4"/>
        <w:rPr>
          <w:rFonts w:hint="eastAsia" w:ascii="宋体" w:hAnsi="宋体"/>
          <w:bCs/>
          <w:sz w:val="24"/>
          <w:lang w:val="zh-CN"/>
        </w:rPr>
      </w:pPr>
      <w:r>
        <w:rPr>
          <w:rFonts w:ascii="宋体" w:hAnsi="宋体"/>
          <w:bCs/>
          <w:sz w:val="24"/>
          <w:lang w:val="zh-CN"/>
        </w:rPr>
        <w:t>5.3 隐蔽工程和中间检查</w:t>
      </w:r>
      <w:r>
        <w:rPr>
          <w:rFonts w:hint="eastAsia" w:ascii="宋体" w:hAnsi="宋体"/>
          <w:bCs/>
          <w:sz w:val="24"/>
          <w:lang w:val="zh-CN"/>
        </w:rPr>
        <w:t>、验收</w:t>
      </w:r>
    </w:p>
    <w:p>
      <w:pPr>
        <w:spacing w:line="360" w:lineRule="auto"/>
        <w:ind w:firstLine="480" w:firstLineChars="200"/>
        <w:rPr>
          <w:rFonts w:hint="eastAsia" w:ascii="宋体" w:hAnsi="宋体"/>
          <w:sz w:val="24"/>
        </w:rPr>
      </w:pPr>
      <w:r>
        <w:rPr>
          <w:rFonts w:ascii="宋体" w:hAnsi="宋体"/>
          <w:sz w:val="24"/>
        </w:rPr>
        <w:t>5.3.1承包人自检</w:t>
      </w:r>
    </w:p>
    <w:p>
      <w:pPr>
        <w:spacing w:line="360" w:lineRule="auto"/>
        <w:ind w:firstLine="480" w:firstLineChars="200"/>
        <w:rPr>
          <w:rFonts w:hint="eastAsia" w:ascii="宋体" w:hAnsi="宋体"/>
          <w:sz w:val="24"/>
        </w:rPr>
      </w:pPr>
      <w:r>
        <w:rPr>
          <w:rFonts w:ascii="宋体" w:hAnsi="宋体"/>
          <w:sz w:val="24"/>
        </w:rPr>
        <w:t>承包人应当对工程隐蔽部位及中间验收部位进行自检，并经自检确认是否具备覆盖和验收条件。</w:t>
      </w:r>
    </w:p>
    <w:p>
      <w:pPr>
        <w:spacing w:line="360" w:lineRule="auto"/>
        <w:ind w:firstLine="480" w:firstLineChars="200"/>
        <w:rPr>
          <w:rFonts w:hint="eastAsia" w:ascii="宋体" w:hAnsi="宋体"/>
          <w:sz w:val="24"/>
        </w:rPr>
      </w:pPr>
      <w:r>
        <w:rPr>
          <w:rFonts w:ascii="宋体" w:hAnsi="宋体"/>
          <w:sz w:val="24"/>
        </w:rPr>
        <w:t>5.3.2检查</w:t>
      </w:r>
      <w:r>
        <w:rPr>
          <w:rFonts w:hint="eastAsia" w:ascii="宋体" w:hAnsi="宋体"/>
          <w:sz w:val="24"/>
        </w:rPr>
        <w:t>、验收</w:t>
      </w:r>
      <w:r>
        <w:rPr>
          <w:rFonts w:ascii="宋体" w:hAnsi="宋体"/>
          <w:sz w:val="24"/>
        </w:rPr>
        <w:t>程序</w:t>
      </w:r>
    </w:p>
    <w:p>
      <w:pPr>
        <w:spacing w:line="360" w:lineRule="auto"/>
        <w:ind w:firstLine="480" w:firstLineChars="200"/>
        <w:rPr>
          <w:rFonts w:hint="eastAsia" w:ascii="宋体" w:hAnsi="宋体"/>
          <w:sz w:val="24"/>
        </w:rPr>
      </w:pPr>
      <w:r>
        <w:rPr>
          <w:rFonts w:ascii="宋体" w:hAnsi="宋体"/>
          <w:sz w:val="24"/>
        </w:rPr>
        <w:t>工程隐蔽部位和中间验收部位经承包人自检确认具备覆盖条件和验收条件的，承包人应在</w:t>
      </w:r>
      <w:r>
        <w:rPr>
          <w:rFonts w:hint="eastAsia" w:ascii="宋体" w:hAnsi="宋体"/>
          <w:sz w:val="24"/>
        </w:rPr>
        <w:t>共同</w:t>
      </w:r>
      <w:r>
        <w:rPr>
          <w:rFonts w:ascii="宋体" w:hAnsi="宋体"/>
          <w:sz w:val="24"/>
        </w:rPr>
        <w:t>检查前48小时书面通知监理人检查</w:t>
      </w:r>
      <w:r>
        <w:rPr>
          <w:rFonts w:hint="eastAsia" w:ascii="宋体" w:hAnsi="宋体"/>
          <w:sz w:val="24"/>
        </w:rPr>
        <w:t>、验收。通知中应载明隐蔽部位检查和中间验收的内容、时间和地点，并应附有自检记录和必要的检查资料。</w:t>
      </w:r>
    </w:p>
    <w:p>
      <w:pPr>
        <w:spacing w:line="360" w:lineRule="auto"/>
        <w:ind w:firstLine="480" w:firstLineChars="200"/>
        <w:rPr>
          <w:rFonts w:hint="eastAsia" w:ascii="宋体" w:hAnsi="宋体"/>
          <w:sz w:val="24"/>
        </w:rPr>
      </w:pPr>
      <w:r>
        <w:rPr>
          <w:rFonts w:ascii="宋体" w:hAnsi="宋体"/>
          <w:sz w:val="24"/>
        </w:rPr>
        <w:t>监理人应按时到场并对隐蔽工程和中间验收部位及其施工工艺、材料和工程设备进行检查。经监理人检查确认质量符合要求，并在验收记录上签字后，承包人才能进行覆盖和下一道工序的施工。经监理人检查质量不合格的，承包人应在监理人指示的时间内完成修复，并由监理人重新检查，由此增加的费用和（或）延误的工期由承包人承担。</w:t>
      </w:r>
    </w:p>
    <w:p>
      <w:pPr>
        <w:spacing w:line="360" w:lineRule="auto"/>
        <w:ind w:firstLine="480" w:firstLineChars="200"/>
        <w:rPr>
          <w:rFonts w:hint="eastAsia" w:ascii="宋体" w:hAnsi="宋体"/>
          <w:sz w:val="24"/>
        </w:rPr>
      </w:pPr>
      <w:r>
        <w:rPr>
          <w:rFonts w:ascii="宋体" w:hAnsi="宋体"/>
          <w:sz w:val="24"/>
        </w:rPr>
        <w:t>监理人不能按时进行检查的，应在检查前24小时向承包人提交书面延期要求，但延期不能超过48小时，由此导致工期延误的，工期应予以顺延。监理人未按时进行检查，也未提出延期要求的，视为检查合格，承包人可自行完成覆盖工作和下一道工序的施工，并作相应记录报送监理人，监理人应签字确认。监理人事后对检查记录有疑问的，可重新检查。</w:t>
      </w:r>
    </w:p>
    <w:p>
      <w:pPr>
        <w:spacing w:line="360" w:lineRule="auto"/>
        <w:ind w:firstLine="480" w:firstLineChars="200"/>
        <w:rPr>
          <w:rFonts w:hint="eastAsia" w:ascii="宋体" w:hAnsi="宋体"/>
          <w:sz w:val="24"/>
        </w:rPr>
      </w:pPr>
      <w:r>
        <w:rPr>
          <w:rFonts w:ascii="宋体" w:hAnsi="宋体"/>
          <w:sz w:val="24"/>
        </w:rPr>
        <w:t>5.3.3 重新检查</w:t>
      </w:r>
    </w:p>
    <w:p>
      <w:pPr>
        <w:spacing w:line="360" w:lineRule="auto"/>
        <w:ind w:firstLine="480" w:firstLineChars="200"/>
        <w:rPr>
          <w:rFonts w:hint="eastAsia" w:ascii="宋体" w:hAnsi="宋体"/>
          <w:sz w:val="24"/>
        </w:rPr>
      </w:pPr>
      <w:r>
        <w:rPr>
          <w:rFonts w:ascii="宋体" w:hAnsi="宋体"/>
          <w:sz w:val="24"/>
        </w:rPr>
        <w:t>承包人覆盖工程隐蔽部位后，发包人或监理人对质量有疑问的，可要求承包人对已覆盖的部位进行钻孔探测或揭开重新检查，承包人应遵照执行，并在检查后重新覆盖或修复。经检查证明工程质量</w:t>
      </w:r>
      <w:r>
        <w:rPr>
          <w:rFonts w:hint="eastAsia" w:ascii="宋体" w:hAnsi="宋体"/>
          <w:sz w:val="24"/>
        </w:rPr>
        <w:t>合格</w:t>
      </w:r>
      <w:r>
        <w:rPr>
          <w:rFonts w:ascii="宋体" w:hAnsi="宋体"/>
          <w:sz w:val="24"/>
        </w:rPr>
        <w:t>的，由发包人承担由此增加的费用和（或）延误的工期；经检查证明工程质量不</w:t>
      </w:r>
      <w:r>
        <w:rPr>
          <w:rFonts w:hint="eastAsia" w:ascii="宋体" w:hAnsi="宋体"/>
          <w:sz w:val="24"/>
        </w:rPr>
        <w:t>合格</w:t>
      </w:r>
      <w:r>
        <w:rPr>
          <w:rFonts w:ascii="宋体" w:hAnsi="宋体"/>
          <w:sz w:val="24"/>
        </w:rPr>
        <w:t>的，由此增加的费用和（或）延误的工期由承包人承担。</w:t>
      </w:r>
    </w:p>
    <w:p>
      <w:pPr>
        <w:pStyle w:val="2"/>
        <w:ind w:firstLine="480"/>
        <w:rPr>
          <w:rFonts w:hint="eastAsia" w:ascii="宋体" w:hAnsi="宋体" w:eastAsia="仿宋"/>
          <w:sz w:val="24"/>
        </w:rPr>
      </w:pPr>
      <w:r>
        <w:rPr>
          <w:rFonts w:ascii="宋体" w:hAnsi="宋体" w:eastAsia="仿宋"/>
          <w:sz w:val="24"/>
        </w:rPr>
        <w:t>5.3.4承包人私自覆盖：执行通用条款。</w:t>
      </w:r>
    </w:p>
    <w:p>
      <w:pPr>
        <w:pStyle w:val="2"/>
      </w:pPr>
    </w:p>
    <w:p>
      <w:pPr>
        <w:spacing w:line="360" w:lineRule="auto"/>
        <w:outlineLvl w:val="4"/>
        <w:rPr>
          <w:rFonts w:hint="eastAsia" w:ascii="宋体" w:hAnsi="宋体"/>
          <w:bCs/>
          <w:sz w:val="24"/>
          <w:lang w:val="zh-CN"/>
        </w:rPr>
      </w:pPr>
      <w:r>
        <w:rPr>
          <w:rFonts w:ascii="宋体" w:hAnsi="宋体"/>
          <w:bCs/>
          <w:sz w:val="24"/>
          <w:lang w:val="zh-CN"/>
        </w:rPr>
        <w:t>5.4</w:t>
      </w:r>
      <w:r>
        <w:rPr>
          <w:rFonts w:hint="eastAsia" w:ascii="宋体" w:hAnsi="宋体"/>
          <w:bCs/>
          <w:sz w:val="24"/>
          <w:lang w:val="zh-CN"/>
        </w:rPr>
        <w:t xml:space="preserve"> </w:t>
      </w:r>
      <w:r>
        <w:rPr>
          <w:rFonts w:ascii="宋体" w:hAnsi="宋体"/>
          <w:bCs/>
          <w:sz w:val="24"/>
          <w:lang w:val="zh-CN"/>
        </w:rPr>
        <w:t>不合格工程的处理</w:t>
      </w:r>
    </w:p>
    <w:p>
      <w:pPr>
        <w:spacing w:line="360" w:lineRule="auto"/>
        <w:ind w:firstLine="480" w:firstLineChars="200"/>
        <w:rPr>
          <w:rFonts w:hint="eastAsia" w:ascii="宋体" w:hAnsi="宋体"/>
          <w:sz w:val="24"/>
        </w:rPr>
      </w:pPr>
      <w:r>
        <w:rPr>
          <w:rFonts w:ascii="宋体" w:hAnsi="宋体"/>
          <w:sz w:val="24"/>
        </w:rPr>
        <w:t>因承包人原因造成工程不合格的，发包人有权要求承包人采取补救措施，直至达到合同要求的质量标准，由此增加的费用和（或）延误的工期由承包人承担。</w:t>
      </w:r>
    </w:p>
    <w:p>
      <w:pPr>
        <w:spacing w:line="360" w:lineRule="auto"/>
        <w:ind w:firstLine="480" w:firstLineChars="200"/>
        <w:rPr>
          <w:rFonts w:hint="eastAsia" w:ascii="宋体" w:hAnsi="宋体"/>
          <w:sz w:val="24"/>
        </w:rPr>
      </w:pPr>
      <w:r>
        <w:rPr>
          <w:rFonts w:hint="eastAsia" w:ascii="宋体" w:hAnsi="宋体"/>
          <w:sz w:val="24"/>
        </w:rPr>
        <w:t>验收不合格的工程，承包人完成整改后，应当重新进行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r>
        <w:rPr>
          <w:rFonts w:ascii="宋体" w:hAnsi="宋体"/>
          <w:sz w:val="24"/>
        </w:rPr>
        <w:t xml:space="preserve"> </w:t>
      </w:r>
    </w:p>
    <w:p>
      <w:pPr>
        <w:spacing w:line="360" w:lineRule="auto"/>
        <w:outlineLvl w:val="4"/>
        <w:rPr>
          <w:rFonts w:hint="eastAsia" w:ascii="宋体" w:hAnsi="宋体"/>
          <w:bCs/>
          <w:sz w:val="24"/>
          <w:lang w:val="zh-CN"/>
        </w:rPr>
      </w:pPr>
      <w:r>
        <w:rPr>
          <w:rFonts w:ascii="宋体" w:hAnsi="宋体"/>
          <w:bCs/>
          <w:sz w:val="24"/>
          <w:lang w:val="zh-CN"/>
        </w:rPr>
        <w:t>5.5 质量争议检测</w:t>
      </w:r>
    </w:p>
    <w:p>
      <w:pPr>
        <w:autoSpaceDE w:val="0"/>
        <w:autoSpaceDN w:val="0"/>
        <w:spacing w:line="360" w:lineRule="auto"/>
        <w:ind w:firstLine="480" w:firstLineChars="200"/>
        <w:rPr>
          <w:rFonts w:hint="eastAsia" w:ascii="宋体" w:hAnsi="宋体"/>
          <w:sz w:val="24"/>
        </w:rPr>
      </w:pPr>
      <w:r>
        <w:rPr>
          <w:rFonts w:ascii="宋体" w:hAnsi="宋体"/>
          <w:sz w:val="24"/>
        </w:rPr>
        <w:t>合同当事人对工程质量有争议的，由双方协商确定的工程质量检测机构鉴定，由此产生的费用及因此造成的损失，由责任方承担。</w:t>
      </w:r>
    </w:p>
    <w:p>
      <w:pPr>
        <w:autoSpaceDE w:val="0"/>
        <w:autoSpaceDN w:val="0"/>
        <w:spacing w:line="360" w:lineRule="auto"/>
        <w:ind w:firstLine="480" w:firstLineChars="200"/>
        <w:rPr>
          <w:rFonts w:hint="eastAsia" w:ascii="宋体" w:hAnsi="宋体"/>
          <w:sz w:val="24"/>
        </w:rPr>
      </w:pPr>
      <w:r>
        <w:rPr>
          <w:rFonts w:ascii="宋体" w:hAnsi="宋体"/>
          <w:sz w:val="24"/>
        </w:rPr>
        <w:t>合同当事人均有责任的，由双方根据其责任分别承担。</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安全文明施工与环境保护</w:t>
      </w:r>
    </w:p>
    <w:p>
      <w:pPr>
        <w:spacing w:line="360" w:lineRule="auto"/>
        <w:outlineLvl w:val="4"/>
        <w:rPr>
          <w:rFonts w:hint="eastAsia" w:ascii="宋体" w:hAnsi="宋体"/>
          <w:bCs/>
          <w:sz w:val="24"/>
          <w:lang w:val="zh-CN"/>
        </w:rPr>
      </w:pPr>
      <w:r>
        <w:rPr>
          <w:rFonts w:ascii="宋体" w:hAnsi="宋体"/>
          <w:bCs/>
          <w:sz w:val="24"/>
          <w:lang w:val="zh-CN"/>
        </w:rPr>
        <w:t>6.1安全文明施工</w:t>
      </w:r>
    </w:p>
    <w:p>
      <w:pPr>
        <w:spacing w:line="360" w:lineRule="auto"/>
        <w:ind w:firstLine="480" w:firstLineChars="200"/>
        <w:rPr>
          <w:rFonts w:hint="eastAsia" w:ascii="宋体" w:hAnsi="宋体"/>
          <w:sz w:val="24"/>
        </w:rPr>
      </w:pPr>
      <w:r>
        <w:rPr>
          <w:rFonts w:ascii="宋体" w:hAnsi="宋体"/>
          <w:sz w:val="24"/>
        </w:rPr>
        <w:t>6.1.1安全生产要求</w:t>
      </w:r>
    </w:p>
    <w:p>
      <w:pPr>
        <w:spacing w:line="360" w:lineRule="auto"/>
        <w:ind w:firstLine="480" w:firstLineChars="200"/>
        <w:rPr>
          <w:rFonts w:hint="eastAsia" w:ascii="宋体" w:hAnsi="宋体"/>
          <w:sz w:val="24"/>
        </w:rPr>
      </w:pPr>
      <w:r>
        <w:rPr>
          <w:rFonts w:ascii="宋体" w:hAnsi="宋体"/>
          <w:sz w:val="24"/>
        </w:rPr>
        <w:t>合同履行期间，合同当事人均应当遵守国家和工程所在地有关安全生产的要求</w:t>
      </w:r>
      <w:r>
        <w:rPr>
          <w:rFonts w:hint="eastAsia" w:ascii="宋体" w:hAnsi="宋体"/>
          <w:sz w:val="24"/>
        </w:rPr>
        <w:t>。</w:t>
      </w:r>
      <w:r>
        <w:rPr>
          <w:rFonts w:ascii="宋体" w:hAnsi="宋体"/>
          <w:sz w:val="24"/>
        </w:rPr>
        <w:t>承包人有权拒绝发包人及监理人强令承包人违章作业、冒险施工的任何指示。</w:t>
      </w:r>
    </w:p>
    <w:p>
      <w:pPr>
        <w:spacing w:line="360" w:lineRule="auto"/>
        <w:ind w:firstLine="480" w:firstLineChars="200"/>
        <w:rPr>
          <w:rFonts w:hint="eastAsia" w:ascii="宋体" w:hAnsi="宋体"/>
          <w:sz w:val="24"/>
        </w:rPr>
      </w:pPr>
      <w:r>
        <w:rPr>
          <w:rFonts w:ascii="宋体" w:hAnsi="宋体"/>
          <w:sz w:val="24"/>
        </w:rPr>
        <w:t>在施工过程中，如遇到突发的地质变动、事先未知的地下施工障碍等影响施工安全的紧急情况，</w:t>
      </w:r>
      <w:r>
        <w:rPr>
          <w:rFonts w:hint="eastAsia" w:ascii="宋体" w:hAnsi="宋体"/>
          <w:sz w:val="24"/>
        </w:rPr>
        <w:t>承包人应及时报告监理人和发包人，</w:t>
      </w:r>
      <w:r>
        <w:rPr>
          <w:rFonts w:ascii="宋体" w:hAnsi="宋体"/>
          <w:sz w:val="24"/>
        </w:rPr>
        <w:t>发包人应当及时下令停工并报政府有关行政管理部门采取应急措施。</w:t>
      </w:r>
    </w:p>
    <w:p>
      <w:pPr>
        <w:spacing w:line="360" w:lineRule="auto"/>
        <w:ind w:firstLine="480" w:firstLineChars="200"/>
        <w:rPr>
          <w:rFonts w:hint="eastAsia" w:ascii="宋体" w:hAnsi="宋体"/>
          <w:sz w:val="24"/>
        </w:rPr>
      </w:pPr>
      <w:r>
        <w:rPr>
          <w:rFonts w:ascii="宋体" w:hAnsi="宋体"/>
          <w:sz w:val="24"/>
        </w:rPr>
        <w:t>因安全生产需要暂停施工的，按照本合同</w:t>
      </w:r>
      <w:r>
        <w:rPr>
          <w:rFonts w:hint="eastAsia" w:ascii="宋体" w:hAnsi="宋体"/>
          <w:sz w:val="24"/>
        </w:rPr>
        <w:t>〔</w:t>
      </w:r>
      <w:r>
        <w:rPr>
          <w:rFonts w:ascii="宋体" w:hAnsi="宋体"/>
          <w:sz w:val="24"/>
        </w:rPr>
        <w:t>暂停施工</w:t>
      </w:r>
      <w:r>
        <w:rPr>
          <w:rFonts w:hint="eastAsia" w:ascii="宋体" w:hAnsi="宋体"/>
          <w:sz w:val="24"/>
        </w:rPr>
        <w:t>〕条款</w:t>
      </w:r>
      <w:r>
        <w:rPr>
          <w:rFonts w:ascii="宋体" w:hAnsi="宋体"/>
          <w:sz w:val="24"/>
        </w:rPr>
        <w:t>的约定执行。</w:t>
      </w:r>
    </w:p>
    <w:p>
      <w:pPr>
        <w:spacing w:line="360" w:lineRule="auto"/>
        <w:ind w:firstLine="480" w:firstLineChars="200"/>
        <w:rPr>
          <w:rFonts w:hint="eastAsia" w:ascii="宋体" w:hAnsi="宋体"/>
          <w:sz w:val="24"/>
        </w:rPr>
      </w:pPr>
      <w:r>
        <w:rPr>
          <w:rFonts w:ascii="宋体" w:hAnsi="宋体"/>
          <w:sz w:val="24"/>
        </w:rPr>
        <w:t>6.1.2 安全生产保证措施</w:t>
      </w:r>
    </w:p>
    <w:p>
      <w:pPr>
        <w:autoSpaceDE w:val="0"/>
        <w:autoSpaceDN w:val="0"/>
        <w:spacing w:line="360" w:lineRule="auto"/>
        <w:ind w:firstLine="480" w:firstLineChars="200"/>
        <w:rPr>
          <w:rFonts w:hint="eastAsia" w:ascii="宋体" w:hAnsi="宋体"/>
          <w:sz w:val="24"/>
        </w:rPr>
      </w:pPr>
      <w:r>
        <w:rPr>
          <w:rFonts w:ascii="宋体" w:hAnsi="宋体"/>
          <w:sz w:val="24"/>
        </w:rPr>
        <w:t>承包人应当按照有关规定编制安全技术措施或者专项施工方案，建立安全生产责任制度、治安保卫制度及安全生产教育培训制度，并按安全生产法律规定及合同约定履行安全职责，</w:t>
      </w:r>
      <w:r>
        <w:rPr>
          <w:rFonts w:hint="eastAsia" w:ascii="宋体" w:hAnsi="宋体"/>
          <w:sz w:val="24"/>
        </w:rPr>
        <w:t>如实</w:t>
      </w:r>
      <w:r>
        <w:rPr>
          <w:rFonts w:ascii="宋体" w:hAnsi="宋体"/>
          <w:sz w:val="24"/>
        </w:rPr>
        <w:t>编制工程安全生产的有关记录，接受发包人、监理人及政府安全监督部门的检查与监督。</w:t>
      </w:r>
    </w:p>
    <w:p>
      <w:pPr>
        <w:spacing w:line="360" w:lineRule="auto"/>
        <w:ind w:firstLine="480" w:firstLineChars="200"/>
        <w:rPr>
          <w:rFonts w:hint="eastAsia" w:ascii="宋体" w:hAnsi="宋体"/>
          <w:sz w:val="24"/>
        </w:rPr>
      </w:pPr>
      <w:r>
        <w:rPr>
          <w:rFonts w:ascii="宋体" w:hAnsi="宋体"/>
          <w:sz w:val="24"/>
        </w:rPr>
        <w:t>6.1.3特别安全生产事项</w:t>
      </w:r>
    </w:p>
    <w:p>
      <w:pPr>
        <w:spacing w:line="360" w:lineRule="auto"/>
        <w:ind w:firstLine="480" w:firstLineChars="200"/>
        <w:rPr>
          <w:rFonts w:hint="eastAsia" w:ascii="宋体" w:hAnsi="宋体"/>
          <w:sz w:val="24"/>
        </w:rPr>
      </w:pPr>
      <w:r>
        <w:rPr>
          <w:rFonts w:ascii="宋体" w:hAnsi="宋体"/>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80" w:firstLineChars="200"/>
        <w:rPr>
          <w:rFonts w:hint="eastAsia" w:ascii="宋体" w:hAnsi="宋体"/>
          <w:sz w:val="24"/>
        </w:rPr>
      </w:pPr>
      <w:r>
        <w:rPr>
          <w:rFonts w:ascii="宋体" w:hAnsi="宋体"/>
          <w:sz w:val="24"/>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80" w:firstLineChars="200"/>
        <w:rPr>
          <w:rFonts w:hint="eastAsia" w:ascii="宋体" w:hAnsi="宋体"/>
          <w:sz w:val="24"/>
        </w:rPr>
      </w:pPr>
      <w:r>
        <w:rPr>
          <w:rFonts w:ascii="宋体" w:hAnsi="宋体"/>
          <w:sz w:val="24"/>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80" w:firstLineChars="200"/>
        <w:rPr>
          <w:rFonts w:hint="eastAsia" w:ascii="宋体" w:hAnsi="宋体"/>
          <w:sz w:val="24"/>
        </w:rPr>
      </w:pPr>
      <w:r>
        <w:rPr>
          <w:rFonts w:ascii="宋体" w:hAnsi="宋体"/>
          <w:sz w:val="24"/>
        </w:rPr>
        <w:t>需单独编制危险性较大分部分项专项工程施工方案的，及要求进行专家论证的超过一定规模的危险性较大的分部分项工程，承包人应及时编制和组织论证。</w:t>
      </w:r>
    </w:p>
    <w:p>
      <w:pPr>
        <w:spacing w:line="360" w:lineRule="auto"/>
        <w:ind w:firstLine="480" w:firstLineChars="200"/>
        <w:rPr>
          <w:rFonts w:hint="eastAsia" w:ascii="宋体" w:hAnsi="宋体"/>
          <w:sz w:val="24"/>
        </w:rPr>
      </w:pPr>
      <w:r>
        <w:rPr>
          <w:rFonts w:hint="eastAsia" w:ascii="宋体" w:hAnsi="宋体"/>
          <w:sz w:val="24"/>
        </w:rPr>
        <w:t>发包人对上述的认可，不免除或减轻承包人的责任。</w:t>
      </w:r>
    </w:p>
    <w:p>
      <w:pPr>
        <w:spacing w:line="360" w:lineRule="auto"/>
        <w:ind w:firstLine="480" w:firstLineChars="200"/>
        <w:rPr>
          <w:rFonts w:hint="eastAsia" w:ascii="宋体" w:hAnsi="宋体"/>
          <w:sz w:val="24"/>
        </w:rPr>
      </w:pPr>
      <w:r>
        <w:rPr>
          <w:rFonts w:ascii="宋体" w:hAnsi="宋体"/>
          <w:sz w:val="24"/>
        </w:rPr>
        <w:t>6.1.4 治安保卫</w:t>
      </w:r>
    </w:p>
    <w:p>
      <w:pPr>
        <w:spacing w:line="360" w:lineRule="auto"/>
        <w:ind w:firstLine="480" w:firstLineChars="200"/>
        <w:rPr>
          <w:rFonts w:hint="eastAsia" w:ascii="宋体" w:hAnsi="宋体"/>
          <w:sz w:val="24"/>
        </w:rPr>
      </w:pPr>
      <w:r>
        <w:rPr>
          <w:rFonts w:ascii="宋体" w:hAnsi="宋体"/>
          <w:sz w:val="24"/>
        </w:rPr>
        <w:t>承包人</w:t>
      </w:r>
      <w:r>
        <w:rPr>
          <w:rFonts w:hint="eastAsia" w:ascii="宋体" w:hAnsi="宋体"/>
          <w:sz w:val="24"/>
        </w:rPr>
        <w:t>负责施工区域内的治安保卫职责，并服从发包人统一管理施工现场的治安保卫要求。</w:t>
      </w:r>
    </w:p>
    <w:p>
      <w:pPr>
        <w:spacing w:line="360" w:lineRule="auto"/>
        <w:ind w:firstLine="480" w:firstLineChars="200"/>
        <w:rPr>
          <w:rFonts w:hint="eastAsia" w:ascii="宋体" w:hAnsi="宋体"/>
          <w:sz w:val="24"/>
        </w:rPr>
      </w:pPr>
      <w:r>
        <w:rPr>
          <w:rFonts w:ascii="宋体" w:hAnsi="宋体"/>
          <w:sz w:val="24"/>
        </w:rPr>
        <w:t>在工程施工过程中，如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sz w:val="24"/>
        </w:rPr>
        <w:t>和</w:t>
      </w:r>
      <w:r>
        <w:rPr>
          <w:rFonts w:ascii="宋体" w:hAnsi="宋体"/>
          <w:sz w:val="24"/>
        </w:rPr>
        <w:t>财产损失。</w:t>
      </w:r>
    </w:p>
    <w:p>
      <w:pPr>
        <w:spacing w:line="360" w:lineRule="auto"/>
        <w:ind w:firstLine="480" w:firstLineChars="200"/>
        <w:rPr>
          <w:rFonts w:hint="eastAsia" w:ascii="宋体" w:hAnsi="宋体"/>
          <w:sz w:val="24"/>
        </w:rPr>
      </w:pPr>
      <w:r>
        <w:rPr>
          <w:rFonts w:ascii="宋体" w:hAnsi="宋体"/>
          <w:sz w:val="24"/>
        </w:rPr>
        <w:t>6.1.5 文明施工</w:t>
      </w:r>
    </w:p>
    <w:p>
      <w:pPr>
        <w:autoSpaceDE w:val="0"/>
        <w:autoSpaceDN w:val="0"/>
        <w:spacing w:line="360" w:lineRule="auto"/>
        <w:ind w:firstLine="480" w:firstLineChars="200"/>
        <w:rPr>
          <w:rFonts w:hint="eastAsia" w:ascii="宋体" w:hAnsi="宋体"/>
          <w:sz w:val="24"/>
        </w:rPr>
      </w:pPr>
      <w:r>
        <w:rPr>
          <w:rFonts w:ascii="宋体" w:hAnsi="宋体"/>
          <w:sz w:val="24"/>
        </w:rPr>
        <w:t>承包人在工程施工期间，应当采取措施保持施工现场整洁，物料堆放整齐。工程所在地有关政府行政管理部门有特殊要求的，按照其要求执行。</w:t>
      </w:r>
    </w:p>
    <w:p>
      <w:pPr>
        <w:autoSpaceDE w:val="0"/>
        <w:autoSpaceDN w:val="0"/>
        <w:spacing w:line="360" w:lineRule="auto"/>
        <w:ind w:firstLine="480" w:firstLineChars="200"/>
        <w:rPr>
          <w:rFonts w:hint="eastAsia" w:ascii="宋体" w:hAnsi="宋体"/>
          <w:sz w:val="24"/>
        </w:rPr>
      </w:pPr>
      <w:r>
        <w:rPr>
          <w:rFonts w:ascii="宋体" w:hAnsi="宋体"/>
          <w:sz w:val="24"/>
        </w:rPr>
        <w:t>在工程移交之前，承包人应当从施工现场清除承包人的全部工程施工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80" w:firstLineChars="200"/>
        <w:rPr>
          <w:rFonts w:hint="eastAsia" w:ascii="宋体" w:hAnsi="宋体"/>
          <w:sz w:val="24"/>
        </w:rPr>
      </w:pPr>
      <w:r>
        <w:rPr>
          <w:rFonts w:ascii="宋体" w:hAnsi="宋体"/>
          <w:sz w:val="24"/>
        </w:rPr>
        <w:t>6.1.6 安全文明施工费</w:t>
      </w:r>
    </w:p>
    <w:p>
      <w:pPr>
        <w:autoSpaceDE w:val="0"/>
        <w:autoSpaceDN w:val="0"/>
        <w:spacing w:line="360" w:lineRule="auto"/>
        <w:ind w:firstLine="480" w:firstLineChars="200"/>
        <w:rPr>
          <w:rFonts w:hint="eastAsia" w:ascii="宋体" w:hAnsi="宋体"/>
          <w:sz w:val="24"/>
        </w:rPr>
      </w:pPr>
      <w:r>
        <w:rPr>
          <w:rFonts w:ascii="宋体" w:hAnsi="宋体"/>
          <w:sz w:val="24"/>
        </w:rPr>
        <w:t>合同价格中已含安全文明施工费</w:t>
      </w:r>
      <w:r>
        <w:rPr>
          <w:rFonts w:hint="eastAsia" w:ascii="宋体" w:hAnsi="宋体"/>
          <w:sz w:val="24"/>
        </w:rPr>
        <w:t>，</w:t>
      </w:r>
      <w:r>
        <w:rPr>
          <w:rFonts w:ascii="宋体" w:hAnsi="宋体"/>
          <w:sz w:val="24"/>
        </w:rPr>
        <w:t>该费用支付已包括在</w:t>
      </w:r>
      <w:r>
        <w:rPr>
          <w:rFonts w:hint="eastAsia" w:ascii="宋体" w:hAnsi="宋体"/>
          <w:sz w:val="24"/>
          <w:u w:val="single"/>
        </w:rPr>
        <w:t>合同总价中</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80" w:firstLineChars="200"/>
        <w:rPr>
          <w:rFonts w:hint="eastAsia" w:ascii="宋体" w:hAnsi="宋体"/>
          <w:sz w:val="24"/>
        </w:rPr>
      </w:pPr>
      <w:r>
        <w:rPr>
          <w:rFonts w:hint="eastAsia" w:ascii="宋体" w:hAnsi="宋体"/>
          <w:sz w:val="24"/>
        </w:rPr>
        <w:t>6.1.7紧急情况处理：执行通用条款。</w:t>
      </w:r>
    </w:p>
    <w:p>
      <w:pPr>
        <w:autoSpaceDE w:val="0"/>
        <w:autoSpaceDN w:val="0"/>
        <w:spacing w:line="360" w:lineRule="auto"/>
        <w:ind w:firstLine="480" w:firstLineChars="200"/>
        <w:rPr>
          <w:rFonts w:hint="eastAsia" w:ascii="宋体" w:hAnsi="宋体"/>
          <w:sz w:val="24"/>
        </w:rPr>
      </w:pPr>
      <w:r>
        <w:rPr>
          <w:rFonts w:hint="eastAsia" w:ascii="宋体" w:hAnsi="宋体"/>
          <w:sz w:val="24"/>
        </w:rPr>
        <w:t>6.1.8 事故处理：执行通用条款。</w:t>
      </w:r>
    </w:p>
    <w:p>
      <w:pPr>
        <w:autoSpaceDE w:val="0"/>
        <w:autoSpaceDN w:val="0"/>
        <w:spacing w:line="360" w:lineRule="auto"/>
        <w:ind w:firstLine="480" w:firstLineChars="200"/>
        <w:rPr>
          <w:rFonts w:hint="eastAsia" w:ascii="宋体" w:hAnsi="宋体"/>
          <w:sz w:val="24"/>
        </w:rPr>
      </w:pPr>
      <w:r>
        <w:rPr>
          <w:rFonts w:ascii="宋体" w:hAnsi="宋体"/>
          <w:sz w:val="24"/>
        </w:rPr>
        <w:t>6.1.9 安全生产责任</w:t>
      </w:r>
    </w:p>
    <w:p>
      <w:pPr>
        <w:autoSpaceDE w:val="0"/>
        <w:autoSpaceDN w:val="0"/>
        <w:spacing w:line="360" w:lineRule="auto"/>
        <w:ind w:firstLine="480" w:firstLineChars="200"/>
        <w:rPr>
          <w:rFonts w:hint="eastAsia" w:ascii="宋体" w:hAnsi="宋体"/>
          <w:sz w:val="24"/>
        </w:rPr>
      </w:pPr>
      <w:r>
        <w:rPr>
          <w:rFonts w:ascii="宋体" w:hAnsi="宋体"/>
          <w:sz w:val="24"/>
        </w:rPr>
        <w:t>6.1.9.1 发包人的安全责任</w:t>
      </w:r>
    </w:p>
    <w:p>
      <w:pPr>
        <w:spacing w:line="360" w:lineRule="auto"/>
        <w:ind w:firstLine="480" w:firstLineChars="200"/>
        <w:rPr>
          <w:rFonts w:hint="eastAsia" w:ascii="宋体" w:hAnsi="宋体"/>
          <w:sz w:val="24"/>
        </w:rPr>
      </w:pPr>
      <w:r>
        <w:rPr>
          <w:rFonts w:ascii="宋体" w:hAnsi="宋体"/>
          <w:sz w:val="24"/>
        </w:rPr>
        <w:t>发包人应负责赔偿以下各种情况造成</w:t>
      </w:r>
      <w:r>
        <w:rPr>
          <w:rFonts w:hint="eastAsia" w:ascii="宋体" w:hAnsi="宋体"/>
          <w:sz w:val="24"/>
        </w:rPr>
        <w:t>的</w:t>
      </w:r>
      <w:r>
        <w:rPr>
          <w:rFonts w:ascii="宋体" w:hAnsi="宋体"/>
          <w:sz w:val="24"/>
        </w:rPr>
        <w:t>损失：</w:t>
      </w:r>
    </w:p>
    <w:p>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1</w:t>
      </w:r>
      <w:r>
        <w:rPr>
          <w:rFonts w:ascii="宋体" w:hAnsi="宋体"/>
          <w:sz w:val="24"/>
        </w:rPr>
        <w:t>）由于发包人原因在施工场地及其毗邻地带造成的第三</w:t>
      </w:r>
      <w:r>
        <w:rPr>
          <w:rFonts w:hint="eastAsia" w:ascii="宋体" w:hAnsi="宋体"/>
          <w:sz w:val="24"/>
        </w:rPr>
        <w:t>人</w:t>
      </w:r>
      <w:r>
        <w:rPr>
          <w:rFonts w:ascii="宋体" w:hAnsi="宋体"/>
          <w:sz w:val="24"/>
        </w:rPr>
        <w:t>人身伤亡和财产损失</w:t>
      </w:r>
      <w:r>
        <w:rPr>
          <w:rFonts w:hint="eastAsia"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（2）由于发包人原因对承包人、监理人造成的人员人身伤亡和财产损失；</w:t>
      </w:r>
    </w:p>
    <w:p>
      <w:pPr>
        <w:spacing w:line="360" w:lineRule="auto"/>
        <w:ind w:firstLine="480" w:firstLineChars="200"/>
        <w:rPr>
          <w:rFonts w:hint="eastAsia" w:ascii="宋体" w:hAnsi="宋体"/>
          <w:sz w:val="24"/>
        </w:rPr>
      </w:pPr>
      <w:r>
        <w:rPr>
          <w:rFonts w:hint="eastAsia" w:ascii="宋体" w:hAnsi="宋体"/>
          <w:sz w:val="24"/>
        </w:rPr>
        <w:t>（3）由于发包人原因造成的发包人自身人员的人身伤害以及财产损失。</w:t>
      </w:r>
    </w:p>
    <w:p>
      <w:pPr>
        <w:autoSpaceDE w:val="0"/>
        <w:autoSpaceDN w:val="0"/>
        <w:spacing w:line="360" w:lineRule="auto"/>
        <w:ind w:firstLine="480" w:firstLineChars="200"/>
        <w:rPr>
          <w:rFonts w:hint="eastAsia" w:ascii="宋体" w:hAnsi="宋体"/>
          <w:sz w:val="24"/>
        </w:rPr>
      </w:pPr>
      <w:r>
        <w:rPr>
          <w:rFonts w:ascii="宋体" w:hAnsi="宋体"/>
          <w:sz w:val="24"/>
        </w:rPr>
        <w:t>6.1.9.2 承包人的安全责任</w:t>
      </w:r>
    </w:p>
    <w:p>
      <w:pPr>
        <w:autoSpaceDE w:val="0"/>
        <w:autoSpaceDN w:val="0"/>
        <w:spacing w:line="360" w:lineRule="auto"/>
        <w:ind w:firstLine="480" w:firstLineChars="200"/>
        <w:rPr>
          <w:rFonts w:hint="eastAsia" w:ascii="宋体" w:hAnsi="宋体"/>
          <w:sz w:val="24"/>
        </w:rPr>
      </w:pPr>
      <w:r>
        <w:rPr>
          <w:rFonts w:ascii="宋体" w:hAnsi="宋体"/>
          <w:sz w:val="24"/>
        </w:rPr>
        <w:t>承包人应负责赔偿以下各种情况造成</w:t>
      </w:r>
      <w:r>
        <w:rPr>
          <w:rFonts w:hint="eastAsia" w:ascii="宋体" w:hAnsi="宋体"/>
          <w:sz w:val="24"/>
        </w:rPr>
        <w:t>的</w:t>
      </w:r>
      <w:r>
        <w:rPr>
          <w:rFonts w:ascii="宋体" w:hAnsi="宋体"/>
          <w:sz w:val="24"/>
        </w:rPr>
        <w:t>损失</w:t>
      </w:r>
    </w:p>
    <w:p>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1</w:t>
      </w:r>
      <w:r>
        <w:rPr>
          <w:rFonts w:ascii="宋体" w:hAnsi="宋体"/>
          <w:sz w:val="24"/>
        </w:rPr>
        <w:t>）由于</w:t>
      </w:r>
      <w:r>
        <w:rPr>
          <w:rFonts w:hint="eastAsia" w:ascii="宋体" w:hAnsi="宋体"/>
          <w:sz w:val="24"/>
        </w:rPr>
        <w:t>承</w:t>
      </w:r>
      <w:r>
        <w:rPr>
          <w:rFonts w:ascii="宋体" w:hAnsi="宋体"/>
          <w:sz w:val="24"/>
        </w:rPr>
        <w:t>包人原因在施工场地及其毗邻地带造成的第三</w:t>
      </w:r>
      <w:r>
        <w:rPr>
          <w:rFonts w:hint="eastAsia" w:ascii="宋体" w:hAnsi="宋体"/>
          <w:sz w:val="24"/>
        </w:rPr>
        <w:t>人</w:t>
      </w:r>
      <w:r>
        <w:rPr>
          <w:rFonts w:ascii="宋体" w:hAnsi="宋体"/>
          <w:sz w:val="24"/>
        </w:rPr>
        <w:t>人身伤亡和财产损失</w:t>
      </w:r>
      <w:r>
        <w:rPr>
          <w:rFonts w:hint="eastAsia"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（2）由于承包人原因对发包人、监理人造成的人员人身伤亡和财产损失；</w:t>
      </w:r>
    </w:p>
    <w:p>
      <w:pPr>
        <w:spacing w:line="360" w:lineRule="auto"/>
        <w:ind w:firstLine="480" w:firstLineChars="200"/>
        <w:rPr>
          <w:rFonts w:hint="eastAsia" w:ascii="宋体" w:hAnsi="宋体"/>
          <w:sz w:val="24"/>
        </w:rPr>
      </w:pPr>
      <w:r>
        <w:rPr>
          <w:rFonts w:hint="eastAsia" w:ascii="宋体" w:hAnsi="宋体"/>
          <w:sz w:val="24"/>
        </w:rPr>
        <w:t>（3）由于承包人原因造成的承包人自身人员的人身伤害以及财产损失。</w:t>
      </w:r>
    </w:p>
    <w:p>
      <w:pPr>
        <w:spacing w:line="360" w:lineRule="auto"/>
        <w:outlineLvl w:val="4"/>
        <w:rPr>
          <w:rFonts w:hint="eastAsia" w:ascii="宋体" w:hAnsi="宋体"/>
          <w:bCs/>
          <w:sz w:val="24"/>
          <w:lang w:val="zh-CN"/>
        </w:rPr>
      </w:pPr>
      <w:r>
        <w:rPr>
          <w:rFonts w:ascii="宋体" w:hAnsi="宋体"/>
          <w:bCs/>
          <w:sz w:val="24"/>
          <w:lang w:val="zh-CN"/>
        </w:rPr>
        <w:t>6.2 职业健康</w:t>
      </w:r>
    </w:p>
    <w:p>
      <w:pPr>
        <w:autoSpaceDE w:val="0"/>
        <w:autoSpaceDN w:val="0"/>
        <w:spacing w:line="360" w:lineRule="auto"/>
        <w:ind w:firstLine="480" w:firstLineChars="200"/>
        <w:rPr>
          <w:rFonts w:hint="eastAsia" w:ascii="宋体" w:hAnsi="宋体"/>
          <w:sz w:val="24"/>
        </w:rPr>
      </w:pPr>
      <w:r>
        <w:rPr>
          <w:rFonts w:ascii="宋体" w:hAnsi="宋体"/>
          <w:sz w:val="24"/>
        </w:rPr>
        <w:t>6.2.1 劳动保护</w:t>
      </w:r>
    </w:p>
    <w:p>
      <w:pPr>
        <w:autoSpaceDE w:val="0"/>
        <w:autoSpaceDN w:val="0"/>
        <w:spacing w:line="360" w:lineRule="auto"/>
        <w:ind w:firstLine="480" w:firstLineChars="200"/>
        <w:rPr>
          <w:rFonts w:hint="eastAsia" w:ascii="宋体" w:hAnsi="宋体"/>
          <w:sz w:val="24"/>
        </w:rPr>
      </w:pPr>
      <w:r>
        <w:rPr>
          <w:rFonts w:ascii="宋体" w:hAnsi="宋体"/>
          <w:sz w:val="24"/>
        </w:rPr>
        <w:t>承包人应按照法律规定</w:t>
      </w:r>
      <w:r>
        <w:rPr>
          <w:rFonts w:hint="eastAsia" w:ascii="宋体" w:hAnsi="宋体"/>
          <w:sz w:val="24"/>
        </w:rPr>
        <w:t>保证</w:t>
      </w:r>
      <w:r>
        <w:rPr>
          <w:rFonts w:ascii="宋体" w:hAnsi="宋体"/>
          <w:sz w:val="24"/>
        </w:rPr>
        <w:t>现场施工人员的</w:t>
      </w:r>
      <w:r>
        <w:rPr>
          <w:rFonts w:hint="eastAsia" w:ascii="宋体" w:hAnsi="宋体"/>
          <w:sz w:val="24"/>
        </w:rPr>
        <w:t>合法权益</w:t>
      </w:r>
      <w:r>
        <w:rPr>
          <w:rFonts w:ascii="宋体" w:hAnsi="宋体"/>
          <w:sz w:val="24"/>
        </w:rPr>
        <w:t>。承包人应依法为其履行合同所雇用的人员办理必要的证件、许可、保险和注册等，承包人应督促其分包人为分包人所雇用的人员办理必要的证件、许可、保险和注册等。</w:t>
      </w:r>
    </w:p>
    <w:p>
      <w:pPr>
        <w:autoSpaceDE w:val="0"/>
        <w:autoSpaceDN w:val="0"/>
        <w:spacing w:line="360" w:lineRule="auto"/>
        <w:ind w:firstLine="480" w:firstLineChars="200"/>
        <w:rPr>
          <w:rFonts w:hint="eastAsia" w:ascii="宋体" w:hAnsi="宋体"/>
          <w:sz w:val="24"/>
        </w:rPr>
      </w:pPr>
      <w:r>
        <w:rPr>
          <w:rFonts w:ascii="宋体" w:hAnsi="宋体"/>
          <w:sz w:val="24"/>
        </w:rPr>
        <w:t>承包人应按照法律规定保障现场施工人员</w:t>
      </w:r>
      <w:r>
        <w:rPr>
          <w:rFonts w:hint="eastAsia" w:ascii="宋体" w:hAnsi="宋体"/>
          <w:sz w:val="24"/>
        </w:rPr>
        <w:t>在</w:t>
      </w:r>
      <w:r>
        <w:rPr>
          <w:rFonts w:ascii="宋体" w:hAnsi="宋体"/>
          <w:sz w:val="24"/>
        </w:rPr>
        <w:t>高温、高寒、高空等</w:t>
      </w:r>
      <w:r>
        <w:rPr>
          <w:rFonts w:hint="eastAsia" w:ascii="宋体" w:hAnsi="宋体"/>
          <w:sz w:val="24"/>
        </w:rPr>
        <w:t>条件下</w:t>
      </w:r>
      <w:r>
        <w:rPr>
          <w:rFonts w:ascii="宋体" w:hAnsi="宋体"/>
          <w:sz w:val="24"/>
        </w:rPr>
        <w:t>作业</w:t>
      </w:r>
      <w:r>
        <w:rPr>
          <w:rFonts w:hint="eastAsia" w:ascii="宋体" w:hAnsi="宋体"/>
          <w:sz w:val="24"/>
        </w:rPr>
        <w:t>的</w:t>
      </w:r>
      <w:r>
        <w:rPr>
          <w:rFonts w:ascii="宋体" w:hAnsi="宋体"/>
          <w:sz w:val="24"/>
        </w:rPr>
        <w:t>劳动</w:t>
      </w:r>
      <w:r>
        <w:rPr>
          <w:rFonts w:hint="eastAsia" w:ascii="宋体" w:hAnsi="宋体"/>
          <w:sz w:val="24"/>
        </w:rPr>
        <w:t>安全</w:t>
      </w:r>
      <w:r>
        <w:rPr>
          <w:rFonts w:ascii="宋体" w:hAnsi="宋体"/>
          <w:sz w:val="24"/>
        </w:rPr>
        <w:t>保护措施。承包人雇佣人员在施工中受到伤害的，承包人应立即采取有效措施进行抢救和治疗。</w:t>
      </w:r>
    </w:p>
    <w:p>
      <w:pPr>
        <w:autoSpaceDE w:val="0"/>
        <w:autoSpaceDN w:val="0"/>
        <w:spacing w:line="360" w:lineRule="auto"/>
        <w:ind w:firstLine="480" w:firstLineChars="200"/>
        <w:rPr>
          <w:rFonts w:hint="eastAsia" w:ascii="宋体" w:hAnsi="宋体"/>
          <w:sz w:val="24"/>
        </w:rPr>
      </w:pPr>
      <w:r>
        <w:rPr>
          <w:rFonts w:ascii="宋体" w:hAnsi="宋体"/>
          <w:sz w:val="24"/>
        </w:rPr>
        <w:t>6.2.2 生活条件</w:t>
      </w:r>
    </w:p>
    <w:p>
      <w:pPr>
        <w:autoSpaceDE w:val="0"/>
        <w:autoSpaceDN w:val="0"/>
        <w:spacing w:line="360" w:lineRule="auto"/>
        <w:ind w:firstLine="480" w:firstLineChars="200"/>
        <w:rPr>
          <w:rFonts w:hint="eastAsia" w:ascii="宋体" w:hAnsi="宋体"/>
          <w:sz w:val="24"/>
        </w:rPr>
      </w:pPr>
      <w:r>
        <w:rPr>
          <w:rFonts w:ascii="宋体" w:hAnsi="宋体"/>
          <w:sz w:val="24"/>
        </w:rPr>
        <w:t>承包人</w:t>
      </w:r>
      <w:r>
        <w:rPr>
          <w:rFonts w:hint="eastAsia" w:ascii="宋体" w:hAnsi="宋体"/>
          <w:sz w:val="24"/>
        </w:rPr>
        <w:t>在合同履行期间</w:t>
      </w:r>
      <w:r>
        <w:rPr>
          <w:rFonts w:ascii="宋体" w:hAnsi="宋体"/>
          <w:sz w:val="24"/>
        </w:rPr>
        <w:t>应采取有效措施预防传染病，保证施工人员的健康，并定期对施工现场、施工人员生活基地进行防疫和卫生的专业检查和处理。</w:t>
      </w:r>
    </w:p>
    <w:p>
      <w:pPr>
        <w:spacing w:line="360" w:lineRule="auto"/>
        <w:ind w:firstLine="480" w:firstLineChars="200"/>
        <w:outlineLvl w:val="4"/>
        <w:rPr>
          <w:rFonts w:hint="eastAsia" w:ascii="宋体" w:hAnsi="宋体"/>
          <w:bCs/>
          <w:sz w:val="24"/>
          <w:lang w:val="zh-CN"/>
        </w:rPr>
      </w:pPr>
      <w:r>
        <w:rPr>
          <w:rFonts w:ascii="宋体" w:hAnsi="宋体"/>
          <w:bCs/>
          <w:sz w:val="24"/>
          <w:lang w:val="zh-CN"/>
        </w:rPr>
        <w:t>6.3 环境保护</w:t>
      </w:r>
    </w:p>
    <w:p>
      <w:pPr>
        <w:autoSpaceDE w:val="0"/>
        <w:autoSpaceDN w:val="0"/>
        <w:spacing w:line="360" w:lineRule="auto"/>
        <w:ind w:firstLine="480" w:firstLineChars="200"/>
        <w:rPr>
          <w:rFonts w:hint="eastAsia" w:ascii="宋体" w:hAnsi="宋体"/>
          <w:sz w:val="24"/>
        </w:rPr>
      </w:pPr>
      <w:r>
        <w:rPr>
          <w:rFonts w:ascii="宋体" w:hAnsi="宋体"/>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spacing w:line="360" w:lineRule="auto"/>
        <w:ind w:firstLine="480" w:firstLineChars="200"/>
        <w:rPr>
          <w:rFonts w:hint="eastAsia" w:ascii="宋体" w:hAnsi="宋体"/>
          <w:sz w:val="24"/>
        </w:rPr>
      </w:pPr>
      <w:r>
        <w:rPr>
          <w:rFonts w:ascii="宋体" w:hAnsi="宋体"/>
          <w:sz w:val="24"/>
        </w:rPr>
        <w:t>承包人应当承担因其原因引起的环境污染侵权损害赔偿责任，因上述环境污染引起纠纷而导致暂停施工的，由此增加的费用和（或）延误的工期由承包人承担。</w:t>
      </w:r>
    </w:p>
    <w:p>
      <w:pPr>
        <w:spacing w:line="360" w:lineRule="auto"/>
        <w:outlineLvl w:val="4"/>
        <w:rPr>
          <w:rFonts w:hint="eastAsia" w:ascii="宋体" w:hAnsi="宋体"/>
          <w:bCs/>
          <w:sz w:val="24"/>
          <w:lang w:val="zh-CN"/>
        </w:rPr>
      </w:pPr>
      <w:r>
        <w:rPr>
          <w:rFonts w:hint="eastAsia" w:ascii="宋体" w:hAnsi="宋体"/>
          <w:bCs/>
          <w:sz w:val="24"/>
          <w:lang w:val="zh-CN"/>
        </w:rPr>
        <w:t>6.4上述未约定的，按</w:t>
      </w:r>
      <w:r>
        <w:rPr>
          <w:rFonts w:hint="eastAsia" w:ascii="宋体" w:hAnsi="宋体"/>
          <w:bCs/>
          <w:sz w:val="24"/>
        </w:rPr>
        <w:t>相关法律规定</w:t>
      </w:r>
      <w:r>
        <w:rPr>
          <w:rFonts w:hint="eastAsia" w:ascii="宋体" w:hAnsi="宋体"/>
          <w:bCs/>
          <w:sz w:val="24"/>
          <w:lang w:val="zh-CN"/>
        </w:rPr>
        <w:t>执行。</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工期和进度</w:t>
      </w:r>
    </w:p>
    <w:p>
      <w:pPr>
        <w:spacing w:line="360" w:lineRule="auto"/>
        <w:outlineLvl w:val="4"/>
        <w:rPr>
          <w:rFonts w:hint="eastAsia" w:ascii="宋体" w:hAnsi="宋体"/>
          <w:bCs/>
          <w:sz w:val="24"/>
          <w:lang w:val="zh-CN"/>
        </w:rPr>
      </w:pPr>
      <w:r>
        <w:rPr>
          <w:rFonts w:ascii="宋体" w:hAnsi="宋体"/>
          <w:bCs/>
          <w:sz w:val="24"/>
          <w:lang w:val="zh-CN"/>
        </w:rPr>
        <w:t>7.1施工组织设计</w:t>
      </w:r>
    </w:p>
    <w:p>
      <w:pPr>
        <w:autoSpaceDE w:val="0"/>
        <w:autoSpaceDN w:val="0"/>
        <w:spacing w:line="360" w:lineRule="auto"/>
        <w:ind w:firstLine="480" w:firstLineChars="200"/>
        <w:rPr>
          <w:rFonts w:hint="eastAsia" w:ascii="宋体" w:hAnsi="宋体"/>
          <w:sz w:val="24"/>
        </w:rPr>
      </w:pPr>
      <w:r>
        <w:rPr>
          <w:rFonts w:ascii="宋体" w:hAnsi="宋体"/>
          <w:sz w:val="24"/>
        </w:rPr>
        <w:t>7.1.1 施工组织设计的内容</w:t>
      </w:r>
    </w:p>
    <w:p>
      <w:pPr>
        <w:autoSpaceDE w:val="0"/>
        <w:autoSpaceDN w:val="0"/>
        <w:spacing w:line="360" w:lineRule="auto"/>
        <w:ind w:firstLine="480" w:firstLineChars="200"/>
        <w:rPr>
          <w:rFonts w:hint="eastAsia" w:ascii="宋体" w:hAnsi="宋体"/>
          <w:sz w:val="24"/>
        </w:rPr>
      </w:pPr>
      <w:r>
        <w:rPr>
          <w:rFonts w:hint="eastAsia" w:ascii="宋体" w:hAnsi="宋体"/>
          <w:sz w:val="24"/>
        </w:rPr>
        <w:t>施工组织设计应按有关规定进行编制，</w:t>
      </w:r>
      <w:r>
        <w:rPr>
          <w:rFonts w:ascii="宋体" w:hAnsi="宋体"/>
          <w:sz w:val="24"/>
        </w:rPr>
        <w:t>施工组织设计应包含</w:t>
      </w:r>
      <w:r>
        <w:rPr>
          <w:rFonts w:hint="eastAsia" w:ascii="宋体" w:hAnsi="宋体"/>
          <w:sz w:val="24"/>
        </w:rPr>
        <w:t>但不限于</w:t>
      </w:r>
      <w:r>
        <w:rPr>
          <w:rFonts w:ascii="宋体" w:hAnsi="宋体"/>
          <w:sz w:val="24"/>
        </w:rPr>
        <w:t>以下内容：</w:t>
      </w:r>
    </w:p>
    <w:p>
      <w:pPr>
        <w:autoSpaceDE w:val="0"/>
        <w:autoSpaceDN w:val="0"/>
        <w:spacing w:line="360" w:lineRule="auto"/>
        <w:ind w:firstLine="480" w:firstLineChars="200"/>
        <w:rPr>
          <w:rFonts w:hint="eastAsia" w:ascii="宋体" w:hAnsi="宋体"/>
          <w:sz w:val="24"/>
        </w:rPr>
      </w:pPr>
      <w:r>
        <w:rPr>
          <w:rFonts w:hint="eastAsia" w:ascii="宋体" w:hAnsi="宋体"/>
          <w:sz w:val="24"/>
        </w:rPr>
        <w:t>（1）编制说明</w:t>
      </w:r>
    </w:p>
    <w:p>
      <w:pPr>
        <w:autoSpaceDE w:val="0"/>
        <w:autoSpaceDN w:val="0"/>
        <w:spacing w:line="360" w:lineRule="auto"/>
        <w:ind w:firstLine="480" w:firstLineChars="200"/>
        <w:rPr>
          <w:rFonts w:hint="eastAsia" w:ascii="宋体" w:hAnsi="宋体"/>
          <w:sz w:val="24"/>
        </w:rPr>
      </w:pPr>
      <w:r>
        <w:rPr>
          <w:rFonts w:hint="eastAsia" w:ascii="宋体" w:hAnsi="宋体"/>
          <w:sz w:val="24"/>
        </w:rPr>
        <w:t>（2）建设概况简述</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3</w:t>
      </w:r>
      <w:r>
        <w:rPr>
          <w:rFonts w:ascii="宋体" w:hAnsi="宋体"/>
          <w:sz w:val="24"/>
        </w:rPr>
        <w:t>）施工</w:t>
      </w:r>
      <w:r>
        <w:rPr>
          <w:rFonts w:hint="eastAsia" w:ascii="宋体" w:hAnsi="宋体"/>
          <w:sz w:val="24"/>
        </w:rPr>
        <w:t>部署</w:t>
      </w:r>
      <w:r>
        <w:rPr>
          <w:rFonts w:ascii="宋体" w:hAnsi="宋体"/>
          <w:sz w:val="24"/>
        </w:rPr>
        <w:t xml:space="preserve">； </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4</w:t>
      </w:r>
      <w:r>
        <w:rPr>
          <w:rFonts w:ascii="宋体" w:hAnsi="宋体"/>
          <w:sz w:val="24"/>
        </w:rPr>
        <w:t>）施工现场平面布置图；</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5</w:t>
      </w:r>
      <w:r>
        <w:rPr>
          <w:rFonts w:ascii="宋体" w:hAnsi="宋体"/>
          <w:sz w:val="24"/>
        </w:rPr>
        <w:t xml:space="preserve">）施工进度计划和保证措施； </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6</w:t>
      </w:r>
      <w:r>
        <w:rPr>
          <w:rFonts w:ascii="宋体" w:hAnsi="宋体"/>
          <w:sz w:val="24"/>
        </w:rPr>
        <w:t>）劳动力及材料供应计划；</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）施工</w:t>
      </w:r>
      <w:r>
        <w:rPr>
          <w:rFonts w:hint="eastAsia" w:ascii="宋体" w:hAnsi="宋体"/>
          <w:sz w:val="24"/>
        </w:rPr>
        <w:t>方法和施工</w:t>
      </w:r>
      <w:r>
        <w:rPr>
          <w:rFonts w:ascii="宋体" w:hAnsi="宋体"/>
          <w:sz w:val="24"/>
        </w:rPr>
        <w:t>设备的选用；</w:t>
      </w:r>
    </w:p>
    <w:p>
      <w:pPr>
        <w:autoSpaceDE w:val="0"/>
        <w:autoSpaceDN w:val="0"/>
        <w:spacing w:line="360" w:lineRule="auto"/>
        <w:ind w:firstLine="480" w:firstLineChars="200"/>
        <w:rPr>
          <w:rFonts w:hint="eastAsia" w:ascii="宋体" w:hAnsi="宋体"/>
          <w:sz w:val="24"/>
        </w:rPr>
      </w:pPr>
      <w:r>
        <w:rPr>
          <w:rFonts w:hint="eastAsia" w:ascii="宋体" w:hAnsi="宋体"/>
          <w:sz w:val="24"/>
        </w:rPr>
        <w:t>（8）施工技术组织措施；</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9</w:t>
      </w:r>
      <w:r>
        <w:rPr>
          <w:rFonts w:ascii="宋体" w:hAnsi="宋体"/>
          <w:sz w:val="24"/>
        </w:rPr>
        <w:t>）质量保证体系及措施；</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10</w:t>
      </w:r>
      <w:r>
        <w:rPr>
          <w:rFonts w:ascii="宋体" w:hAnsi="宋体"/>
          <w:sz w:val="24"/>
        </w:rPr>
        <w:t>）安全生产、文明施工</w:t>
      </w:r>
      <w:r>
        <w:rPr>
          <w:rFonts w:hint="eastAsia" w:ascii="宋体" w:hAnsi="宋体"/>
          <w:sz w:val="24"/>
        </w:rPr>
        <w:t>、</w:t>
      </w:r>
      <w:r>
        <w:rPr>
          <w:rFonts w:ascii="宋体" w:hAnsi="宋体"/>
          <w:sz w:val="24"/>
        </w:rPr>
        <w:t>环境保护措施；</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11</w:t>
      </w:r>
      <w:r>
        <w:rPr>
          <w:rFonts w:ascii="宋体" w:hAnsi="宋体"/>
          <w:sz w:val="24"/>
        </w:rPr>
        <w:t>）</w:t>
      </w:r>
      <w:r>
        <w:rPr>
          <w:rFonts w:hint="eastAsia" w:ascii="宋体" w:hAnsi="宋体"/>
          <w:sz w:val="24"/>
        </w:rPr>
        <w:t>临时设施规划</w:t>
      </w:r>
    </w:p>
    <w:p>
      <w:pPr>
        <w:autoSpaceDE w:val="0"/>
        <w:autoSpaceDN w:val="0"/>
        <w:spacing w:line="360" w:lineRule="auto"/>
        <w:ind w:firstLine="480" w:firstLineChars="200"/>
        <w:rPr>
          <w:rFonts w:hint="eastAsia" w:ascii="宋体" w:hAnsi="宋体"/>
          <w:sz w:val="24"/>
        </w:rPr>
      </w:pPr>
      <w:r>
        <w:rPr>
          <w:rFonts w:hint="eastAsia" w:ascii="宋体" w:hAnsi="宋体"/>
          <w:sz w:val="24"/>
        </w:rPr>
        <w:t>（12）主要采用的标准、规程、规范；</w:t>
      </w:r>
    </w:p>
    <w:p>
      <w:pPr>
        <w:autoSpaceDE w:val="0"/>
        <w:autoSpaceDN w:val="0"/>
        <w:spacing w:line="360" w:lineRule="auto"/>
        <w:ind w:firstLine="480" w:firstLineChars="200"/>
        <w:rPr>
          <w:rFonts w:hint="eastAsia" w:ascii="宋体" w:hAnsi="宋体"/>
          <w:sz w:val="24"/>
        </w:rPr>
      </w:pPr>
      <w:r>
        <w:rPr>
          <w:rFonts w:hint="eastAsia" w:ascii="宋体" w:hAnsi="宋体"/>
          <w:sz w:val="24"/>
        </w:rPr>
        <w:t>（13）其他</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7.1.2 施工组织设计的提交和修改</w:t>
      </w:r>
    </w:p>
    <w:p>
      <w:pPr>
        <w:autoSpaceDE w:val="0"/>
        <w:autoSpaceDN w:val="0"/>
        <w:spacing w:line="360" w:lineRule="auto"/>
        <w:ind w:firstLine="480" w:firstLineChars="200"/>
        <w:rPr>
          <w:rFonts w:hint="eastAsia" w:ascii="宋体" w:hAnsi="宋体"/>
          <w:sz w:val="24"/>
        </w:rPr>
      </w:pPr>
      <w:r>
        <w:rPr>
          <w:rFonts w:ascii="宋体" w:hAnsi="宋体"/>
          <w:sz w:val="24"/>
        </w:rPr>
        <w:t>承包人应在合同签订</w:t>
      </w:r>
      <w:r>
        <w:rPr>
          <w:rFonts w:hint="eastAsia" w:ascii="宋体" w:hAnsi="宋体"/>
          <w:sz w:val="24"/>
        </w:rPr>
        <w:t>生效</w:t>
      </w:r>
      <w:r>
        <w:rPr>
          <w:rFonts w:ascii="宋体" w:hAnsi="宋体"/>
          <w:sz w:val="24"/>
        </w:rPr>
        <w:t>后</w:t>
      </w:r>
      <w:r>
        <w:rPr>
          <w:rFonts w:hint="eastAsia" w:ascii="宋体" w:hAnsi="宋体"/>
          <w:sz w:val="24"/>
          <w:u w:val="single"/>
        </w:rPr>
        <w:t xml:space="preserve">   7  </w:t>
      </w:r>
      <w:r>
        <w:rPr>
          <w:rFonts w:ascii="宋体" w:hAnsi="宋体"/>
          <w:sz w:val="24"/>
        </w:rPr>
        <w:t>天内，向监理人提交详细的施工组织设计，并由监理人</w:t>
      </w:r>
      <w:r>
        <w:rPr>
          <w:rFonts w:hint="eastAsia" w:ascii="宋体" w:hAnsi="宋体"/>
          <w:sz w:val="24"/>
        </w:rPr>
        <w:t>审查后</w:t>
      </w:r>
      <w:r>
        <w:rPr>
          <w:rFonts w:ascii="宋体" w:hAnsi="宋体"/>
          <w:sz w:val="24"/>
        </w:rPr>
        <w:t>报送发包人。</w:t>
      </w:r>
      <w:r>
        <w:rPr>
          <w:rFonts w:hint="eastAsia" w:ascii="宋体" w:hAnsi="宋体"/>
          <w:sz w:val="24"/>
        </w:rPr>
        <w:t>发包人和监理人应在监理人收到施工组织设计后</w:t>
      </w:r>
      <w:r>
        <w:rPr>
          <w:rFonts w:hint="eastAsia" w:ascii="宋体" w:hAnsi="宋体"/>
          <w:sz w:val="24"/>
          <w:u w:val="single"/>
        </w:rPr>
        <w:t xml:space="preserve">   7  </w:t>
      </w:r>
      <w:r>
        <w:rPr>
          <w:rFonts w:hint="eastAsia" w:ascii="宋体" w:hAnsi="宋体"/>
          <w:sz w:val="24"/>
        </w:rPr>
        <w:t>天内确认或提出修改意见</w:t>
      </w:r>
      <w:r>
        <w:rPr>
          <w:rFonts w:ascii="宋体" w:hAnsi="宋体"/>
          <w:sz w:val="24"/>
        </w:rPr>
        <w:t>。对发包人和监理人提出的合理意见和要求，承包人应修改完善。根据工程实际情况需要修改施工组织设计的，承包人应向发包人和监理人提交修改后的施工组织设计。</w:t>
      </w:r>
    </w:p>
    <w:p>
      <w:pPr>
        <w:autoSpaceDE w:val="0"/>
        <w:autoSpaceDN w:val="0"/>
        <w:spacing w:line="360" w:lineRule="auto"/>
        <w:ind w:firstLine="480" w:firstLineChars="200"/>
        <w:rPr>
          <w:rFonts w:hint="eastAsia" w:ascii="宋体" w:hAnsi="宋体"/>
          <w:sz w:val="24"/>
        </w:rPr>
      </w:pPr>
      <w:r>
        <w:rPr>
          <w:rFonts w:hint="eastAsia" w:ascii="宋体" w:hAnsi="宋体"/>
          <w:sz w:val="24"/>
        </w:rPr>
        <w:t>7.1.3施工组织设计和专项施工方案的相关费用已包含在合同价格内。</w:t>
      </w:r>
    </w:p>
    <w:p>
      <w:pPr>
        <w:spacing w:line="360" w:lineRule="auto"/>
        <w:outlineLvl w:val="4"/>
        <w:rPr>
          <w:rFonts w:hint="eastAsia" w:ascii="宋体" w:hAnsi="宋体"/>
          <w:bCs/>
          <w:sz w:val="24"/>
          <w:lang w:val="zh-CN"/>
        </w:rPr>
      </w:pPr>
      <w:r>
        <w:rPr>
          <w:rFonts w:ascii="宋体" w:hAnsi="宋体"/>
          <w:bCs/>
          <w:sz w:val="24"/>
          <w:lang w:val="zh-CN"/>
        </w:rPr>
        <w:t>7.2 施工进度计划</w:t>
      </w:r>
    </w:p>
    <w:p>
      <w:pPr>
        <w:autoSpaceDE w:val="0"/>
        <w:autoSpaceDN w:val="0"/>
        <w:spacing w:line="360" w:lineRule="auto"/>
        <w:ind w:firstLine="480" w:firstLineChars="200"/>
        <w:rPr>
          <w:rFonts w:hint="eastAsia" w:ascii="宋体" w:hAnsi="宋体"/>
          <w:sz w:val="24"/>
        </w:rPr>
      </w:pPr>
      <w:r>
        <w:rPr>
          <w:rFonts w:ascii="宋体" w:hAnsi="宋体"/>
          <w:sz w:val="24"/>
        </w:rPr>
        <w:t>7.2.1 施工进度计划的编制</w:t>
      </w:r>
    </w:p>
    <w:p>
      <w:pPr>
        <w:autoSpaceDE w:val="0"/>
        <w:autoSpaceDN w:val="0"/>
        <w:spacing w:line="360" w:lineRule="auto"/>
        <w:ind w:firstLine="480" w:firstLineChars="200"/>
        <w:rPr>
          <w:rFonts w:hint="eastAsia" w:ascii="宋体" w:hAnsi="宋体"/>
          <w:sz w:val="24"/>
        </w:rPr>
      </w:pPr>
      <w:r>
        <w:rPr>
          <w:rFonts w:ascii="宋体" w:hAnsi="宋体"/>
          <w:sz w:val="24"/>
        </w:rPr>
        <w:t>承包人应提交详细的施工进度计划，施工进度计划经发包人批准后实施。发包人和监理人有权按照施工进度计划检查工程进度情况</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7.2.2 施工进度计划的修订</w:t>
      </w:r>
    </w:p>
    <w:p>
      <w:pPr>
        <w:autoSpaceDE w:val="0"/>
        <w:autoSpaceDN w:val="0"/>
        <w:spacing w:line="360" w:lineRule="auto"/>
        <w:ind w:firstLine="480" w:firstLineChars="200"/>
        <w:rPr>
          <w:rFonts w:hint="eastAsia" w:ascii="宋体" w:hAnsi="宋体"/>
          <w:sz w:val="24"/>
        </w:rPr>
      </w:pPr>
      <w:r>
        <w:rPr>
          <w:rFonts w:ascii="宋体" w:hAnsi="宋体"/>
          <w:sz w:val="24"/>
        </w:rPr>
        <w:t>工程的实际进度与施工进度计划不一致的，承包人应向监理人提交修订的施工进度计划，并附具有关措施和相关资料，由监理人</w:t>
      </w:r>
      <w:r>
        <w:rPr>
          <w:rFonts w:hint="eastAsia" w:ascii="宋体" w:hAnsi="宋体"/>
          <w:sz w:val="24"/>
        </w:rPr>
        <w:t>审查后</w:t>
      </w:r>
      <w:r>
        <w:rPr>
          <w:rFonts w:ascii="宋体" w:hAnsi="宋体"/>
          <w:sz w:val="24"/>
        </w:rPr>
        <w:t>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spacing w:line="360" w:lineRule="auto"/>
        <w:outlineLvl w:val="4"/>
        <w:rPr>
          <w:rFonts w:hint="eastAsia" w:ascii="宋体" w:hAnsi="宋体"/>
          <w:bCs/>
          <w:sz w:val="24"/>
          <w:lang w:val="zh-CN"/>
        </w:rPr>
      </w:pPr>
      <w:r>
        <w:rPr>
          <w:rFonts w:ascii="宋体" w:hAnsi="宋体"/>
          <w:bCs/>
          <w:sz w:val="24"/>
          <w:lang w:val="zh-CN"/>
        </w:rPr>
        <w:t>7.3 开工</w:t>
      </w:r>
    </w:p>
    <w:p>
      <w:pPr>
        <w:spacing w:line="360" w:lineRule="auto"/>
        <w:ind w:firstLine="480" w:firstLineChars="200"/>
        <w:rPr>
          <w:rFonts w:hint="eastAsia" w:ascii="宋体" w:hAnsi="宋体"/>
          <w:sz w:val="24"/>
        </w:rPr>
      </w:pPr>
      <w:r>
        <w:rPr>
          <w:rFonts w:ascii="宋体" w:hAnsi="宋体"/>
          <w:sz w:val="24"/>
        </w:rPr>
        <w:t>7.3.1 开工准备</w:t>
      </w:r>
    </w:p>
    <w:p>
      <w:pPr>
        <w:spacing w:line="360" w:lineRule="auto"/>
        <w:ind w:firstLine="480" w:firstLineChars="200"/>
        <w:rPr>
          <w:rFonts w:hint="eastAsia" w:ascii="宋体" w:hAnsi="宋体"/>
          <w:sz w:val="24"/>
        </w:rPr>
      </w:pPr>
      <w:r>
        <w:rPr>
          <w:rFonts w:ascii="宋体" w:hAnsi="宋体"/>
          <w:sz w:val="24"/>
        </w:rPr>
        <w:t>开工前</w:t>
      </w:r>
      <w:r>
        <w:rPr>
          <w:rFonts w:hint="eastAsia" w:ascii="宋体" w:hAnsi="宋体"/>
          <w:sz w:val="24"/>
        </w:rPr>
        <w:t>，</w:t>
      </w:r>
      <w:r>
        <w:rPr>
          <w:rFonts w:ascii="宋体" w:hAnsi="宋体"/>
          <w:sz w:val="24"/>
        </w:rPr>
        <w:t>承包人应向监理人提交工程开工报审表</w:t>
      </w:r>
      <w:r>
        <w:rPr>
          <w:rFonts w:hint="eastAsia" w:ascii="宋体" w:hAnsi="宋体"/>
          <w:sz w:val="24"/>
        </w:rPr>
        <w:t>及相关附件</w:t>
      </w:r>
      <w:r>
        <w:rPr>
          <w:rFonts w:ascii="宋体" w:hAnsi="宋体"/>
          <w:sz w:val="24"/>
        </w:rPr>
        <w:t>，经监理人</w:t>
      </w:r>
      <w:r>
        <w:rPr>
          <w:rFonts w:hint="eastAsia" w:ascii="宋体" w:hAnsi="宋体"/>
          <w:sz w:val="24"/>
        </w:rPr>
        <w:t>、</w:t>
      </w:r>
      <w:r>
        <w:rPr>
          <w:rFonts w:ascii="宋体" w:hAnsi="宋体"/>
          <w:sz w:val="24"/>
        </w:rPr>
        <w:t>发包人批准后执行。</w:t>
      </w:r>
    </w:p>
    <w:p>
      <w:pPr>
        <w:autoSpaceDE w:val="0"/>
        <w:autoSpaceDN w:val="0"/>
        <w:spacing w:line="360" w:lineRule="auto"/>
        <w:ind w:firstLine="480" w:firstLineChars="200"/>
        <w:rPr>
          <w:rFonts w:hint="eastAsia" w:ascii="宋体" w:hAnsi="宋体"/>
          <w:sz w:val="24"/>
        </w:rPr>
      </w:pPr>
      <w:r>
        <w:rPr>
          <w:rFonts w:ascii="宋体" w:hAnsi="宋体"/>
          <w:sz w:val="24"/>
        </w:rPr>
        <w:t>7.3.2 开工通知</w:t>
      </w:r>
    </w:p>
    <w:p>
      <w:pPr>
        <w:autoSpaceDE w:val="0"/>
        <w:autoSpaceDN w:val="0"/>
        <w:spacing w:line="360" w:lineRule="auto"/>
        <w:ind w:firstLine="480" w:firstLineChars="200"/>
      </w:pPr>
      <w:r>
        <w:rPr>
          <w:rFonts w:ascii="宋体" w:hAnsi="宋体"/>
          <w:sz w:val="24"/>
        </w:rPr>
        <w:t>经发包人同意后，监理人应在计划开工日期前</w:t>
      </w:r>
      <w:r>
        <w:rPr>
          <w:rFonts w:hint="eastAsia" w:ascii="宋体" w:hAnsi="宋体"/>
          <w:sz w:val="24"/>
        </w:rPr>
        <w:t>批复承包人的开工报审表或</w:t>
      </w:r>
      <w:r>
        <w:rPr>
          <w:rFonts w:ascii="宋体" w:hAnsi="宋体"/>
          <w:sz w:val="24"/>
        </w:rPr>
        <w:t>向承包人发出</w:t>
      </w:r>
      <w:r>
        <w:rPr>
          <w:rFonts w:hint="eastAsia" w:ascii="宋体" w:hAnsi="宋体"/>
          <w:sz w:val="24"/>
        </w:rPr>
        <w:t>书面的</w:t>
      </w:r>
      <w:r>
        <w:rPr>
          <w:rFonts w:ascii="宋体" w:hAnsi="宋体"/>
          <w:sz w:val="24"/>
        </w:rPr>
        <w:t>开工通知，工期自</w:t>
      </w:r>
      <w:r>
        <w:rPr>
          <w:rFonts w:hint="eastAsia" w:ascii="宋体" w:hAnsi="宋体"/>
          <w:sz w:val="24"/>
        </w:rPr>
        <w:t>批复承包人的开工报审表日期或</w:t>
      </w:r>
      <w:r>
        <w:rPr>
          <w:rFonts w:ascii="宋体" w:hAnsi="宋体"/>
          <w:sz w:val="24"/>
        </w:rPr>
        <w:t>开工通知中载明的开工日期起算。</w:t>
      </w:r>
    </w:p>
    <w:p>
      <w:pPr>
        <w:spacing w:line="360" w:lineRule="auto"/>
        <w:outlineLvl w:val="4"/>
        <w:rPr>
          <w:rFonts w:hint="eastAsia" w:ascii="宋体" w:hAnsi="宋体"/>
          <w:bCs/>
          <w:sz w:val="24"/>
          <w:lang w:val="zh-CN"/>
        </w:rPr>
      </w:pPr>
      <w:r>
        <w:rPr>
          <w:rFonts w:ascii="宋体" w:hAnsi="宋体"/>
          <w:bCs/>
          <w:sz w:val="24"/>
          <w:lang w:val="zh-CN"/>
        </w:rPr>
        <w:t>7.</w:t>
      </w:r>
      <w:r>
        <w:rPr>
          <w:rFonts w:hint="eastAsia" w:ascii="宋体" w:hAnsi="宋体"/>
          <w:bCs/>
          <w:sz w:val="24"/>
        </w:rPr>
        <w:t>5</w:t>
      </w:r>
      <w:r>
        <w:rPr>
          <w:rFonts w:hint="eastAsia" w:ascii="宋体" w:hAnsi="宋体"/>
          <w:bCs/>
          <w:sz w:val="24"/>
          <w:lang w:val="zh-CN"/>
        </w:rPr>
        <w:t xml:space="preserve"> </w:t>
      </w:r>
      <w:r>
        <w:rPr>
          <w:rFonts w:ascii="宋体" w:hAnsi="宋体"/>
          <w:bCs/>
          <w:sz w:val="24"/>
          <w:lang w:val="zh-CN"/>
        </w:rPr>
        <w:t>工期延误</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5</w:t>
      </w:r>
      <w:r>
        <w:rPr>
          <w:rFonts w:ascii="宋体" w:hAnsi="宋体"/>
          <w:sz w:val="24"/>
        </w:rPr>
        <w:t>.1 因发包人原因导致工期延误</w:t>
      </w:r>
    </w:p>
    <w:p>
      <w:pPr>
        <w:spacing w:line="360" w:lineRule="auto"/>
        <w:ind w:firstLine="480" w:firstLineChars="200"/>
        <w:rPr>
          <w:rFonts w:hint="eastAsia" w:ascii="宋体" w:hAnsi="宋体"/>
          <w:sz w:val="24"/>
        </w:rPr>
      </w:pPr>
      <w:r>
        <w:rPr>
          <w:rFonts w:hint="eastAsia" w:ascii="宋体" w:hAnsi="宋体"/>
          <w:sz w:val="24"/>
        </w:rPr>
        <w:t xml:space="preserve">在合同履行过程中，因下列情况导致关键线路工期延误的，发包人只给予工期顺延： </w:t>
      </w:r>
    </w:p>
    <w:p>
      <w:pPr>
        <w:spacing w:line="360" w:lineRule="auto"/>
        <w:ind w:firstLine="480" w:firstLineChars="200"/>
        <w:rPr>
          <w:rFonts w:hint="eastAsia" w:ascii="宋体" w:hAnsi="宋体"/>
          <w:sz w:val="24"/>
          <w:u w:val="single"/>
        </w:rPr>
      </w:pPr>
      <w:r>
        <w:rPr>
          <w:rFonts w:hint="eastAsia" w:ascii="宋体" w:hAnsi="宋体"/>
          <w:sz w:val="24"/>
        </w:rPr>
        <w:t>（1）</w:t>
      </w:r>
      <w:r>
        <w:rPr>
          <w:rFonts w:hint="eastAsia" w:ascii="宋体" w:hAnsi="宋体"/>
          <w:sz w:val="24"/>
          <w:u w:val="single"/>
        </w:rPr>
        <w:t>发包人未能按合同约定提供图纸或所提供图纸不符合合同约定的；</w:t>
      </w:r>
    </w:p>
    <w:p>
      <w:pPr>
        <w:spacing w:line="360" w:lineRule="auto"/>
        <w:ind w:firstLine="480" w:firstLineChars="200"/>
        <w:rPr>
          <w:rFonts w:hint="eastAsia" w:ascii="宋体" w:hAnsi="宋体"/>
          <w:sz w:val="24"/>
          <w:u w:val="single"/>
        </w:rPr>
      </w:pPr>
      <w:r>
        <w:rPr>
          <w:rFonts w:hint="eastAsia" w:ascii="宋体" w:hAnsi="宋体"/>
          <w:sz w:val="24"/>
        </w:rPr>
        <w:t>（2）</w:t>
      </w:r>
      <w:r>
        <w:rPr>
          <w:rFonts w:hint="eastAsia" w:ascii="宋体" w:hAnsi="宋体"/>
          <w:sz w:val="24"/>
          <w:u w:val="single"/>
        </w:rPr>
        <w:t>发包人未能按合同约定提供施工现场、施工条件、基础资料、许可、批准等开工条件的；</w:t>
      </w:r>
    </w:p>
    <w:p>
      <w:pPr>
        <w:spacing w:line="360" w:lineRule="auto"/>
        <w:ind w:firstLine="480" w:firstLineChars="200"/>
        <w:rPr>
          <w:rFonts w:hint="eastAsia" w:ascii="宋体" w:hAnsi="宋体"/>
          <w:sz w:val="24"/>
          <w:u w:val="single"/>
        </w:rPr>
      </w:pPr>
      <w:r>
        <w:rPr>
          <w:rFonts w:hint="eastAsia" w:ascii="宋体" w:hAnsi="宋体"/>
          <w:sz w:val="24"/>
        </w:rPr>
        <w:t>（4）</w:t>
      </w:r>
      <w:r>
        <w:rPr>
          <w:rFonts w:hint="eastAsia" w:ascii="宋体" w:hAnsi="宋体"/>
          <w:sz w:val="24"/>
          <w:u w:val="single"/>
        </w:rPr>
        <w:t>发包人未能在计划开工日期之日起7天内同意下达开工通知的；</w:t>
      </w:r>
    </w:p>
    <w:p>
      <w:pPr>
        <w:spacing w:line="360" w:lineRule="auto"/>
        <w:ind w:firstLine="480" w:firstLineChars="200"/>
        <w:rPr>
          <w:rFonts w:hint="eastAsia" w:ascii="宋体" w:hAnsi="宋体"/>
          <w:sz w:val="24"/>
          <w:u w:val="single"/>
        </w:rPr>
      </w:pPr>
      <w:r>
        <w:rPr>
          <w:rFonts w:hint="eastAsia" w:ascii="宋体" w:hAnsi="宋体"/>
          <w:sz w:val="24"/>
        </w:rPr>
        <w:t>（5）</w:t>
      </w:r>
      <w:r>
        <w:rPr>
          <w:rFonts w:hint="eastAsia" w:ascii="宋体" w:hAnsi="宋体"/>
          <w:sz w:val="24"/>
          <w:u w:val="single"/>
        </w:rPr>
        <w:t>发包人未能按合同约定日期支付合同款项的；</w:t>
      </w:r>
    </w:p>
    <w:p>
      <w:pPr>
        <w:spacing w:line="360" w:lineRule="auto"/>
        <w:ind w:firstLine="480" w:firstLineChars="200"/>
        <w:rPr>
          <w:rFonts w:hint="eastAsia" w:ascii="宋体" w:hAnsi="宋体"/>
          <w:sz w:val="24"/>
          <w:u w:val="single"/>
        </w:rPr>
      </w:pPr>
      <w:r>
        <w:rPr>
          <w:rFonts w:hint="eastAsia" w:ascii="宋体" w:hAnsi="宋体"/>
          <w:sz w:val="24"/>
        </w:rPr>
        <w:t>（6）</w:t>
      </w:r>
      <w:r>
        <w:rPr>
          <w:rFonts w:hint="eastAsia" w:ascii="宋体" w:hAnsi="宋体"/>
          <w:sz w:val="24"/>
          <w:u w:val="single"/>
        </w:rPr>
        <w:t>监理人未按合同约定发出指示、批准等文件的；</w:t>
      </w:r>
    </w:p>
    <w:p>
      <w:pPr>
        <w:spacing w:line="360" w:lineRule="auto"/>
        <w:ind w:firstLine="480" w:firstLineChars="200"/>
        <w:rPr>
          <w:rFonts w:hint="eastAsia" w:ascii="宋体" w:hAnsi="宋体"/>
          <w:sz w:val="24"/>
        </w:rPr>
      </w:pPr>
      <w:r>
        <w:rPr>
          <w:rFonts w:hint="eastAsia" w:ascii="宋体" w:hAnsi="宋体"/>
          <w:sz w:val="24"/>
        </w:rPr>
        <w:t>（7）</w:t>
      </w:r>
      <w:r>
        <w:rPr>
          <w:rFonts w:ascii="宋体" w:hAnsi="宋体"/>
          <w:sz w:val="24"/>
          <w:u w:val="single"/>
        </w:rPr>
        <w:t>因发包人原因导致工期延误的其他情形</w:t>
      </w:r>
      <w:r>
        <w:rPr>
          <w:rFonts w:hint="eastAsia" w:ascii="宋体" w:hAnsi="宋体"/>
          <w:sz w:val="24"/>
          <w:u w:val="single"/>
        </w:rPr>
        <w:t>。</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5</w:t>
      </w:r>
      <w:r>
        <w:rPr>
          <w:rFonts w:ascii="宋体" w:hAnsi="宋体"/>
          <w:sz w:val="24"/>
        </w:rPr>
        <w:t>.2 因承包人原因导致工期延误</w:t>
      </w:r>
    </w:p>
    <w:p>
      <w:pPr>
        <w:spacing w:line="360" w:lineRule="auto"/>
        <w:ind w:firstLine="480" w:firstLineChars="200"/>
        <w:rPr>
          <w:rFonts w:hint="eastAsia" w:ascii="宋体" w:hAnsi="宋体"/>
          <w:sz w:val="24"/>
          <w:u w:val="single"/>
        </w:rPr>
      </w:pPr>
      <w:r>
        <w:rPr>
          <w:rFonts w:ascii="宋体" w:hAnsi="宋体"/>
          <w:sz w:val="24"/>
        </w:rPr>
        <w:t>因承包人原因</w:t>
      </w:r>
      <w:r>
        <w:rPr>
          <w:rFonts w:hint="eastAsia" w:ascii="宋体" w:hAnsi="宋体"/>
          <w:sz w:val="24"/>
        </w:rPr>
        <w:t>导致</w:t>
      </w:r>
      <w:r>
        <w:rPr>
          <w:rFonts w:ascii="宋体" w:hAnsi="宋体"/>
          <w:sz w:val="24"/>
        </w:rPr>
        <w:t>工程延误的</w:t>
      </w:r>
      <w:r>
        <w:rPr>
          <w:rFonts w:hint="eastAsia" w:ascii="宋体" w:hAnsi="宋体"/>
          <w:sz w:val="24"/>
        </w:rPr>
        <w:t>，承包人承担违约责任且工期不予顺延。</w:t>
      </w:r>
    </w:p>
    <w:p>
      <w:pPr>
        <w:spacing w:line="360" w:lineRule="auto"/>
        <w:ind w:firstLine="480" w:firstLineChars="200"/>
        <w:rPr>
          <w:rFonts w:hint="eastAsia" w:ascii="宋体" w:hAnsi="宋体"/>
          <w:sz w:val="24"/>
          <w:u w:val="single"/>
        </w:rPr>
      </w:pPr>
      <w:r>
        <w:rPr>
          <w:rFonts w:hint="eastAsia" w:ascii="宋体" w:hAnsi="宋体"/>
          <w:sz w:val="24"/>
          <w:u w:val="single"/>
        </w:rPr>
        <w:t>若承包人未按批准的施工进度计划进行施工，致使进度延误并申请逾期竣工的，承包人向发包人支付逾期竣工违约金。承包人支付逾期竣工违约金后，不免除承包人继续完成工程及修补缺陷的义务。</w:t>
      </w:r>
    </w:p>
    <w:p>
      <w:pPr>
        <w:spacing w:line="360" w:lineRule="auto"/>
        <w:ind w:firstLine="480" w:firstLineChars="200"/>
        <w:rPr>
          <w:rFonts w:hint="eastAsia" w:ascii="宋体" w:hAnsi="宋体"/>
          <w:sz w:val="24"/>
          <w:u w:val="single"/>
        </w:rPr>
      </w:pPr>
      <w:r>
        <w:rPr>
          <w:rFonts w:hint="eastAsia" w:ascii="宋体" w:hAnsi="宋体"/>
          <w:sz w:val="24"/>
          <w:u w:val="single"/>
        </w:rPr>
        <w:t>因承包人的原因，致使关键线路进度延误达到10天，发包人有权收回未完成的工程，交由其他单位施工，责任由承包人承担，由此给发包人造成的损失由承包人负责赔偿。</w:t>
      </w:r>
    </w:p>
    <w:p>
      <w:pPr>
        <w:spacing w:line="360" w:lineRule="auto"/>
        <w:outlineLvl w:val="4"/>
        <w:rPr>
          <w:rFonts w:hint="eastAsia" w:ascii="宋体" w:hAnsi="宋体"/>
          <w:bCs/>
          <w:sz w:val="24"/>
          <w:lang w:val="zh-CN"/>
        </w:rPr>
      </w:pPr>
      <w:r>
        <w:rPr>
          <w:rFonts w:ascii="宋体" w:hAnsi="宋体"/>
          <w:bCs/>
          <w:sz w:val="24"/>
          <w:lang w:val="zh-CN"/>
        </w:rPr>
        <w:t>7.</w:t>
      </w:r>
      <w:r>
        <w:rPr>
          <w:rFonts w:hint="eastAsia" w:ascii="宋体" w:hAnsi="宋体"/>
          <w:bCs/>
          <w:sz w:val="24"/>
        </w:rPr>
        <w:t>8</w:t>
      </w:r>
      <w:r>
        <w:rPr>
          <w:rFonts w:ascii="宋体" w:hAnsi="宋体"/>
          <w:bCs/>
          <w:sz w:val="24"/>
          <w:lang w:val="zh-CN"/>
        </w:rPr>
        <w:t>暂停施工</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.1发包人原因引起的暂停施工</w:t>
      </w:r>
    </w:p>
    <w:p>
      <w:pPr>
        <w:spacing w:line="360" w:lineRule="auto"/>
        <w:ind w:firstLine="480" w:firstLineChars="200"/>
        <w:rPr>
          <w:rFonts w:hint="eastAsia" w:ascii="宋体" w:hAnsi="宋体"/>
          <w:sz w:val="24"/>
        </w:rPr>
      </w:pPr>
      <w:r>
        <w:rPr>
          <w:rFonts w:ascii="宋体" w:hAnsi="宋体"/>
          <w:sz w:val="24"/>
        </w:rPr>
        <w:t>因发包人原因引起暂停施工的，监理人经发包人同意后，应及时下达暂停施工指示。情况紧急且监理人未及时下达暂停施工指示的，按照</w:t>
      </w:r>
      <w:r>
        <w:rPr>
          <w:rFonts w:hint="eastAsia" w:ascii="宋体" w:hAnsi="宋体"/>
          <w:sz w:val="24"/>
        </w:rPr>
        <w:t>本合同〔</w:t>
      </w:r>
      <w:r>
        <w:rPr>
          <w:rFonts w:ascii="宋体" w:hAnsi="宋体"/>
          <w:sz w:val="24"/>
        </w:rPr>
        <w:t>紧急情况下的暂停施工</w:t>
      </w:r>
      <w:r>
        <w:rPr>
          <w:rFonts w:hint="eastAsia" w:ascii="宋体" w:hAnsi="宋体"/>
          <w:sz w:val="24"/>
        </w:rPr>
        <w:t>〕</w:t>
      </w:r>
      <w:r>
        <w:rPr>
          <w:rFonts w:ascii="宋体" w:hAnsi="宋体"/>
          <w:sz w:val="24"/>
        </w:rPr>
        <w:t>执行。</w:t>
      </w:r>
    </w:p>
    <w:p>
      <w:pPr>
        <w:spacing w:line="360" w:lineRule="auto"/>
        <w:ind w:firstLine="480" w:firstLineChars="200"/>
        <w:rPr>
          <w:rFonts w:hint="eastAsia" w:ascii="宋体" w:hAnsi="宋体"/>
          <w:sz w:val="24"/>
        </w:rPr>
      </w:pPr>
      <w:r>
        <w:rPr>
          <w:rFonts w:ascii="宋体" w:hAnsi="宋体"/>
          <w:sz w:val="24"/>
        </w:rPr>
        <w:t>因发包人原因引起的暂停施工，发包人应承担由此延误的工期。</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.2 承包人原因引起的暂停施工</w:t>
      </w:r>
    </w:p>
    <w:p>
      <w:pPr>
        <w:spacing w:line="360" w:lineRule="auto"/>
        <w:ind w:firstLine="480" w:firstLineChars="200"/>
        <w:rPr>
          <w:rFonts w:hint="eastAsia" w:ascii="宋体" w:hAnsi="宋体"/>
          <w:sz w:val="24"/>
        </w:rPr>
      </w:pPr>
      <w:r>
        <w:rPr>
          <w:rFonts w:ascii="宋体" w:hAnsi="宋体"/>
          <w:sz w:val="24"/>
        </w:rPr>
        <w:t>因承包人原因引起的暂停施工，承包人应承担由此增加的费用和（或）延误的工期，且承包人在收到监理人复工指示后</w:t>
      </w:r>
      <w:r>
        <w:rPr>
          <w:rFonts w:hint="eastAsia" w:ascii="宋体" w:hAnsi="宋体"/>
          <w:sz w:val="24"/>
          <w:u w:val="single"/>
        </w:rPr>
        <w:t>7</w:t>
      </w:r>
      <w:r>
        <w:rPr>
          <w:rFonts w:ascii="宋体" w:hAnsi="宋体"/>
          <w:sz w:val="24"/>
        </w:rPr>
        <w:t>天内仍未复工的，视为承包人违约情形。</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.3 指示暂停施工</w:t>
      </w:r>
    </w:p>
    <w:p>
      <w:pPr>
        <w:spacing w:line="360" w:lineRule="auto"/>
        <w:ind w:firstLine="480" w:firstLineChars="200"/>
        <w:rPr>
          <w:rFonts w:hint="eastAsia" w:ascii="宋体" w:hAnsi="宋体"/>
          <w:sz w:val="24"/>
        </w:rPr>
      </w:pPr>
      <w:r>
        <w:rPr>
          <w:rFonts w:ascii="宋体" w:hAnsi="宋体"/>
          <w:sz w:val="24"/>
        </w:rPr>
        <w:t>监理人认为有必要时，并经发包人批准后，可向承包人作出暂停施工的指示，承包人应按监理人指示暂停施工。</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.4 紧急情况下的暂停施工</w:t>
      </w:r>
    </w:p>
    <w:p>
      <w:pPr>
        <w:spacing w:line="360" w:lineRule="auto"/>
        <w:ind w:firstLine="480" w:firstLineChars="200"/>
        <w:rPr>
          <w:rFonts w:hint="eastAsia" w:ascii="宋体" w:hAnsi="宋体"/>
          <w:sz w:val="24"/>
        </w:rPr>
      </w:pPr>
      <w:r>
        <w:rPr>
          <w:rFonts w:ascii="宋体" w:hAnsi="宋体"/>
          <w:sz w:val="24"/>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w:t>
      </w:r>
      <w:r>
        <w:rPr>
          <w:rFonts w:hint="eastAsia" w:ascii="宋体" w:hAnsi="宋体"/>
          <w:sz w:val="24"/>
        </w:rPr>
        <w:t>本合同〔</w:t>
      </w:r>
      <w:r>
        <w:rPr>
          <w:rFonts w:ascii="宋体" w:hAnsi="宋体"/>
          <w:sz w:val="24"/>
        </w:rPr>
        <w:t>争议解决</w:t>
      </w:r>
      <w:r>
        <w:rPr>
          <w:rFonts w:hint="eastAsia" w:ascii="宋体" w:hAnsi="宋体"/>
          <w:sz w:val="24"/>
        </w:rPr>
        <w:t>〕</w:t>
      </w:r>
      <w:r>
        <w:rPr>
          <w:rFonts w:ascii="宋体" w:hAnsi="宋体"/>
          <w:sz w:val="24"/>
        </w:rPr>
        <w:t>约定处理。</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.5 暂停施工后的复工</w:t>
      </w:r>
    </w:p>
    <w:p>
      <w:pPr>
        <w:spacing w:line="360" w:lineRule="auto"/>
        <w:ind w:firstLine="480" w:firstLineChars="200"/>
        <w:rPr>
          <w:rFonts w:hint="eastAsia" w:ascii="宋体" w:hAnsi="宋体"/>
          <w:sz w:val="24"/>
        </w:rPr>
      </w:pPr>
      <w:r>
        <w:rPr>
          <w:rFonts w:ascii="宋体" w:hAnsi="宋体"/>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80" w:firstLineChars="200"/>
        <w:rPr>
          <w:rFonts w:hint="eastAsia" w:ascii="宋体" w:hAnsi="宋体"/>
          <w:sz w:val="24"/>
        </w:rPr>
      </w:pPr>
      <w:r>
        <w:rPr>
          <w:rFonts w:ascii="宋体" w:hAnsi="宋体"/>
          <w:sz w:val="24"/>
        </w:rPr>
        <w:t>承包人无故拖延和拒绝复工的，承包人承担由此增加的费用和（或）延误的工期。</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.6 暂停施工持续56天以上</w:t>
      </w:r>
    </w:p>
    <w:p>
      <w:pPr>
        <w:spacing w:line="360" w:lineRule="auto"/>
        <w:ind w:firstLine="468" w:firstLineChars="195"/>
        <w:rPr>
          <w:rFonts w:hint="eastAsia" w:ascii="宋体" w:hAnsi="宋体"/>
          <w:sz w:val="24"/>
        </w:rPr>
      </w:pPr>
      <w:r>
        <w:rPr>
          <w:rFonts w:ascii="宋体" w:hAnsi="宋体"/>
          <w:sz w:val="24"/>
        </w:rPr>
        <w:t>暂停施工持续</w:t>
      </w:r>
      <w:r>
        <w:rPr>
          <w:rFonts w:hint="eastAsia" w:ascii="宋体" w:hAnsi="宋体"/>
          <w:sz w:val="24"/>
        </w:rPr>
        <w:t>56</w:t>
      </w:r>
      <w:r>
        <w:rPr>
          <w:rFonts w:ascii="宋体" w:hAnsi="宋体"/>
          <w:sz w:val="24"/>
        </w:rPr>
        <w:t>天以上不复工的，且不属于</w:t>
      </w:r>
      <w:r>
        <w:rPr>
          <w:rFonts w:hint="eastAsia" w:ascii="宋体" w:hAnsi="宋体"/>
          <w:sz w:val="24"/>
        </w:rPr>
        <w:t>本合同</w:t>
      </w:r>
      <w:r>
        <w:rPr>
          <w:rFonts w:ascii="宋体" w:hAnsi="宋体"/>
          <w:sz w:val="24"/>
        </w:rPr>
        <w:t>不可抗力条款约定的情形，并影响到整个工程以及合同目的实现的，</w:t>
      </w:r>
      <w:r>
        <w:rPr>
          <w:rFonts w:hint="eastAsia" w:ascii="宋体" w:hAnsi="宋体"/>
          <w:sz w:val="24"/>
        </w:rPr>
        <w:t>发包人或</w:t>
      </w:r>
      <w:r>
        <w:rPr>
          <w:rFonts w:ascii="宋体" w:hAnsi="宋体"/>
          <w:sz w:val="24"/>
        </w:rPr>
        <w:t>承包人有权提出解除合同。</w:t>
      </w:r>
    </w:p>
    <w:p>
      <w:pPr>
        <w:spacing w:line="360" w:lineRule="auto"/>
        <w:ind w:firstLine="468" w:firstLineChars="195"/>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.7 暂停施工期间的工程照管</w:t>
      </w:r>
    </w:p>
    <w:p>
      <w:pPr>
        <w:spacing w:line="360" w:lineRule="auto"/>
        <w:ind w:firstLine="480" w:firstLineChars="200"/>
        <w:rPr>
          <w:rFonts w:hint="eastAsia" w:ascii="宋体" w:hAnsi="宋体"/>
          <w:sz w:val="24"/>
        </w:rPr>
      </w:pPr>
      <w:r>
        <w:rPr>
          <w:rFonts w:ascii="宋体" w:hAnsi="宋体"/>
          <w:sz w:val="24"/>
        </w:rPr>
        <w:t>暂停施工期间，承包人应负责妥善照管工程并提供安全保障</w:t>
      </w:r>
      <w:r>
        <w:rPr>
          <w:rFonts w:hint="eastAsia" w:ascii="宋体" w:hAnsi="宋体"/>
          <w:sz w:val="24"/>
        </w:rPr>
        <w:t>，由承包人原因引起的暂停施工而增加的费用由承包人承担，因发包人原因引起的暂停施工而增加的费用双方协商解决。</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8</w:t>
      </w:r>
      <w:r>
        <w:rPr>
          <w:rFonts w:ascii="宋体" w:hAnsi="宋体"/>
          <w:sz w:val="24"/>
        </w:rPr>
        <w:t>.8 暂停施工的措施</w:t>
      </w:r>
    </w:p>
    <w:p>
      <w:pPr>
        <w:spacing w:line="360" w:lineRule="auto"/>
        <w:ind w:firstLine="480" w:firstLineChars="200"/>
        <w:rPr>
          <w:rFonts w:hint="eastAsia" w:ascii="宋体" w:hAnsi="宋体"/>
          <w:sz w:val="24"/>
        </w:rPr>
      </w:pPr>
      <w:r>
        <w:rPr>
          <w:rFonts w:ascii="宋体" w:hAnsi="宋体"/>
          <w:sz w:val="24"/>
        </w:rPr>
        <w:t>暂停施工期间，发包人和承包人均应采取必要的措施确保工程质量及安全，防止因暂停施工扩大损失。</w:t>
      </w:r>
    </w:p>
    <w:p>
      <w:pPr>
        <w:spacing w:line="360" w:lineRule="auto"/>
        <w:outlineLvl w:val="4"/>
        <w:rPr>
          <w:rFonts w:hint="eastAsia" w:ascii="宋体" w:hAnsi="宋体"/>
          <w:bCs/>
          <w:sz w:val="24"/>
          <w:lang w:val="zh-CN"/>
        </w:rPr>
      </w:pPr>
      <w:r>
        <w:rPr>
          <w:rFonts w:ascii="宋体" w:hAnsi="宋体"/>
          <w:bCs/>
          <w:sz w:val="24"/>
          <w:lang w:val="zh-CN"/>
        </w:rPr>
        <w:t>7.</w:t>
      </w:r>
      <w:r>
        <w:rPr>
          <w:rFonts w:hint="eastAsia" w:ascii="宋体" w:hAnsi="宋体"/>
          <w:bCs/>
          <w:sz w:val="24"/>
        </w:rPr>
        <w:t>9</w:t>
      </w:r>
      <w:r>
        <w:rPr>
          <w:rFonts w:ascii="宋体" w:hAnsi="宋体"/>
          <w:bCs/>
          <w:sz w:val="24"/>
          <w:lang w:val="zh-CN"/>
        </w:rPr>
        <w:t>提前竣工</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9</w:t>
      </w:r>
      <w:r>
        <w:rPr>
          <w:rFonts w:ascii="宋体" w:hAnsi="宋体"/>
          <w:sz w:val="24"/>
        </w:rPr>
        <w:t>.1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由此增加的费用由发包人承担。</w:t>
      </w:r>
      <w:r>
        <w:rPr>
          <w:rFonts w:hint="eastAsia" w:ascii="宋体" w:hAnsi="宋体"/>
          <w:sz w:val="24"/>
        </w:rPr>
        <w:t>承包人认为提前竣工指示无法执行的，应向监理人和发包人提出书面异议，发包人和监理人应在收到异议后7天内予以答复。</w:t>
      </w:r>
    </w:p>
    <w:p>
      <w:pPr>
        <w:spacing w:line="360" w:lineRule="auto"/>
        <w:ind w:firstLine="480" w:firstLineChars="200"/>
        <w:rPr>
          <w:rFonts w:hint="eastAsia" w:ascii="宋体" w:hAnsi="宋体"/>
          <w:sz w:val="24"/>
        </w:rPr>
      </w:pPr>
      <w:r>
        <w:rPr>
          <w:rFonts w:ascii="宋体" w:hAnsi="宋体"/>
          <w:sz w:val="24"/>
        </w:rPr>
        <w:t>7.</w:t>
      </w:r>
      <w:r>
        <w:rPr>
          <w:rFonts w:hint="eastAsia" w:ascii="宋体" w:hAnsi="宋体"/>
          <w:sz w:val="24"/>
        </w:rPr>
        <w:t>9</w:t>
      </w:r>
      <w:r>
        <w:rPr>
          <w:rFonts w:ascii="宋体" w:hAnsi="宋体"/>
          <w:sz w:val="24"/>
        </w:rPr>
        <w:t>.2 发包人要求承包人提前竣工，或承包人提出提前竣工的建议给发包人带来效益的，合同当事人另行约定提前竣工的奖励。</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设备与材料</w:t>
      </w:r>
    </w:p>
    <w:p>
      <w:pPr>
        <w:spacing w:line="360" w:lineRule="auto"/>
        <w:outlineLvl w:val="4"/>
        <w:rPr>
          <w:rFonts w:hint="eastAsia" w:ascii="宋体" w:hAnsi="宋体"/>
          <w:bCs/>
          <w:color w:val="000000"/>
          <w:sz w:val="24"/>
          <w:lang w:val="zh-CN"/>
        </w:rPr>
      </w:pPr>
      <w:r>
        <w:rPr>
          <w:rFonts w:ascii="宋体" w:hAnsi="宋体"/>
          <w:bCs/>
          <w:color w:val="000000"/>
          <w:sz w:val="24"/>
          <w:lang w:val="zh-CN"/>
        </w:rPr>
        <w:t>8.1发包人供应工程设备与材料</w:t>
      </w:r>
      <w:r>
        <w:rPr>
          <w:rFonts w:hint="eastAsia" w:ascii="宋体" w:hAnsi="宋体"/>
          <w:bCs/>
          <w:color w:val="000000"/>
          <w:sz w:val="24"/>
          <w:lang w:val="zh-CN"/>
        </w:rPr>
        <w:t>（无）</w:t>
      </w:r>
    </w:p>
    <w:p>
      <w:pPr>
        <w:spacing w:line="360" w:lineRule="auto"/>
        <w:outlineLvl w:val="4"/>
        <w:rPr>
          <w:rFonts w:hint="eastAsia" w:ascii="宋体" w:hAnsi="宋体"/>
          <w:bCs/>
          <w:sz w:val="24"/>
          <w:lang w:val="zh-CN"/>
        </w:rPr>
      </w:pPr>
      <w:r>
        <w:rPr>
          <w:rFonts w:ascii="宋体" w:hAnsi="宋体"/>
          <w:bCs/>
          <w:sz w:val="24"/>
          <w:lang w:val="zh-CN"/>
        </w:rPr>
        <w:t>8.2承包人采购工程设备与材料</w:t>
      </w:r>
    </w:p>
    <w:p>
      <w:pPr>
        <w:pStyle w:val="2"/>
        <w:ind w:firstLine="480"/>
        <w:rPr>
          <w:lang w:val="zh-CN"/>
        </w:rPr>
      </w:pPr>
      <w:r>
        <w:rPr>
          <w:rFonts w:hint="eastAsia" w:ascii="宋体" w:hAnsi="宋体"/>
          <w:sz w:val="24"/>
          <w:szCs w:val="24"/>
        </w:rPr>
        <w:t>承包人提供的材料供应商需经过发包人审核批准后方可实行。</w:t>
      </w:r>
    </w:p>
    <w:p>
      <w:pPr>
        <w:autoSpaceDE w:val="0"/>
        <w:autoSpaceDN w:val="0"/>
        <w:spacing w:line="360" w:lineRule="auto"/>
        <w:ind w:firstLine="480" w:firstLineChars="200"/>
        <w:rPr>
          <w:rFonts w:hint="eastAsia" w:ascii="宋体" w:hAnsi="宋体"/>
          <w:sz w:val="24"/>
        </w:rPr>
      </w:pPr>
      <w:r>
        <w:rPr>
          <w:rFonts w:ascii="宋体" w:hAnsi="宋体"/>
          <w:sz w:val="24"/>
        </w:rPr>
        <w:t>承包人负责采购的设备</w:t>
      </w:r>
      <w:r>
        <w:rPr>
          <w:rFonts w:hint="eastAsia" w:ascii="宋体" w:hAnsi="宋体"/>
          <w:sz w:val="24"/>
        </w:rPr>
        <w:t>、</w:t>
      </w:r>
      <w:r>
        <w:rPr>
          <w:rFonts w:ascii="宋体" w:hAnsi="宋体"/>
          <w:sz w:val="24"/>
        </w:rPr>
        <w:t>材料，应按照设计和有关标准要求采购，并提供产品合格证明及出厂证明，对工程设备</w:t>
      </w:r>
      <w:r>
        <w:rPr>
          <w:rFonts w:hint="eastAsia" w:ascii="宋体" w:hAnsi="宋体"/>
          <w:sz w:val="24"/>
        </w:rPr>
        <w:t>、</w:t>
      </w:r>
      <w:r>
        <w:rPr>
          <w:rFonts w:ascii="宋体" w:hAnsi="宋体"/>
          <w:sz w:val="24"/>
        </w:rPr>
        <w:t>材料质量负责。</w:t>
      </w:r>
      <w:r>
        <w:rPr>
          <w:rFonts w:hint="eastAsia" w:ascii="宋体" w:hAnsi="宋体"/>
          <w:sz w:val="24"/>
        </w:rPr>
        <w:t>各类材料及技术检验检测应满足本项目的最终验收，检验检测费用由发包人承担。</w:t>
      </w:r>
    </w:p>
    <w:p>
      <w:pPr>
        <w:autoSpaceDE w:val="0"/>
        <w:autoSpaceDN w:val="0"/>
        <w:spacing w:line="360" w:lineRule="auto"/>
        <w:ind w:firstLine="480" w:firstLineChars="200"/>
        <w:rPr>
          <w:rFonts w:hint="eastAsia" w:ascii="宋体" w:hAnsi="宋体"/>
          <w:sz w:val="24"/>
        </w:rPr>
      </w:pPr>
      <w:r>
        <w:rPr>
          <w:rFonts w:hint="eastAsia" w:ascii="宋体" w:hAnsi="宋体"/>
          <w:sz w:val="24"/>
        </w:rPr>
        <w:t>本工程涉及的压力管道、设备到当地技术监督部门办理验收、取证等工作及费用由承包人负责。</w:t>
      </w:r>
    </w:p>
    <w:p>
      <w:pPr>
        <w:pStyle w:val="2"/>
      </w:pPr>
    </w:p>
    <w:p>
      <w:pPr>
        <w:spacing w:line="360" w:lineRule="auto"/>
        <w:outlineLvl w:val="4"/>
        <w:rPr>
          <w:rFonts w:hint="eastAsia" w:ascii="宋体" w:hAnsi="宋体"/>
          <w:bCs/>
          <w:sz w:val="24"/>
          <w:lang w:val="zh-CN"/>
        </w:rPr>
      </w:pPr>
      <w:r>
        <w:rPr>
          <w:rFonts w:ascii="宋体" w:hAnsi="宋体"/>
          <w:bCs/>
          <w:sz w:val="24"/>
          <w:lang w:val="zh-CN"/>
        </w:rPr>
        <w:t>8.3工程设备与材料的接收与拒收</w:t>
      </w:r>
    </w:p>
    <w:p>
      <w:pPr>
        <w:autoSpaceDE w:val="0"/>
        <w:autoSpaceDN w:val="0"/>
        <w:spacing w:line="360" w:lineRule="auto"/>
        <w:ind w:firstLine="480" w:firstLineChars="200"/>
        <w:rPr>
          <w:rFonts w:hint="eastAsia" w:ascii="宋体" w:hAnsi="宋体"/>
          <w:sz w:val="24"/>
        </w:rPr>
      </w:pPr>
      <w:r>
        <w:rPr>
          <w:rFonts w:ascii="宋体" w:hAnsi="宋体"/>
          <w:sz w:val="24"/>
        </w:rPr>
        <w:t xml:space="preserve">8.3.1 </w:t>
      </w:r>
      <w:r>
        <w:rPr>
          <w:rFonts w:hint="eastAsia" w:ascii="宋体" w:hAnsi="宋体"/>
          <w:sz w:val="24"/>
        </w:rPr>
        <w:t>如有发包人供应的设备材料，</w:t>
      </w:r>
      <w:r>
        <w:rPr>
          <w:rFonts w:ascii="宋体" w:hAnsi="宋体"/>
          <w:sz w:val="24"/>
        </w:rPr>
        <w:t>发包人应按《发包人供应设备材料一览表》约定的内容提供工程设备和材料，对其质量负责。发包人应提前24小时以书面形式通知承包人、监理人工程设备和材料到货时间，承包人负责工程设备和材料的清点、检验和接收。如承包人检验不合格的由发包人承担责任</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因发包人原因导致供货日期延误和交货地点变化等造成关键线路工期延误的</w:t>
      </w:r>
      <w:r>
        <w:rPr>
          <w:rFonts w:hint="eastAsia" w:ascii="宋体" w:hAnsi="宋体"/>
          <w:sz w:val="24"/>
        </w:rPr>
        <w:t>，</w:t>
      </w:r>
      <w:r>
        <w:rPr>
          <w:rFonts w:ascii="宋体" w:hAnsi="宋体"/>
          <w:sz w:val="24"/>
        </w:rPr>
        <w:t>发包人承担工期延误责任</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8.3.2 承包人采购的工程设备和材料，应保证产品质量合格，承包人应在工程设备和材料到货前24小时通知监理人检验。承包人自行生产的设备、材料应符合相关质量标准，并向监理人提交材料的样本以及有关资料，并应在使用该工程设备或材料之前获得监理人同意。</w:t>
      </w:r>
    </w:p>
    <w:p>
      <w:pPr>
        <w:autoSpaceDE w:val="0"/>
        <w:autoSpaceDN w:val="0"/>
        <w:spacing w:line="360" w:lineRule="auto"/>
        <w:ind w:firstLine="360" w:firstLineChars="150"/>
        <w:rPr>
          <w:rFonts w:hint="eastAsia" w:ascii="宋体" w:hAnsi="宋体"/>
          <w:sz w:val="24"/>
        </w:rPr>
      </w:pPr>
      <w:r>
        <w:rPr>
          <w:rFonts w:ascii="宋体" w:hAnsi="宋体"/>
          <w:sz w:val="24"/>
        </w:rPr>
        <w:t xml:space="preserve"> 承包人采购的工程设备和材料不符合设计或有关标准要求时，承包人应在监理人要求的合理期限内将不符合设计或有关标准要求的工程设备</w:t>
      </w:r>
      <w:r>
        <w:rPr>
          <w:rFonts w:hint="eastAsia" w:ascii="宋体" w:hAnsi="宋体"/>
          <w:sz w:val="24"/>
        </w:rPr>
        <w:t>、</w:t>
      </w:r>
      <w:r>
        <w:rPr>
          <w:rFonts w:ascii="宋体" w:hAnsi="宋体"/>
          <w:sz w:val="24"/>
        </w:rPr>
        <w:t>材料运出施工现场，并重新采购符合要求的工程设备</w:t>
      </w:r>
      <w:r>
        <w:rPr>
          <w:rFonts w:hint="eastAsia" w:ascii="宋体" w:hAnsi="宋体"/>
          <w:sz w:val="24"/>
        </w:rPr>
        <w:t>、</w:t>
      </w:r>
      <w:r>
        <w:rPr>
          <w:rFonts w:ascii="宋体" w:hAnsi="宋体"/>
          <w:sz w:val="24"/>
        </w:rPr>
        <w:t>材料，由此增加的费用和（或）延误的工期，由承包人承担。</w:t>
      </w:r>
    </w:p>
    <w:p>
      <w:pPr>
        <w:autoSpaceDE w:val="0"/>
        <w:autoSpaceDN w:val="0"/>
        <w:spacing w:line="360" w:lineRule="auto"/>
        <w:ind w:firstLine="360" w:firstLineChars="150"/>
        <w:rPr>
          <w:rFonts w:hint="eastAsia" w:ascii="宋体" w:hAnsi="宋体"/>
          <w:sz w:val="24"/>
        </w:rPr>
      </w:pPr>
      <w:r>
        <w:rPr>
          <w:rFonts w:hint="eastAsia" w:ascii="宋体" w:hAnsi="宋体"/>
          <w:sz w:val="24"/>
        </w:rPr>
        <w:t>发包人和监理人有权委托有资质的第三方对承包人采购的工程设备和材料进行检验、试验，检验、试验合格相关费用由发包人承担，不合格相关费用由承包人承担。发包人的检验、试验</w:t>
      </w:r>
      <w:r>
        <w:rPr>
          <w:rFonts w:ascii="宋体" w:hAnsi="宋体"/>
          <w:sz w:val="24"/>
        </w:rPr>
        <w:t>不免除或减轻承包人的责任</w:t>
      </w:r>
      <w:r>
        <w:rPr>
          <w:rFonts w:hint="eastAsia" w:ascii="宋体" w:hAnsi="宋体"/>
          <w:sz w:val="24"/>
        </w:rPr>
        <w:t>。</w:t>
      </w:r>
    </w:p>
    <w:p>
      <w:pPr>
        <w:spacing w:line="360" w:lineRule="auto"/>
        <w:outlineLvl w:val="4"/>
        <w:rPr>
          <w:rFonts w:hint="eastAsia" w:ascii="宋体" w:hAnsi="宋体"/>
          <w:bCs/>
          <w:sz w:val="24"/>
          <w:lang w:val="zh-CN"/>
        </w:rPr>
      </w:pPr>
      <w:r>
        <w:rPr>
          <w:rFonts w:ascii="宋体" w:hAnsi="宋体"/>
          <w:bCs/>
          <w:sz w:val="24"/>
          <w:lang w:val="zh-CN"/>
        </w:rPr>
        <w:t>8.4工程设备与材料的保管</w:t>
      </w:r>
    </w:p>
    <w:p>
      <w:pPr>
        <w:autoSpaceDE w:val="0"/>
        <w:autoSpaceDN w:val="0"/>
        <w:spacing w:line="360" w:lineRule="auto"/>
        <w:ind w:firstLine="480" w:firstLineChars="200"/>
        <w:rPr>
          <w:rFonts w:hint="eastAsia" w:ascii="宋体" w:hAnsi="宋体"/>
          <w:sz w:val="24"/>
        </w:rPr>
      </w:pPr>
      <w:r>
        <w:rPr>
          <w:rFonts w:ascii="宋体" w:hAnsi="宋体"/>
          <w:sz w:val="24"/>
        </w:rPr>
        <w:t>8.4.1 发包人供应工程设备与材料的保管</w:t>
      </w:r>
      <w:r>
        <w:rPr>
          <w:rFonts w:hint="eastAsia" w:ascii="宋体" w:hAnsi="宋体"/>
          <w:sz w:val="24"/>
        </w:rPr>
        <w:t>（无）</w:t>
      </w:r>
    </w:p>
    <w:p>
      <w:pPr>
        <w:autoSpaceDE w:val="0"/>
        <w:autoSpaceDN w:val="0"/>
        <w:spacing w:line="360" w:lineRule="auto"/>
        <w:ind w:firstLine="480" w:firstLineChars="200"/>
        <w:rPr>
          <w:rFonts w:hint="eastAsia" w:ascii="宋体" w:hAnsi="宋体"/>
          <w:sz w:val="24"/>
        </w:rPr>
      </w:pPr>
      <w:r>
        <w:rPr>
          <w:rFonts w:ascii="宋体" w:hAnsi="宋体"/>
          <w:sz w:val="24"/>
        </w:rPr>
        <w:t>8.4.2 承包人采购工程设备与材料的保管</w:t>
      </w:r>
    </w:p>
    <w:p>
      <w:pPr>
        <w:autoSpaceDE w:val="0"/>
        <w:autoSpaceDN w:val="0"/>
        <w:spacing w:line="360" w:lineRule="auto"/>
        <w:ind w:firstLine="480" w:firstLineChars="200"/>
        <w:rPr>
          <w:rFonts w:hint="eastAsia" w:ascii="宋体" w:hAnsi="宋体"/>
          <w:sz w:val="24"/>
        </w:rPr>
      </w:pPr>
      <w:r>
        <w:rPr>
          <w:rFonts w:ascii="宋体" w:hAnsi="宋体"/>
          <w:sz w:val="24"/>
        </w:rPr>
        <w:t>承包人采购的工程设备与材料由承包人妥善保管，保管费用由承包人承担。法律</w:t>
      </w:r>
      <w:r>
        <w:rPr>
          <w:rFonts w:hint="eastAsia" w:ascii="宋体" w:hAnsi="宋体"/>
          <w:sz w:val="24"/>
        </w:rPr>
        <w:t>、</w:t>
      </w:r>
      <w:r>
        <w:rPr>
          <w:rFonts w:ascii="宋体" w:hAnsi="宋体"/>
          <w:sz w:val="24"/>
        </w:rPr>
        <w:t>标准</w:t>
      </w:r>
      <w:r>
        <w:rPr>
          <w:rFonts w:hint="eastAsia" w:ascii="宋体" w:hAnsi="宋体"/>
          <w:sz w:val="24"/>
        </w:rPr>
        <w:t>、</w:t>
      </w:r>
      <w:r>
        <w:rPr>
          <w:rFonts w:ascii="宋体" w:hAnsi="宋体"/>
          <w:sz w:val="24"/>
        </w:rPr>
        <w:t>规范规定和合同约定必须进行检验或试验的工程设备与材料</w:t>
      </w:r>
      <w:r>
        <w:rPr>
          <w:rFonts w:hint="eastAsia" w:ascii="宋体" w:hAnsi="宋体"/>
          <w:sz w:val="24"/>
        </w:rPr>
        <w:t>，</w:t>
      </w:r>
      <w:r>
        <w:rPr>
          <w:rFonts w:ascii="宋体" w:hAnsi="宋体"/>
          <w:sz w:val="24"/>
        </w:rPr>
        <w:t>使用前，承包人应按监理人的要求进行检验或试验，检验或试验费用由承包人承担，不合格的不得使用。</w:t>
      </w:r>
    </w:p>
    <w:p>
      <w:pPr>
        <w:autoSpaceDE w:val="0"/>
        <w:autoSpaceDN w:val="0"/>
        <w:spacing w:line="360" w:lineRule="auto"/>
        <w:ind w:firstLine="480" w:firstLineChars="200"/>
        <w:rPr>
          <w:rFonts w:hint="eastAsia" w:ascii="宋体" w:hAnsi="宋体"/>
          <w:sz w:val="24"/>
        </w:rPr>
      </w:pPr>
      <w:r>
        <w:rPr>
          <w:rFonts w:ascii="宋体" w:hAnsi="宋体"/>
          <w:sz w:val="24"/>
        </w:rPr>
        <w:t>发包人或监理人发现承包人使用不符合设计或有关标准要求的工程设备与材料时，有权要求承包人进行修复、拆除或重新采购，由此增加的费用和（或）延误的工期，由承包人承担。</w:t>
      </w:r>
    </w:p>
    <w:p>
      <w:pPr>
        <w:spacing w:line="360" w:lineRule="auto"/>
        <w:outlineLvl w:val="4"/>
        <w:rPr>
          <w:rFonts w:hint="eastAsia" w:ascii="宋体" w:hAnsi="宋体"/>
          <w:bCs/>
          <w:sz w:val="24"/>
          <w:lang w:val="zh-CN"/>
        </w:rPr>
      </w:pPr>
      <w:r>
        <w:rPr>
          <w:rFonts w:ascii="宋体" w:hAnsi="宋体"/>
          <w:bCs/>
          <w:sz w:val="24"/>
          <w:lang w:val="zh-CN"/>
        </w:rPr>
        <w:t>8.5禁止使用不合格的工程设备与材料</w:t>
      </w:r>
    </w:p>
    <w:p>
      <w:pPr>
        <w:autoSpaceDE w:val="0"/>
        <w:autoSpaceDN w:val="0"/>
        <w:spacing w:line="360" w:lineRule="auto"/>
        <w:ind w:firstLine="480" w:firstLineChars="200"/>
        <w:rPr>
          <w:rFonts w:hint="eastAsia" w:ascii="宋体" w:hAnsi="宋体"/>
          <w:sz w:val="24"/>
        </w:rPr>
      </w:pPr>
      <w:r>
        <w:rPr>
          <w:rFonts w:ascii="宋体" w:hAnsi="宋体"/>
          <w:sz w:val="24"/>
        </w:rPr>
        <w:t>8.5.1 监理人有权拒绝承包人提供的不合格</w:t>
      </w:r>
      <w:r>
        <w:rPr>
          <w:rFonts w:hint="eastAsia" w:ascii="宋体" w:hAnsi="宋体"/>
          <w:sz w:val="24"/>
        </w:rPr>
        <w:t>工程设备</w:t>
      </w:r>
      <w:r>
        <w:rPr>
          <w:rFonts w:ascii="宋体" w:hAnsi="宋体"/>
          <w:sz w:val="24"/>
        </w:rPr>
        <w:t>或</w:t>
      </w:r>
      <w:r>
        <w:rPr>
          <w:rFonts w:hint="eastAsia" w:ascii="宋体" w:hAnsi="宋体"/>
          <w:sz w:val="24"/>
        </w:rPr>
        <w:t>材料</w:t>
      </w:r>
      <w:r>
        <w:rPr>
          <w:rFonts w:ascii="宋体" w:hAnsi="宋体"/>
          <w:sz w:val="24"/>
        </w:rPr>
        <w:t>，并要求承包人立即进行更换。监理人应在更换后再次进行检查和检验，由此增加的费用和（或）延误的工期由承包人承担。</w:t>
      </w:r>
    </w:p>
    <w:p>
      <w:pPr>
        <w:autoSpaceDE w:val="0"/>
        <w:autoSpaceDN w:val="0"/>
        <w:spacing w:line="360" w:lineRule="auto"/>
        <w:ind w:firstLine="480" w:firstLineChars="200"/>
        <w:rPr>
          <w:rFonts w:hint="eastAsia" w:ascii="宋体" w:hAnsi="宋体"/>
          <w:sz w:val="24"/>
        </w:rPr>
      </w:pPr>
      <w:r>
        <w:rPr>
          <w:rFonts w:ascii="宋体" w:hAnsi="宋体"/>
          <w:sz w:val="24"/>
        </w:rPr>
        <w:t>8.5.2 监理人发现承包人使用了不合格的工程设备和材料，承包人应按照监理人的指示立即整改，并禁止在工程中继续使用不合格的工程设备和材料。</w:t>
      </w:r>
    </w:p>
    <w:p>
      <w:pPr>
        <w:spacing w:line="360" w:lineRule="auto"/>
        <w:outlineLvl w:val="4"/>
        <w:rPr>
          <w:rFonts w:hint="eastAsia" w:ascii="宋体" w:hAnsi="宋体"/>
          <w:bCs/>
          <w:sz w:val="24"/>
          <w:lang w:val="zh-CN"/>
        </w:rPr>
      </w:pPr>
      <w:r>
        <w:rPr>
          <w:rFonts w:ascii="宋体" w:hAnsi="宋体"/>
          <w:bCs/>
          <w:sz w:val="24"/>
          <w:lang w:val="zh-CN"/>
        </w:rPr>
        <w:t>8.</w:t>
      </w:r>
      <w:r>
        <w:rPr>
          <w:rFonts w:hint="eastAsia" w:ascii="宋体" w:hAnsi="宋体"/>
          <w:bCs/>
          <w:sz w:val="24"/>
          <w:lang w:val="zh-CN"/>
        </w:rPr>
        <w:t>6</w:t>
      </w:r>
      <w:r>
        <w:rPr>
          <w:rFonts w:ascii="宋体" w:hAnsi="宋体"/>
          <w:bCs/>
          <w:sz w:val="24"/>
          <w:lang w:val="zh-CN"/>
        </w:rPr>
        <w:t>工程设备与材料的替代</w:t>
      </w:r>
    </w:p>
    <w:p>
      <w:pPr>
        <w:autoSpaceDE w:val="0"/>
        <w:autoSpaceDN w:val="0"/>
        <w:spacing w:line="360" w:lineRule="auto"/>
        <w:ind w:firstLine="480" w:firstLineChars="200"/>
        <w:rPr>
          <w:rFonts w:hint="eastAsia" w:ascii="宋体" w:hAnsi="宋体"/>
          <w:sz w:val="24"/>
        </w:rPr>
      </w:pPr>
      <w:r>
        <w:rPr>
          <w:rFonts w:ascii="宋体" w:hAnsi="宋体"/>
          <w:sz w:val="24"/>
        </w:rPr>
        <w:t>8.</w:t>
      </w:r>
      <w:r>
        <w:rPr>
          <w:rFonts w:hint="eastAsia" w:ascii="宋体" w:hAnsi="宋体"/>
          <w:sz w:val="24"/>
        </w:rPr>
        <w:t>6</w:t>
      </w:r>
      <w:r>
        <w:rPr>
          <w:rFonts w:ascii="宋体" w:hAnsi="宋体"/>
          <w:sz w:val="24"/>
        </w:rPr>
        <w:t>.</w:t>
      </w:r>
      <w:r>
        <w:rPr>
          <w:rFonts w:hint="eastAsia" w:ascii="宋体" w:hAnsi="宋体"/>
          <w:sz w:val="24"/>
        </w:rPr>
        <w:t>1</w:t>
      </w:r>
      <w:r>
        <w:rPr>
          <w:rFonts w:ascii="宋体" w:hAnsi="宋体"/>
          <w:sz w:val="24"/>
        </w:rPr>
        <w:t xml:space="preserve"> 承包人提出使用替代工程设备和材料时</w:t>
      </w:r>
      <w:r>
        <w:rPr>
          <w:rFonts w:hint="eastAsia" w:ascii="宋体" w:hAnsi="宋体"/>
          <w:sz w:val="24"/>
        </w:rPr>
        <w:t>，</w:t>
      </w:r>
      <w:r>
        <w:rPr>
          <w:rFonts w:ascii="宋体" w:hAnsi="宋体"/>
          <w:sz w:val="24"/>
        </w:rPr>
        <w:t>应在</w:t>
      </w:r>
      <w:r>
        <w:rPr>
          <w:rFonts w:hint="eastAsia" w:ascii="宋体" w:hAnsi="宋体"/>
          <w:sz w:val="24"/>
        </w:rPr>
        <w:t>5</w:t>
      </w:r>
      <w:r>
        <w:rPr>
          <w:rFonts w:ascii="宋体" w:hAnsi="宋体"/>
          <w:sz w:val="24"/>
        </w:rPr>
        <w:t>天前书面通知监理人，并附下列文件：</w:t>
      </w:r>
    </w:p>
    <w:p>
      <w:pPr>
        <w:autoSpaceDE w:val="0"/>
        <w:autoSpaceDN w:val="0"/>
        <w:spacing w:line="360" w:lineRule="auto"/>
        <w:ind w:firstLine="480" w:firstLineChars="200"/>
        <w:rPr>
          <w:rFonts w:hint="eastAsia" w:ascii="宋体" w:hAnsi="宋体"/>
          <w:sz w:val="24"/>
        </w:rPr>
      </w:pPr>
      <w:r>
        <w:rPr>
          <w:rFonts w:ascii="宋体" w:hAnsi="宋体"/>
          <w:sz w:val="24"/>
        </w:rPr>
        <w:t>（1）被替代的工程设备和材料的名称、数量、规格、型号、品牌、性能、价格及其他相关资料；</w:t>
      </w:r>
    </w:p>
    <w:p>
      <w:pPr>
        <w:autoSpaceDE w:val="0"/>
        <w:autoSpaceDN w:val="0"/>
        <w:spacing w:line="360" w:lineRule="auto"/>
        <w:ind w:firstLine="480" w:firstLineChars="200"/>
        <w:rPr>
          <w:rFonts w:hint="eastAsia" w:ascii="宋体" w:hAnsi="宋体"/>
          <w:sz w:val="24"/>
        </w:rPr>
      </w:pPr>
      <w:r>
        <w:rPr>
          <w:rFonts w:ascii="宋体" w:hAnsi="宋体"/>
          <w:sz w:val="24"/>
        </w:rPr>
        <w:t>（2）替代品的名称、数量、规格、型号、品牌、性能、价格及其他相关资料；</w:t>
      </w:r>
    </w:p>
    <w:p>
      <w:pPr>
        <w:autoSpaceDE w:val="0"/>
        <w:autoSpaceDN w:val="0"/>
        <w:spacing w:line="360" w:lineRule="auto"/>
        <w:ind w:firstLine="480" w:firstLineChars="200"/>
        <w:rPr>
          <w:rFonts w:hint="eastAsia" w:ascii="宋体" w:hAnsi="宋体"/>
          <w:sz w:val="24"/>
        </w:rPr>
      </w:pPr>
      <w:r>
        <w:rPr>
          <w:rFonts w:ascii="宋体" w:hAnsi="宋体"/>
          <w:sz w:val="24"/>
        </w:rPr>
        <w:t>（3）替代品与被替代产品之间的差异以及使用替代品可能对工程产生的影响；</w:t>
      </w:r>
    </w:p>
    <w:p>
      <w:pPr>
        <w:autoSpaceDE w:val="0"/>
        <w:autoSpaceDN w:val="0"/>
        <w:spacing w:line="360" w:lineRule="auto"/>
        <w:ind w:firstLine="480" w:firstLineChars="200"/>
        <w:rPr>
          <w:rFonts w:hint="eastAsia" w:ascii="宋体" w:hAnsi="宋体"/>
          <w:sz w:val="24"/>
        </w:rPr>
      </w:pPr>
      <w:r>
        <w:rPr>
          <w:rFonts w:ascii="宋体" w:hAnsi="宋体"/>
          <w:sz w:val="24"/>
        </w:rPr>
        <w:t>（4）替代品与被替代产品的价格差异；</w:t>
      </w:r>
    </w:p>
    <w:p>
      <w:pPr>
        <w:autoSpaceDE w:val="0"/>
        <w:autoSpaceDN w:val="0"/>
        <w:spacing w:line="360" w:lineRule="auto"/>
        <w:ind w:firstLine="480" w:firstLineChars="200"/>
        <w:rPr>
          <w:rFonts w:hint="eastAsia" w:ascii="宋体" w:hAnsi="宋体"/>
          <w:sz w:val="24"/>
        </w:rPr>
      </w:pPr>
      <w:r>
        <w:rPr>
          <w:rFonts w:ascii="宋体" w:hAnsi="宋体"/>
          <w:sz w:val="24"/>
        </w:rPr>
        <w:t>（5）使用替代品的理由和原因说明；</w:t>
      </w:r>
    </w:p>
    <w:p>
      <w:pPr>
        <w:autoSpaceDE w:val="0"/>
        <w:autoSpaceDN w:val="0"/>
        <w:spacing w:line="360" w:lineRule="auto"/>
        <w:ind w:firstLine="480" w:firstLineChars="200"/>
        <w:rPr>
          <w:rFonts w:hint="eastAsia" w:ascii="宋体" w:hAnsi="宋体"/>
          <w:sz w:val="24"/>
        </w:rPr>
      </w:pPr>
      <w:r>
        <w:rPr>
          <w:rFonts w:ascii="宋体" w:hAnsi="宋体"/>
          <w:sz w:val="24"/>
        </w:rPr>
        <w:t>（6）监理人要求的其他文件。</w:t>
      </w:r>
    </w:p>
    <w:p>
      <w:pPr>
        <w:autoSpaceDE w:val="0"/>
        <w:autoSpaceDN w:val="0"/>
        <w:spacing w:line="360" w:lineRule="auto"/>
        <w:ind w:firstLine="480" w:firstLineChars="200"/>
        <w:rPr>
          <w:rFonts w:hint="eastAsia" w:ascii="宋体" w:hAnsi="宋体"/>
          <w:sz w:val="24"/>
        </w:rPr>
      </w:pPr>
      <w:r>
        <w:rPr>
          <w:rFonts w:ascii="宋体" w:hAnsi="宋体"/>
          <w:sz w:val="24"/>
        </w:rPr>
        <w:t>监理人应在收到通知后14天内向承包人发出经发包人签认的书面指示；监理人逾期发出书面指示的，视为发包人和监理人同意使用替代品。</w:t>
      </w:r>
    </w:p>
    <w:p>
      <w:pPr>
        <w:autoSpaceDE w:val="0"/>
        <w:autoSpaceDN w:val="0"/>
        <w:spacing w:line="360" w:lineRule="auto"/>
        <w:ind w:firstLine="480" w:firstLineChars="200"/>
        <w:rPr>
          <w:rFonts w:hint="eastAsia" w:ascii="宋体" w:hAnsi="宋体"/>
          <w:sz w:val="24"/>
        </w:rPr>
      </w:pPr>
      <w:r>
        <w:rPr>
          <w:rFonts w:ascii="宋体" w:hAnsi="宋体"/>
          <w:sz w:val="24"/>
        </w:rPr>
        <w:t>8.</w:t>
      </w:r>
      <w:r>
        <w:rPr>
          <w:rFonts w:hint="eastAsia" w:ascii="宋体" w:hAnsi="宋体"/>
          <w:sz w:val="24"/>
        </w:rPr>
        <w:t>6</w:t>
      </w:r>
      <w:r>
        <w:rPr>
          <w:rFonts w:ascii="宋体" w:hAnsi="宋体"/>
          <w:sz w:val="24"/>
        </w:rPr>
        <w:t>.</w:t>
      </w:r>
      <w:r>
        <w:rPr>
          <w:rFonts w:hint="eastAsia" w:ascii="宋体" w:hAnsi="宋体"/>
          <w:sz w:val="24"/>
        </w:rPr>
        <w:t>2</w:t>
      </w:r>
      <w:r>
        <w:rPr>
          <w:rFonts w:ascii="宋体" w:hAnsi="宋体"/>
          <w:sz w:val="24"/>
        </w:rPr>
        <w:t xml:space="preserve"> 发包人认可使用替代工程设备和材料</w:t>
      </w:r>
      <w:r>
        <w:rPr>
          <w:rFonts w:hint="eastAsia" w:ascii="宋体" w:hAnsi="宋体"/>
          <w:sz w:val="24"/>
        </w:rPr>
        <w:t>时</w:t>
      </w:r>
      <w:r>
        <w:rPr>
          <w:rFonts w:ascii="宋体" w:hAnsi="宋体"/>
          <w:sz w:val="24"/>
        </w:rPr>
        <w:t>，替代品价格高于被替代品价格的</w:t>
      </w:r>
      <w:r>
        <w:rPr>
          <w:rFonts w:hint="eastAsia" w:ascii="宋体" w:hAnsi="宋体"/>
          <w:sz w:val="24"/>
        </w:rPr>
        <w:t>，其</w:t>
      </w:r>
      <w:r>
        <w:rPr>
          <w:rFonts w:ascii="宋体" w:hAnsi="宋体"/>
          <w:sz w:val="24"/>
        </w:rPr>
        <w:t>价差由承包人承担</w:t>
      </w:r>
      <w:r>
        <w:rPr>
          <w:rFonts w:hint="eastAsia" w:ascii="宋体" w:hAnsi="宋体"/>
          <w:sz w:val="24"/>
        </w:rPr>
        <w:t>；</w:t>
      </w:r>
      <w:r>
        <w:rPr>
          <w:rFonts w:ascii="宋体" w:hAnsi="宋体"/>
          <w:sz w:val="24"/>
        </w:rPr>
        <w:t>替代品价格</w:t>
      </w:r>
      <w:r>
        <w:rPr>
          <w:rFonts w:hint="eastAsia" w:ascii="宋体" w:hAnsi="宋体"/>
          <w:sz w:val="24"/>
        </w:rPr>
        <w:t>低</w:t>
      </w:r>
      <w:r>
        <w:rPr>
          <w:rFonts w:ascii="宋体" w:hAnsi="宋体"/>
          <w:sz w:val="24"/>
        </w:rPr>
        <w:t>于被替代品价格的</w:t>
      </w:r>
      <w:r>
        <w:rPr>
          <w:rFonts w:hint="eastAsia" w:ascii="宋体" w:hAnsi="宋体"/>
          <w:sz w:val="24"/>
        </w:rPr>
        <w:t>，</w:t>
      </w:r>
      <w:r>
        <w:rPr>
          <w:rFonts w:ascii="宋体" w:hAnsi="宋体"/>
          <w:sz w:val="24"/>
        </w:rPr>
        <w:t>其</w:t>
      </w:r>
      <w:r>
        <w:rPr>
          <w:rFonts w:hint="eastAsia" w:ascii="宋体" w:hAnsi="宋体"/>
          <w:sz w:val="24"/>
        </w:rPr>
        <w:t>价差从合同价格中扣减。</w:t>
      </w:r>
    </w:p>
    <w:p>
      <w:pPr>
        <w:spacing w:line="360" w:lineRule="auto"/>
        <w:outlineLvl w:val="4"/>
        <w:rPr>
          <w:rFonts w:hint="eastAsia" w:ascii="宋体" w:hAnsi="宋体"/>
          <w:bCs/>
          <w:sz w:val="24"/>
          <w:lang w:val="zh-CN"/>
        </w:rPr>
      </w:pPr>
      <w:r>
        <w:rPr>
          <w:rFonts w:ascii="宋体" w:hAnsi="宋体"/>
          <w:bCs/>
          <w:sz w:val="24"/>
          <w:lang w:val="zh-CN"/>
        </w:rPr>
        <w:t>8.</w:t>
      </w:r>
      <w:r>
        <w:rPr>
          <w:rFonts w:hint="eastAsia" w:ascii="宋体" w:hAnsi="宋体"/>
          <w:bCs/>
          <w:sz w:val="24"/>
          <w:lang w:val="zh-CN"/>
        </w:rPr>
        <w:t>7</w:t>
      </w:r>
      <w:r>
        <w:rPr>
          <w:rFonts w:ascii="宋体" w:hAnsi="宋体"/>
          <w:bCs/>
          <w:sz w:val="24"/>
          <w:lang w:val="zh-CN"/>
        </w:rPr>
        <w:t>施工设备和临时设施</w:t>
      </w:r>
    </w:p>
    <w:p>
      <w:pPr>
        <w:autoSpaceDE w:val="0"/>
        <w:autoSpaceDN w:val="0"/>
        <w:spacing w:line="360" w:lineRule="auto"/>
        <w:ind w:firstLine="480" w:firstLineChars="200"/>
        <w:rPr>
          <w:rFonts w:hint="eastAsia" w:ascii="宋体" w:hAnsi="宋体"/>
          <w:sz w:val="24"/>
        </w:rPr>
      </w:pPr>
      <w:r>
        <w:rPr>
          <w:rFonts w:ascii="宋体" w:hAnsi="宋体"/>
          <w:sz w:val="24"/>
        </w:rPr>
        <w:t>8.</w:t>
      </w:r>
      <w:r>
        <w:rPr>
          <w:rFonts w:hint="eastAsia" w:ascii="宋体" w:hAnsi="宋体"/>
          <w:sz w:val="24"/>
        </w:rPr>
        <w:t>7</w:t>
      </w:r>
      <w:r>
        <w:rPr>
          <w:rFonts w:ascii="宋体" w:hAnsi="宋体"/>
          <w:sz w:val="24"/>
        </w:rPr>
        <w:t>.1 承包人提供的施工设备和临时设施</w:t>
      </w:r>
    </w:p>
    <w:p>
      <w:pPr>
        <w:autoSpaceDE w:val="0"/>
        <w:autoSpaceDN w:val="0"/>
        <w:spacing w:line="360" w:lineRule="auto"/>
        <w:ind w:firstLine="480" w:firstLineChars="200"/>
        <w:rPr>
          <w:rFonts w:hint="eastAsia" w:ascii="宋体" w:hAnsi="宋体"/>
          <w:sz w:val="24"/>
        </w:rPr>
      </w:pPr>
      <w:r>
        <w:rPr>
          <w:rFonts w:ascii="宋体" w:hAnsi="宋体"/>
          <w:sz w:val="24"/>
        </w:rPr>
        <w:t>承包人应按合同进度计划的要求，及时配置施工设备和修建临时设施。进入施工场地的施工设备需经监理人核查后才能投入使用。承包人更换</w:t>
      </w:r>
      <w:r>
        <w:rPr>
          <w:rFonts w:hint="eastAsia" w:ascii="宋体" w:hAnsi="宋体"/>
          <w:sz w:val="24"/>
        </w:rPr>
        <w:t>施工</w:t>
      </w:r>
      <w:r>
        <w:rPr>
          <w:rFonts w:ascii="宋体" w:hAnsi="宋体"/>
          <w:sz w:val="24"/>
        </w:rPr>
        <w:t>设备的，应报监理人批准。</w:t>
      </w:r>
    </w:p>
    <w:p>
      <w:pPr>
        <w:autoSpaceDE w:val="0"/>
        <w:autoSpaceDN w:val="0"/>
        <w:spacing w:line="360" w:lineRule="auto"/>
        <w:ind w:firstLine="480" w:firstLineChars="200"/>
        <w:rPr>
          <w:rFonts w:hint="eastAsia" w:ascii="宋体" w:hAnsi="宋体"/>
          <w:sz w:val="24"/>
        </w:rPr>
      </w:pPr>
      <w:r>
        <w:rPr>
          <w:rFonts w:ascii="宋体" w:hAnsi="宋体"/>
          <w:sz w:val="24"/>
        </w:rPr>
        <w:t>承包人应自行承担修建临时设施的费用，需要临时占地的，应</w:t>
      </w:r>
      <w:r>
        <w:rPr>
          <w:rFonts w:hint="eastAsia" w:ascii="宋体" w:hAnsi="宋体"/>
          <w:sz w:val="24"/>
        </w:rPr>
        <w:t>向</w:t>
      </w:r>
      <w:r>
        <w:rPr>
          <w:rFonts w:ascii="宋体" w:hAnsi="宋体"/>
          <w:sz w:val="24"/>
        </w:rPr>
        <w:t>发包人申请办理临时占地手续并承担相应费用。</w:t>
      </w:r>
    </w:p>
    <w:p>
      <w:pPr>
        <w:autoSpaceDE w:val="0"/>
        <w:autoSpaceDN w:val="0"/>
        <w:spacing w:line="360" w:lineRule="auto"/>
        <w:ind w:firstLine="480" w:firstLineChars="200"/>
        <w:rPr>
          <w:rFonts w:hint="eastAsia" w:ascii="宋体" w:hAnsi="宋体"/>
          <w:sz w:val="24"/>
        </w:rPr>
      </w:pPr>
      <w:r>
        <w:rPr>
          <w:rFonts w:ascii="宋体" w:hAnsi="宋体"/>
          <w:sz w:val="24"/>
        </w:rPr>
        <w:t>8.</w:t>
      </w:r>
      <w:r>
        <w:rPr>
          <w:rFonts w:hint="eastAsia" w:ascii="宋体" w:hAnsi="宋体"/>
          <w:sz w:val="24"/>
        </w:rPr>
        <w:t>7</w:t>
      </w:r>
      <w:r>
        <w:rPr>
          <w:rFonts w:ascii="宋体" w:hAnsi="宋体"/>
          <w:sz w:val="24"/>
        </w:rPr>
        <w:t>.</w:t>
      </w:r>
      <w:r>
        <w:rPr>
          <w:rFonts w:hint="eastAsia" w:ascii="宋体" w:hAnsi="宋体"/>
          <w:sz w:val="24"/>
        </w:rPr>
        <w:t>2</w:t>
      </w:r>
      <w:r>
        <w:rPr>
          <w:rFonts w:ascii="宋体" w:hAnsi="宋体"/>
          <w:sz w:val="24"/>
        </w:rPr>
        <w:t>要求承包人增加或更换施工设备</w:t>
      </w:r>
    </w:p>
    <w:p>
      <w:pPr>
        <w:autoSpaceDE w:val="0"/>
        <w:autoSpaceDN w:val="0"/>
        <w:spacing w:line="360" w:lineRule="auto"/>
        <w:ind w:firstLine="480" w:firstLineChars="200"/>
        <w:rPr>
          <w:rFonts w:hint="eastAsia" w:ascii="宋体" w:hAnsi="宋体"/>
          <w:sz w:val="24"/>
        </w:rPr>
      </w:pPr>
      <w:r>
        <w:rPr>
          <w:rFonts w:ascii="宋体" w:hAnsi="宋体"/>
          <w:sz w:val="24"/>
        </w:rPr>
        <w:t>承包人使用的施工设备不能满足合同进度计划和（或）质量要求时，监理人有权要求承包人增加或更换施工设备，承包人应及时增加或更换，由此增加的费用和（或）延误的工期由承包人承担。</w:t>
      </w:r>
    </w:p>
    <w:p>
      <w:pPr>
        <w:spacing w:line="360" w:lineRule="auto"/>
        <w:outlineLvl w:val="4"/>
        <w:rPr>
          <w:rFonts w:hint="eastAsia" w:ascii="宋体" w:hAnsi="宋体"/>
          <w:bCs/>
          <w:sz w:val="24"/>
          <w:lang w:val="zh-CN"/>
        </w:rPr>
      </w:pPr>
      <w:r>
        <w:rPr>
          <w:rFonts w:ascii="宋体" w:hAnsi="宋体"/>
          <w:bCs/>
          <w:sz w:val="24"/>
          <w:lang w:val="zh-CN"/>
        </w:rPr>
        <w:t>8.</w:t>
      </w:r>
      <w:r>
        <w:rPr>
          <w:rFonts w:hint="eastAsia" w:ascii="宋体" w:hAnsi="宋体"/>
          <w:bCs/>
          <w:sz w:val="24"/>
          <w:lang w:val="zh-CN"/>
        </w:rPr>
        <w:t>8</w:t>
      </w:r>
      <w:r>
        <w:rPr>
          <w:rFonts w:ascii="宋体" w:hAnsi="宋体"/>
          <w:bCs/>
          <w:sz w:val="24"/>
          <w:lang w:val="zh-CN"/>
        </w:rPr>
        <w:t>设备与材料专用</w:t>
      </w:r>
      <w:r>
        <w:rPr>
          <w:rFonts w:hint="eastAsia" w:ascii="宋体" w:hAnsi="宋体"/>
          <w:bCs/>
          <w:sz w:val="24"/>
          <w:lang w:val="zh-CN"/>
        </w:rPr>
        <w:t>要求</w:t>
      </w:r>
    </w:p>
    <w:p>
      <w:pPr>
        <w:spacing w:line="360" w:lineRule="auto"/>
        <w:ind w:firstLine="480" w:firstLineChars="200"/>
        <w:rPr>
          <w:rFonts w:hint="eastAsia" w:ascii="宋体" w:hAnsi="宋体"/>
          <w:sz w:val="24"/>
        </w:rPr>
      </w:pPr>
      <w:r>
        <w:rPr>
          <w:rFonts w:ascii="宋体" w:hAnsi="宋体"/>
          <w:sz w:val="24"/>
        </w:rPr>
        <w:t>承包人运入施工现场的工程设备、材料、施工设备未经发包人批准，承包人不得运出施工现场或挪作他用。</w:t>
      </w:r>
    </w:p>
    <w:p>
      <w:pPr>
        <w:spacing w:line="360" w:lineRule="auto"/>
        <w:outlineLvl w:val="4"/>
        <w:rPr>
          <w:rFonts w:hint="eastAsia" w:ascii="宋体" w:hAnsi="宋体"/>
          <w:bCs/>
          <w:sz w:val="24"/>
          <w:lang w:val="zh-CN"/>
        </w:rPr>
      </w:pPr>
      <w:r>
        <w:rPr>
          <w:rFonts w:hint="eastAsia" w:ascii="宋体" w:hAnsi="宋体"/>
          <w:bCs/>
          <w:sz w:val="24"/>
          <w:lang w:val="zh-CN"/>
        </w:rPr>
        <w:t>8.9 样品的报送与封存</w:t>
      </w:r>
    </w:p>
    <w:p>
      <w:pPr>
        <w:spacing w:line="360" w:lineRule="auto"/>
        <w:ind w:firstLine="480" w:firstLineChars="200"/>
        <w:rPr>
          <w:rFonts w:hint="eastAsia" w:ascii="宋体" w:hAnsi="宋体"/>
          <w:sz w:val="24"/>
        </w:rPr>
      </w:pPr>
      <w:r>
        <w:rPr>
          <w:rFonts w:hint="eastAsia" w:ascii="宋体" w:hAnsi="宋体"/>
          <w:sz w:val="24"/>
        </w:rPr>
        <w:t>8.9.1需要承包人报送样品的材料或工程设备，样品的种类、名称、规格、数量等均应符合相关规范要求。样品的报送程序如下：</w:t>
      </w:r>
    </w:p>
    <w:p>
      <w:pPr>
        <w:spacing w:line="360" w:lineRule="auto"/>
        <w:ind w:firstLine="480" w:firstLineChars="200"/>
        <w:rPr>
          <w:rFonts w:hint="eastAsia" w:ascii="宋体" w:hAnsi="宋体"/>
          <w:sz w:val="24"/>
        </w:rPr>
      </w:pPr>
      <w:r>
        <w:rPr>
          <w:rFonts w:hint="eastAsia" w:ascii="宋体" w:hAnsi="宋体"/>
          <w:sz w:val="24"/>
        </w:rPr>
        <w:t>（1）承包人应在计划采购前28天向发包人和监理人报送样品。承包人报送的样品均应来自供应材料的实际生产地，且提供的样品的规格、数量足以表明材料或工程设备的质量、型号、颜色、表面处理、质地、误差和其他要求的特征。</w:t>
      </w:r>
    </w:p>
    <w:p>
      <w:pPr>
        <w:spacing w:line="360" w:lineRule="auto"/>
        <w:ind w:firstLine="480" w:firstLineChars="200"/>
        <w:rPr>
          <w:rFonts w:hint="eastAsia" w:ascii="宋体" w:hAnsi="宋体"/>
          <w:sz w:val="24"/>
        </w:rPr>
      </w:pPr>
      <w:r>
        <w:rPr>
          <w:rFonts w:hint="eastAsia" w:ascii="宋体" w:hAnsi="宋体"/>
          <w:sz w:val="24"/>
        </w:rPr>
        <w:t>（2）承包人每次报送样品时应随附申报单，申报单应载明报送样品的相关数据和资料，并标明每件样品对应的图纸号，预留发包人和监理人批复意见栏。监理人应在收到承包人报送的样品后7天向承包人回复经发包人签认的样品审批意见。</w:t>
      </w:r>
    </w:p>
    <w:p>
      <w:pPr>
        <w:spacing w:line="360" w:lineRule="auto"/>
        <w:ind w:firstLine="480" w:firstLineChars="200"/>
        <w:rPr>
          <w:rFonts w:hint="eastAsia" w:ascii="宋体" w:hAnsi="宋体"/>
          <w:sz w:val="24"/>
        </w:rPr>
      </w:pPr>
      <w:r>
        <w:rPr>
          <w:rFonts w:hint="eastAsia" w:ascii="宋体" w:hAnsi="宋体"/>
          <w:sz w:val="24"/>
        </w:rPr>
        <w:t>（3）经发包人和监理人审批确认的样品应按约定的方法封样，封存的样品作为检验工程相关部分的标准之一。承包人在施工过程中不得使用与样品不符的材料或工程设备。</w:t>
      </w:r>
    </w:p>
    <w:p>
      <w:pPr>
        <w:spacing w:line="360" w:lineRule="auto"/>
        <w:ind w:firstLine="480" w:firstLineChars="200"/>
        <w:rPr>
          <w:rFonts w:hint="eastAsia" w:ascii="宋体" w:hAnsi="宋体"/>
          <w:sz w:val="24"/>
        </w:rPr>
      </w:pPr>
      <w:r>
        <w:rPr>
          <w:rFonts w:hint="eastAsia" w:ascii="宋体" w:hAnsi="宋体"/>
          <w:sz w:val="24"/>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spacing w:line="360" w:lineRule="auto"/>
        <w:ind w:firstLine="480" w:firstLineChars="200"/>
        <w:rPr>
          <w:rFonts w:hint="eastAsia" w:ascii="宋体" w:hAnsi="宋体"/>
          <w:sz w:val="24"/>
        </w:rPr>
      </w:pPr>
      <w:r>
        <w:rPr>
          <w:rFonts w:hint="eastAsia" w:ascii="宋体" w:hAnsi="宋体"/>
          <w:sz w:val="24"/>
        </w:rPr>
        <w:t>8.9.2 样品的保管</w:t>
      </w:r>
    </w:p>
    <w:p>
      <w:pPr>
        <w:spacing w:line="360" w:lineRule="auto"/>
        <w:ind w:firstLine="480" w:firstLineChars="200"/>
        <w:rPr>
          <w:rFonts w:hint="eastAsia" w:ascii="宋体" w:hAnsi="宋体"/>
          <w:sz w:val="24"/>
        </w:rPr>
      </w:pPr>
      <w:r>
        <w:rPr>
          <w:rFonts w:hint="eastAsia" w:ascii="宋体" w:hAnsi="宋体"/>
          <w:sz w:val="24"/>
        </w:rPr>
        <w:t>经批准的样品应由监理人负责封存于现场，承包人应在现场为保存样品提供适当和固定的场所并保持适当和良好的存储环境条件。</w:t>
      </w:r>
    </w:p>
    <w:p>
      <w:pPr>
        <w:numPr>
          <w:ilvl w:val="2"/>
          <w:numId w:val="7"/>
        </w:numPr>
        <w:tabs>
          <w:tab w:val="left" w:pos="426"/>
        </w:tabs>
        <w:spacing w:line="360" w:lineRule="auto"/>
        <w:ind w:left="1679" w:hanging="1259"/>
        <w:outlineLvl w:val="3"/>
        <w:rPr>
          <w:rFonts w:hint="eastAsia" w:ascii="宋体" w:hAnsi="宋体"/>
          <w:b/>
          <w:bCs/>
          <w:sz w:val="24"/>
          <w:lang w:val="zh-CN"/>
        </w:rPr>
      </w:pPr>
      <w:r>
        <w:rPr>
          <w:rFonts w:hint="eastAsia" w:ascii="宋体" w:hAnsi="宋体"/>
          <w:bCs/>
          <w:sz w:val="24"/>
          <w:lang w:val="zh-CN"/>
        </w:rPr>
        <w:t>试验与检验</w:t>
      </w:r>
    </w:p>
    <w:p>
      <w:pPr>
        <w:spacing w:line="360" w:lineRule="auto"/>
        <w:outlineLvl w:val="4"/>
        <w:rPr>
          <w:rFonts w:hint="eastAsia" w:ascii="宋体" w:hAnsi="宋体"/>
          <w:bCs/>
          <w:sz w:val="24"/>
          <w:lang w:val="zh-CN"/>
        </w:rPr>
      </w:pPr>
      <w:r>
        <w:rPr>
          <w:rFonts w:hint="eastAsia" w:ascii="宋体" w:hAnsi="宋体"/>
          <w:bCs/>
          <w:sz w:val="24"/>
          <w:lang w:val="zh-CN"/>
        </w:rPr>
        <w:t>9.1试验设备与试验人员</w:t>
      </w:r>
    </w:p>
    <w:p>
      <w:pPr>
        <w:spacing w:line="360" w:lineRule="auto"/>
        <w:ind w:firstLine="480" w:firstLineChars="200"/>
        <w:rPr>
          <w:rFonts w:hint="eastAsia" w:ascii="宋体" w:hAnsi="宋体"/>
          <w:sz w:val="24"/>
        </w:rPr>
      </w:pPr>
      <w:r>
        <w:rPr>
          <w:rFonts w:hint="eastAsia" w:ascii="宋体" w:hAnsi="宋体"/>
          <w:sz w:val="24"/>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80" w:firstLineChars="200"/>
        <w:rPr>
          <w:rFonts w:hint="eastAsia" w:ascii="宋体" w:hAnsi="宋体"/>
          <w:sz w:val="24"/>
        </w:rPr>
      </w:pPr>
      <w:r>
        <w:rPr>
          <w:rFonts w:hint="eastAsia" w:ascii="宋体" w:hAnsi="宋体"/>
          <w:sz w:val="24"/>
        </w:rPr>
        <w:t>9.1.2 承包人应按监理人的要求提供试验设备、取样装置、试验场所和试验条件。</w:t>
      </w:r>
    </w:p>
    <w:p>
      <w:pPr>
        <w:spacing w:line="360" w:lineRule="auto"/>
        <w:ind w:firstLine="480" w:firstLineChars="200"/>
        <w:rPr>
          <w:rFonts w:hint="eastAsia" w:ascii="宋体" w:hAnsi="宋体"/>
          <w:sz w:val="24"/>
        </w:rPr>
      </w:pPr>
      <w:r>
        <w:rPr>
          <w:rFonts w:hint="eastAsia" w:ascii="宋体" w:hAnsi="宋体"/>
          <w:sz w:val="24"/>
        </w:rPr>
        <w:t>承包人配置的试验设备要符合相应试验规程的要求并经过具有资质的检测单位检测，且在正式使用该试验设备前，需要经过监理人与承包人共同校定。</w:t>
      </w:r>
    </w:p>
    <w:p>
      <w:pPr>
        <w:spacing w:line="360" w:lineRule="auto"/>
        <w:outlineLvl w:val="4"/>
        <w:rPr>
          <w:rFonts w:hint="eastAsia" w:ascii="宋体" w:hAnsi="宋体"/>
          <w:bCs/>
          <w:sz w:val="24"/>
          <w:lang w:val="zh-CN"/>
        </w:rPr>
      </w:pPr>
      <w:r>
        <w:rPr>
          <w:rFonts w:hint="eastAsia" w:ascii="宋体" w:hAnsi="宋体"/>
          <w:bCs/>
          <w:sz w:val="24"/>
          <w:lang w:val="zh-CN"/>
        </w:rPr>
        <w:t>9.2取样</w:t>
      </w:r>
    </w:p>
    <w:p>
      <w:pPr>
        <w:spacing w:line="360" w:lineRule="auto"/>
        <w:ind w:firstLine="480" w:firstLineChars="200"/>
        <w:rPr>
          <w:rFonts w:hint="eastAsia" w:ascii="宋体" w:hAnsi="宋体"/>
          <w:sz w:val="24"/>
        </w:rPr>
      </w:pPr>
      <w:r>
        <w:rPr>
          <w:rFonts w:hint="eastAsia" w:ascii="宋体" w:hAnsi="宋体"/>
          <w:sz w:val="24"/>
        </w:rPr>
        <w:t>试验属于自检性质的，承包人可以单独取样。试验属于监理人抽检性质的，可由监理人取样，也可由承包人的试验人员在监理人的监督下取样。</w:t>
      </w:r>
    </w:p>
    <w:p>
      <w:pPr>
        <w:spacing w:line="360" w:lineRule="auto"/>
        <w:outlineLvl w:val="4"/>
        <w:rPr>
          <w:rFonts w:hint="eastAsia" w:ascii="宋体" w:hAnsi="宋体"/>
          <w:bCs/>
          <w:sz w:val="24"/>
          <w:lang w:val="zh-CN"/>
        </w:rPr>
      </w:pPr>
      <w:r>
        <w:rPr>
          <w:rFonts w:hint="eastAsia" w:ascii="宋体" w:hAnsi="宋体"/>
          <w:bCs/>
          <w:sz w:val="24"/>
          <w:lang w:val="zh-CN"/>
        </w:rPr>
        <w:t>9.3材料、工程设备和工程的试验和检验</w:t>
      </w:r>
    </w:p>
    <w:p>
      <w:pPr>
        <w:spacing w:line="360" w:lineRule="auto"/>
        <w:ind w:firstLine="480" w:firstLineChars="200"/>
        <w:rPr>
          <w:rFonts w:hint="eastAsia" w:ascii="宋体" w:hAnsi="宋体"/>
          <w:sz w:val="24"/>
        </w:rPr>
      </w:pPr>
      <w:r>
        <w:rPr>
          <w:rFonts w:hint="eastAsia" w:ascii="宋体" w:hAnsi="宋体"/>
          <w:sz w:val="24"/>
        </w:rPr>
        <w:t>9.3.1承包人应按有关规定或监理人的要求进行材料、工程设备和工程的试验和检验，并向监理人提供试验必要的试验资料和原始记录。</w:t>
      </w:r>
    </w:p>
    <w:p>
      <w:pPr>
        <w:spacing w:line="360" w:lineRule="auto"/>
        <w:ind w:firstLine="480" w:firstLineChars="200"/>
        <w:rPr>
          <w:rFonts w:hint="eastAsia" w:ascii="宋体" w:hAnsi="宋体"/>
          <w:sz w:val="24"/>
        </w:rPr>
      </w:pPr>
      <w:r>
        <w:rPr>
          <w:rFonts w:hint="eastAsia" w:ascii="宋体" w:hAnsi="宋体"/>
          <w:sz w:val="24"/>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80" w:firstLineChars="200"/>
        <w:rPr>
          <w:rFonts w:hint="eastAsia" w:ascii="宋体" w:hAnsi="宋体"/>
          <w:sz w:val="24"/>
        </w:rPr>
      </w:pPr>
      <w:r>
        <w:rPr>
          <w:rFonts w:hint="eastAsia" w:ascii="宋体" w:hAnsi="宋体"/>
          <w:sz w:val="24"/>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符合合同要求的由发包人承担。</w:t>
      </w:r>
    </w:p>
    <w:p>
      <w:pPr>
        <w:spacing w:line="360" w:lineRule="auto"/>
        <w:outlineLvl w:val="4"/>
        <w:rPr>
          <w:rFonts w:hint="eastAsia" w:ascii="宋体" w:hAnsi="宋体" w:eastAsia="仿宋"/>
          <w:bCs/>
          <w:sz w:val="24"/>
        </w:rPr>
      </w:pPr>
      <w:r>
        <w:rPr>
          <w:rFonts w:hint="eastAsia" w:ascii="宋体" w:hAnsi="宋体"/>
          <w:bCs/>
          <w:sz w:val="24"/>
          <w:lang w:val="zh-CN"/>
        </w:rPr>
        <w:t>9.4现场工艺试验：</w:t>
      </w:r>
      <w:r>
        <w:rPr>
          <w:rFonts w:hint="eastAsia" w:ascii="宋体" w:hAnsi="宋体"/>
          <w:bCs/>
          <w:sz w:val="24"/>
        </w:rPr>
        <w:t>执行通用条款。</w:t>
      </w:r>
    </w:p>
    <w:p>
      <w:pPr>
        <w:numPr>
          <w:ilvl w:val="2"/>
          <w:numId w:val="7"/>
        </w:numPr>
        <w:tabs>
          <w:tab w:val="left" w:pos="426"/>
        </w:tabs>
        <w:spacing w:line="360" w:lineRule="auto"/>
        <w:ind w:left="1679" w:hanging="1259"/>
        <w:outlineLvl w:val="3"/>
        <w:rPr>
          <w:rFonts w:hint="eastAsia" w:ascii="宋体" w:hAnsi="宋体"/>
          <w:bCs/>
          <w:sz w:val="24"/>
          <w:lang w:val="zh-CN"/>
        </w:rPr>
      </w:pPr>
      <w:r>
        <w:rPr>
          <w:rFonts w:ascii="宋体" w:hAnsi="宋体"/>
          <w:bCs/>
          <w:sz w:val="24"/>
          <w:lang w:val="zh-CN"/>
        </w:rPr>
        <w:t>变更</w:t>
      </w:r>
    </w:p>
    <w:p>
      <w:pPr>
        <w:spacing w:line="360" w:lineRule="auto"/>
        <w:outlineLvl w:val="4"/>
        <w:rPr>
          <w:rFonts w:hint="eastAsia" w:ascii="宋体" w:hAnsi="宋体" w:eastAsia="仿宋"/>
          <w:bCs/>
          <w:sz w:val="24"/>
        </w:rPr>
      </w:pPr>
      <w:r>
        <w:rPr>
          <w:rFonts w:hint="eastAsia" w:ascii="宋体" w:hAnsi="宋体"/>
          <w:bCs/>
          <w:sz w:val="24"/>
          <w:lang w:val="zh-CN"/>
        </w:rPr>
        <w:t>10</w:t>
      </w:r>
      <w:r>
        <w:rPr>
          <w:rFonts w:ascii="宋体" w:hAnsi="宋体"/>
          <w:bCs/>
          <w:sz w:val="24"/>
          <w:lang w:val="zh-CN"/>
        </w:rPr>
        <w:t>.1变更的范围</w:t>
      </w:r>
      <w:r>
        <w:rPr>
          <w:rFonts w:hint="eastAsia" w:ascii="宋体" w:hAnsi="宋体"/>
          <w:bCs/>
          <w:sz w:val="24"/>
          <w:lang w:val="zh-CN"/>
        </w:rPr>
        <w:t>：</w:t>
      </w:r>
      <w:r>
        <w:rPr>
          <w:rFonts w:hint="eastAsia" w:ascii="宋体" w:hAnsi="宋体"/>
          <w:bCs/>
          <w:sz w:val="24"/>
        </w:rPr>
        <w:t>执行通用条款。</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.2变更权</w:t>
      </w:r>
    </w:p>
    <w:p>
      <w:pPr>
        <w:autoSpaceDE w:val="0"/>
        <w:autoSpaceDN w:val="0"/>
        <w:spacing w:line="360" w:lineRule="auto"/>
        <w:ind w:firstLine="480" w:firstLineChars="200"/>
        <w:rPr>
          <w:rFonts w:hint="eastAsia" w:ascii="宋体" w:hAnsi="宋体"/>
          <w:sz w:val="24"/>
        </w:rPr>
      </w:pPr>
      <w:r>
        <w:rPr>
          <w:rFonts w:ascii="宋体" w:hAnsi="宋体"/>
          <w:sz w:val="24"/>
        </w:rPr>
        <w:t>发包人和监理人均可以提出变更。变更指示均通过监理人发出，监理人发出变更指示前应征得发包人同意。承包人收到变更指示后，方可实施变更。未经许可，承包人不得擅自对工程的任何部分进行变更。</w:t>
      </w:r>
    </w:p>
    <w:p>
      <w:pPr>
        <w:autoSpaceDE w:val="0"/>
        <w:autoSpaceDN w:val="0"/>
        <w:spacing w:line="360" w:lineRule="auto"/>
        <w:ind w:firstLine="480" w:firstLineChars="200"/>
        <w:rPr>
          <w:rFonts w:hint="eastAsia" w:ascii="宋体" w:hAnsi="宋体"/>
          <w:sz w:val="24"/>
        </w:rPr>
      </w:pPr>
      <w:r>
        <w:rPr>
          <w:rFonts w:ascii="宋体" w:hAnsi="宋体"/>
          <w:sz w:val="24"/>
        </w:rPr>
        <w:t>涉及设计变更的，应由设计人提供变更后的图纸和说明</w:t>
      </w:r>
      <w:r>
        <w:rPr>
          <w:rFonts w:hint="eastAsia" w:ascii="宋体" w:hAnsi="宋体"/>
          <w:sz w:val="24"/>
        </w:rPr>
        <w:t>。</w:t>
      </w:r>
    </w:p>
    <w:p>
      <w:pPr>
        <w:spacing w:line="360" w:lineRule="auto"/>
        <w:outlineLvl w:val="4"/>
        <w:rPr>
          <w:rFonts w:hint="eastAsia" w:ascii="宋体" w:hAnsi="宋体" w:eastAsia="仿宋"/>
          <w:bCs/>
          <w:sz w:val="24"/>
        </w:rPr>
      </w:pPr>
      <w:r>
        <w:rPr>
          <w:rFonts w:hint="eastAsia" w:ascii="宋体" w:hAnsi="宋体"/>
          <w:bCs/>
          <w:sz w:val="24"/>
          <w:lang w:val="zh-CN"/>
        </w:rPr>
        <w:t>10</w:t>
      </w:r>
      <w:r>
        <w:rPr>
          <w:rFonts w:ascii="宋体" w:hAnsi="宋体"/>
          <w:bCs/>
          <w:sz w:val="24"/>
          <w:lang w:val="zh-CN"/>
        </w:rPr>
        <w:t>.3变更程序</w:t>
      </w:r>
      <w:r>
        <w:rPr>
          <w:rFonts w:hint="eastAsia" w:ascii="宋体" w:hAnsi="宋体"/>
          <w:bCs/>
          <w:sz w:val="24"/>
          <w:lang w:val="zh-CN"/>
        </w:rPr>
        <w:t>：</w:t>
      </w:r>
      <w:r>
        <w:rPr>
          <w:rFonts w:hint="eastAsia" w:ascii="宋体" w:hAnsi="宋体"/>
          <w:bCs/>
          <w:sz w:val="24"/>
        </w:rPr>
        <w:t>执行通用条款</w:t>
      </w:r>
    </w:p>
    <w:p>
      <w:pPr>
        <w:autoSpaceDE w:val="0"/>
        <w:autoSpaceDN w:val="0"/>
        <w:spacing w:line="360" w:lineRule="auto"/>
        <w:ind w:firstLine="240" w:firstLineChars="100"/>
        <w:rPr>
          <w:rFonts w:hint="eastAsia" w:ascii="宋体" w:hAnsi="宋体"/>
          <w:sz w:val="24"/>
        </w:rPr>
      </w:pPr>
      <w:r>
        <w:rPr>
          <w:rFonts w:hint="eastAsia" w:ascii="宋体" w:hAnsi="宋体"/>
          <w:sz w:val="24"/>
        </w:rPr>
        <w:t>10.3.3 变更执行</w:t>
      </w:r>
    </w:p>
    <w:p>
      <w:pPr>
        <w:autoSpaceDE w:val="0"/>
        <w:autoSpaceDN w:val="0"/>
        <w:spacing w:line="360" w:lineRule="auto"/>
        <w:ind w:firstLine="480" w:firstLineChars="200"/>
        <w:rPr>
          <w:rFonts w:hint="eastAsia" w:ascii="宋体" w:hAnsi="宋体"/>
          <w:sz w:val="24"/>
        </w:rPr>
      </w:pPr>
      <w:r>
        <w:rPr>
          <w:rFonts w:ascii="宋体" w:hAnsi="宋体"/>
          <w:sz w:val="24"/>
        </w:rPr>
        <w:t>承包人收到监理人下达的变更指示后，应按照变更指示执行</w:t>
      </w:r>
      <w:r>
        <w:rPr>
          <w:rFonts w:hint="eastAsia" w:ascii="宋体" w:hAnsi="宋体"/>
          <w:sz w:val="24"/>
        </w:rPr>
        <w:t>。</w:t>
      </w:r>
      <w:r>
        <w:rPr>
          <w:rFonts w:ascii="宋体" w:hAnsi="宋体"/>
          <w:sz w:val="24"/>
        </w:rPr>
        <w:t>承包人</w:t>
      </w:r>
      <w:r>
        <w:rPr>
          <w:rFonts w:hint="eastAsia" w:ascii="宋体" w:hAnsi="宋体"/>
          <w:sz w:val="24"/>
        </w:rPr>
        <w:t>认为不能执行，应立即</w:t>
      </w:r>
      <w:r>
        <w:rPr>
          <w:rFonts w:ascii="宋体" w:hAnsi="宋体"/>
          <w:sz w:val="24"/>
        </w:rPr>
        <w:t>提出不能执行该变更指示的理由。</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.4变更价格</w:t>
      </w:r>
    </w:p>
    <w:p>
      <w:pPr>
        <w:spacing w:line="360" w:lineRule="auto"/>
        <w:ind w:firstLine="480" w:firstLineChars="200"/>
        <w:rPr>
          <w:rFonts w:hint="eastAsia" w:ascii="宋体" w:hAnsi="宋体"/>
          <w:sz w:val="24"/>
        </w:rPr>
      </w:pPr>
      <w:r>
        <w:rPr>
          <w:rFonts w:ascii="宋体" w:hAnsi="宋体"/>
          <w:sz w:val="24"/>
        </w:rPr>
        <w:t>变更</w:t>
      </w:r>
      <w:r>
        <w:rPr>
          <w:rFonts w:hint="eastAsia" w:ascii="宋体" w:hAnsi="宋体"/>
          <w:sz w:val="24"/>
        </w:rPr>
        <w:t>价格</w:t>
      </w:r>
      <w:r>
        <w:rPr>
          <w:rFonts w:ascii="宋体" w:hAnsi="宋体"/>
          <w:sz w:val="24"/>
        </w:rPr>
        <w:t>按</w:t>
      </w:r>
      <w:r>
        <w:rPr>
          <w:rFonts w:hint="eastAsia" w:ascii="宋体" w:hAnsi="宋体"/>
          <w:sz w:val="24"/>
        </w:rPr>
        <w:t>照本合同专用条款第12条〔</w:t>
      </w:r>
      <w:r>
        <w:rPr>
          <w:rFonts w:hint="eastAsia" w:ascii="宋体" w:hAnsi="宋体"/>
          <w:sz w:val="24"/>
          <w:lang w:val="zh-CN"/>
        </w:rPr>
        <w:t>合同价格、计量</w:t>
      </w:r>
      <w:r>
        <w:rPr>
          <w:rFonts w:hint="eastAsia" w:ascii="宋体" w:hAnsi="宋体"/>
          <w:sz w:val="24"/>
        </w:rPr>
        <w:t>与</w:t>
      </w:r>
      <w:r>
        <w:rPr>
          <w:rFonts w:hint="eastAsia" w:ascii="宋体" w:hAnsi="宋体"/>
          <w:sz w:val="24"/>
          <w:lang w:val="zh-CN"/>
        </w:rPr>
        <w:t>支付</w:t>
      </w:r>
      <w:r>
        <w:rPr>
          <w:rFonts w:hint="eastAsia" w:ascii="宋体" w:hAnsi="宋体"/>
          <w:sz w:val="24"/>
        </w:rPr>
        <w:t>〕执行。</w:t>
      </w:r>
      <w:r>
        <w:rPr>
          <w:rFonts w:ascii="宋体" w:hAnsi="宋体"/>
          <w:sz w:val="24"/>
        </w:rPr>
        <w:t xml:space="preserve"> </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.5承包人的合理化建议</w:t>
      </w:r>
    </w:p>
    <w:p>
      <w:pPr>
        <w:autoSpaceDE w:val="0"/>
        <w:autoSpaceDN w:val="0"/>
        <w:spacing w:line="360" w:lineRule="auto"/>
        <w:ind w:firstLine="480" w:firstLineChars="200"/>
        <w:rPr>
          <w:rFonts w:hint="eastAsia" w:ascii="宋体" w:hAnsi="宋体"/>
          <w:sz w:val="24"/>
        </w:rPr>
      </w:pPr>
      <w:r>
        <w:rPr>
          <w:rFonts w:ascii="宋体" w:hAnsi="宋体"/>
          <w:sz w:val="24"/>
        </w:rPr>
        <w:t>承包人提出合理化建议的，应向监理人提交合理化建议说明，说明建议的内容和理由，以及实施该建议对合同价格和工期的影响。</w:t>
      </w:r>
    </w:p>
    <w:p>
      <w:pPr>
        <w:autoSpaceDE w:val="0"/>
        <w:autoSpaceDN w:val="0"/>
        <w:spacing w:line="360" w:lineRule="auto"/>
        <w:ind w:firstLine="480" w:firstLineChars="200"/>
        <w:rPr>
          <w:rFonts w:hint="eastAsia" w:ascii="宋体" w:hAnsi="宋体"/>
          <w:sz w:val="24"/>
        </w:rPr>
      </w:pPr>
      <w:r>
        <w:rPr>
          <w:rFonts w:ascii="宋体" w:hAnsi="宋体"/>
          <w:sz w:val="24"/>
        </w:rPr>
        <w:t>监理人应在收到承包人提交的合理化建议后7天内审查完毕并报送发包人。发包人应在收到监理人报送的合理化建议后7天内审批完毕。合理化建议经发包人批准的，监理人应及时发出变更指示。发包人不同意变更的，监理人应书面通知承包人。</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.6变更引起的工期调整</w:t>
      </w:r>
    </w:p>
    <w:p>
      <w:pPr>
        <w:autoSpaceDE w:val="0"/>
        <w:autoSpaceDN w:val="0"/>
        <w:spacing w:line="360" w:lineRule="auto"/>
        <w:ind w:firstLine="480" w:firstLineChars="200"/>
        <w:rPr>
          <w:rFonts w:hint="eastAsia" w:ascii="宋体" w:hAnsi="宋体"/>
          <w:sz w:val="24"/>
        </w:rPr>
      </w:pPr>
      <w:r>
        <w:rPr>
          <w:rFonts w:ascii="宋体" w:hAnsi="宋体"/>
          <w:sz w:val="24"/>
        </w:rPr>
        <w:t>因变更</w:t>
      </w:r>
      <w:r>
        <w:rPr>
          <w:rFonts w:hint="eastAsia" w:ascii="宋体" w:hAnsi="宋体"/>
          <w:sz w:val="24"/>
        </w:rPr>
        <w:t>影响</w:t>
      </w:r>
      <w:r>
        <w:rPr>
          <w:rFonts w:ascii="宋体" w:hAnsi="宋体"/>
          <w:sz w:val="24"/>
        </w:rPr>
        <w:t>关键线路工期变化的，合同当事人另行协商调整工期。</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.7暂估价</w:t>
      </w:r>
    </w:p>
    <w:p>
      <w:pPr>
        <w:autoSpaceDE w:val="0"/>
        <w:autoSpaceDN w:val="0"/>
        <w:spacing w:line="360" w:lineRule="auto"/>
        <w:ind w:firstLine="480" w:firstLineChars="200"/>
        <w:rPr>
          <w:rFonts w:hint="eastAsia" w:ascii="宋体" w:hAnsi="宋体"/>
          <w:sz w:val="24"/>
        </w:rPr>
      </w:pPr>
      <w:r>
        <w:rPr>
          <w:rFonts w:hint="eastAsia" w:ascii="宋体" w:hAnsi="宋体"/>
          <w:sz w:val="24"/>
        </w:rPr>
        <w:t>无。</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.8暂列金额</w:t>
      </w:r>
    </w:p>
    <w:p>
      <w:pPr>
        <w:autoSpaceDE w:val="0"/>
        <w:autoSpaceDN w:val="0"/>
        <w:spacing w:line="360" w:lineRule="auto"/>
        <w:ind w:firstLine="480" w:firstLineChars="200"/>
        <w:rPr>
          <w:rFonts w:hint="eastAsia" w:ascii="宋体" w:hAnsi="宋体"/>
          <w:sz w:val="24"/>
        </w:rPr>
      </w:pPr>
      <w:r>
        <w:rPr>
          <w:rFonts w:hint="eastAsia" w:ascii="宋体" w:hAnsi="宋体"/>
          <w:sz w:val="24"/>
        </w:rPr>
        <w:t>无。</w:t>
      </w:r>
    </w:p>
    <w:p>
      <w:pPr>
        <w:spacing w:line="360" w:lineRule="auto"/>
        <w:outlineLvl w:val="4"/>
        <w:rPr>
          <w:rFonts w:hint="eastAsia" w:ascii="宋体" w:hAnsi="宋体"/>
          <w:bCs/>
          <w:sz w:val="24"/>
          <w:lang w:val="zh-CN"/>
        </w:rPr>
      </w:pPr>
      <w:r>
        <w:rPr>
          <w:rFonts w:hint="eastAsia" w:ascii="宋体" w:hAnsi="宋体"/>
          <w:bCs/>
          <w:sz w:val="24"/>
          <w:lang w:val="zh-CN"/>
        </w:rPr>
        <w:t>10</w:t>
      </w:r>
      <w:r>
        <w:rPr>
          <w:rFonts w:ascii="宋体" w:hAnsi="宋体"/>
          <w:bCs/>
          <w:sz w:val="24"/>
          <w:lang w:val="zh-CN"/>
        </w:rPr>
        <w:t xml:space="preserve">.9计日工 </w:t>
      </w:r>
    </w:p>
    <w:p>
      <w:pPr>
        <w:autoSpaceDE w:val="0"/>
        <w:autoSpaceDN w:val="0"/>
        <w:spacing w:line="360" w:lineRule="auto"/>
        <w:ind w:firstLine="480" w:firstLineChars="200"/>
        <w:rPr>
          <w:rFonts w:hint="eastAsia" w:ascii="宋体" w:hAnsi="宋体"/>
          <w:sz w:val="24"/>
        </w:rPr>
      </w:pPr>
      <w:r>
        <w:rPr>
          <w:rFonts w:hint="eastAsia" w:ascii="宋体" w:hAnsi="宋体"/>
          <w:sz w:val="24"/>
        </w:rPr>
        <w:t>无。</w:t>
      </w:r>
    </w:p>
    <w:p>
      <w:pPr>
        <w:numPr>
          <w:ilvl w:val="255"/>
          <w:numId w:val="0"/>
        </w:numPr>
        <w:tabs>
          <w:tab w:val="left" w:pos="426"/>
        </w:tabs>
        <w:spacing w:line="360" w:lineRule="auto"/>
        <w:ind w:left="-6"/>
        <w:outlineLvl w:val="3"/>
        <w:rPr>
          <w:rFonts w:hint="eastAsia" w:ascii="宋体" w:hAnsi="宋体"/>
          <w:bCs/>
          <w:sz w:val="24"/>
          <w:lang w:val="zh-CN"/>
        </w:rPr>
      </w:pPr>
      <w:r>
        <w:rPr>
          <w:rFonts w:hint="eastAsia" w:ascii="宋体" w:hAnsi="宋体"/>
          <w:bCs/>
          <w:sz w:val="24"/>
        </w:rPr>
        <w:t>12</w:t>
      </w:r>
      <w:r>
        <w:rPr>
          <w:rFonts w:ascii="宋体" w:hAnsi="宋体"/>
          <w:bCs/>
          <w:sz w:val="24"/>
          <w:lang w:val="zh-CN"/>
        </w:rPr>
        <w:t>合同价格、计量</w:t>
      </w:r>
      <w:r>
        <w:rPr>
          <w:rFonts w:hint="eastAsia" w:ascii="宋体" w:hAnsi="宋体"/>
          <w:bCs/>
          <w:sz w:val="24"/>
        </w:rPr>
        <w:t>与</w:t>
      </w:r>
      <w:r>
        <w:rPr>
          <w:rFonts w:ascii="宋体" w:hAnsi="宋体"/>
          <w:bCs/>
          <w:sz w:val="24"/>
          <w:lang w:val="zh-CN"/>
        </w:rPr>
        <w:t>支付</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2</w:t>
      </w:r>
      <w:r>
        <w:rPr>
          <w:rFonts w:ascii="宋体" w:hAnsi="宋体"/>
          <w:bCs/>
          <w:sz w:val="24"/>
          <w:lang w:val="zh-CN"/>
        </w:rPr>
        <w:t>.1合同价格</w:t>
      </w:r>
    </w:p>
    <w:p>
      <w:pPr>
        <w:autoSpaceDE w:val="0"/>
        <w:autoSpaceDN w:val="0"/>
        <w:spacing w:line="360" w:lineRule="auto"/>
        <w:ind w:firstLine="482" w:firstLineChars="200"/>
        <w:rPr>
          <w:b/>
          <w:color w:val="0000FF"/>
          <w:sz w:val="24"/>
        </w:rPr>
      </w:pPr>
      <w:r>
        <w:rPr>
          <w:rFonts w:hint="eastAsia"/>
          <w:b/>
          <w:color w:val="0000FF"/>
          <w:sz w:val="24"/>
        </w:rPr>
        <w:t>12.1.1合同含税总价为（人民币大写）：【    】元整，小写： (¥ 【     】元）。其中不含税金额【   】元，大写：人民币【      】，税率【  】。</w:t>
      </w:r>
    </w:p>
    <w:p>
      <w:pPr>
        <w:autoSpaceDE w:val="0"/>
        <w:autoSpaceDN w:val="0"/>
        <w:spacing w:line="360" w:lineRule="auto"/>
        <w:ind w:firstLine="480" w:firstLineChars="200"/>
        <w:rPr>
          <w:rFonts w:hint="eastAsia" w:ascii="宋体" w:hAnsi="宋体"/>
          <w:sz w:val="24"/>
          <w:u w:val="single"/>
        </w:rPr>
      </w:pPr>
      <w:r>
        <w:rPr>
          <w:rFonts w:hint="eastAsia" w:ascii="宋体" w:hAnsi="宋体"/>
          <w:sz w:val="24"/>
        </w:rPr>
        <w:t>12.1.2合同价格形式：</w:t>
      </w:r>
      <w:r>
        <w:rPr>
          <w:rFonts w:hint="eastAsia" w:ascii="宋体" w:hAnsi="宋体"/>
          <w:sz w:val="24"/>
          <w:u w:val="single"/>
        </w:rPr>
        <w:t>固定总价。</w:t>
      </w:r>
    </w:p>
    <w:p>
      <w:pPr>
        <w:autoSpaceDE w:val="0"/>
        <w:autoSpaceDN w:val="0"/>
        <w:spacing w:line="360" w:lineRule="auto"/>
        <w:ind w:firstLine="480" w:firstLineChars="200"/>
        <w:rPr>
          <w:rFonts w:hint="eastAsia" w:ascii="宋体" w:hAnsi="宋体"/>
          <w:sz w:val="24"/>
        </w:rPr>
      </w:pPr>
      <w:r>
        <w:rPr>
          <w:rFonts w:hint="eastAsia" w:ascii="宋体" w:hAnsi="宋体"/>
          <w:sz w:val="24"/>
        </w:rPr>
        <w:t>12.1.3合同总价包含的风险范围：</w:t>
      </w:r>
    </w:p>
    <w:p>
      <w:pPr>
        <w:autoSpaceDE w:val="0"/>
        <w:autoSpaceDN w:val="0"/>
        <w:spacing w:line="360" w:lineRule="auto"/>
        <w:ind w:firstLine="480" w:firstLineChars="200"/>
        <w:rPr>
          <w:rFonts w:hint="eastAsia" w:ascii="宋体" w:hAnsi="宋体"/>
          <w:sz w:val="24"/>
        </w:rPr>
      </w:pPr>
      <w:r>
        <w:rPr>
          <w:rFonts w:hint="eastAsia" w:ascii="宋体" w:hAnsi="宋体"/>
          <w:sz w:val="24"/>
        </w:rPr>
        <w:t>包含但不限于以下风险</w:t>
      </w:r>
      <w:r>
        <w:rPr>
          <w:rFonts w:hint="eastAsia" w:ascii="宋体" w:hAnsi="宋体"/>
          <w:sz w:val="24"/>
          <w:u w:val="single"/>
        </w:rPr>
        <w:t>：①人工工资上涨；②机械台班费上涨；③设备、材料价格上涨；④合同签订生效后政策性文件调整；⑤因发包人及设计的原因所产生的停工及窝工损失；⑥临时停水停电由承包人自行考虑相关措施，费用自理；⑦为保证质量、工期而增加的措施；⑧为保证施工安全而采取的安全、文明、环保措施可能增加的费用；⑨施工现场可能发生的设备、材料二次倒运；⑩招标文件及投标文件中包含的其它内容；</w:t>
      </w:r>
      <w:r>
        <w:rPr>
          <w:rFonts w:ascii="Cambria Math" w:hAnsi="Cambria Math" w:cs="Cambria Math"/>
          <w:sz w:val="24"/>
          <w:u w:val="single"/>
        </w:rPr>
        <w:t>⑪</w:t>
      </w:r>
      <w:r>
        <w:rPr>
          <w:rFonts w:hint="eastAsia" w:ascii="宋体" w:hAnsi="宋体"/>
          <w:sz w:val="24"/>
          <w:u w:val="single"/>
        </w:rPr>
        <w:t>投标文件漏报、少报的工作内容和工作量。因以上风险产生的费用由承包人承担，发包人不另行支付</w:t>
      </w:r>
      <w:r>
        <w:rPr>
          <w:rFonts w:hint="eastAsia" w:ascii="宋体" w:hAnsi="宋体"/>
          <w:sz w:val="24"/>
        </w:rPr>
        <w:t>。</w:t>
      </w:r>
    </w:p>
    <w:p>
      <w:pPr>
        <w:spacing w:line="360" w:lineRule="auto"/>
        <w:ind w:firstLine="480" w:firstLineChars="200"/>
        <w:rPr>
          <w:sz w:val="24"/>
        </w:rPr>
      </w:pPr>
      <w:r>
        <w:rPr>
          <w:rFonts w:hint="eastAsia"/>
          <w:sz w:val="24"/>
        </w:rPr>
        <w:t>12.1.4“综合单价”中包含但不限于以下费用：直接工程费、管理费、利润、风险费等全部费用。</w:t>
      </w:r>
    </w:p>
    <w:p>
      <w:pPr>
        <w:spacing w:line="360" w:lineRule="auto"/>
        <w:ind w:firstLine="480" w:firstLineChars="200"/>
        <w:rPr>
          <w:sz w:val="24"/>
        </w:rPr>
      </w:pPr>
      <w:r>
        <w:rPr>
          <w:rFonts w:hint="eastAsia"/>
          <w:sz w:val="24"/>
        </w:rPr>
        <w:t>12.1.5合同价格为固定价，价格中已包括工程施工期间及保修期间的全部费用，当合同实施时，承包范围内的工作内容未在合同或投标报价中填入的项目或遗漏的工程量，视为已包含在其它项目中，结算时不予补给。</w:t>
      </w:r>
    </w:p>
    <w:p>
      <w:pPr>
        <w:spacing w:line="360" w:lineRule="auto"/>
        <w:ind w:firstLine="480" w:firstLineChars="200"/>
        <w:rPr>
          <w:sz w:val="24"/>
        </w:rPr>
      </w:pPr>
      <w:r>
        <w:rPr>
          <w:rFonts w:hint="eastAsia"/>
          <w:sz w:val="24"/>
        </w:rPr>
        <w:t>12.1.6发包人有权对承包范围内的某个子目工程量进行调整或另行安排，不对全费用综合单价做调整，按相应全费用综合单价和实际工程量调整合同价格或进行工程结算。</w:t>
      </w:r>
    </w:p>
    <w:p>
      <w:pPr>
        <w:spacing w:line="360" w:lineRule="auto"/>
        <w:ind w:firstLine="480" w:firstLineChars="200"/>
        <w:rPr>
          <w:sz w:val="24"/>
        </w:rPr>
      </w:pPr>
      <w:r>
        <w:rPr>
          <w:rFonts w:hint="eastAsia"/>
          <w:sz w:val="24"/>
        </w:rPr>
        <w:t>12.1.7在施工中，无论承包人采用何种施工方法和措施，只作技术认可，合同价格不作调整。</w:t>
      </w:r>
    </w:p>
    <w:p>
      <w:pPr>
        <w:autoSpaceDE w:val="0"/>
        <w:autoSpaceDN w:val="0"/>
        <w:spacing w:line="360" w:lineRule="auto"/>
        <w:ind w:firstLine="480" w:firstLineChars="200"/>
        <w:rPr>
          <w:rFonts w:hint="eastAsia" w:ascii="宋体" w:hAnsi="宋体"/>
          <w:sz w:val="24"/>
        </w:rPr>
      </w:pPr>
      <w:r>
        <w:rPr>
          <w:rFonts w:hint="eastAsia" w:ascii="宋体" w:hAnsi="宋体"/>
          <w:sz w:val="24"/>
        </w:rPr>
        <w:t>12.1.8合同价格调整原则</w:t>
      </w:r>
    </w:p>
    <w:p>
      <w:pPr>
        <w:spacing w:line="360" w:lineRule="auto"/>
        <w:ind w:firstLine="480" w:firstLineChars="200"/>
        <w:rPr>
          <w:sz w:val="24"/>
        </w:rPr>
      </w:pPr>
      <w:r>
        <w:rPr>
          <w:rFonts w:hint="eastAsia"/>
          <w:sz w:val="24"/>
        </w:rPr>
        <w:t>发包人调整工程内容以及发生工程变更、工程签证时按以下方式调整合同总价或进行工程结算：</w:t>
      </w:r>
    </w:p>
    <w:p>
      <w:pPr>
        <w:spacing w:line="360" w:lineRule="auto"/>
        <w:ind w:firstLine="480" w:firstLineChars="200"/>
        <w:rPr>
          <w:color w:val="FF0000"/>
          <w:sz w:val="24"/>
        </w:rPr>
      </w:pPr>
      <w:r>
        <w:rPr>
          <w:rFonts w:hint="eastAsia"/>
          <w:sz w:val="24"/>
        </w:rPr>
        <w:t>a、合同中已有适用于新增工程、工程变更、工程签证价格的，按合同已有价格计算；</w:t>
      </w:r>
      <w:r>
        <w:rPr>
          <w:rFonts w:hint="eastAsia"/>
          <w:color w:val="FF0000"/>
          <w:sz w:val="24"/>
        </w:rPr>
        <w:t>投标报价文件中各项合计价格下浮的相应的综合单价也必须以相同比例下浮。</w:t>
      </w:r>
    </w:p>
    <w:p>
      <w:pPr>
        <w:spacing w:line="360" w:lineRule="auto"/>
        <w:ind w:firstLine="480" w:firstLineChars="200"/>
        <w:rPr>
          <w:sz w:val="24"/>
        </w:rPr>
      </w:pPr>
      <w:r>
        <w:rPr>
          <w:rFonts w:hint="eastAsia"/>
          <w:sz w:val="24"/>
        </w:rPr>
        <w:t>b、合同中只有类似于新增工程、工程变更、工程签证价格的，参照类似价格计算；</w:t>
      </w:r>
      <w:r>
        <w:rPr>
          <w:rFonts w:hint="eastAsia"/>
          <w:color w:val="FF0000"/>
          <w:sz w:val="24"/>
        </w:rPr>
        <w:t>投标报价文件中各项合计价格下浮的相应的综合单价也必须以相同比例下浮。</w:t>
      </w:r>
    </w:p>
    <w:p>
      <w:pPr>
        <w:spacing w:line="360" w:lineRule="auto"/>
        <w:ind w:firstLine="480" w:firstLineChars="200"/>
        <w:rPr>
          <w:sz w:val="24"/>
        </w:rPr>
      </w:pPr>
      <w:r>
        <w:rPr>
          <w:rFonts w:hint="eastAsia"/>
          <w:sz w:val="24"/>
        </w:rPr>
        <w:t>c、合同中没有适用或类似于新增工程、工程变更、工程签证价格的，按当地现行的建安工程预算定额及相应的费用定额计算的价格（不含主材）优惠下浮10%计算，主材按施工时当地市场指导价结算，当地市场指导价无法提供，以发包人市场询价为准。</w:t>
      </w:r>
    </w:p>
    <w:p>
      <w:pPr>
        <w:spacing w:line="360" w:lineRule="auto"/>
        <w:outlineLvl w:val="4"/>
        <w:rPr>
          <w:rFonts w:hint="eastAsia" w:ascii="宋体" w:hAnsi="宋体"/>
          <w:bCs/>
          <w:color w:val="0000FF"/>
          <w:sz w:val="24"/>
          <w:lang w:val="zh-CN"/>
        </w:rPr>
      </w:pPr>
      <w:r>
        <w:rPr>
          <w:rFonts w:hint="eastAsia" w:ascii="宋体" w:hAnsi="宋体"/>
          <w:bCs/>
          <w:color w:val="0000FF"/>
          <w:sz w:val="24"/>
          <w:lang w:val="zh-CN"/>
        </w:rPr>
        <w:t>1</w:t>
      </w:r>
      <w:r>
        <w:rPr>
          <w:rFonts w:hint="eastAsia" w:ascii="宋体" w:hAnsi="宋体"/>
          <w:bCs/>
          <w:color w:val="0000FF"/>
          <w:sz w:val="24"/>
        </w:rPr>
        <w:t>2</w:t>
      </w:r>
      <w:r>
        <w:rPr>
          <w:rFonts w:hint="eastAsia" w:ascii="宋体" w:hAnsi="宋体"/>
          <w:bCs/>
          <w:color w:val="0000FF"/>
          <w:sz w:val="24"/>
          <w:lang w:val="zh-CN"/>
        </w:rPr>
        <w:t>.2合同价格支付方式</w:t>
      </w:r>
    </w:p>
    <w:p>
      <w:pPr>
        <w:autoSpaceDE w:val="0"/>
        <w:autoSpaceDN w:val="0"/>
        <w:spacing w:line="360" w:lineRule="auto"/>
        <w:ind w:firstLine="480" w:firstLineChars="200"/>
        <w:rPr>
          <w:rFonts w:hint="eastAsia" w:ascii="宋体" w:hAnsi="宋体"/>
          <w:color w:val="0000FF"/>
          <w:sz w:val="24"/>
        </w:rPr>
      </w:pPr>
      <w:r>
        <w:rPr>
          <w:rFonts w:hint="eastAsia" w:ascii="宋体" w:hAnsi="宋体"/>
          <w:color w:val="0000FF"/>
          <w:sz w:val="24"/>
        </w:rPr>
        <w:t>合同价格按以下条件支付</w:t>
      </w:r>
    </w:p>
    <w:p>
      <w:pPr>
        <w:autoSpaceDE w:val="0"/>
        <w:autoSpaceDN w:val="0"/>
        <w:spacing w:line="360" w:lineRule="auto"/>
        <w:ind w:firstLine="482" w:firstLineChars="200"/>
        <w:rPr>
          <w:rFonts w:hint="eastAsia" w:ascii="宋体" w:hAnsi="宋体"/>
          <w:b/>
          <w:color w:val="0000FF"/>
          <w:sz w:val="24"/>
        </w:rPr>
      </w:pPr>
      <w:r>
        <w:rPr>
          <w:rFonts w:hint="eastAsia" w:ascii="宋体" w:hAnsi="宋体"/>
          <w:b/>
          <w:color w:val="0000FF"/>
          <w:sz w:val="24"/>
        </w:rPr>
        <w:t>12.2.1 工程预付款</w:t>
      </w:r>
    </w:p>
    <w:p>
      <w:pPr>
        <w:autoSpaceDE w:val="0"/>
        <w:autoSpaceDN w:val="0"/>
        <w:spacing w:line="360" w:lineRule="auto"/>
        <w:ind w:firstLine="482" w:firstLineChars="200"/>
        <w:rPr>
          <w:b/>
          <w:color w:val="0000FF"/>
          <w:sz w:val="24"/>
        </w:rPr>
      </w:pPr>
      <w:r>
        <w:rPr>
          <w:rFonts w:hint="eastAsia"/>
          <w:b/>
          <w:color w:val="0000FF"/>
          <w:sz w:val="24"/>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承包人已支付的全部款项，并向承包人支付本合同总价款20%的违约金。若上述违约金不足以弥补发包人实际损失的，发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w:t>
      </w:r>
      <w:r>
        <w:rPr>
          <w:rFonts w:hint="eastAsia"/>
          <w:b/>
          <w:color w:val="0000FF"/>
          <w:sz w:val="24"/>
          <w:u w:val="single"/>
        </w:rPr>
        <w:t>25%</w:t>
      </w:r>
      <w:r>
        <w:rPr>
          <w:rFonts w:hint="eastAsia"/>
          <w:b/>
          <w:color w:val="0000FF"/>
          <w:sz w:val="24"/>
        </w:rPr>
        <w:t>作为预付款。</w:t>
      </w:r>
    </w:p>
    <w:p>
      <w:pPr>
        <w:autoSpaceDE w:val="0"/>
        <w:autoSpaceDN w:val="0"/>
        <w:spacing w:line="360" w:lineRule="auto"/>
        <w:ind w:firstLine="482" w:firstLineChars="200"/>
        <w:rPr>
          <w:b/>
          <w:color w:val="0000FF"/>
          <w:sz w:val="24"/>
        </w:rPr>
      </w:pPr>
      <w:r>
        <w:rPr>
          <w:rFonts w:hint="eastAsia"/>
          <w:b/>
          <w:color w:val="0000FF"/>
          <w:sz w:val="24"/>
        </w:rPr>
        <w:t>12.2.2 工程进度款</w:t>
      </w:r>
    </w:p>
    <w:p>
      <w:pPr>
        <w:autoSpaceDE w:val="0"/>
        <w:autoSpaceDN w:val="0"/>
        <w:spacing w:line="360" w:lineRule="auto"/>
        <w:ind w:firstLine="361" w:firstLineChars="150"/>
        <w:rPr>
          <w:b/>
          <w:color w:val="0000FF"/>
          <w:sz w:val="24"/>
        </w:rPr>
      </w:pPr>
      <w:r>
        <w:rPr>
          <w:rFonts w:hint="eastAsia"/>
          <w:b/>
          <w:color w:val="0000FF"/>
          <w:sz w:val="24"/>
        </w:rPr>
        <w:t>根据监理、造价、发包人审批的工程量按月支付审核金额80%的进度款。工程进度款达合同总价的30%时，开始抵扣预付款，工程付款总额达合同总价的80%（含已支付的预付款）时，停止拨付；</w:t>
      </w:r>
    </w:p>
    <w:p>
      <w:pPr>
        <w:autoSpaceDE w:val="0"/>
        <w:autoSpaceDN w:val="0"/>
        <w:spacing w:line="360" w:lineRule="auto"/>
        <w:ind w:firstLine="482" w:firstLineChars="200"/>
        <w:rPr>
          <w:b/>
          <w:color w:val="0000FF"/>
          <w:sz w:val="24"/>
        </w:rPr>
      </w:pPr>
      <w:r>
        <w:rPr>
          <w:rFonts w:hint="eastAsia"/>
          <w:b/>
          <w:color w:val="0000FF"/>
          <w:sz w:val="24"/>
        </w:rPr>
        <w:t>12.2.3 工程结算尾款</w:t>
      </w:r>
    </w:p>
    <w:p>
      <w:pPr>
        <w:autoSpaceDE w:val="0"/>
        <w:autoSpaceDN w:val="0"/>
        <w:spacing w:line="360" w:lineRule="auto"/>
        <w:ind w:firstLine="482" w:firstLineChars="200"/>
        <w:rPr>
          <w:b/>
          <w:color w:val="0000FF"/>
          <w:sz w:val="24"/>
        </w:rPr>
      </w:pPr>
      <w:r>
        <w:rPr>
          <w:rFonts w:hint="eastAsia"/>
          <w:b/>
          <w:color w:val="0000FF"/>
          <w:sz w:val="24"/>
        </w:rPr>
        <w:t>工程完工、验收合格、工程交付、竣工资料交付、工程结算完成后，依据相关报告在10个工作日内支付工程结算尾款。工程结算尾款=审定的工程结算总价-已支付工程款项（预付款、进度款）-质量保证金-其他扣款。</w:t>
      </w:r>
    </w:p>
    <w:p>
      <w:pPr>
        <w:autoSpaceDE w:val="0"/>
        <w:autoSpaceDN w:val="0"/>
        <w:spacing w:line="360" w:lineRule="auto"/>
        <w:ind w:firstLine="482" w:firstLineChars="200"/>
        <w:rPr>
          <w:b/>
          <w:color w:val="0000FF"/>
          <w:sz w:val="24"/>
        </w:rPr>
      </w:pPr>
      <w:r>
        <w:rPr>
          <w:rFonts w:hint="eastAsia"/>
          <w:b/>
          <w:color w:val="0000FF"/>
          <w:sz w:val="24"/>
        </w:rPr>
        <w:t>在每次付款前承包人须提供税率为9%增值税专用发票（支付工程结算尾款时，提供的增值税专用发票金额须含质量保证金），否则，发包人有权拒绝付款。</w:t>
      </w:r>
    </w:p>
    <w:p>
      <w:pPr>
        <w:autoSpaceDE w:val="0"/>
        <w:autoSpaceDN w:val="0"/>
        <w:spacing w:line="360" w:lineRule="auto"/>
        <w:ind w:firstLine="482" w:firstLineChars="200"/>
        <w:rPr>
          <w:b/>
          <w:color w:val="0000FF"/>
          <w:sz w:val="24"/>
        </w:rPr>
      </w:pPr>
      <w:r>
        <w:rPr>
          <w:rFonts w:hint="eastAsia"/>
          <w:b/>
          <w:color w:val="FF0000"/>
          <w:sz w:val="24"/>
        </w:rPr>
        <w:t>合同实施过程中，如遇国家税率调整，合同结算价款也作相应的调整，调整时间节点以国家税率实施起点时间为分界点。</w:t>
      </w:r>
    </w:p>
    <w:p>
      <w:pPr>
        <w:autoSpaceDE w:val="0"/>
        <w:autoSpaceDN w:val="0"/>
        <w:spacing w:line="360" w:lineRule="auto"/>
        <w:ind w:firstLine="482" w:firstLineChars="200"/>
        <w:rPr>
          <w:b/>
          <w:color w:val="0000FF"/>
          <w:sz w:val="24"/>
        </w:rPr>
      </w:pPr>
      <w:r>
        <w:rPr>
          <w:rFonts w:hint="eastAsia"/>
          <w:b/>
          <w:color w:val="0000FF"/>
          <w:sz w:val="24"/>
        </w:rPr>
        <w:t>12.2.4 质量保证金</w:t>
      </w:r>
    </w:p>
    <w:p>
      <w:pPr>
        <w:autoSpaceDE w:val="0"/>
        <w:autoSpaceDN w:val="0"/>
        <w:spacing w:line="360" w:lineRule="auto"/>
        <w:ind w:firstLine="482" w:firstLineChars="200"/>
        <w:rPr>
          <w:rFonts w:hint="eastAsia" w:ascii="宋体" w:hAnsi="宋体"/>
          <w:b/>
          <w:color w:val="0000FF"/>
          <w:sz w:val="24"/>
        </w:rPr>
      </w:pPr>
      <w:r>
        <w:rPr>
          <w:rFonts w:hint="eastAsia" w:ascii="宋体" w:hAnsi="宋体"/>
          <w:b/>
          <w:color w:val="0000FF"/>
          <w:sz w:val="24"/>
        </w:rPr>
        <w:t>质量保证金为审定结算含税总价的3%。</w:t>
      </w:r>
      <w:r>
        <w:rPr>
          <w:rFonts w:ascii="宋体" w:hAnsi="宋体" w:cs="宋体"/>
          <w:b/>
          <w:color w:val="0000FF"/>
          <w:sz w:val="24"/>
        </w:rPr>
        <w:t>在</w:t>
      </w:r>
      <w:r>
        <w:rPr>
          <w:rFonts w:hint="eastAsia" w:ascii="宋体" w:hAnsi="宋体" w:cs="宋体"/>
          <w:b/>
          <w:color w:val="0000FF"/>
          <w:sz w:val="24"/>
        </w:rPr>
        <w:t>工程验收</w:t>
      </w:r>
      <w:r>
        <w:rPr>
          <w:rFonts w:ascii="宋体" w:hAnsi="宋体" w:cs="宋体"/>
          <w:b/>
          <w:color w:val="0000FF"/>
          <w:sz w:val="24"/>
        </w:rPr>
        <w:t>合格</w:t>
      </w:r>
      <w:r>
        <w:rPr>
          <w:rFonts w:hint="eastAsia" w:ascii="宋体" w:hAnsi="宋体" w:cs="宋体"/>
          <w:b/>
          <w:color w:val="0000FF"/>
          <w:sz w:val="24"/>
        </w:rPr>
        <w:t>交付使用</w:t>
      </w:r>
      <w:r>
        <w:rPr>
          <w:rFonts w:ascii="宋体" w:hAnsi="宋体" w:cs="宋体"/>
          <w:b/>
          <w:color w:val="0000FF"/>
          <w:sz w:val="24"/>
        </w:rPr>
        <w:t>之日起</w:t>
      </w:r>
      <w:r>
        <w:rPr>
          <w:rFonts w:hint="eastAsia" w:ascii="宋体" w:hAnsi="宋体" w:cs="宋体"/>
          <w:b/>
          <w:color w:val="0000FF"/>
          <w:sz w:val="24"/>
        </w:rPr>
        <w:t>一</w:t>
      </w:r>
      <w:r>
        <w:rPr>
          <w:rFonts w:ascii="宋体" w:hAnsi="宋体" w:cs="宋体"/>
          <w:b/>
          <w:color w:val="0000FF"/>
          <w:sz w:val="24"/>
        </w:rPr>
        <w:t>年后</w:t>
      </w:r>
      <w:r>
        <w:rPr>
          <w:rFonts w:hint="eastAsia" w:ascii="宋体" w:hAnsi="宋体" w:cs="宋体"/>
          <w:b/>
          <w:color w:val="0000FF"/>
          <w:sz w:val="24"/>
        </w:rPr>
        <w:t>，</w:t>
      </w:r>
      <w:r>
        <w:rPr>
          <w:rFonts w:ascii="宋体" w:hAnsi="宋体" w:cs="宋体"/>
          <w:b/>
          <w:color w:val="0000FF"/>
          <w:sz w:val="24"/>
        </w:rPr>
        <w:t>经</w:t>
      </w:r>
      <w:r>
        <w:rPr>
          <w:rFonts w:hint="eastAsia" w:ascii="宋体" w:hAnsi="宋体" w:cs="宋体"/>
          <w:b/>
          <w:color w:val="0000FF"/>
          <w:sz w:val="24"/>
        </w:rPr>
        <w:t>发包人</w:t>
      </w:r>
      <w:r>
        <w:rPr>
          <w:rFonts w:ascii="宋体" w:hAnsi="宋体" w:cs="宋体"/>
          <w:b/>
          <w:color w:val="0000FF"/>
          <w:sz w:val="24"/>
        </w:rPr>
        <w:t>复检无质量问题1个月内将本合同规定的质量</w:t>
      </w:r>
      <w:r>
        <w:rPr>
          <w:rFonts w:hint="eastAsia" w:ascii="宋体" w:hAnsi="宋体" w:cs="宋体"/>
          <w:b/>
          <w:color w:val="0000FF"/>
          <w:sz w:val="24"/>
        </w:rPr>
        <w:t>保证</w:t>
      </w:r>
      <w:r>
        <w:rPr>
          <w:rFonts w:ascii="宋体" w:hAnsi="宋体" w:cs="宋体"/>
          <w:b/>
          <w:color w:val="0000FF"/>
          <w:sz w:val="24"/>
        </w:rPr>
        <w:t>金返还</w:t>
      </w:r>
      <w:r>
        <w:rPr>
          <w:rFonts w:hint="eastAsia" w:ascii="宋体" w:hAnsi="宋体" w:cs="宋体"/>
          <w:b/>
          <w:color w:val="0000FF"/>
          <w:sz w:val="24"/>
        </w:rPr>
        <w:t>承包人（无息），</w:t>
      </w:r>
      <w:r>
        <w:rPr>
          <w:rFonts w:hint="eastAsia" w:ascii="宋体" w:hAnsi="宋体"/>
          <w:b/>
          <w:color w:val="0000FF"/>
          <w:sz w:val="24"/>
        </w:rPr>
        <w:t>但不解除</w:t>
      </w:r>
      <w:r>
        <w:rPr>
          <w:rFonts w:hint="eastAsia" w:ascii="宋体" w:hAnsi="宋体" w:cs="宋体"/>
          <w:b/>
          <w:color w:val="0000FF"/>
          <w:sz w:val="24"/>
        </w:rPr>
        <w:t>承包人</w:t>
      </w:r>
      <w:r>
        <w:rPr>
          <w:rFonts w:hint="eastAsia" w:ascii="宋体" w:hAnsi="宋体"/>
          <w:b/>
          <w:color w:val="0000FF"/>
          <w:sz w:val="24"/>
        </w:rPr>
        <w:t>在《工程质量保修书》中承诺的保修责任。</w:t>
      </w:r>
    </w:p>
    <w:p>
      <w:pPr>
        <w:autoSpaceDE w:val="0"/>
        <w:autoSpaceDN w:val="0"/>
        <w:spacing w:line="360" w:lineRule="auto"/>
        <w:ind w:firstLine="482" w:firstLineChars="200"/>
        <w:rPr>
          <w:rFonts w:hint="eastAsia" w:ascii="宋体" w:hAnsi="宋体"/>
          <w:b/>
          <w:color w:val="0000FF"/>
          <w:sz w:val="24"/>
        </w:rPr>
      </w:pPr>
      <w:r>
        <w:rPr>
          <w:rFonts w:hint="eastAsia" w:ascii="宋体" w:hAnsi="宋体"/>
          <w:b/>
          <w:color w:val="0000FF"/>
          <w:sz w:val="24"/>
        </w:rPr>
        <w:t>12.2.5 关于承包人使用发包人的水、电费用</w:t>
      </w:r>
      <w:r>
        <w:rPr>
          <w:rFonts w:hint="eastAsia" w:ascii="宋体" w:hAnsi="宋体"/>
          <w:b/>
          <w:color w:val="0000FF"/>
          <w:sz w:val="24"/>
          <w:lang w:eastAsia="zh-CN"/>
        </w:rPr>
        <w:t>安装</w:t>
      </w:r>
      <w:r>
        <w:rPr>
          <w:rFonts w:hint="eastAsia" w:ascii="宋体" w:hAnsi="宋体"/>
          <w:b/>
          <w:color w:val="0000FF"/>
          <w:sz w:val="24"/>
        </w:rPr>
        <w:t>表计量（计量设施由承包人负责安装），并在支付工程结算尾款时扣回。水、电费单价按照发包方当期实际购买价格（含税）计算执行。</w:t>
      </w:r>
    </w:p>
    <w:p>
      <w:pPr>
        <w:autoSpaceDE w:val="0"/>
        <w:autoSpaceDN w:val="0"/>
        <w:spacing w:line="360" w:lineRule="auto"/>
        <w:ind w:firstLine="482" w:firstLineChars="200"/>
        <w:rPr>
          <w:rFonts w:hint="eastAsia" w:ascii="宋体" w:hAnsi="宋体"/>
          <w:b/>
          <w:color w:val="0000FF"/>
          <w:sz w:val="24"/>
        </w:rPr>
      </w:pPr>
      <w:r>
        <w:rPr>
          <w:rFonts w:hint="eastAsia" w:ascii="宋体" w:hAnsi="宋体"/>
          <w:b/>
          <w:color w:val="0000FF"/>
          <w:sz w:val="24"/>
        </w:rPr>
        <w:t>12.2.6 支付方式为电汇。</w:t>
      </w:r>
    </w:p>
    <w:p>
      <w:pPr>
        <w:autoSpaceDE w:val="0"/>
        <w:autoSpaceDN w:val="0"/>
        <w:spacing w:line="360" w:lineRule="auto"/>
        <w:ind w:firstLine="480" w:firstLineChars="200"/>
        <w:rPr>
          <w:rFonts w:hint="eastAsia" w:ascii="宋体" w:hAnsi="宋体"/>
          <w:sz w:val="24"/>
        </w:rPr>
      </w:pPr>
      <w:r>
        <w:rPr>
          <w:rFonts w:hint="eastAsia" w:ascii="宋体" w:hAnsi="宋体"/>
          <w:sz w:val="24"/>
        </w:rPr>
        <w:t>12.2.7承包人送审单项工程结算造价高于审定的工程结算造价1</w:t>
      </w:r>
      <w:r>
        <w:rPr>
          <w:rFonts w:ascii="宋体" w:hAnsi="宋体"/>
          <w:sz w:val="24"/>
        </w:rPr>
        <w:softHyphen/>
      </w:r>
      <w:r>
        <w:rPr>
          <w:rFonts w:ascii="宋体" w:hAnsi="宋体"/>
          <w:sz w:val="24"/>
        </w:rPr>
        <w:softHyphen/>
      </w:r>
      <w:r>
        <w:rPr>
          <w:rFonts w:ascii="宋体" w:hAnsi="宋体"/>
          <w:sz w:val="24"/>
        </w:rPr>
        <w:softHyphen/>
      </w:r>
      <w:r>
        <w:rPr>
          <w:rFonts w:hint="eastAsia" w:ascii="宋体" w:hAnsi="宋体"/>
          <w:sz w:val="24"/>
        </w:rPr>
        <w:t>5%（含15%）以上时，其超额的工程造价咨询费用由承包人承担（造价咨询服务收费按发包人与造价咨询人签订的造价咨询合同相关约定执行），该款项从工程结算中扣除。</w:t>
      </w:r>
    </w:p>
    <w:p>
      <w:pPr>
        <w:autoSpaceDE w:val="0"/>
        <w:autoSpaceDN w:val="0"/>
        <w:spacing w:line="360" w:lineRule="auto"/>
        <w:ind w:firstLine="480" w:firstLineChars="200"/>
        <w:rPr>
          <w:rFonts w:hint="eastAsia" w:ascii="宋体" w:hAnsi="宋体"/>
          <w:sz w:val="24"/>
        </w:rPr>
      </w:pPr>
      <w:r>
        <w:rPr>
          <w:rFonts w:hint="eastAsia" w:ascii="宋体" w:hAnsi="宋体"/>
          <w:sz w:val="24"/>
        </w:rPr>
        <w:t>12.2.8合同总价已含社会保障费，该费用的缴纳及划拨手续由承包人负责办理。</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2</w:t>
      </w:r>
      <w:r>
        <w:rPr>
          <w:rFonts w:ascii="宋体" w:hAnsi="宋体"/>
          <w:bCs/>
          <w:sz w:val="24"/>
          <w:lang w:val="zh-CN"/>
        </w:rPr>
        <w:t>.3计量</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2</w:t>
      </w:r>
      <w:r>
        <w:rPr>
          <w:rFonts w:ascii="宋体" w:hAnsi="宋体"/>
          <w:sz w:val="24"/>
        </w:rPr>
        <w:t>.3.1 计量原则</w:t>
      </w:r>
    </w:p>
    <w:p>
      <w:pPr>
        <w:spacing w:line="360" w:lineRule="auto"/>
        <w:ind w:firstLine="480" w:firstLineChars="200"/>
        <w:rPr>
          <w:rFonts w:hint="eastAsia" w:ascii="宋体" w:hAnsi="宋体"/>
          <w:sz w:val="24"/>
        </w:rPr>
      </w:pPr>
      <w:r>
        <w:rPr>
          <w:rFonts w:ascii="宋体" w:hAnsi="宋体"/>
          <w:sz w:val="24"/>
        </w:rPr>
        <w:t>工程量计量按照合同约定的工程量计算规则、图纸及变更指示</w:t>
      </w:r>
      <w:r>
        <w:rPr>
          <w:rFonts w:hint="eastAsia" w:ascii="宋体" w:hAnsi="宋体"/>
          <w:sz w:val="24"/>
        </w:rPr>
        <w:t>等</w:t>
      </w:r>
      <w:r>
        <w:rPr>
          <w:rFonts w:ascii="宋体" w:hAnsi="宋体"/>
          <w:sz w:val="24"/>
        </w:rPr>
        <w:t>进行计量。</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2</w:t>
      </w:r>
      <w:r>
        <w:rPr>
          <w:rFonts w:ascii="宋体" w:hAnsi="宋体"/>
          <w:sz w:val="24"/>
        </w:rPr>
        <w:t>.3.2 计量周期</w:t>
      </w:r>
      <w:r>
        <w:rPr>
          <w:rFonts w:hint="eastAsia" w:ascii="宋体" w:hAnsi="宋体"/>
          <w:sz w:val="24"/>
        </w:rPr>
        <w:t>：</w:t>
      </w:r>
      <w:r>
        <w:rPr>
          <w:rFonts w:ascii="宋体" w:hAnsi="宋体"/>
          <w:sz w:val="24"/>
        </w:rPr>
        <w:t>按月进行。</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2</w:t>
      </w:r>
      <w:r>
        <w:rPr>
          <w:rFonts w:ascii="宋体" w:hAnsi="宋体"/>
          <w:sz w:val="24"/>
        </w:rPr>
        <w:t>.3.</w:t>
      </w:r>
      <w:r>
        <w:rPr>
          <w:rFonts w:hint="eastAsia" w:ascii="宋体" w:hAnsi="宋体"/>
          <w:sz w:val="24"/>
        </w:rPr>
        <w:t>4</w:t>
      </w:r>
      <w:r>
        <w:rPr>
          <w:rFonts w:ascii="宋体" w:hAnsi="宋体"/>
          <w:sz w:val="24"/>
        </w:rPr>
        <w:t xml:space="preserve"> 总价合同的计量</w:t>
      </w:r>
    </w:p>
    <w:p>
      <w:pPr>
        <w:spacing w:line="360" w:lineRule="auto"/>
        <w:ind w:firstLine="480" w:firstLineChars="200"/>
        <w:rPr>
          <w:rFonts w:hint="eastAsia" w:ascii="宋体" w:hAnsi="宋体"/>
          <w:sz w:val="24"/>
          <w:u w:val="single"/>
        </w:rPr>
      </w:pPr>
      <w:r>
        <w:rPr>
          <w:rFonts w:hint="eastAsia" w:ascii="宋体" w:hAnsi="宋体"/>
          <w:sz w:val="24"/>
          <w:u w:val="single"/>
        </w:rPr>
        <w:t>（1）承包人应于每月21日向监理人报送上月20日至当月19日已完成的工程量报告，并附进度付款申请单、已完成工程量报表和有关资料。</w:t>
      </w:r>
    </w:p>
    <w:p>
      <w:pPr>
        <w:spacing w:line="360" w:lineRule="auto"/>
        <w:ind w:firstLine="480" w:firstLineChars="200"/>
        <w:rPr>
          <w:rFonts w:hint="eastAsia" w:ascii="宋体" w:hAnsi="宋体"/>
          <w:sz w:val="24"/>
          <w:u w:val="single"/>
        </w:rPr>
      </w:pPr>
      <w:r>
        <w:rPr>
          <w:rFonts w:hint="eastAsia" w:ascii="宋体" w:hAnsi="宋体"/>
          <w:sz w:val="24"/>
          <w:u w:val="single"/>
        </w:rPr>
        <w:t>（2）监理人应在收到承包人提交的工程量报告后2天内完成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80" w:firstLineChars="200"/>
        <w:rPr>
          <w:rFonts w:hint="eastAsia" w:ascii="宋体" w:hAnsi="宋体"/>
          <w:sz w:val="24"/>
          <w:u w:val="single"/>
        </w:rPr>
      </w:pPr>
      <w:r>
        <w:rPr>
          <w:rFonts w:hint="eastAsia" w:ascii="宋体" w:hAnsi="宋体"/>
          <w:sz w:val="24"/>
          <w:u w:val="single"/>
        </w:rPr>
        <w:t>（3）对承包人擅自超出合同承包范围而要求增加的工程量和自身原因造成返工的工程量，均不予计量。</w:t>
      </w:r>
    </w:p>
    <w:p>
      <w:pPr>
        <w:numPr>
          <w:ilvl w:val="255"/>
          <w:numId w:val="0"/>
        </w:numPr>
        <w:tabs>
          <w:tab w:val="left" w:pos="426"/>
        </w:tabs>
        <w:spacing w:line="360" w:lineRule="auto"/>
        <w:ind w:left="-6"/>
        <w:outlineLvl w:val="3"/>
        <w:rPr>
          <w:rFonts w:hint="eastAsia" w:ascii="宋体" w:hAnsi="宋体"/>
          <w:bCs/>
          <w:sz w:val="24"/>
          <w:lang w:val="zh-CN"/>
        </w:rPr>
      </w:pPr>
      <w:r>
        <w:rPr>
          <w:rFonts w:hint="eastAsia" w:ascii="宋体" w:hAnsi="宋体"/>
          <w:bCs/>
          <w:sz w:val="24"/>
        </w:rPr>
        <w:t>13</w:t>
      </w:r>
      <w:r>
        <w:rPr>
          <w:rFonts w:ascii="宋体" w:hAnsi="宋体"/>
          <w:bCs/>
          <w:sz w:val="24"/>
          <w:lang w:val="zh-CN"/>
        </w:rPr>
        <w:t>验收</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3</w:t>
      </w:r>
      <w:r>
        <w:rPr>
          <w:rFonts w:ascii="宋体" w:hAnsi="宋体"/>
          <w:bCs/>
          <w:sz w:val="24"/>
          <w:lang w:val="zh-CN"/>
        </w:rPr>
        <w:t>.1分部分项工程验收</w:t>
      </w:r>
    </w:p>
    <w:p>
      <w:pPr>
        <w:spacing w:line="360" w:lineRule="auto"/>
        <w:ind w:firstLine="480" w:firstLineChars="200"/>
        <w:rPr>
          <w:rFonts w:hint="eastAsia" w:ascii="宋体" w:hAnsi="宋体"/>
          <w:sz w:val="24"/>
        </w:rPr>
      </w:pPr>
      <w:r>
        <w:rPr>
          <w:rFonts w:ascii="宋体" w:hAnsi="宋体"/>
          <w:sz w:val="24"/>
        </w:rPr>
        <w:t>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spacing w:line="360" w:lineRule="auto"/>
        <w:ind w:firstLine="480" w:firstLineChars="200"/>
        <w:rPr>
          <w:rFonts w:hint="eastAsia" w:ascii="宋体" w:hAnsi="宋体"/>
          <w:sz w:val="24"/>
        </w:rPr>
      </w:pPr>
      <w:r>
        <w:rPr>
          <w:rFonts w:ascii="宋体" w:hAnsi="宋体"/>
          <w:sz w:val="24"/>
        </w:rPr>
        <w:t>分部分项工程的验收资料应当作为竣工资料的组成部分。</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3</w:t>
      </w:r>
      <w:r>
        <w:rPr>
          <w:rFonts w:ascii="宋体" w:hAnsi="宋体"/>
          <w:bCs/>
          <w:sz w:val="24"/>
          <w:lang w:val="zh-CN"/>
        </w:rPr>
        <w:t>.2竣工验收</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.2.1竣工验收条件</w:t>
      </w:r>
    </w:p>
    <w:p>
      <w:pPr>
        <w:spacing w:line="360" w:lineRule="auto"/>
        <w:ind w:firstLine="480" w:firstLineChars="200"/>
        <w:rPr>
          <w:rFonts w:hint="eastAsia" w:ascii="宋体" w:hAnsi="宋体"/>
          <w:sz w:val="24"/>
        </w:rPr>
      </w:pPr>
      <w:r>
        <w:rPr>
          <w:rFonts w:ascii="宋体" w:hAnsi="宋体"/>
          <w:sz w:val="24"/>
        </w:rPr>
        <w:t>工程具备以下条件的，承包人申请竣工验收：</w:t>
      </w:r>
    </w:p>
    <w:p>
      <w:pPr>
        <w:spacing w:line="360" w:lineRule="auto"/>
        <w:ind w:firstLine="480" w:firstLineChars="200"/>
        <w:rPr>
          <w:rFonts w:hint="eastAsia" w:ascii="宋体" w:hAnsi="宋体"/>
          <w:sz w:val="24"/>
        </w:rPr>
      </w:pPr>
      <w:r>
        <w:rPr>
          <w:rFonts w:ascii="宋体" w:hAnsi="宋体"/>
          <w:sz w:val="24"/>
        </w:rPr>
        <w:t>（1）除发包人同意的甩项</w:t>
      </w:r>
      <w:r>
        <w:rPr>
          <w:rFonts w:hint="eastAsia" w:ascii="宋体" w:hAnsi="宋体"/>
          <w:sz w:val="24"/>
        </w:rPr>
        <w:t>工作</w:t>
      </w:r>
      <w:r>
        <w:rPr>
          <w:rFonts w:ascii="宋体" w:hAnsi="宋体"/>
          <w:sz w:val="24"/>
        </w:rPr>
        <w:t>和缺陷修补工作外，合同范围内的全部工程以及有关工作</w:t>
      </w:r>
      <w:r>
        <w:rPr>
          <w:rFonts w:hint="eastAsia" w:ascii="宋体" w:hAnsi="宋体"/>
          <w:sz w:val="24"/>
        </w:rPr>
        <w:t>（</w:t>
      </w:r>
      <w:r>
        <w:rPr>
          <w:rFonts w:ascii="宋体" w:hAnsi="宋体"/>
          <w:sz w:val="24"/>
        </w:rPr>
        <w:t>包括合同要求的试验、试运行以及检验</w:t>
      </w:r>
      <w:r>
        <w:rPr>
          <w:rFonts w:hint="eastAsia" w:ascii="宋体" w:hAnsi="宋体"/>
          <w:sz w:val="24"/>
        </w:rPr>
        <w:t>）</w:t>
      </w:r>
      <w:r>
        <w:rPr>
          <w:rFonts w:ascii="宋体" w:hAnsi="宋体"/>
          <w:sz w:val="24"/>
        </w:rPr>
        <w:t>均已完成，并符合合同要求；</w:t>
      </w:r>
    </w:p>
    <w:p>
      <w:pPr>
        <w:spacing w:line="360" w:lineRule="auto"/>
        <w:ind w:firstLine="480" w:firstLineChars="200"/>
        <w:rPr>
          <w:rFonts w:hint="eastAsia" w:ascii="宋体" w:hAnsi="宋体"/>
          <w:sz w:val="24"/>
        </w:rPr>
      </w:pPr>
      <w:r>
        <w:rPr>
          <w:rFonts w:ascii="宋体" w:hAnsi="宋体"/>
          <w:sz w:val="24"/>
        </w:rPr>
        <w:t>（2）已按合同约定编制了甩项</w:t>
      </w:r>
      <w:r>
        <w:rPr>
          <w:rFonts w:hint="eastAsia" w:ascii="宋体" w:hAnsi="宋体"/>
          <w:sz w:val="24"/>
        </w:rPr>
        <w:t>工作</w:t>
      </w:r>
      <w:r>
        <w:rPr>
          <w:rFonts w:ascii="宋体" w:hAnsi="宋体"/>
          <w:sz w:val="24"/>
        </w:rPr>
        <w:t>和缺陷修补工作清单以及相应的施工计划；</w:t>
      </w:r>
    </w:p>
    <w:p>
      <w:pPr>
        <w:spacing w:line="360" w:lineRule="auto"/>
        <w:ind w:firstLine="480" w:firstLineChars="200"/>
        <w:rPr>
          <w:rFonts w:hint="eastAsia" w:ascii="宋体" w:hAnsi="宋体"/>
          <w:sz w:val="24"/>
        </w:rPr>
      </w:pPr>
      <w:r>
        <w:rPr>
          <w:rFonts w:ascii="宋体" w:hAnsi="宋体"/>
          <w:sz w:val="24"/>
        </w:rPr>
        <w:t>（3）已按合同约定的内容和份数备齐竣工资料。</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.2.2竣工验收程序</w:t>
      </w:r>
    </w:p>
    <w:p>
      <w:pPr>
        <w:spacing w:line="360" w:lineRule="auto"/>
        <w:ind w:firstLine="480" w:firstLineChars="200"/>
        <w:rPr>
          <w:rFonts w:hint="eastAsia" w:ascii="宋体" w:hAnsi="宋体"/>
          <w:sz w:val="24"/>
        </w:rPr>
      </w:pPr>
      <w:r>
        <w:rPr>
          <w:rFonts w:ascii="宋体" w:hAnsi="宋体"/>
          <w:sz w:val="24"/>
        </w:rPr>
        <w:t>承包人申请竣工验收的，应当按照以下程序进行：</w:t>
      </w:r>
    </w:p>
    <w:p>
      <w:pPr>
        <w:spacing w:line="360" w:lineRule="auto"/>
        <w:ind w:firstLine="480" w:firstLineChars="200"/>
        <w:rPr>
          <w:rFonts w:hint="eastAsia" w:ascii="宋体" w:hAnsi="宋体"/>
          <w:sz w:val="24"/>
        </w:rPr>
      </w:pPr>
      <w:r>
        <w:rPr>
          <w:rFonts w:ascii="宋体" w:hAnsi="宋体"/>
          <w:sz w:val="24"/>
        </w:rPr>
        <w:t>（1）承包人向监理人报送竣工验收申请报告，监理人应在收到竣工验收申请报告后14天内完成审查并报送发包人。监理人审查后认为尚不具备验收条件的，应通知承包人在竣工验收前承包人还需完成的工作内容，承包人在完成监理人通知的全部工作内容后，再次提交竣工验收申请报告。</w:t>
      </w:r>
    </w:p>
    <w:p>
      <w:pPr>
        <w:spacing w:line="360" w:lineRule="auto"/>
        <w:ind w:firstLine="480" w:firstLineChars="200"/>
        <w:rPr>
          <w:rFonts w:hint="eastAsia" w:ascii="宋体" w:hAnsi="宋体"/>
          <w:sz w:val="24"/>
        </w:rPr>
      </w:pPr>
      <w:r>
        <w:rPr>
          <w:rFonts w:ascii="宋体" w:hAnsi="宋体"/>
          <w:sz w:val="24"/>
        </w:rPr>
        <w:t>（2）监理人审查后认为已具备竣工验收条件的，应将竣工验收申请报告提交发包人，发包人应在收到</w:t>
      </w:r>
      <w:r>
        <w:rPr>
          <w:rFonts w:hint="eastAsia" w:ascii="宋体" w:hAnsi="宋体"/>
          <w:sz w:val="24"/>
        </w:rPr>
        <w:t>经</w:t>
      </w:r>
      <w:r>
        <w:rPr>
          <w:rFonts w:ascii="宋体" w:hAnsi="宋体"/>
          <w:sz w:val="24"/>
        </w:rPr>
        <w:t>监理人审核的竣工验收申请报告后28天内</w:t>
      </w:r>
      <w:r>
        <w:rPr>
          <w:rFonts w:hint="eastAsia" w:ascii="宋体" w:hAnsi="宋体"/>
          <w:sz w:val="24"/>
        </w:rPr>
        <w:t>审批</w:t>
      </w:r>
      <w:r>
        <w:rPr>
          <w:rFonts w:ascii="宋体" w:hAnsi="宋体"/>
          <w:sz w:val="24"/>
        </w:rPr>
        <w:t>完毕并组织监理人、承包人、设计人等相关单位完成竣工验收。</w:t>
      </w:r>
    </w:p>
    <w:p>
      <w:pPr>
        <w:spacing w:line="360" w:lineRule="auto"/>
        <w:ind w:firstLine="480" w:firstLineChars="200"/>
        <w:rPr>
          <w:rFonts w:hint="eastAsia" w:ascii="宋体" w:hAnsi="宋体"/>
          <w:sz w:val="24"/>
        </w:rPr>
      </w:pPr>
      <w:r>
        <w:rPr>
          <w:rFonts w:ascii="宋体" w:hAnsi="宋体"/>
          <w:sz w:val="24"/>
        </w:rPr>
        <w:t>（3）竣工验收合格的，发包人应在验收合格后14天内向承包人签发工程接收证书。发包人无正当理由逾期不颁发工程接收证书的，自验收合格后第</w:t>
      </w:r>
      <w:r>
        <w:rPr>
          <w:rFonts w:hint="eastAsia" w:ascii="宋体" w:hAnsi="宋体"/>
          <w:sz w:val="24"/>
        </w:rPr>
        <w:t>30</w:t>
      </w:r>
      <w:r>
        <w:rPr>
          <w:rFonts w:ascii="宋体" w:hAnsi="宋体"/>
          <w:sz w:val="24"/>
        </w:rPr>
        <w:t>天起视为已颁发工程接收证书。</w:t>
      </w:r>
    </w:p>
    <w:p>
      <w:pPr>
        <w:spacing w:line="360" w:lineRule="auto"/>
        <w:ind w:firstLine="480" w:firstLineChars="200"/>
        <w:rPr>
          <w:rFonts w:hint="eastAsia" w:ascii="宋体" w:hAnsi="宋体"/>
          <w:sz w:val="24"/>
        </w:rPr>
      </w:pPr>
      <w:r>
        <w:rPr>
          <w:rFonts w:ascii="宋体" w:hAnsi="宋体"/>
          <w:sz w:val="24"/>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80" w:firstLineChars="200"/>
        <w:rPr>
          <w:rFonts w:hint="eastAsia" w:ascii="宋体" w:hAnsi="宋体"/>
          <w:sz w:val="24"/>
        </w:rPr>
      </w:pPr>
      <w:r>
        <w:rPr>
          <w:rFonts w:ascii="宋体" w:hAnsi="宋体"/>
          <w:sz w:val="24"/>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80" w:firstLineChars="200"/>
        <w:rPr>
          <w:rFonts w:hint="eastAsia" w:ascii="宋体" w:hAnsi="宋体"/>
          <w:sz w:val="24"/>
        </w:rPr>
      </w:pPr>
      <w:r>
        <w:rPr>
          <w:rFonts w:hint="eastAsia" w:ascii="宋体" w:hAnsi="宋体"/>
          <w:sz w:val="24"/>
        </w:rPr>
        <w:t>（6）如有必要进行预验收的，由承包人组织监理人、发包人进行预验收后，承包人正式提交竣工验收申请报告。</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.2.3竣工日期</w:t>
      </w:r>
    </w:p>
    <w:p>
      <w:pPr>
        <w:autoSpaceDE w:val="0"/>
        <w:autoSpaceDN w:val="0"/>
        <w:spacing w:line="360" w:lineRule="auto"/>
        <w:ind w:firstLine="480" w:firstLineChars="200"/>
        <w:rPr>
          <w:rFonts w:hint="eastAsia" w:ascii="宋体" w:hAnsi="宋体"/>
          <w:sz w:val="24"/>
        </w:rPr>
      </w:pPr>
      <w:r>
        <w:rPr>
          <w:rFonts w:ascii="宋体" w:hAnsi="宋体"/>
          <w:sz w:val="24"/>
        </w:rPr>
        <w:t>工程经竣工验收合格的，以承包人提交竣工验收申请报告之日为实际竣工日期，并在工程接收证书中载明。</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.2.4 拒绝接收全部或部分工程</w:t>
      </w:r>
    </w:p>
    <w:p>
      <w:pPr>
        <w:autoSpaceDE w:val="0"/>
        <w:autoSpaceDN w:val="0"/>
        <w:spacing w:line="360" w:lineRule="auto"/>
        <w:ind w:firstLine="480" w:firstLineChars="200"/>
        <w:rPr>
          <w:rFonts w:hint="eastAsia" w:ascii="宋体" w:hAnsi="宋体"/>
          <w:sz w:val="24"/>
        </w:rPr>
      </w:pPr>
      <w:r>
        <w:rPr>
          <w:rFonts w:ascii="宋体" w:hAnsi="宋体"/>
          <w:sz w:val="24"/>
        </w:rPr>
        <w:t>对于竣工验收不合格的工程，承包人完成整改后，</w:t>
      </w:r>
      <w:r>
        <w:rPr>
          <w:rFonts w:hint="eastAsia" w:ascii="宋体" w:hAnsi="宋体"/>
          <w:sz w:val="24"/>
        </w:rPr>
        <w:t>应当</w:t>
      </w:r>
      <w:r>
        <w:rPr>
          <w:rFonts w:ascii="宋体" w:hAnsi="宋体"/>
          <w:sz w:val="24"/>
        </w:rPr>
        <w:t>重新进行竣工验收，经重新组织验收仍不合格的且无法采取措施补救的，则发包人可以拒绝接收不合格工程，承包人承担由此给发包人造成</w:t>
      </w:r>
      <w:r>
        <w:rPr>
          <w:rFonts w:hint="eastAsia" w:ascii="宋体" w:hAnsi="宋体"/>
          <w:sz w:val="24"/>
        </w:rPr>
        <w:t>的</w:t>
      </w:r>
      <w:r>
        <w:rPr>
          <w:rFonts w:ascii="宋体" w:hAnsi="宋体"/>
          <w:sz w:val="24"/>
        </w:rPr>
        <w:t>所有损失</w:t>
      </w:r>
      <w:r>
        <w:rPr>
          <w:rFonts w:hint="eastAsia" w:ascii="宋体" w:hAnsi="宋体"/>
          <w:sz w:val="24"/>
        </w:rPr>
        <w:t>。</w:t>
      </w:r>
      <w:r>
        <w:rPr>
          <w:rFonts w:ascii="宋体" w:hAnsi="宋体"/>
          <w:sz w:val="24"/>
        </w:rPr>
        <w:t>因不合格工程导致其他工程不能正常使用的，承包人应采取措施确保相关工程的正常使用，由此增加的费用和（或）延误的工期由承包人承担。</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.2.5 移交、接收全部与部分工程</w:t>
      </w:r>
    </w:p>
    <w:p>
      <w:pPr>
        <w:autoSpaceDE w:val="0"/>
        <w:autoSpaceDN w:val="0"/>
        <w:spacing w:line="360" w:lineRule="auto"/>
        <w:ind w:firstLine="480" w:firstLineChars="200"/>
        <w:rPr>
          <w:rFonts w:hint="eastAsia" w:ascii="宋体" w:hAnsi="宋体"/>
          <w:sz w:val="24"/>
        </w:rPr>
      </w:pPr>
      <w:r>
        <w:rPr>
          <w:rFonts w:ascii="宋体" w:hAnsi="宋体"/>
          <w:sz w:val="24"/>
        </w:rPr>
        <w:t>合同当事人应当在颁发工程接收证书</w:t>
      </w:r>
      <w:r>
        <w:rPr>
          <w:rFonts w:hint="eastAsia" w:ascii="宋体" w:hAnsi="宋体"/>
          <w:sz w:val="24"/>
        </w:rPr>
        <w:t>后7天内</w:t>
      </w:r>
      <w:r>
        <w:rPr>
          <w:rFonts w:ascii="宋体" w:hAnsi="宋体"/>
          <w:sz w:val="24"/>
        </w:rPr>
        <w:t>完成工程的移交。</w:t>
      </w:r>
    </w:p>
    <w:p>
      <w:pPr>
        <w:autoSpaceDE w:val="0"/>
        <w:autoSpaceDN w:val="0"/>
        <w:spacing w:line="360" w:lineRule="auto"/>
        <w:ind w:firstLine="480" w:firstLineChars="200"/>
        <w:rPr>
          <w:rFonts w:hint="eastAsia" w:ascii="宋体" w:hAnsi="宋体"/>
          <w:sz w:val="24"/>
        </w:rPr>
      </w:pPr>
      <w:r>
        <w:rPr>
          <w:rFonts w:ascii="宋体" w:hAnsi="宋体"/>
          <w:sz w:val="24"/>
        </w:rPr>
        <w:t>发包人无正当理由不接收工程的，发包人自</w:t>
      </w:r>
      <w:r>
        <w:rPr>
          <w:rFonts w:hint="eastAsia" w:ascii="宋体" w:hAnsi="宋体"/>
          <w:sz w:val="24"/>
        </w:rPr>
        <w:t>应当接收工程</w:t>
      </w:r>
      <w:r>
        <w:rPr>
          <w:rFonts w:ascii="宋体" w:hAnsi="宋体"/>
          <w:sz w:val="24"/>
        </w:rPr>
        <w:t>之日起，承担工程照管、成品保护、保管等与工程有关的各项费用。</w:t>
      </w:r>
    </w:p>
    <w:p>
      <w:pPr>
        <w:autoSpaceDE w:val="0"/>
        <w:autoSpaceDN w:val="0"/>
        <w:spacing w:line="360" w:lineRule="auto"/>
        <w:ind w:firstLine="480" w:firstLineChars="200"/>
        <w:rPr>
          <w:rFonts w:hint="eastAsia" w:ascii="宋体" w:hAnsi="宋体"/>
          <w:sz w:val="24"/>
        </w:rPr>
      </w:pPr>
      <w:r>
        <w:rPr>
          <w:rFonts w:ascii="宋体" w:hAnsi="宋体"/>
          <w:sz w:val="24"/>
        </w:rPr>
        <w:t>承包人无正当理由不移交工程的，</w:t>
      </w:r>
      <w:r>
        <w:rPr>
          <w:rFonts w:hint="eastAsia" w:ascii="宋体" w:hAnsi="宋体"/>
          <w:sz w:val="24"/>
        </w:rPr>
        <w:t>承包人应承担</w:t>
      </w:r>
      <w:r>
        <w:rPr>
          <w:rFonts w:ascii="宋体" w:hAnsi="宋体"/>
          <w:sz w:val="24"/>
        </w:rPr>
        <w:t>工程照管、成品保护、保管等与工程有关的各项费用。</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3</w:t>
      </w:r>
      <w:r>
        <w:rPr>
          <w:rFonts w:ascii="宋体" w:hAnsi="宋体"/>
          <w:bCs/>
          <w:sz w:val="24"/>
          <w:lang w:val="zh-CN"/>
        </w:rPr>
        <w:t>.3工程</w:t>
      </w:r>
      <w:r>
        <w:rPr>
          <w:rFonts w:hint="eastAsia" w:ascii="宋体" w:hAnsi="宋体"/>
          <w:bCs/>
          <w:sz w:val="24"/>
          <w:lang w:val="zh-CN"/>
        </w:rPr>
        <w:t>试车（无）</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3</w:t>
      </w:r>
      <w:r>
        <w:rPr>
          <w:rFonts w:hint="eastAsia" w:ascii="宋体" w:hAnsi="宋体"/>
          <w:bCs/>
          <w:sz w:val="24"/>
          <w:lang w:val="zh-CN"/>
        </w:rPr>
        <w:t>.4提前交付单位工程的验收</w:t>
      </w:r>
    </w:p>
    <w:p>
      <w:pPr>
        <w:spacing w:line="360" w:lineRule="auto"/>
        <w:ind w:firstLine="480" w:firstLineChars="200"/>
        <w:rPr>
          <w:rFonts w:hint="eastAsia" w:ascii="宋体" w:hAnsi="宋体"/>
          <w:sz w:val="24"/>
        </w:rPr>
      </w:pPr>
      <w:r>
        <w:rPr>
          <w:rFonts w:hint="eastAsia" w:ascii="宋体" w:hAnsi="宋体"/>
          <w:sz w:val="24"/>
        </w:rPr>
        <w:t>发包人需要在工程竣工前使用单位工程的，或承包人提出提前交付已经竣工的单位工程且经发包人同意的，可进行单位工程验收，验收的程序按照合同条款〔竣工验收〕的约定进行。</w:t>
      </w:r>
    </w:p>
    <w:p>
      <w:pPr>
        <w:spacing w:line="360" w:lineRule="auto"/>
        <w:ind w:firstLine="480" w:firstLineChars="200"/>
        <w:rPr>
          <w:rFonts w:hint="eastAsia" w:ascii="宋体" w:hAnsi="宋体"/>
          <w:sz w:val="24"/>
        </w:rPr>
      </w:pPr>
      <w:r>
        <w:rPr>
          <w:rFonts w:hint="eastAsia" w:ascii="宋体" w:hAnsi="宋体"/>
          <w:sz w:val="24"/>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3</w:t>
      </w:r>
      <w:r>
        <w:rPr>
          <w:rFonts w:ascii="宋体" w:hAnsi="宋体"/>
          <w:bCs/>
          <w:sz w:val="24"/>
          <w:lang w:val="zh-CN"/>
        </w:rPr>
        <w:t>.</w:t>
      </w:r>
      <w:r>
        <w:rPr>
          <w:rFonts w:hint="eastAsia" w:ascii="宋体" w:hAnsi="宋体"/>
          <w:bCs/>
          <w:sz w:val="24"/>
          <w:lang w:val="zh-CN"/>
        </w:rPr>
        <w:t>5</w:t>
      </w:r>
      <w:r>
        <w:rPr>
          <w:rFonts w:ascii="宋体" w:hAnsi="宋体"/>
          <w:bCs/>
          <w:sz w:val="24"/>
          <w:lang w:val="zh-CN"/>
        </w:rPr>
        <w:t xml:space="preserve"> 施工期运行</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w:t>
      </w:r>
      <w:r>
        <w:rPr>
          <w:rFonts w:hint="eastAsia" w:ascii="宋体" w:hAnsi="宋体"/>
          <w:sz w:val="24"/>
        </w:rPr>
        <w:t>5</w:t>
      </w:r>
      <w:r>
        <w:rPr>
          <w:rFonts w:ascii="宋体" w:hAnsi="宋体"/>
          <w:sz w:val="24"/>
        </w:rPr>
        <w:t>.1 施工期运行是指合同工程尚未全部竣工，其中某项或某几项单位工程或工程设备安装已竣工</w:t>
      </w:r>
      <w:r>
        <w:rPr>
          <w:rFonts w:hint="eastAsia" w:ascii="宋体" w:hAnsi="宋体"/>
          <w:sz w:val="24"/>
        </w:rPr>
        <w:t>。</w:t>
      </w:r>
      <w:r>
        <w:rPr>
          <w:rFonts w:ascii="宋体" w:hAnsi="宋体"/>
          <w:sz w:val="24"/>
        </w:rPr>
        <w:t>需要投入施工期运行的，经验收合格，证明能确保安全后，才能在施工期投入运行。</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w:t>
      </w:r>
      <w:r>
        <w:rPr>
          <w:rFonts w:hint="eastAsia" w:ascii="宋体" w:hAnsi="宋体"/>
          <w:sz w:val="24"/>
        </w:rPr>
        <w:t>5</w:t>
      </w:r>
      <w:r>
        <w:rPr>
          <w:rFonts w:ascii="宋体" w:hAnsi="宋体"/>
          <w:sz w:val="24"/>
        </w:rPr>
        <w:t>.2 在施工期运行中发现工程或工程设备损坏或存在缺陷的，由承包人进行修复</w:t>
      </w:r>
      <w:r>
        <w:rPr>
          <w:rFonts w:hint="eastAsia" w:ascii="宋体" w:hAnsi="宋体"/>
          <w:sz w:val="24"/>
        </w:rPr>
        <w:t>或更换</w:t>
      </w:r>
      <w:r>
        <w:rPr>
          <w:rFonts w:ascii="宋体" w:hAnsi="宋体"/>
          <w:sz w:val="24"/>
        </w:rPr>
        <w:t>。</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3</w:t>
      </w:r>
      <w:r>
        <w:rPr>
          <w:rFonts w:ascii="宋体" w:hAnsi="宋体"/>
          <w:bCs/>
          <w:sz w:val="24"/>
          <w:lang w:val="zh-CN"/>
        </w:rPr>
        <w:t>.</w:t>
      </w:r>
      <w:r>
        <w:rPr>
          <w:rFonts w:hint="eastAsia" w:ascii="宋体" w:hAnsi="宋体"/>
          <w:bCs/>
          <w:sz w:val="24"/>
          <w:lang w:val="zh-CN"/>
        </w:rPr>
        <w:t>6</w:t>
      </w:r>
      <w:r>
        <w:rPr>
          <w:rFonts w:ascii="宋体" w:hAnsi="宋体"/>
          <w:bCs/>
          <w:sz w:val="24"/>
          <w:lang w:val="zh-CN"/>
        </w:rPr>
        <w:t xml:space="preserve"> 竣工退场</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w:t>
      </w:r>
      <w:r>
        <w:rPr>
          <w:rFonts w:hint="eastAsia" w:ascii="宋体" w:hAnsi="宋体"/>
          <w:sz w:val="24"/>
        </w:rPr>
        <w:t>6</w:t>
      </w:r>
      <w:r>
        <w:rPr>
          <w:rFonts w:ascii="宋体" w:hAnsi="宋体"/>
          <w:sz w:val="24"/>
        </w:rPr>
        <w:t>.1 竣工退场</w:t>
      </w:r>
    </w:p>
    <w:p>
      <w:pPr>
        <w:spacing w:line="360" w:lineRule="auto"/>
        <w:ind w:firstLine="480" w:firstLineChars="200"/>
        <w:rPr>
          <w:rFonts w:hint="eastAsia" w:ascii="宋体" w:hAnsi="宋体"/>
          <w:sz w:val="24"/>
        </w:rPr>
      </w:pPr>
      <w:r>
        <w:rPr>
          <w:rFonts w:ascii="宋体" w:hAnsi="宋体"/>
          <w:sz w:val="24"/>
        </w:rPr>
        <w:t>颁发工程接收证书后，承包人应按以下要求对施工现场进行清理：</w:t>
      </w:r>
    </w:p>
    <w:p>
      <w:pPr>
        <w:spacing w:line="360" w:lineRule="auto"/>
        <w:ind w:firstLine="480" w:firstLineChars="200"/>
        <w:rPr>
          <w:rFonts w:hint="eastAsia" w:ascii="宋体" w:hAnsi="宋体"/>
          <w:sz w:val="24"/>
        </w:rPr>
      </w:pPr>
      <w:r>
        <w:rPr>
          <w:rFonts w:ascii="宋体" w:hAnsi="宋体"/>
          <w:sz w:val="24"/>
        </w:rPr>
        <w:t>（1）施工现场内残留的垃圾已全部清除出场；</w:t>
      </w:r>
    </w:p>
    <w:p>
      <w:pPr>
        <w:spacing w:line="360" w:lineRule="auto"/>
        <w:ind w:firstLine="480" w:firstLineChars="200"/>
        <w:rPr>
          <w:rFonts w:hint="eastAsia" w:ascii="宋体" w:hAnsi="宋体"/>
          <w:sz w:val="24"/>
        </w:rPr>
      </w:pPr>
      <w:r>
        <w:rPr>
          <w:rFonts w:ascii="宋体" w:hAnsi="宋体"/>
          <w:sz w:val="24"/>
        </w:rPr>
        <w:t>（2）临时工程已拆除，场地已进行清理、平整或复原；</w:t>
      </w:r>
    </w:p>
    <w:p>
      <w:pPr>
        <w:spacing w:line="360" w:lineRule="auto"/>
        <w:ind w:firstLine="480" w:firstLineChars="200"/>
        <w:rPr>
          <w:rFonts w:hint="eastAsia" w:ascii="宋体" w:hAnsi="宋体"/>
          <w:sz w:val="24"/>
        </w:rPr>
      </w:pPr>
      <w:r>
        <w:rPr>
          <w:rFonts w:ascii="宋体" w:hAnsi="宋体"/>
          <w:sz w:val="24"/>
        </w:rPr>
        <w:t>（3）按合同约定应撤离的人员、承包人施工设备和剩余的材料，包括废弃的施工设备和材料，已按计划撤离施工现场；</w:t>
      </w:r>
    </w:p>
    <w:p>
      <w:pPr>
        <w:spacing w:line="360" w:lineRule="auto"/>
        <w:ind w:firstLine="480" w:firstLineChars="200"/>
        <w:rPr>
          <w:rFonts w:hint="eastAsia" w:ascii="宋体" w:hAnsi="宋体"/>
          <w:sz w:val="24"/>
        </w:rPr>
      </w:pPr>
      <w:r>
        <w:rPr>
          <w:rFonts w:ascii="宋体" w:hAnsi="宋体"/>
          <w:sz w:val="24"/>
        </w:rPr>
        <w:t>（4）施工现场周边及其附近道路的施工堆积物</w:t>
      </w:r>
      <w:r>
        <w:rPr>
          <w:rFonts w:hint="eastAsia" w:ascii="宋体" w:hAnsi="宋体"/>
          <w:sz w:val="24"/>
        </w:rPr>
        <w:t>，</w:t>
      </w:r>
      <w:r>
        <w:rPr>
          <w:rFonts w:ascii="宋体" w:hAnsi="宋体"/>
          <w:sz w:val="24"/>
        </w:rPr>
        <w:t>已全部清理；</w:t>
      </w:r>
    </w:p>
    <w:p>
      <w:pPr>
        <w:spacing w:line="360" w:lineRule="auto"/>
        <w:ind w:firstLine="480" w:firstLineChars="200"/>
        <w:rPr>
          <w:rFonts w:hint="eastAsia" w:ascii="宋体" w:hAnsi="宋体"/>
          <w:sz w:val="24"/>
        </w:rPr>
      </w:pPr>
      <w:r>
        <w:rPr>
          <w:rFonts w:ascii="宋体" w:hAnsi="宋体"/>
          <w:sz w:val="24"/>
        </w:rPr>
        <w:t>（5）施工现场其他场地清理工作已全部完成。</w:t>
      </w:r>
    </w:p>
    <w:p>
      <w:pPr>
        <w:spacing w:line="360" w:lineRule="auto"/>
        <w:ind w:firstLine="480" w:firstLineChars="200"/>
        <w:rPr>
          <w:rFonts w:hint="eastAsia" w:ascii="宋体" w:hAnsi="宋体"/>
          <w:sz w:val="24"/>
        </w:rPr>
      </w:pPr>
      <w:r>
        <w:rPr>
          <w:rFonts w:ascii="宋体" w:hAnsi="宋体"/>
          <w:sz w:val="24"/>
        </w:rPr>
        <w:t>施工现场的竣工退场费用由承包人承担。承包人应在</w:t>
      </w:r>
      <w:r>
        <w:rPr>
          <w:rFonts w:hint="eastAsia" w:ascii="宋体" w:hAnsi="宋体"/>
          <w:sz w:val="24"/>
        </w:rPr>
        <w:t>颁发工程接收</w:t>
      </w:r>
      <w:r>
        <w:rPr>
          <w:rFonts w:ascii="宋体" w:hAnsi="宋体"/>
          <w:sz w:val="24"/>
        </w:rPr>
        <w:t>证书后</w:t>
      </w:r>
      <w:r>
        <w:rPr>
          <w:rFonts w:hint="eastAsia" w:ascii="宋体" w:hAnsi="宋体"/>
          <w:sz w:val="24"/>
          <w:u w:val="single"/>
        </w:rPr>
        <w:t>15</w:t>
      </w:r>
      <w:r>
        <w:rPr>
          <w:rFonts w:ascii="宋体" w:hAnsi="宋体"/>
          <w:sz w:val="24"/>
        </w:rPr>
        <w:t>天内完成竣工退场，逾期未完成的，发包人有权出售或另行处理承包人遗留的物品，由此支出的费用由承包人承担，发包人出售承包人遗留物品所得款项在扣除必要费用后应返还承包人。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w:t>
      </w:r>
      <w:r>
        <w:rPr>
          <w:rFonts w:hint="eastAsia" w:ascii="宋体" w:hAnsi="宋体"/>
          <w:sz w:val="24"/>
        </w:rPr>
        <w:t>6</w:t>
      </w:r>
      <w:r>
        <w:rPr>
          <w:rFonts w:ascii="宋体" w:hAnsi="宋体"/>
          <w:sz w:val="24"/>
        </w:rPr>
        <w:t>.2 地表还原</w:t>
      </w:r>
    </w:p>
    <w:p>
      <w:pPr>
        <w:spacing w:line="360" w:lineRule="auto"/>
        <w:ind w:firstLine="480" w:firstLineChars="200"/>
        <w:rPr>
          <w:rFonts w:hint="eastAsia" w:ascii="宋体" w:hAnsi="宋体"/>
          <w:sz w:val="24"/>
        </w:rPr>
      </w:pPr>
      <w:r>
        <w:rPr>
          <w:rFonts w:ascii="宋体" w:hAnsi="宋体"/>
          <w:sz w:val="24"/>
        </w:rPr>
        <w:t>承包人应按发包人要求恢复临时占地及清理场地，承包人未按发包人的要求恢复临时占地，或者场地清理未达到发包人要求的，发包人有权委托其他人恢复或清理，所发生的费用由承包人承担。</w:t>
      </w:r>
    </w:p>
    <w:p>
      <w:pPr>
        <w:spacing w:line="360" w:lineRule="auto"/>
        <w:ind w:firstLine="480" w:firstLineChars="200"/>
        <w:rPr>
          <w:rFonts w:hint="eastAsia" w:ascii="宋体" w:hAnsi="宋体"/>
          <w:sz w:val="24"/>
        </w:rPr>
      </w:pPr>
      <w:r>
        <w:rPr>
          <w:rFonts w:hint="eastAsia" w:ascii="宋体" w:hAnsi="宋体"/>
          <w:sz w:val="24"/>
        </w:rPr>
        <w:t>13.6.3承包人未按发包人要求的时间将施工场地归还发包人，逾期未归还发包人，每逾期一天，由承包人向发包人支付2000元/亩的场地占用费。</w:t>
      </w:r>
    </w:p>
    <w:p>
      <w:pPr>
        <w:numPr>
          <w:ilvl w:val="255"/>
          <w:numId w:val="0"/>
        </w:numPr>
        <w:tabs>
          <w:tab w:val="left" w:pos="426"/>
        </w:tabs>
        <w:spacing w:line="360" w:lineRule="auto"/>
        <w:outlineLvl w:val="3"/>
        <w:rPr>
          <w:rFonts w:hint="eastAsia" w:ascii="宋体" w:hAnsi="宋体"/>
          <w:bCs/>
          <w:sz w:val="24"/>
          <w:lang w:val="zh-CN"/>
        </w:rPr>
      </w:pPr>
      <w:r>
        <w:rPr>
          <w:rFonts w:hint="eastAsia" w:ascii="宋体" w:hAnsi="宋体"/>
          <w:bCs/>
          <w:sz w:val="24"/>
        </w:rPr>
        <w:t>14.</w:t>
      </w:r>
      <w:r>
        <w:rPr>
          <w:rFonts w:ascii="宋体" w:hAnsi="宋体"/>
          <w:bCs/>
          <w:sz w:val="24"/>
          <w:lang w:val="zh-CN"/>
        </w:rPr>
        <w:t>竣工结算</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4</w:t>
      </w:r>
      <w:r>
        <w:rPr>
          <w:rFonts w:ascii="宋体" w:hAnsi="宋体"/>
          <w:bCs/>
          <w:sz w:val="24"/>
          <w:lang w:val="zh-CN"/>
        </w:rPr>
        <w:t>.1 竣工结算申请</w:t>
      </w:r>
    </w:p>
    <w:p>
      <w:pPr>
        <w:autoSpaceDE w:val="0"/>
        <w:autoSpaceDN w:val="0"/>
        <w:spacing w:line="360" w:lineRule="auto"/>
        <w:ind w:firstLine="480" w:firstLineChars="200"/>
        <w:rPr>
          <w:rFonts w:hint="eastAsia" w:ascii="宋体" w:hAnsi="宋体"/>
          <w:sz w:val="24"/>
        </w:rPr>
      </w:pPr>
      <w:r>
        <w:rPr>
          <w:rFonts w:ascii="宋体" w:hAnsi="宋体"/>
          <w:sz w:val="24"/>
        </w:rPr>
        <w:t>承包人应在工程竣工验收合格后28天内向发包人和监理人提交竣工结算申请单，并提交完整的结算资料。</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4</w:t>
      </w:r>
      <w:r>
        <w:rPr>
          <w:rFonts w:ascii="宋体" w:hAnsi="宋体"/>
          <w:bCs/>
          <w:sz w:val="24"/>
          <w:lang w:val="zh-CN"/>
        </w:rPr>
        <w:t>.2 竣工结算审核</w:t>
      </w:r>
    </w:p>
    <w:p>
      <w:pPr>
        <w:autoSpaceDE w:val="0"/>
        <w:autoSpaceDN w:val="0"/>
        <w:spacing w:line="360" w:lineRule="auto"/>
        <w:ind w:firstLine="480" w:firstLineChars="200"/>
        <w:rPr>
          <w:rFonts w:hint="eastAsia" w:ascii="宋体" w:hAnsi="宋体"/>
          <w:sz w:val="24"/>
        </w:rPr>
      </w:pPr>
      <w:r>
        <w:rPr>
          <w:rFonts w:hint="eastAsia" w:ascii="宋体" w:hAnsi="宋体"/>
          <w:sz w:val="24"/>
        </w:rPr>
        <w:t>14.2.1</w:t>
      </w:r>
      <w:r>
        <w:rPr>
          <w:rFonts w:ascii="宋体" w:hAnsi="宋体"/>
          <w:sz w:val="24"/>
        </w:rPr>
        <w:t>监理人应在收到竣工结算申请后</w:t>
      </w:r>
      <w:r>
        <w:rPr>
          <w:rFonts w:hint="eastAsia" w:ascii="宋体" w:hAnsi="宋体"/>
          <w:sz w:val="24"/>
          <w:u w:val="single"/>
        </w:rPr>
        <w:t>30</w:t>
      </w:r>
      <w:r>
        <w:rPr>
          <w:rFonts w:ascii="宋体" w:hAnsi="宋体"/>
          <w:sz w:val="24"/>
        </w:rPr>
        <w:t>天内完成核查并报送发包人。发包人应在收到监理人提交的经审核的竣工结算申请后</w:t>
      </w:r>
      <w:r>
        <w:rPr>
          <w:rFonts w:hint="eastAsia" w:ascii="宋体" w:hAnsi="宋体"/>
          <w:sz w:val="24"/>
          <w:u w:val="single"/>
        </w:rPr>
        <w:t>30</w:t>
      </w:r>
      <w:r>
        <w:rPr>
          <w:rFonts w:ascii="宋体" w:hAnsi="宋体"/>
          <w:sz w:val="24"/>
        </w:rPr>
        <w:t>天内完成</w:t>
      </w:r>
      <w:r>
        <w:rPr>
          <w:rFonts w:hint="eastAsia" w:ascii="宋体" w:hAnsi="宋体"/>
          <w:sz w:val="24"/>
        </w:rPr>
        <w:t>审批</w:t>
      </w:r>
      <w:r>
        <w:rPr>
          <w:rFonts w:ascii="宋体" w:hAnsi="宋体"/>
          <w:sz w:val="24"/>
        </w:rPr>
        <w:t>。监理人或发包人对竣工结算申请有异议的，有权要求承包人进行修正和提供补充资料，承包人应提交修正后的竣工结算申请。</w:t>
      </w:r>
    </w:p>
    <w:p>
      <w:pPr>
        <w:autoSpaceDE w:val="0"/>
        <w:autoSpaceDN w:val="0"/>
        <w:spacing w:line="360" w:lineRule="auto"/>
        <w:ind w:firstLine="480" w:firstLineChars="200"/>
        <w:rPr>
          <w:rFonts w:hint="eastAsia" w:ascii="宋体" w:hAnsi="宋体"/>
          <w:sz w:val="24"/>
        </w:rPr>
      </w:pPr>
      <w:r>
        <w:rPr>
          <w:rFonts w:hint="eastAsia" w:ascii="宋体" w:hAnsi="宋体"/>
          <w:sz w:val="24"/>
        </w:rPr>
        <w:t>14.2.2竣工结算经发包人和造价咨询公司或审计部门按招标图纸及过程中的相关签证图纸审定后，发包人按合同约定支付工程结算尾款。</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4</w:t>
      </w:r>
      <w:r>
        <w:rPr>
          <w:rFonts w:ascii="宋体" w:hAnsi="宋体"/>
          <w:bCs/>
          <w:sz w:val="24"/>
          <w:lang w:val="zh-CN"/>
        </w:rPr>
        <w:t>.3 甩项竣工协议</w:t>
      </w:r>
    </w:p>
    <w:p>
      <w:pPr>
        <w:autoSpaceDE w:val="0"/>
        <w:autoSpaceDN w:val="0"/>
        <w:spacing w:line="360" w:lineRule="auto"/>
        <w:ind w:firstLine="470" w:firstLineChars="196"/>
        <w:rPr>
          <w:rFonts w:hint="eastAsia" w:ascii="宋体" w:hAnsi="宋体"/>
          <w:sz w:val="24"/>
        </w:rPr>
      </w:pPr>
      <w:r>
        <w:rPr>
          <w:rFonts w:ascii="宋体" w:hAnsi="宋体"/>
          <w:sz w:val="24"/>
        </w:rPr>
        <w:t>发包人要求甩项竣工的，合同当事人应另行签订甩项竣工协议。</w:t>
      </w:r>
    </w:p>
    <w:p>
      <w:pPr>
        <w:numPr>
          <w:ilvl w:val="255"/>
          <w:numId w:val="0"/>
        </w:numPr>
        <w:tabs>
          <w:tab w:val="left" w:pos="426"/>
        </w:tabs>
        <w:spacing w:line="360" w:lineRule="auto"/>
        <w:ind w:left="210"/>
        <w:outlineLvl w:val="3"/>
        <w:rPr>
          <w:rFonts w:hint="eastAsia" w:ascii="宋体" w:hAnsi="宋体"/>
          <w:bCs/>
          <w:sz w:val="24"/>
          <w:lang w:val="zh-CN"/>
        </w:rPr>
      </w:pPr>
      <w:r>
        <w:rPr>
          <w:rFonts w:hint="eastAsia" w:ascii="宋体" w:hAnsi="宋体"/>
          <w:bCs/>
          <w:sz w:val="24"/>
        </w:rPr>
        <w:t>15.</w:t>
      </w:r>
      <w:r>
        <w:rPr>
          <w:rFonts w:ascii="宋体" w:hAnsi="宋体"/>
          <w:bCs/>
          <w:sz w:val="24"/>
          <w:lang w:val="zh-CN"/>
        </w:rPr>
        <w:t>缺陷责任与保修</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5</w:t>
      </w:r>
      <w:r>
        <w:rPr>
          <w:rFonts w:ascii="宋体" w:hAnsi="宋体"/>
          <w:bCs/>
          <w:sz w:val="24"/>
          <w:lang w:val="zh-CN"/>
        </w:rPr>
        <w:t>.1 工程保修的原则</w:t>
      </w:r>
    </w:p>
    <w:p>
      <w:pPr>
        <w:autoSpaceDE w:val="0"/>
        <w:autoSpaceDN w:val="0"/>
        <w:spacing w:line="360" w:lineRule="auto"/>
        <w:ind w:firstLine="480" w:firstLineChars="200"/>
        <w:rPr>
          <w:rFonts w:hint="eastAsia" w:ascii="宋体" w:hAnsi="宋体"/>
          <w:sz w:val="24"/>
        </w:rPr>
      </w:pPr>
      <w:r>
        <w:rPr>
          <w:rFonts w:ascii="宋体" w:hAnsi="宋体"/>
          <w:sz w:val="24"/>
        </w:rPr>
        <w:t>在工程移交发包人后，因承包人原因产生的质量缺陷，承包人应承担质量缺陷责任和保修义务。缺陷责任期届满，承包人仍应按合同约定的工程各部位保修年限承担保修义务。</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5</w:t>
      </w:r>
      <w:r>
        <w:rPr>
          <w:rFonts w:ascii="宋体" w:hAnsi="宋体"/>
          <w:bCs/>
          <w:sz w:val="24"/>
          <w:lang w:val="zh-CN"/>
        </w:rPr>
        <w:t>.2 缺陷责任期</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.2.1 缺陷责任期自</w:t>
      </w:r>
      <w:r>
        <w:rPr>
          <w:rFonts w:hint="eastAsia" w:ascii="宋体" w:hAnsi="宋体"/>
          <w:sz w:val="24"/>
        </w:rPr>
        <w:t>实际竣工日期</w:t>
      </w:r>
      <w:r>
        <w:rPr>
          <w:rFonts w:ascii="宋体" w:hAnsi="宋体"/>
          <w:sz w:val="24"/>
        </w:rPr>
        <w:t>起计算，缺陷责任期为</w:t>
      </w:r>
      <w:r>
        <w:rPr>
          <w:rFonts w:hint="eastAsia" w:ascii="宋体" w:hAnsi="宋体"/>
          <w:sz w:val="24"/>
        </w:rPr>
        <w:t>12个月</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单位工程先于全部工程进行验收，经验收合格并交付使用的，该单位工程缺陷责任期自单位工程验收合格之日起算。</w:t>
      </w:r>
    </w:p>
    <w:p>
      <w:pPr>
        <w:autoSpaceDE w:val="0"/>
        <w:autoSpaceDN w:val="0"/>
        <w:spacing w:line="360" w:lineRule="auto"/>
        <w:ind w:firstLine="480" w:firstLineChars="200"/>
        <w:rPr>
          <w:rFonts w:hint="eastAsia" w:ascii="宋体" w:hAnsi="宋体"/>
          <w:sz w:val="24"/>
        </w:rPr>
      </w:pPr>
      <w:r>
        <w:rPr>
          <w:rFonts w:hint="eastAsia" w:ascii="宋体" w:hAnsi="宋体"/>
          <w:sz w:val="24"/>
        </w:rPr>
        <w:t>15</w:t>
      </w:r>
      <w:r>
        <w:rPr>
          <w:rFonts w:ascii="宋体" w:hAnsi="宋体"/>
          <w:sz w:val="24"/>
        </w:rPr>
        <w:t>.2.2 工程竣工验收合格后，因承包人原因导致的缺陷或损坏致使工程、单位工程或某项主要设备不能按原定目的使用的，则发包人有权要求承</w:t>
      </w:r>
      <w:r>
        <w:rPr>
          <w:rFonts w:ascii="宋体" w:hAnsi="宋体"/>
          <w:bCs/>
          <w:sz w:val="24"/>
        </w:rPr>
        <w:t>包人延长缺陷责任期，</w:t>
      </w:r>
      <w:r>
        <w:rPr>
          <w:rFonts w:ascii="宋体" w:hAnsi="宋体"/>
          <w:sz w:val="24"/>
        </w:rPr>
        <w:t>并应在原缺陷责任期届满前发出延长通知。</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.2.3 任何一项缺陷或损坏修复后，经检查证明其影响了工程或工程设备的使用性能，承包人应重新进行合同约定的试验和试运行，试验和试运行的全部费用应由责任方承担。</w:t>
      </w:r>
    </w:p>
    <w:p>
      <w:pPr>
        <w:autoSpaceDE w:val="0"/>
        <w:autoSpaceDN w:val="0"/>
        <w:spacing w:line="360" w:lineRule="auto"/>
        <w:ind w:firstLine="480" w:firstLineChars="200"/>
        <w:rPr>
          <w:rFonts w:hint="eastAsia" w:ascii="宋体" w:hAnsi="宋体"/>
          <w:sz w:val="24"/>
        </w:rPr>
      </w:pPr>
      <w:r>
        <w:rPr>
          <w:rFonts w:hint="eastAsia" w:ascii="宋体" w:hAnsi="宋体"/>
          <w:sz w:val="24"/>
        </w:rPr>
        <w:t>15</w:t>
      </w:r>
      <w:r>
        <w:rPr>
          <w:rFonts w:ascii="宋体" w:hAnsi="宋体"/>
          <w:sz w:val="24"/>
        </w:rPr>
        <w:t>.2.4</w:t>
      </w:r>
      <w:r>
        <w:rPr>
          <w:rFonts w:hint="eastAsia" w:ascii="宋体" w:hAnsi="宋体"/>
          <w:sz w:val="24"/>
        </w:rPr>
        <w:t xml:space="preserve"> </w:t>
      </w:r>
      <w:r>
        <w:rPr>
          <w:rFonts w:ascii="宋体" w:hAnsi="宋体"/>
          <w:sz w:val="24"/>
        </w:rPr>
        <w:t>承包人应于缺陷责任期届满后7天内向发包人发出缺陷责任期</w:t>
      </w:r>
      <w:r>
        <w:rPr>
          <w:rFonts w:hint="eastAsia" w:ascii="宋体" w:hAnsi="宋体"/>
          <w:sz w:val="24"/>
        </w:rPr>
        <w:t>届</w:t>
      </w:r>
      <w:r>
        <w:rPr>
          <w:rFonts w:ascii="宋体" w:hAnsi="宋体"/>
          <w:sz w:val="24"/>
        </w:rPr>
        <w:t>满通知，发包人应在</w:t>
      </w:r>
      <w:r>
        <w:rPr>
          <w:rFonts w:hint="eastAsia" w:ascii="宋体" w:hAnsi="宋体"/>
          <w:sz w:val="24"/>
        </w:rPr>
        <w:t>收</w:t>
      </w:r>
      <w:r>
        <w:rPr>
          <w:rFonts w:ascii="宋体" w:hAnsi="宋体"/>
          <w:sz w:val="24"/>
        </w:rPr>
        <w:t>到缺陷责任期满通知后14天内核实承包人是否履行缺陷</w:t>
      </w:r>
      <w:r>
        <w:rPr>
          <w:rFonts w:hint="eastAsia" w:ascii="宋体" w:hAnsi="宋体"/>
          <w:sz w:val="24"/>
        </w:rPr>
        <w:t>修复</w:t>
      </w:r>
      <w:r>
        <w:rPr>
          <w:rFonts w:ascii="宋体" w:hAnsi="宋体"/>
          <w:sz w:val="24"/>
        </w:rPr>
        <w:t>义务，承包人未能履行缺陷</w:t>
      </w:r>
      <w:r>
        <w:rPr>
          <w:rFonts w:hint="eastAsia" w:ascii="宋体" w:hAnsi="宋体"/>
          <w:sz w:val="24"/>
        </w:rPr>
        <w:t>修复</w:t>
      </w:r>
      <w:r>
        <w:rPr>
          <w:rFonts w:ascii="宋体" w:hAnsi="宋体"/>
          <w:sz w:val="24"/>
        </w:rPr>
        <w:t>义务的，发包人有权扣除相应金额的维修费用。发包人应在</w:t>
      </w:r>
      <w:r>
        <w:rPr>
          <w:rFonts w:hint="eastAsia" w:ascii="宋体" w:hAnsi="宋体"/>
          <w:sz w:val="24"/>
        </w:rPr>
        <w:t>收到</w:t>
      </w:r>
      <w:r>
        <w:rPr>
          <w:rFonts w:ascii="宋体" w:hAnsi="宋体"/>
          <w:sz w:val="24"/>
        </w:rPr>
        <w:t>缺陷责任期</w:t>
      </w:r>
      <w:r>
        <w:rPr>
          <w:rFonts w:hint="eastAsia" w:ascii="宋体" w:hAnsi="宋体"/>
          <w:sz w:val="24"/>
        </w:rPr>
        <w:t>届</w:t>
      </w:r>
      <w:r>
        <w:rPr>
          <w:rFonts w:ascii="宋体" w:hAnsi="宋体"/>
          <w:sz w:val="24"/>
        </w:rPr>
        <w:t>满</w:t>
      </w:r>
      <w:r>
        <w:rPr>
          <w:rFonts w:hint="eastAsia" w:ascii="宋体" w:hAnsi="宋体"/>
          <w:sz w:val="24"/>
        </w:rPr>
        <w:t>通知后</w:t>
      </w:r>
      <w:r>
        <w:rPr>
          <w:rFonts w:ascii="宋体" w:hAnsi="宋体"/>
          <w:sz w:val="24"/>
        </w:rPr>
        <w:t>14天内，向承包人颁发缺陷责任期终止证</w:t>
      </w:r>
      <w:r>
        <w:rPr>
          <w:rFonts w:hint="eastAsia" w:ascii="宋体" w:hAnsi="宋体"/>
          <w:sz w:val="24"/>
        </w:rPr>
        <w:t>书</w:t>
      </w:r>
      <w:r>
        <w:rPr>
          <w:rFonts w:ascii="宋体" w:hAnsi="宋体"/>
          <w:sz w:val="24"/>
        </w:rPr>
        <w:t>。</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5</w:t>
      </w:r>
      <w:r>
        <w:rPr>
          <w:rFonts w:ascii="宋体" w:hAnsi="宋体"/>
          <w:bCs/>
          <w:sz w:val="24"/>
          <w:lang w:val="zh-CN"/>
        </w:rPr>
        <w:t>.3 质量保证金</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 xml:space="preserve">.3.1 </w:t>
      </w:r>
      <w:r>
        <w:rPr>
          <w:rFonts w:hint="eastAsia" w:ascii="宋体" w:hAnsi="宋体"/>
          <w:sz w:val="24"/>
        </w:rPr>
        <w:t>承包人提供</w:t>
      </w:r>
      <w:r>
        <w:rPr>
          <w:rFonts w:ascii="宋体" w:hAnsi="宋体"/>
          <w:sz w:val="24"/>
        </w:rPr>
        <w:t>质量保证金的</w:t>
      </w:r>
      <w:r>
        <w:rPr>
          <w:rFonts w:hint="eastAsia" w:ascii="宋体" w:hAnsi="宋体"/>
          <w:sz w:val="24"/>
        </w:rPr>
        <w:t>方</w:t>
      </w:r>
      <w:r>
        <w:rPr>
          <w:rFonts w:ascii="宋体" w:hAnsi="宋体"/>
          <w:sz w:val="24"/>
        </w:rPr>
        <w:t>式</w:t>
      </w:r>
      <w:r>
        <w:rPr>
          <w:rFonts w:hint="eastAsia" w:ascii="宋体" w:hAnsi="宋体"/>
          <w:sz w:val="24"/>
        </w:rPr>
        <w:t>：按审定结算总价的</w:t>
      </w:r>
      <w:r>
        <w:rPr>
          <w:rFonts w:hint="eastAsia" w:ascii="宋体" w:hAnsi="宋体"/>
          <w:sz w:val="24"/>
          <w:u w:val="single"/>
        </w:rPr>
        <w:t xml:space="preserve">  </w:t>
      </w:r>
      <w:r>
        <w:rPr>
          <w:rFonts w:hint="eastAsia"/>
          <w:b/>
          <w:color w:val="0000FF"/>
          <w:sz w:val="24"/>
          <w:u w:val="single"/>
        </w:rPr>
        <w:t>3%</w:t>
      </w:r>
      <w:r>
        <w:rPr>
          <w:rFonts w:hint="eastAsia" w:ascii="宋体" w:hAnsi="宋体"/>
          <w:b/>
          <w:sz w:val="24"/>
          <w:u w:val="single"/>
        </w:rPr>
        <w:t xml:space="preserve">  </w:t>
      </w:r>
      <w:r>
        <w:rPr>
          <w:rFonts w:hint="eastAsia" w:ascii="宋体" w:hAnsi="宋体"/>
          <w:sz w:val="24"/>
        </w:rPr>
        <w:t>计算。</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.3.2 质量保证金</w:t>
      </w:r>
      <w:r>
        <w:rPr>
          <w:rFonts w:hint="eastAsia" w:ascii="宋体" w:hAnsi="宋体"/>
          <w:sz w:val="24"/>
        </w:rPr>
        <w:t>的</w:t>
      </w:r>
      <w:r>
        <w:rPr>
          <w:rFonts w:ascii="宋体" w:hAnsi="宋体"/>
          <w:sz w:val="24"/>
        </w:rPr>
        <w:t>扣留</w:t>
      </w:r>
      <w:r>
        <w:rPr>
          <w:rFonts w:hint="eastAsia" w:ascii="宋体" w:hAnsi="宋体"/>
          <w:sz w:val="24"/>
        </w:rPr>
        <w:t>方式</w:t>
      </w:r>
      <w:r>
        <w:rPr>
          <w:rFonts w:ascii="宋体" w:hAnsi="宋体"/>
          <w:sz w:val="24"/>
        </w:rPr>
        <w:t>：</w:t>
      </w:r>
      <w:r>
        <w:rPr>
          <w:rFonts w:hint="eastAsia" w:ascii="宋体" w:hAnsi="宋体"/>
          <w:sz w:val="24"/>
        </w:rPr>
        <w:t>在工程竣工结算时</w:t>
      </w:r>
      <w:r>
        <w:rPr>
          <w:rFonts w:ascii="宋体" w:hAnsi="宋体"/>
          <w:sz w:val="24"/>
        </w:rPr>
        <w:t>一次性扣留</w:t>
      </w:r>
      <w:r>
        <w:rPr>
          <w:rFonts w:hint="eastAsia" w:ascii="宋体" w:hAnsi="宋体"/>
          <w:sz w:val="24"/>
        </w:rPr>
        <w:t>。</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5</w:t>
      </w:r>
      <w:r>
        <w:rPr>
          <w:rFonts w:ascii="宋体" w:hAnsi="宋体"/>
          <w:bCs/>
          <w:sz w:val="24"/>
          <w:lang w:val="zh-CN"/>
        </w:rPr>
        <w:t>.4 保修</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.4.1保修责任</w:t>
      </w:r>
    </w:p>
    <w:p>
      <w:pPr>
        <w:spacing w:line="360" w:lineRule="auto"/>
        <w:ind w:firstLine="480" w:firstLineChars="200"/>
        <w:rPr>
          <w:rFonts w:hint="eastAsia" w:ascii="宋体" w:hAnsi="宋体"/>
          <w:sz w:val="24"/>
        </w:rPr>
      </w:pPr>
      <w:r>
        <w:rPr>
          <w:rFonts w:ascii="宋体" w:hAnsi="宋体"/>
          <w:sz w:val="24"/>
        </w:rPr>
        <w:t>工程保修期从工程竣工验收合格之日起</w:t>
      </w:r>
      <w:r>
        <w:rPr>
          <w:rFonts w:hint="eastAsia" w:ascii="宋体" w:hAnsi="宋体"/>
          <w:sz w:val="24"/>
        </w:rPr>
        <w:t>计</w:t>
      </w:r>
      <w:r>
        <w:rPr>
          <w:rFonts w:ascii="宋体" w:hAnsi="宋体"/>
          <w:sz w:val="24"/>
        </w:rPr>
        <w:t>算，具体分部分项工程的保修期在</w:t>
      </w:r>
      <w:r>
        <w:rPr>
          <w:rFonts w:hint="eastAsia" w:ascii="宋体" w:hAnsi="宋体"/>
          <w:sz w:val="24"/>
        </w:rPr>
        <w:t>《</w:t>
      </w:r>
      <w:r>
        <w:rPr>
          <w:rFonts w:ascii="宋体" w:hAnsi="宋体"/>
          <w:sz w:val="24"/>
        </w:rPr>
        <w:t>工程质量保修书中</w:t>
      </w:r>
      <w:r>
        <w:rPr>
          <w:rFonts w:hint="eastAsia" w:ascii="宋体" w:hAnsi="宋体"/>
          <w:sz w:val="24"/>
        </w:rPr>
        <w:t>》</w:t>
      </w:r>
      <w:r>
        <w:rPr>
          <w:rFonts w:ascii="宋体" w:hAnsi="宋体"/>
          <w:sz w:val="24"/>
        </w:rPr>
        <w:t>约定。在工程保修期内，承包人应当根据有关法律规定以及合同约定承担保修责任。</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.4.2 修复费用</w:t>
      </w:r>
    </w:p>
    <w:p>
      <w:pPr>
        <w:autoSpaceDE w:val="0"/>
        <w:autoSpaceDN w:val="0"/>
        <w:spacing w:line="360" w:lineRule="auto"/>
        <w:ind w:firstLine="480" w:firstLineChars="200"/>
        <w:rPr>
          <w:rFonts w:hint="eastAsia" w:ascii="宋体" w:hAnsi="宋体"/>
          <w:sz w:val="24"/>
        </w:rPr>
      </w:pPr>
      <w:r>
        <w:rPr>
          <w:rFonts w:ascii="宋体" w:hAnsi="宋体"/>
          <w:sz w:val="24"/>
        </w:rPr>
        <w:t>保修期内，修复的费用按照以下约定处理：</w:t>
      </w:r>
    </w:p>
    <w:p>
      <w:pPr>
        <w:autoSpaceDE w:val="0"/>
        <w:autoSpaceDN w:val="0"/>
        <w:spacing w:line="360" w:lineRule="auto"/>
        <w:ind w:firstLine="480" w:firstLineChars="200"/>
        <w:rPr>
          <w:rFonts w:hint="eastAsia" w:ascii="宋体" w:hAnsi="宋体"/>
          <w:sz w:val="24"/>
        </w:rPr>
      </w:pPr>
      <w:r>
        <w:rPr>
          <w:rFonts w:ascii="宋体" w:hAnsi="宋体"/>
          <w:sz w:val="24"/>
        </w:rPr>
        <w:t>（1）保修期内，因承包人原因造成工程的缺陷、损坏，承包人应负责修复，并承担修复的费用以及因工程的缺陷、损坏造成的人身伤害和财产损失；</w:t>
      </w:r>
    </w:p>
    <w:p>
      <w:pPr>
        <w:autoSpaceDE w:val="0"/>
        <w:autoSpaceDN w:val="0"/>
        <w:spacing w:line="360" w:lineRule="auto"/>
        <w:ind w:firstLine="480" w:firstLineChars="200"/>
        <w:rPr>
          <w:rFonts w:hint="eastAsia" w:ascii="宋体" w:hAnsi="宋体"/>
          <w:sz w:val="24"/>
        </w:rPr>
      </w:pPr>
      <w:r>
        <w:rPr>
          <w:rFonts w:ascii="宋体" w:hAnsi="宋体"/>
          <w:sz w:val="24"/>
        </w:rPr>
        <w:t>（2）保修期内，因发包人使用不当造成工程的缺陷、损坏，可以委托承包人修复，但发包人应承担修复的费用；</w:t>
      </w:r>
    </w:p>
    <w:p>
      <w:pPr>
        <w:autoSpaceDE w:val="0"/>
        <w:autoSpaceDN w:val="0"/>
        <w:spacing w:line="360" w:lineRule="auto"/>
        <w:ind w:firstLine="480" w:firstLineChars="200"/>
        <w:rPr>
          <w:rFonts w:hint="eastAsia" w:ascii="宋体" w:hAnsi="宋体"/>
          <w:sz w:val="24"/>
        </w:rPr>
      </w:pPr>
      <w:r>
        <w:rPr>
          <w:rFonts w:ascii="宋体" w:hAnsi="宋体"/>
          <w:sz w:val="24"/>
        </w:rPr>
        <w:t>（3）因其他原因造成工程的缺陷、损坏，可以委托承包人修复，发包人应承担修复的费用，因工程的缺陷、损坏造成的人身伤害和财产损失由责任方承担。</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.4.3 修复通知</w:t>
      </w:r>
    </w:p>
    <w:p>
      <w:pPr>
        <w:spacing w:line="360" w:lineRule="auto"/>
        <w:ind w:firstLine="480" w:firstLineChars="200"/>
        <w:rPr>
          <w:rFonts w:hint="eastAsia" w:ascii="宋体" w:hAnsi="宋体"/>
          <w:sz w:val="24"/>
        </w:rPr>
      </w:pPr>
      <w:r>
        <w:rPr>
          <w:rFonts w:ascii="宋体" w:hAnsi="宋体"/>
          <w:sz w:val="24"/>
        </w:rPr>
        <w:t>在保修期内，发包人在使用过程中，发现已接收的工程存在缺陷或损坏的，应书面通知承包人予以修复，但情况紧急必须立即修复缺陷或损坏的，发包人可以口头通知承包人并在口头通知后48小时内书面确认</w:t>
      </w:r>
      <w:r>
        <w:rPr>
          <w:rFonts w:hint="eastAsia" w:ascii="宋体" w:hAnsi="宋体"/>
          <w:sz w:val="24"/>
        </w:rPr>
        <w:t>，</w:t>
      </w:r>
      <w:r>
        <w:rPr>
          <w:rFonts w:ascii="宋体" w:hAnsi="宋体"/>
          <w:sz w:val="24"/>
        </w:rPr>
        <w:t>承包人应按口头</w:t>
      </w:r>
      <w:r>
        <w:rPr>
          <w:rFonts w:hint="eastAsia" w:ascii="宋体" w:hAnsi="宋体"/>
          <w:sz w:val="24"/>
        </w:rPr>
        <w:t>和</w:t>
      </w:r>
      <w:r>
        <w:rPr>
          <w:rFonts w:ascii="宋体" w:hAnsi="宋体"/>
          <w:sz w:val="24"/>
        </w:rPr>
        <w:t>书面通知要求的时间到达现场并</w:t>
      </w:r>
      <w:r>
        <w:rPr>
          <w:rFonts w:hint="eastAsia" w:ascii="宋体" w:hAnsi="宋体"/>
          <w:sz w:val="24"/>
        </w:rPr>
        <w:t>进行</w:t>
      </w:r>
      <w:r>
        <w:rPr>
          <w:rFonts w:ascii="宋体" w:hAnsi="宋体"/>
          <w:sz w:val="24"/>
        </w:rPr>
        <w:t>维修。</w:t>
      </w:r>
    </w:p>
    <w:p>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.4.4 未能修复</w:t>
      </w:r>
    </w:p>
    <w:p>
      <w:pPr>
        <w:spacing w:line="360" w:lineRule="auto"/>
        <w:ind w:firstLine="480" w:firstLineChars="200"/>
        <w:rPr>
          <w:rFonts w:hint="eastAsia" w:ascii="宋体" w:hAnsi="宋体"/>
          <w:sz w:val="24"/>
        </w:rPr>
      </w:pPr>
      <w:r>
        <w:rPr>
          <w:rFonts w:ascii="宋体" w:hAnsi="宋体"/>
          <w:sz w:val="24"/>
        </w:rPr>
        <w:t>因承包人原因造成工程的缺陷或损坏，承包人拒绝维修或未能在合理期限内修复缺陷或损坏，且经发包人书面催告后仍未修复的，发包人有权自行修复或委托第三方修复，所需费用由承包人承担。</w:t>
      </w:r>
    </w:p>
    <w:p>
      <w:pPr>
        <w:numPr>
          <w:ilvl w:val="255"/>
          <w:numId w:val="0"/>
        </w:numPr>
        <w:tabs>
          <w:tab w:val="left" w:pos="426"/>
        </w:tabs>
        <w:spacing w:line="360" w:lineRule="auto"/>
        <w:ind w:left="210"/>
        <w:outlineLvl w:val="3"/>
        <w:rPr>
          <w:rFonts w:hint="eastAsia" w:ascii="宋体" w:hAnsi="宋体"/>
          <w:bCs/>
          <w:sz w:val="24"/>
          <w:lang w:val="zh-CN"/>
        </w:rPr>
      </w:pPr>
      <w:r>
        <w:rPr>
          <w:rFonts w:hint="eastAsia" w:ascii="宋体" w:hAnsi="宋体"/>
          <w:bCs/>
          <w:sz w:val="24"/>
        </w:rPr>
        <w:t>16.</w:t>
      </w:r>
      <w:r>
        <w:rPr>
          <w:rFonts w:ascii="宋体" w:hAnsi="宋体"/>
          <w:bCs/>
          <w:sz w:val="24"/>
          <w:lang w:val="zh-CN"/>
        </w:rPr>
        <w:t>违约</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6</w:t>
      </w:r>
      <w:r>
        <w:rPr>
          <w:rFonts w:ascii="宋体" w:hAnsi="宋体"/>
          <w:bCs/>
          <w:sz w:val="24"/>
          <w:lang w:val="zh-CN"/>
        </w:rPr>
        <w:t>.1 发包人违约</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6</w:t>
      </w:r>
      <w:r>
        <w:rPr>
          <w:rFonts w:ascii="宋体" w:hAnsi="宋体"/>
          <w:sz w:val="24"/>
        </w:rPr>
        <w:t>.1.1 发包人违约的情形和违约责任</w:t>
      </w:r>
    </w:p>
    <w:p>
      <w:pPr>
        <w:autoSpaceDE w:val="0"/>
        <w:autoSpaceDN w:val="0"/>
        <w:spacing w:line="360" w:lineRule="auto"/>
        <w:ind w:firstLine="480" w:firstLineChars="200"/>
        <w:rPr>
          <w:rFonts w:hint="eastAsia" w:ascii="宋体" w:hAnsi="宋体"/>
          <w:sz w:val="24"/>
        </w:rPr>
      </w:pPr>
      <w:r>
        <w:rPr>
          <w:rFonts w:ascii="宋体" w:hAnsi="宋体"/>
          <w:sz w:val="24"/>
        </w:rPr>
        <w:t>在合同履行过程中发生的下列情形，属于发包人违约：</w:t>
      </w:r>
    </w:p>
    <w:p>
      <w:pPr>
        <w:spacing w:line="360" w:lineRule="auto"/>
        <w:ind w:firstLine="480" w:firstLineChars="200"/>
        <w:rPr>
          <w:rFonts w:hint="eastAsia" w:ascii="宋体" w:hAnsi="宋体"/>
          <w:sz w:val="24"/>
        </w:rPr>
      </w:pPr>
      <w:r>
        <w:rPr>
          <w:rFonts w:ascii="宋体" w:hAnsi="宋体"/>
          <w:sz w:val="24"/>
        </w:rPr>
        <w:t>（1）因发包人原因未能按合同约定向承包人提供施工现场、施工条件、基础资料，导致工期</w:t>
      </w:r>
      <w:r>
        <w:rPr>
          <w:rFonts w:hint="eastAsia" w:ascii="宋体" w:hAnsi="宋体"/>
          <w:sz w:val="24"/>
        </w:rPr>
        <w:t>延误；</w:t>
      </w:r>
    </w:p>
    <w:p>
      <w:pPr>
        <w:autoSpaceDE w:val="0"/>
        <w:autoSpaceDN w:val="0"/>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因发包人原因未能在计划开工日期</w:t>
      </w:r>
      <w:r>
        <w:rPr>
          <w:rFonts w:hint="eastAsia" w:ascii="宋体" w:hAnsi="宋体"/>
          <w:sz w:val="24"/>
        </w:rPr>
        <w:t>之日起</w:t>
      </w:r>
      <w:r>
        <w:rPr>
          <w:rFonts w:hint="eastAsia" w:ascii="宋体" w:hAnsi="宋体"/>
          <w:sz w:val="24"/>
          <w:u w:val="single"/>
        </w:rPr>
        <w:t>7</w:t>
      </w:r>
      <w:r>
        <w:rPr>
          <w:rFonts w:ascii="宋体" w:hAnsi="宋体"/>
          <w:sz w:val="24"/>
        </w:rPr>
        <w:t>天内下达开工通知的</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3</w:t>
      </w:r>
      <w:r>
        <w:rPr>
          <w:rFonts w:ascii="宋体" w:hAnsi="宋体"/>
          <w:sz w:val="24"/>
        </w:rPr>
        <w:t>）因发包人原因未能按合同约定支付合同价款的</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（4）发包人提供的材料、工程设备的规格、数量或质量不符合合同约定，或因发包人原因导致交货日期延误或交货地点变更等情况的</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（5）因发包人</w:t>
      </w:r>
      <w:r>
        <w:rPr>
          <w:rFonts w:hint="eastAsia" w:ascii="宋体" w:hAnsi="宋体"/>
          <w:sz w:val="24"/>
        </w:rPr>
        <w:t>原因</w:t>
      </w:r>
      <w:r>
        <w:rPr>
          <w:rFonts w:ascii="宋体" w:hAnsi="宋体"/>
          <w:sz w:val="24"/>
        </w:rPr>
        <w:t>造成暂停施工的</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（6）发包人无正当理由没有在约定期限内发出复工指示，导致承包人无法复工的</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w:t>
      </w:r>
      <w:r>
        <w:rPr>
          <w:rFonts w:hint="eastAsia" w:ascii="宋体" w:hAnsi="宋体"/>
          <w:sz w:val="24"/>
        </w:rPr>
        <w:t>发</w:t>
      </w:r>
      <w:r>
        <w:rPr>
          <w:rFonts w:ascii="宋体" w:hAnsi="宋体"/>
          <w:sz w:val="24"/>
        </w:rPr>
        <w:t>包人明确表示或者以其行为表明不履行合同主要义务的</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8</w:t>
      </w:r>
      <w:r>
        <w:rPr>
          <w:rFonts w:ascii="宋体" w:hAnsi="宋体"/>
          <w:sz w:val="24"/>
        </w:rPr>
        <w:t>）发包人未能按照合同约定履行其他义务的。</w:t>
      </w:r>
    </w:p>
    <w:p>
      <w:pPr>
        <w:autoSpaceDE w:val="0"/>
        <w:autoSpaceDN w:val="0"/>
        <w:spacing w:line="360" w:lineRule="auto"/>
        <w:ind w:firstLine="480" w:firstLineChars="200"/>
        <w:rPr>
          <w:rFonts w:hint="eastAsia" w:ascii="宋体" w:hAnsi="宋体"/>
          <w:sz w:val="24"/>
        </w:rPr>
      </w:pPr>
      <w:r>
        <w:rPr>
          <w:rFonts w:ascii="宋体" w:hAnsi="宋体"/>
          <w:sz w:val="24"/>
        </w:rPr>
        <w:t>发包人发生</w:t>
      </w:r>
      <w:r>
        <w:rPr>
          <w:rFonts w:hint="eastAsia" w:ascii="宋体" w:hAnsi="宋体"/>
          <w:sz w:val="24"/>
        </w:rPr>
        <w:t>第（7）项以外的违约时，且导致关键线路工期延误的，发包人只承担工期顺延的违约责任，不承担其他责任。</w:t>
      </w:r>
    </w:p>
    <w:p>
      <w:pPr>
        <w:autoSpaceDE w:val="0"/>
        <w:autoSpaceDN w:val="0"/>
        <w:spacing w:line="360" w:lineRule="auto"/>
        <w:ind w:firstLine="480" w:firstLineChars="200"/>
        <w:rPr>
          <w:rFonts w:hint="eastAsia" w:ascii="宋体" w:hAnsi="宋体"/>
          <w:sz w:val="24"/>
        </w:rPr>
      </w:pPr>
      <w:r>
        <w:rPr>
          <w:rFonts w:ascii="宋体" w:hAnsi="宋体"/>
          <w:sz w:val="24"/>
        </w:rPr>
        <w:t>发包人发生</w:t>
      </w:r>
      <w:r>
        <w:rPr>
          <w:rFonts w:hint="eastAsia" w:ascii="宋体" w:hAnsi="宋体"/>
          <w:sz w:val="24"/>
        </w:rPr>
        <w:t>第（7）项以外的违约时，</w:t>
      </w:r>
      <w:r>
        <w:rPr>
          <w:rFonts w:ascii="宋体" w:hAnsi="宋体"/>
          <w:sz w:val="24"/>
        </w:rPr>
        <w:t>承包人可向发包人发出通知，要求发包人采取有效措施纠正上述违约行为。发包人收到承包人通知28天</w:t>
      </w:r>
      <w:r>
        <w:rPr>
          <w:rFonts w:hint="eastAsia" w:ascii="宋体" w:hAnsi="宋体"/>
          <w:sz w:val="24"/>
        </w:rPr>
        <w:t>内</w:t>
      </w:r>
      <w:r>
        <w:rPr>
          <w:rFonts w:ascii="宋体" w:hAnsi="宋体"/>
          <w:sz w:val="24"/>
        </w:rPr>
        <w:t>仍不纠正违约行为的，承包人有权暂停相应部位工程施工，并通知监理人。</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6</w:t>
      </w:r>
      <w:r>
        <w:rPr>
          <w:rFonts w:ascii="宋体" w:hAnsi="宋体"/>
          <w:sz w:val="24"/>
        </w:rPr>
        <w:t>.1.</w:t>
      </w:r>
      <w:r>
        <w:rPr>
          <w:rFonts w:hint="eastAsia" w:ascii="宋体" w:hAnsi="宋体"/>
          <w:sz w:val="24"/>
        </w:rPr>
        <w:t>2</w:t>
      </w:r>
      <w:r>
        <w:rPr>
          <w:rFonts w:ascii="宋体" w:hAnsi="宋体"/>
          <w:sz w:val="24"/>
        </w:rPr>
        <w:t>因发包人违约解除合同</w:t>
      </w:r>
    </w:p>
    <w:p>
      <w:pPr>
        <w:autoSpaceDE w:val="0"/>
        <w:autoSpaceDN w:val="0"/>
        <w:spacing w:line="360" w:lineRule="auto"/>
        <w:ind w:firstLine="480" w:firstLineChars="200"/>
        <w:rPr>
          <w:rFonts w:hint="eastAsia" w:ascii="宋体" w:hAnsi="宋体"/>
          <w:sz w:val="24"/>
        </w:rPr>
      </w:pPr>
      <w:r>
        <w:rPr>
          <w:rFonts w:ascii="宋体" w:hAnsi="宋体"/>
          <w:sz w:val="24"/>
        </w:rPr>
        <w:t>承包人暂停施工满</w:t>
      </w:r>
      <w:r>
        <w:rPr>
          <w:rFonts w:hint="eastAsia" w:ascii="宋体" w:hAnsi="宋体"/>
          <w:sz w:val="24"/>
        </w:rPr>
        <w:t>28</w:t>
      </w:r>
      <w:r>
        <w:rPr>
          <w:rFonts w:ascii="宋体" w:hAnsi="宋体"/>
          <w:sz w:val="24"/>
        </w:rPr>
        <w:t>天后</w:t>
      </w:r>
      <w:r>
        <w:rPr>
          <w:rFonts w:hint="eastAsia" w:ascii="宋体" w:hAnsi="宋体"/>
          <w:sz w:val="24"/>
        </w:rPr>
        <w:t>，</w:t>
      </w:r>
      <w:r>
        <w:rPr>
          <w:rFonts w:ascii="宋体" w:hAnsi="宋体"/>
          <w:sz w:val="24"/>
        </w:rPr>
        <w:t>发包人仍不纠正其违约行为并致使合同</w:t>
      </w:r>
      <w:r>
        <w:rPr>
          <w:rFonts w:hint="eastAsia" w:ascii="宋体" w:hAnsi="宋体"/>
          <w:sz w:val="24"/>
        </w:rPr>
        <w:t>无法履行</w:t>
      </w:r>
      <w:r>
        <w:rPr>
          <w:rFonts w:ascii="宋体" w:hAnsi="宋体"/>
          <w:sz w:val="24"/>
        </w:rPr>
        <w:t>的，或出现</w:t>
      </w:r>
      <w:r>
        <w:rPr>
          <w:rFonts w:hint="eastAsia" w:ascii="宋体" w:hAnsi="宋体"/>
          <w:sz w:val="24"/>
        </w:rPr>
        <w:t>本合同〔</w:t>
      </w:r>
      <w:r>
        <w:rPr>
          <w:rFonts w:ascii="宋体" w:hAnsi="宋体"/>
          <w:sz w:val="24"/>
        </w:rPr>
        <w:t>发包人违约的情形</w:t>
      </w:r>
      <w:r>
        <w:rPr>
          <w:rFonts w:hint="eastAsia" w:ascii="宋体" w:hAnsi="宋体"/>
          <w:sz w:val="24"/>
        </w:rPr>
        <w:t>和违约责任〕第（7）项的违约情况，</w:t>
      </w:r>
      <w:r>
        <w:rPr>
          <w:rFonts w:ascii="宋体" w:hAnsi="宋体"/>
          <w:sz w:val="24"/>
        </w:rPr>
        <w:t>承包人有权解除合同，发包人应承担由此给承包人造成</w:t>
      </w:r>
      <w:r>
        <w:rPr>
          <w:rFonts w:hint="eastAsia" w:ascii="宋体" w:hAnsi="宋体"/>
          <w:sz w:val="24"/>
        </w:rPr>
        <w:t>的损失</w:t>
      </w:r>
      <w:r>
        <w:rPr>
          <w:rFonts w:ascii="宋体" w:hAnsi="宋体"/>
          <w:sz w:val="24"/>
        </w:rPr>
        <w:t>。</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6</w:t>
      </w:r>
      <w:r>
        <w:rPr>
          <w:rFonts w:ascii="宋体" w:hAnsi="宋体"/>
          <w:bCs/>
          <w:sz w:val="24"/>
          <w:lang w:val="zh-CN"/>
        </w:rPr>
        <w:t>.2 承包人违约</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6</w:t>
      </w:r>
      <w:r>
        <w:rPr>
          <w:rFonts w:ascii="宋体" w:hAnsi="宋体"/>
          <w:sz w:val="24"/>
        </w:rPr>
        <w:t>.2.1 承包人违约的情形及违约责任</w:t>
      </w:r>
    </w:p>
    <w:p>
      <w:pPr>
        <w:autoSpaceDE w:val="0"/>
        <w:autoSpaceDN w:val="0"/>
        <w:spacing w:line="360" w:lineRule="auto"/>
        <w:ind w:firstLine="480" w:firstLineChars="200"/>
        <w:rPr>
          <w:rFonts w:hint="eastAsia" w:ascii="宋体" w:hAnsi="宋体"/>
          <w:sz w:val="24"/>
        </w:rPr>
      </w:pPr>
      <w:r>
        <w:rPr>
          <w:rFonts w:ascii="宋体" w:hAnsi="宋体"/>
          <w:sz w:val="24"/>
        </w:rPr>
        <w:t>在合同履行过程中发生的下列情形，承包人应承担的违约责任包括但不限于以下：</w:t>
      </w:r>
    </w:p>
    <w:p>
      <w:pPr>
        <w:autoSpaceDE w:val="0"/>
        <w:autoSpaceDN w:val="0"/>
        <w:spacing w:line="360" w:lineRule="auto"/>
        <w:ind w:firstLine="480" w:firstLineChars="200"/>
        <w:rPr>
          <w:rFonts w:hint="eastAsia" w:ascii="宋体" w:hAnsi="宋体"/>
          <w:sz w:val="24"/>
        </w:rPr>
      </w:pPr>
      <w:r>
        <w:rPr>
          <w:rFonts w:ascii="宋体" w:hAnsi="宋体"/>
          <w:sz w:val="24"/>
        </w:rPr>
        <w:t>（1）承包人进行转包或</w:t>
      </w:r>
      <w:r>
        <w:rPr>
          <w:rFonts w:hint="eastAsia" w:ascii="宋体" w:hAnsi="宋体"/>
          <w:sz w:val="24"/>
        </w:rPr>
        <w:t>违法</w:t>
      </w:r>
      <w:r>
        <w:rPr>
          <w:rFonts w:ascii="宋体" w:hAnsi="宋体"/>
          <w:sz w:val="24"/>
        </w:rPr>
        <w:t>分包的</w:t>
      </w:r>
      <w:r>
        <w:rPr>
          <w:rFonts w:hint="eastAsia" w:ascii="宋体" w:hAnsi="宋体"/>
          <w:sz w:val="24"/>
        </w:rPr>
        <w:t>：</w:t>
      </w:r>
      <w:r>
        <w:rPr>
          <w:rFonts w:hint="eastAsia" w:ascii="宋体" w:hAnsi="宋体"/>
          <w:sz w:val="24"/>
          <w:u w:val="single"/>
        </w:rPr>
        <w:t>承担转包或违法分包的工程造价10%的违约责任，并承担违法责任。</w:t>
      </w:r>
    </w:p>
    <w:p>
      <w:pPr>
        <w:autoSpaceDE w:val="0"/>
        <w:autoSpaceDN w:val="0"/>
        <w:spacing w:line="360" w:lineRule="auto"/>
        <w:ind w:firstLine="480" w:firstLineChars="200"/>
        <w:rPr>
          <w:rFonts w:hint="eastAsia" w:ascii="宋体" w:hAnsi="宋体"/>
          <w:sz w:val="24"/>
        </w:rPr>
      </w:pPr>
      <w:r>
        <w:rPr>
          <w:rFonts w:ascii="宋体" w:hAnsi="宋体"/>
          <w:sz w:val="24"/>
        </w:rPr>
        <w:t>（2）承包人采购和使用不合格的材料和工程设备的</w:t>
      </w:r>
      <w:r>
        <w:rPr>
          <w:rFonts w:hint="eastAsia" w:ascii="宋体" w:hAnsi="宋体"/>
          <w:sz w:val="24"/>
        </w:rPr>
        <w:t>：</w:t>
      </w:r>
      <w:r>
        <w:rPr>
          <w:rFonts w:hint="eastAsia" w:ascii="宋体" w:hAnsi="宋体"/>
          <w:sz w:val="24"/>
          <w:u w:val="single"/>
        </w:rPr>
        <w:t>承担不合格设备、材料价格10%的违约责任，</w:t>
      </w:r>
      <w:r>
        <w:rPr>
          <w:rFonts w:hint="eastAsia" w:ascii="宋体" w:hAnsi="宋体" w:cs="宋体"/>
          <w:sz w:val="24"/>
          <w:u w:val="single"/>
        </w:rPr>
        <w:t>给发包人造成损失的，还应赔偿发包人的损失</w:t>
      </w:r>
      <w:r>
        <w:rPr>
          <w:rFonts w:hint="eastAsia" w:ascii="宋体" w:hAnsi="宋体"/>
          <w:sz w:val="24"/>
          <w:u w:val="single"/>
        </w:rPr>
        <w:t>。</w:t>
      </w:r>
    </w:p>
    <w:p>
      <w:pPr>
        <w:autoSpaceDE w:val="0"/>
        <w:autoSpaceDN w:val="0"/>
        <w:spacing w:line="360" w:lineRule="auto"/>
        <w:ind w:firstLine="480" w:firstLineChars="200"/>
        <w:rPr>
          <w:rFonts w:hint="eastAsia" w:ascii="宋体" w:hAnsi="宋体" w:cs="宋体"/>
          <w:sz w:val="24"/>
        </w:rPr>
      </w:pPr>
      <w:r>
        <w:rPr>
          <w:rFonts w:ascii="宋体" w:hAnsi="宋体"/>
          <w:sz w:val="24"/>
        </w:rPr>
        <w:t>（</w:t>
      </w:r>
      <w:r>
        <w:rPr>
          <w:rFonts w:hint="eastAsia" w:ascii="宋体" w:hAnsi="宋体"/>
          <w:sz w:val="24"/>
        </w:rPr>
        <w:t>3</w:t>
      </w:r>
      <w:r>
        <w:rPr>
          <w:rFonts w:ascii="宋体" w:hAnsi="宋体"/>
          <w:sz w:val="24"/>
        </w:rPr>
        <w:t>）承包人未经批准，私自将已按照合同约定进入施工现场的材料或设备撤离施工现场的</w:t>
      </w:r>
      <w:r>
        <w:rPr>
          <w:rFonts w:hint="eastAsia" w:ascii="宋体" w:hAnsi="宋体"/>
          <w:sz w:val="24"/>
        </w:rPr>
        <w:t>：</w:t>
      </w:r>
      <w:r>
        <w:rPr>
          <w:rFonts w:hint="eastAsia" w:ascii="宋体" w:hAnsi="宋体"/>
          <w:sz w:val="24"/>
          <w:u w:val="single"/>
        </w:rPr>
        <w:t>承担合同含税含税总价5%的违约责任，</w:t>
      </w:r>
      <w:r>
        <w:rPr>
          <w:rFonts w:hint="eastAsia" w:ascii="宋体" w:hAnsi="宋体" w:cs="宋体"/>
          <w:sz w:val="24"/>
          <w:u w:val="single"/>
        </w:rPr>
        <w:t>给发包人造成损失的，还应赔偿发包人的损失。</w:t>
      </w:r>
    </w:p>
    <w:p>
      <w:pPr>
        <w:autoSpaceDE w:val="0"/>
        <w:autoSpaceDN w:val="0"/>
        <w:spacing w:line="360" w:lineRule="auto"/>
        <w:ind w:firstLine="480" w:firstLineChars="200"/>
        <w:rPr>
          <w:rFonts w:hint="eastAsia" w:ascii="宋体" w:hAnsi="宋体"/>
          <w:sz w:val="24"/>
          <w:u w:val="single"/>
        </w:rPr>
      </w:pPr>
      <w:r>
        <w:rPr>
          <w:rFonts w:ascii="宋体" w:hAnsi="宋体"/>
          <w:sz w:val="24"/>
        </w:rPr>
        <w:t>（</w:t>
      </w:r>
      <w:r>
        <w:rPr>
          <w:rFonts w:hint="eastAsia" w:ascii="宋体" w:hAnsi="宋体"/>
          <w:sz w:val="24"/>
        </w:rPr>
        <w:t>4</w:t>
      </w:r>
      <w:r>
        <w:rPr>
          <w:rFonts w:ascii="宋体" w:hAnsi="宋体"/>
          <w:sz w:val="24"/>
        </w:rPr>
        <w:t>）因承包人原因导致工程质量不符合合同要求的</w:t>
      </w:r>
      <w:r>
        <w:rPr>
          <w:rFonts w:hint="eastAsia" w:ascii="宋体" w:hAnsi="宋体"/>
          <w:sz w:val="24"/>
        </w:rPr>
        <w:t>：</w:t>
      </w:r>
      <w:r>
        <w:rPr>
          <w:rFonts w:hint="eastAsia" w:ascii="宋体" w:hAnsi="宋体"/>
          <w:sz w:val="24"/>
          <w:u w:val="single"/>
        </w:rPr>
        <w:t>承担合同含税含税总价5%的违约责任，</w:t>
      </w:r>
      <w:r>
        <w:rPr>
          <w:rFonts w:hint="eastAsia" w:ascii="宋体" w:hAnsi="宋体" w:cs="宋体"/>
          <w:sz w:val="24"/>
          <w:u w:val="single"/>
        </w:rPr>
        <w:t>给发包人造成损失的，还应赔偿发包人的损失</w:t>
      </w:r>
      <w:r>
        <w:rPr>
          <w:rFonts w:hint="eastAsia" w:ascii="宋体" w:hAnsi="宋体"/>
          <w:sz w:val="24"/>
          <w:u w:val="single"/>
        </w:rPr>
        <w:t>。</w:t>
      </w:r>
    </w:p>
    <w:p>
      <w:pPr>
        <w:autoSpaceDE w:val="0"/>
        <w:autoSpaceDN w:val="0"/>
        <w:spacing w:line="360" w:lineRule="auto"/>
        <w:ind w:firstLine="482" w:firstLineChars="200"/>
        <w:rPr>
          <w:rFonts w:hint="eastAsia" w:ascii="宋体" w:hAnsi="宋体"/>
          <w:b/>
          <w:sz w:val="24"/>
        </w:rPr>
      </w:pPr>
      <w:r>
        <w:rPr>
          <w:rFonts w:hint="eastAsia" w:ascii="宋体" w:hAnsi="宋体"/>
          <w:b/>
          <w:sz w:val="24"/>
        </w:rPr>
        <w:t>（5）合同签订后7个日历日内承包人未进场开工的：</w:t>
      </w:r>
      <w:r>
        <w:rPr>
          <w:rFonts w:hint="eastAsia" w:ascii="宋体" w:hAnsi="宋体"/>
          <w:b/>
          <w:sz w:val="24"/>
          <w:u w:val="single"/>
        </w:rPr>
        <w:t>从第8个日历日开始，每延迟一天，承包人承担10000元/天的违约责任；延迟累计超过28个日历日，发包人有权解除合同，承包人承担合同总价10%的违约责任。</w:t>
      </w:r>
    </w:p>
    <w:p>
      <w:pPr>
        <w:autoSpaceDE w:val="0"/>
        <w:autoSpaceDN w:val="0"/>
        <w:spacing w:line="360" w:lineRule="auto"/>
        <w:ind w:firstLine="482" w:firstLineChars="200"/>
        <w:rPr>
          <w:rFonts w:hint="eastAsia" w:ascii="宋体" w:hAnsi="宋体"/>
          <w:b/>
          <w:sz w:val="24"/>
        </w:rPr>
      </w:pPr>
      <w:r>
        <w:rPr>
          <w:rFonts w:ascii="宋体" w:hAnsi="宋体"/>
          <w:b/>
          <w:sz w:val="24"/>
        </w:rPr>
        <w:t>（</w:t>
      </w:r>
      <w:r>
        <w:rPr>
          <w:rFonts w:hint="eastAsia" w:ascii="宋体" w:hAnsi="宋体"/>
          <w:b/>
          <w:sz w:val="24"/>
        </w:rPr>
        <w:t>6</w:t>
      </w:r>
      <w:r>
        <w:rPr>
          <w:rFonts w:ascii="宋体" w:hAnsi="宋体"/>
          <w:b/>
          <w:sz w:val="24"/>
        </w:rPr>
        <w:t>）承包人未能按</w:t>
      </w:r>
      <w:r>
        <w:rPr>
          <w:rFonts w:hint="eastAsia" w:ascii="宋体" w:hAnsi="宋体"/>
          <w:b/>
          <w:sz w:val="24"/>
        </w:rPr>
        <w:t>批准的</w:t>
      </w:r>
      <w:r>
        <w:rPr>
          <w:rFonts w:ascii="宋体" w:hAnsi="宋体"/>
          <w:b/>
          <w:sz w:val="24"/>
        </w:rPr>
        <w:t>施工进度计划及时完成合同约定的工作，造成工期延误的</w:t>
      </w:r>
      <w:r>
        <w:rPr>
          <w:rFonts w:hint="eastAsia" w:ascii="宋体" w:hAnsi="宋体"/>
          <w:b/>
          <w:sz w:val="24"/>
        </w:rPr>
        <w:t>：</w:t>
      </w:r>
      <w:r>
        <w:rPr>
          <w:rFonts w:hint="eastAsia" w:ascii="宋体" w:hAnsi="宋体"/>
          <w:b/>
          <w:sz w:val="24"/>
          <w:u w:val="single"/>
        </w:rPr>
        <w:t>承包人分项进度延误承担违约金为2000元/天，总工期延误违约金：10日内5000元/天，自第11日至第30日为10000元/天；自第31日起为20000元/天。</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w:t>
      </w:r>
      <w:r>
        <w:rPr>
          <w:rFonts w:hint="eastAsia" w:ascii="宋体" w:hAnsi="宋体"/>
          <w:sz w:val="24"/>
        </w:rPr>
        <w:t>承包人在缺陷责任期及保修期内，未能在合理期限对工程缺陷进行修复的：</w:t>
      </w:r>
      <w:r>
        <w:rPr>
          <w:rFonts w:hint="eastAsia" w:ascii="宋体" w:hAnsi="宋体"/>
          <w:sz w:val="24"/>
          <w:u w:val="single"/>
        </w:rPr>
        <w:t>每延期一天承担10000元/天的违约责任</w:t>
      </w:r>
      <w:r>
        <w:rPr>
          <w:rFonts w:hint="eastAsia" w:ascii="宋体" w:hAnsi="宋体"/>
          <w:sz w:val="24"/>
        </w:rPr>
        <w:t>；拒绝按发包人要求进行修复的，</w:t>
      </w:r>
      <w:r>
        <w:rPr>
          <w:rFonts w:hint="eastAsia" w:ascii="宋体" w:hAnsi="宋体"/>
          <w:sz w:val="24"/>
          <w:u w:val="single"/>
        </w:rPr>
        <w:t>发包人有权自行修复或委托第三方修复，所需费用由承包人承担。</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8</w:t>
      </w:r>
      <w:r>
        <w:rPr>
          <w:rFonts w:ascii="宋体" w:hAnsi="宋体"/>
          <w:sz w:val="24"/>
        </w:rPr>
        <w:t>）承包人</w:t>
      </w:r>
      <w:r>
        <w:rPr>
          <w:rFonts w:hint="eastAsia" w:ascii="宋体" w:hAnsi="宋体"/>
          <w:sz w:val="24"/>
        </w:rPr>
        <w:t>项目经理违反合同约定情形的责任</w:t>
      </w:r>
    </w:p>
    <w:p>
      <w:pPr>
        <w:spacing w:line="360" w:lineRule="auto"/>
        <w:ind w:firstLine="480" w:firstLineChars="200"/>
        <w:rPr>
          <w:rFonts w:hint="eastAsia" w:ascii="宋体" w:hAnsi="宋体"/>
          <w:sz w:val="24"/>
        </w:rPr>
      </w:pPr>
      <w:r>
        <w:rPr>
          <w:rFonts w:ascii="宋体" w:hAnsi="宋体"/>
          <w:sz w:val="24"/>
        </w:rPr>
        <w:t>项目经理每月在施工现场的时间要求：</w:t>
      </w:r>
      <w:r>
        <w:rPr>
          <w:rFonts w:hint="eastAsia" w:ascii="宋体" w:hAnsi="宋体"/>
          <w:sz w:val="24"/>
          <w:u w:val="single"/>
        </w:rPr>
        <w:t>不得少于22.5天，否则每少一天承包人承担2000元/天的违约金</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项目经理未经批准，擅自离开施工现场的违约责任：</w:t>
      </w:r>
      <w:r>
        <w:rPr>
          <w:rFonts w:ascii="宋体" w:hAnsi="宋体"/>
          <w:sz w:val="24"/>
          <w:u w:val="single"/>
        </w:rPr>
        <w:t xml:space="preserve">  </w:t>
      </w:r>
      <w:r>
        <w:rPr>
          <w:rFonts w:hint="eastAsia" w:ascii="宋体" w:hAnsi="宋体"/>
          <w:sz w:val="24"/>
          <w:u w:val="single"/>
        </w:rPr>
        <w:t>承包人承担2000元/次的违约责任</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承包人擅自更换项目经理的违约责任：</w:t>
      </w:r>
      <w:r>
        <w:rPr>
          <w:rFonts w:hint="eastAsia" w:ascii="宋体" w:hAnsi="宋体"/>
          <w:sz w:val="24"/>
          <w:u w:val="single"/>
        </w:rPr>
        <w:t>未经发包人同意承包人擅自更换项目经理的，承包人承担10000元的违约责任</w:t>
      </w:r>
      <w:r>
        <w:rPr>
          <w:rFonts w:ascii="宋体" w:hAnsi="宋体"/>
          <w:sz w:val="24"/>
        </w:rPr>
        <w:t>。</w:t>
      </w:r>
    </w:p>
    <w:p>
      <w:pPr>
        <w:autoSpaceDE w:val="0"/>
        <w:autoSpaceDN w:val="0"/>
        <w:spacing w:line="360" w:lineRule="auto"/>
        <w:ind w:firstLine="480" w:firstLineChars="200"/>
        <w:rPr>
          <w:rFonts w:hint="eastAsia" w:ascii="宋体" w:hAnsi="宋体"/>
          <w:sz w:val="24"/>
          <w:u w:val="single"/>
        </w:rPr>
      </w:pPr>
      <w:r>
        <w:rPr>
          <w:rFonts w:ascii="宋体" w:hAnsi="宋体"/>
          <w:sz w:val="24"/>
        </w:rPr>
        <w:t>承包人无正当理由拒绝更换项目经理的违约责任：</w:t>
      </w:r>
      <w:r>
        <w:rPr>
          <w:rFonts w:hint="eastAsia" w:ascii="宋体" w:hAnsi="宋体"/>
          <w:sz w:val="24"/>
          <w:u w:val="single"/>
        </w:rPr>
        <w:t>如承包人无正当理由拒绝更换的，承包人承担100000元的违约责任。</w:t>
      </w:r>
    </w:p>
    <w:p>
      <w:pPr>
        <w:autoSpaceDE w:val="0"/>
        <w:autoSpaceDN w:val="0"/>
        <w:spacing w:line="360" w:lineRule="auto"/>
        <w:ind w:firstLine="480" w:firstLineChars="200"/>
        <w:rPr>
          <w:rFonts w:hint="eastAsia" w:ascii="宋体" w:hAnsi="宋体"/>
          <w:sz w:val="24"/>
        </w:rPr>
      </w:pPr>
      <w:r>
        <w:rPr>
          <w:rFonts w:hint="eastAsia" w:ascii="宋体" w:hAnsi="宋体"/>
          <w:sz w:val="24"/>
        </w:rPr>
        <w:t>（9）承包人主要施工管理人员违反合同约定情形的责任</w:t>
      </w:r>
    </w:p>
    <w:p>
      <w:pPr>
        <w:spacing w:line="360" w:lineRule="auto"/>
        <w:ind w:firstLine="480" w:firstLineChars="200"/>
        <w:rPr>
          <w:rFonts w:hint="eastAsia" w:ascii="宋体" w:hAnsi="宋体"/>
          <w:sz w:val="24"/>
        </w:rPr>
      </w:pPr>
      <w:r>
        <w:rPr>
          <w:rFonts w:ascii="宋体" w:hAnsi="宋体"/>
          <w:sz w:val="24"/>
        </w:rPr>
        <w:t>承包人擅自更换主要施工管理人员的违约责任：</w:t>
      </w:r>
      <w:r>
        <w:rPr>
          <w:rFonts w:ascii="宋体" w:hAnsi="宋体"/>
          <w:sz w:val="24"/>
          <w:u w:val="single"/>
        </w:rPr>
        <w:t xml:space="preserve"> </w:t>
      </w:r>
      <w:r>
        <w:rPr>
          <w:rFonts w:hint="eastAsia" w:ascii="宋体" w:hAnsi="宋体"/>
          <w:sz w:val="24"/>
          <w:u w:val="single"/>
        </w:rPr>
        <w:t>承包人承担2000元/人·次的违约责任</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承包人无正当理由拒绝撤换主要施工管理人员的违约责任：</w:t>
      </w:r>
      <w:r>
        <w:rPr>
          <w:rFonts w:ascii="宋体" w:hAnsi="宋体"/>
          <w:sz w:val="24"/>
          <w:u w:val="single"/>
        </w:rPr>
        <w:t xml:space="preserve"> </w:t>
      </w:r>
      <w:r>
        <w:rPr>
          <w:rFonts w:hint="eastAsia" w:ascii="宋体" w:hAnsi="宋体"/>
          <w:sz w:val="24"/>
          <w:u w:val="single"/>
        </w:rPr>
        <w:t>承包人承担10000元/人·次的违约责任</w:t>
      </w:r>
      <w:r>
        <w:rPr>
          <w:rFonts w:ascii="宋体" w:hAnsi="宋体"/>
          <w:sz w:val="24"/>
          <w:u w:val="single"/>
        </w:rPr>
        <w:t xml:space="preserve">   </w:t>
      </w:r>
      <w:r>
        <w:rPr>
          <w:rFonts w:ascii="宋体" w:hAnsi="宋体"/>
          <w:sz w:val="24"/>
        </w:rPr>
        <w:t>。</w:t>
      </w:r>
    </w:p>
    <w:p>
      <w:pPr>
        <w:spacing w:line="360" w:lineRule="auto"/>
        <w:ind w:firstLine="480" w:firstLineChars="200"/>
        <w:rPr>
          <w:rFonts w:hint="eastAsia" w:ascii="宋体" w:hAnsi="宋体"/>
          <w:sz w:val="24"/>
          <w:u w:val="single"/>
        </w:rPr>
      </w:pPr>
      <w:r>
        <w:rPr>
          <w:rFonts w:ascii="宋体" w:hAnsi="宋体"/>
          <w:sz w:val="24"/>
        </w:rPr>
        <w:t>承包人主要施工管理人员离开施工现场的</w:t>
      </w:r>
      <w:r>
        <w:rPr>
          <w:rFonts w:hint="eastAsia" w:ascii="宋体" w:hAnsi="宋体"/>
          <w:sz w:val="24"/>
        </w:rPr>
        <w:t>违约责任</w:t>
      </w:r>
      <w:r>
        <w:rPr>
          <w:rFonts w:ascii="宋体" w:hAnsi="宋体"/>
          <w:sz w:val="24"/>
        </w:rPr>
        <w:t>：</w:t>
      </w:r>
      <w:r>
        <w:rPr>
          <w:rFonts w:hint="eastAsia" w:ascii="宋体" w:hAnsi="宋体"/>
          <w:sz w:val="24"/>
          <w:u w:val="single"/>
        </w:rPr>
        <w:t>承包人的主要施工管理人员离开施工现场每月累计超过8天的，每超过1天，承包人承担1000元/人•天的违约责任</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承包人主要施工管理人员在施工过程中擅自离开施工现场的违约责任：</w:t>
      </w:r>
      <w:r>
        <w:rPr>
          <w:rFonts w:hint="eastAsia" w:ascii="宋体" w:hAnsi="宋体"/>
          <w:sz w:val="24"/>
          <w:u w:val="single"/>
        </w:rPr>
        <w:t xml:space="preserve">承包人的主要施工管理人员擅自离开的，承包人承担1000元/人•次的违约责任  </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10</w:t>
      </w:r>
      <w:r>
        <w:rPr>
          <w:rFonts w:ascii="宋体" w:hAnsi="宋体"/>
          <w:sz w:val="24"/>
        </w:rPr>
        <w:t>）承包人明确表示或者以其行为表明不履行合同主要义务的</w:t>
      </w:r>
      <w:r>
        <w:rPr>
          <w:rFonts w:hint="eastAsia" w:ascii="宋体" w:hAnsi="宋体"/>
          <w:sz w:val="24"/>
        </w:rPr>
        <w:t>：</w:t>
      </w:r>
      <w:r>
        <w:rPr>
          <w:rFonts w:hint="eastAsia" w:ascii="宋体" w:hAnsi="宋体"/>
          <w:sz w:val="24"/>
          <w:u w:val="single"/>
        </w:rPr>
        <w:t>发包人有权解除合同，并由承包人承担由此给发包人造成的损失。</w:t>
      </w:r>
    </w:p>
    <w:p>
      <w:pPr>
        <w:autoSpaceDE w:val="0"/>
        <w:autoSpaceDN w:val="0"/>
        <w:spacing w:line="360" w:lineRule="auto"/>
        <w:ind w:firstLine="480" w:firstLineChars="200"/>
        <w:rPr>
          <w:rFonts w:hint="eastAsia" w:ascii="宋体" w:hAnsi="宋体"/>
          <w:sz w:val="24"/>
          <w:u w:val="single"/>
        </w:rPr>
      </w:pPr>
      <w:r>
        <w:rPr>
          <w:rFonts w:hint="eastAsia" w:ascii="宋体" w:hAnsi="宋体"/>
          <w:sz w:val="24"/>
        </w:rPr>
        <w:t>（11）</w:t>
      </w:r>
      <w:r>
        <w:rPr>
          <w:rFonts w:ascii="宋体" w:hAnsi="宋体"/>
          <w:sz w:val="24"/>
        </w:rPr>
        <w:t>承包人未能按照合同约定履行其他义务的</w:t>
      </w:r>
      <w:r>
        <w:rPr>
          <w:rFonts w:hint="eastAsia" w:ascii="宋体" w:hAnsi="宋体"/>
          <w:sz w:val="24"/>
        </w:rPr>
        <w:t>：</w:t>
      </w:r>
      <w:r>
        <w:rPr>
          <w:rFonts w:hint="eastAsia" w:ascii="宋体" w:hAnsi="宋体"/>
          <w:sz w:val="24"/>
          <w:u w:val="single"/>
        </w:rPr>
        <w:t>承包人承担给发包人造成的损失。</w:t>
      </w:r>
    </w:p>
    <w:p>
      <w:pPr>
        <w:autoSpaceDE w:val="0"/>
        <w:autoSpaceDN w:val="0"/>
        <w:spacing w:line="360" w:lineRule="auto"/>
        <w:ind w:firstLine="480" w:firstLineChars="200"/>
        <w:rPr>
          <w:rFonts w:hint="eastAsia" w:ascii="宋体" w:hAnsi="宋体"/>
          <w:sz w:val="24"/>
          <w:u w:val="single"/>
        </w:rPr>
      </w:pPr>
      <w:r>
        <w:rPr>
          <w:rFonts w:hint="eastAsia" w:ascii="宋体" w:hAnsi="宋体"/>
          <w:sz w:val="24"/>
        </w:rPr>
        <w:t>承包</w:t>
      </w:r>
      <w:r>
        <w:rPr>
          <w:rFonts w:ascii="宋体" w:hAnsi="宋体"/>
          <w:sz w:val="24"/>
        </w:rPr>
        <w:t>人发生</w:t>
      </w:r>
      <w:r>
        <w:rPr>
          <w:rFonts w:hint="eastAsia" w:ascii="宋体" w:hAnsi="宋体"/>
          <w:sz w:val="24"/>
        </w:rPr>
        <w:t>第（10）项以外的违约时，</w:t>
      </w:r>
      <w:r>
        <w:rPr>
          <w:rFonts w:ascii="宋体" w:hAnsi="宋体"/>
          <w:sz w:val="24"/>
        </w:rPr>
        <w:t>监理可向承包人发出整改通知</w:t>
      </w:r>
      <w:r>
        <w:rPr>
          <w:rFonts w:hint="eastAsia" w:ascii="宋体" w:hAnsi="宋体"/>
          <w:sz w:val="24"/>
        </w:rPr>
        <w:t>，</w:t>
      </w:r>
      <w:r>
        <w:rPr>
          <w:rFonts w:ascii="宋体" w:hAnsi="宋体"/>
          <w:sz w:val="24"/>
        </w:rPr>
        <w:t>要求其在指定的期限内改正</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6</w:t>
      </w:r>
      <w:r>
        <w:rPr>
          <w:rFonts w:ascii="宋体" w:hAnsi="宋体"/>
          <w:sz w:val="24"/>
        </w:rPr>
        <w:t>.2.</w:t>
      </w:r>
      <w:r>
        <w:rPr>
          <w:rFonts w:hint="eastAsia" w:ascii="宋体" w:hAnsi="宋体"/>
          <w:sz w:val="24"/>
        </w:rPr>
        <w:t>2</w:t>
      </w:r>
      <w:r>
        <w:rPr>
          <w:rFonts w:ascii="宋体" w:hAnsi="宋体"/>
          <w:sz w:val="24"/>
        </w:rPr>
        <w:t xml:space="preserve"> 因承包人违约解除合同</w:t>
      </w:r>
    </w:p>
    <w:p>
      <w:pPr>
        <w:autoSpaceDE w:val="0"/>
        <w:autoSpaceDN w:val="0"/>
        <w:spacing w:line="360" w:lineRule="auto"/>
        <w:ind w:firstLine="480" w:firstLineChars="200"/>
        <w:rPr>
          <w:rFonts w:hint="eastAsia" w:ascii="宋体" w:hAnsi="宋体"/>
          <w:sz w:val="24"/>
        </w:rPr>
      </w:pPr>
      <w:r>
        <w:rPr>
          <w:rFonts w:ascii="宋体" w:hAnsi="宋体"/>
          <w:sz w:val="24"/>
        </w:rPr>
        <w:t>出现</w:t>
      </w:r>
      <w:r>
        <w:rPr>
          <w:rFonts w:hint="eastAsia" w:ascii="宋体" w:hAnsi="宋体"/>
          <w:sz w:val="24"/>
        </w:rPr>
        <w:t>本合同〔</w:t>
      </w:r>
      <w:r>
        <w:rPr>
          <w:rFonts w:ascii="宋体" w:hAnsi="宋体"/>
          <w:sz w:val="24"/>
        </w:rPr>
        <w:t>承包人违约的情形及违约责任</w:t>
      </w:r>
      <w:r>
        <w:rPr>
          <w:rFonts w:hint="eastAsia" w:ascii="宋体" w:hAnsi="宋体"/>
          <w:sz w:val="24"/>
        </w:rPr>
        <w:t>〕</w:t>
      </w:r>
      <w:r>
        <w:rPr>
          <w:rFonts w:ascii="宋体" w:hAnsi="宋体"/>
          <w:sz w:val="24"/>
        </w:rPr>
        <w:t>第（</w:t>
      </w:r>
      <w:r>
        <w:rPr>
          <w:rFonts w:hint="eastAsia" w:ascii="宋体" w:hAnsi="宋体"/>
          <w:sz w:val="24"/>
        </w:rPr>
        <w:t>10</w:t>
      </w:r>
      <w:r>
        <w:rPr>
          <w:rFonts w:ascii="宋体" w:hAnsi="宋体"/>
          <w:sz w:val="24"/>
        </w:rPr>
        <w:t>）</w:t>
      </w:r>
      <w:r>
        <w:rPr>
          <w:rFonts w:hint="eastAsia" w:ascii="宋体" w:hAnsi="宋体"/>
          <w:sz w:val="24"/>
        </w:rPr>
        <w:t>项</w:t>
      </w:r>
      <w:r>
        <w:rPr>
          <w:rFonts w:ascii="宋体" w:hAnsi="宋体"/>
          <w:sz w:val="24"/>
        </w:rPr>
        <w:t>约定的违约情况时，或监理人发出整改通知后，承包人在指定的合理期限内仍不纠正违约行为并致使合同无法履行时</w:t>
      </w:r>
      <w:r>
        <w:rPr>
          <w:rFonts w:hint="eastAsia" w:ascii="宋体" w:hAnsi="宋体"/>
          <w:sz w:val="24"/>
        </w:rPr>
        <w:t>，</w:t>
      </w:r>
      <w:r>
        <w:rPr>
          <w:rFonts w:ascii="宋体" w:hAnsi="宋体"/>
          <w:sz w:val="24"/>
        </w:rPr>
        <w:t>发包人有权解除合同。合同解除后，因继续完成工程的需要，发包人有权使用承包人在施工现场的材料、设备、临时工程、承包人文件和由承包人或以其名义编制的其他文件</w:t>
      </w:r>
      <w:r>
        <w:rPr>
          <w:rFonts w:hint="eastAsia" w:ascii="宋体" w:hAnsi="宋体"/>
          <w:sz w:val="24"/>
        </w:rPr>
        <w:t>。</w:t>
      </w:r>
      <w:r>
        <w:rPr>
          <w:rFonts w:ascii="宋体" w:hAnsi="宋体"/>
          <w:sz w:val="24"/>
        </w:rPr>
        <w:t>发包人</w:t>
      </w:r>
      <w:r>
        <w:rPr>
          <w:rFonts w:hint="eastAsia" w:ascii="宋体" w:hAnsi="宋体"/>
          <w:sz w:val="24"/>
        </w:rPr>
        <w:t>继续使用的</w:t>
      </w:r>
      <w:r>
        <w:rPr>
          <w:rFonts w:ascii="宋体" w:hAnsi="宋体"/>
          <w:sz w:val="24"/>
        </w:rPr>
        <w:t>行为不免除或减轻承包人应承担的违约责任。</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6</w:t>
      </w:r>
      <w:r>
        <w:rPr>
          <w:rFonts w:ascii="宋体" w:hAnsi="宋体"/>
          <w:bCs/>
          <w:sz w:val="24"/>
          <w:lang w:val="zh-CN"/>
        </w:rPr>
        <w:t>.3 第三人造成的违约</w:t>
      </w:r>
    </w:p>
    <w:p>
      <w:pPr>
        <w:spacing w:line="360" w:lineRule="auto"/>
        <w:ind w:firstLine="480" w:firstLineChars="200"/>
        <w:rPr>
          <w:rFonts w:hint="eastAsia" w:ascii="宋体" w:hAnsi="宋体"/>
          <w:sz w:val="24"/>
        </w:rPr>
      </w:pPr>
      <w:r>
        <w:rPr>
          <w:rFonts w:ascii="宋体" w:hAnsi="宋体"/>
          <w:sz w:val="24"/>
        </w:rPr>
        <w:t>在履行合同过程中，一方当事人因第三人的原因造成违约的，应当向对方当事人承担违约责任。一方当事人和第三人之间的纠纷，依照法律规定或者按照约定解决。</w:t>
      </w:r>
    </w:p>
    <w:p>
      <w:pPr>
        <w:numPr>
          <w:ilvl w:val="255"/>
          <w:numId w:val="0"/>
        </w:numPr>
        <w:tabs>
          <w:tab w:val="left" w:pos="426"/>
        </w:tabs>
        <w:spacing w:line="360" w:lineRule="auto"/>
        <w:ind w:left="210"/>
        <w:outlineLvl w:val="3"/>
        <w:rPr>
          <w:rFonts w:hint="eastAsia" w:ascii="宋体" w:hAnsi="宋体"/>
          <w:bCs/>
          <w:sz w:val="24"/>
          <w:lang w:val="zh-CN"/>
        </w:rPr>
      </w:pPr>
      <w:r>
        <w:rPr>
          <w:rFonts w:hint="eastAsia" w:ascii="宋体" w:hAnsi="宋体"/>
          <w:bCs/>
          <w:sz w:val="24"/>
        </w:rPr>
        <w:t>17</w:t>
      </w:r>
      <w:r>
        <w:rPr>
          <w:rFonts w:ascii="宋体" w:hAnsi="宋体"/>
          <w:bCs/>
          <w:sz w:val="24"/>
          <w:lang w:val="zh-CN"/>
        </w:rPr>
        <w:t xml:space="preserve">不可抗力 </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7</w:t>
      </w:r>
      <w:r>
        <w:rPr>
          <w:rFonts w:ascii="宋体" w:hAnsi="宋体"/>
          <w:bCs/>
          <w:sz w:val="24"/>
          <w:lang w:val="zh-CN"/>
        </w:rPr>
        <w:t>.1 不可抗力的确认</w:t>
      </w:r>
    </w:p>
    <w:p>
      <w:pPr>
        <w:autoSpaceDE w:val="0"/>
        <w:autoSpaceDN w:val="0"/>
        <w:spacing w:line="360" w:lineRule="auto"/>
        <w:ind w:firstLine="480" w:firstLineChars="200"/>
        <w:rPr>
          <w:rFonts w:hint="eastAsia" w:ascii="宋体" w:hAnsi="宋体"/>
          <w:sz w:val="24"/>
        </w:rPr>
      </w:pPr>
      <w:r>
        <w:rPr>
          <w:rFonts w:ascii="宋体" w:hAnsi="宋体"/>
          <w:sz w:val="24"/>
        </w:rPr>
        <w:t>不可抗力发生后，发包人和承包人应收集证明不可抗力发生及不可抗力造成损失的证据，并及时认真统计所造成的损失。合同当事人对是否属于不可抗力或其损失的意见不一致的，由</w:t>
      </w:r>
      <w:r>
        <w:rPr>
          <w:rFonts w:hint="eastAsia" w:ascii="宋体" w:hAnsi="宋体"/>
          <w:sz w:val="24"/>
        </w:rPr>
        <w:t>双方协商</w:t>
      </w:r>
      <w:r>
        <w:rPr>
          <w:rFonts w:ascii="宋体" w:hAnsi="宋体"/>
          <w:sz w:val="24"/>
        </w:rPr>
        <w:t>处理。发生争议时，按</w:t>
      </w:r>
      <w:r>
        <w:rPr>
          <w:rFonts w:hint="eastAsia" w:ascii="宋体" w:hAnsi="宋体"/>
          <w:sz w:val="24"/>
        </w:rPr>
        <w:t>照本合同〔</w:t>
      </w:r>
      <w:r>
        <w:rPr>
          <w:rFonts w:ascii="宋体" w:hAnsi="宋体"/>
          <w:sz w:val="24"/>
        </w:rPr>
        <w:t>争议解决</w:t>
      </w:r>
      <w:r>
        <w:rPr>
          <w:rFonts w:hint="eastAsia" w:ascii="宋体" w:hAnsi="宋体"/>
          <w:sz w:val="24"/>
        </w:rPr>
        <w:t>〕</w:t>
      </w:r>
      <w:r>
        <w:rPr>
          <w:rFonts w:ascii="宋体" w:hAnsi="宋体"/>
          <w:sz w:val="24"/>
        </w:rPr>
        <w:t>的约定处理。</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7</w:t>
      </w:r>
      <w:r>
        <w:rPr>
          <w:rFonts w:ascii="宋体" w:hAnsi="宋体"/>
          <w:bCs/>
          <w:sz w:val="24"/>
          <w:lang w:val="zh-CN"/>
        </w:rPr>
        <w:t>.2 不可抗力的通知</w:t>
      </w:r>
    </w:p>
    <w:p>
      <w:pPr>
        <w:autoSpaceDE w:val="0"/>
        <w:autoSpaceDN w:val="0"/>
        <w:spacing w:line="360" w:lineRule="auto"/>
        <w:ind w:firstLine="480" w:firstLineChars="200"/>
        <w:rPr>
          <w:rFonts w:hint="eastAsia" w:ascii="宋体" w:hAnsi="宋体"/>
          <w:sz w:val="24"/>
        </w:rPr>
      </w:pPr>
      <w:r>
        <w:rPr>
          <w:rFonts w:hint="eastAsia" w:ascii="宋体" w:hAnsi="宋体"/>
          <w:sz w:val="24"/>
        </w:rPr>
        <w:t>合同</w:t>
      </w:r>
      <w:r>
        <w:rPr>
          <w:rFonts w:ascii="宋体" w:hAnsi="宋体"/>
          <w:sz w:val="24"/>
        </w:rPr>
        <w:t>一方当事人遇到不可抗力事件，使其履行合同义务受到阻碍时，应立即通知合同另一方当事人和监理人，书面说明不可抗力和受阻碍的详细情况，并提供必要的证明。</w:t>
      </w:r>
    </w:p>
    <w:p>
      <w:pPr>
        <w:autoSpaceDE w:val="0"/>
        <w:autoSpaceDN w:val="0"/>
        <w:spacing w:line="360" w:lineRule="auto"/>
        <w:ind w:firstLine="480" w:firstLineChars="200"/>
        <w:rPr>
          <w:rFonts w:hint="eastAsia" w:ascii="宋体" w:hAnsi="宋体"/>
          <w:sz w:val="24"/>
        </w:rPr>
      </w:pPr>
      <w:r>
        <w:rPr>
          <w:rFonts w:ascii="宋体" w:hAnsi="宋体"/>
          <w:sz w:val="24"/>
        </w:rPr>
        <w:t>不可抗力持续发生的，合同一方当事人应及时向合同另一方当事人和监理人提交中间报告，说明不可抗力和履行合同受阻的情况，并于不可抗力事件结束后28天内提交最终报告及有关资料。</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7</w:t>
      </w:r>
      <w:r>
        <w:rPr>
          <w:rFonts w:ascii="宋体" w:hAnsi="宋体"/>
          <w:bCs/>
          <w:sz w:val="24"/>
          <w:lang w:val="zh-CN"/>
        </w:rPr>
        <w:t>.3 不可抗力后果的承担</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7</w:t>
      </w:r>
      <w:r>
        <w:rPr>
          <w:rFonts w:ascii="宋体" w:hAnsi="宋体"/>
          <w:sz w:val="24"/>
        </w:rPr>
        <w:t>.3.</w:t>
      </w:r>
      <w:r>
        <w:rPr>
          <w:rFonts w:hint="eastAsia" w:ascii="宋体" w:hAnsi="宋体"/>
          <w:sz w:val="24"/>
        </w:rPr>
        <w:t>1</w:t>
      </w:r>
      <w:r>
        <w:rPr>
          <w:rFonts w:ascii="宋体" w:hAnsi="宋体"/>
          <w:sz w:val="24"/>
        </w:rPr>
        <w:t xml:space="preserve"> 不可抗力导致的人员伤亡、财产损失、费用和（或）工期延误等后果，按以下原则承担：</w:t>
      </w:r>
    </w:p>
    <w:p>
      <w:pPr>
        <w:autoSpaceDE w:val="0"/>
        <w:autoSpaceDN w:val="0"/>
        <w:spacing w:line="360" w:lineRule="auto"/>
        <w:ind w:firstLine="480" w:firstLineChars="200"/>
        <w:rPr>
          <w:rFonts w:hint="eastAsia" w:ascii="宋体" w:hAnsi="宋体"/>
          <w:sz w:val="24"/>
        </w:rPr>
      </w:pPr>
      <w:r>
        <w:rPr>
          <w:rFonts w:ascii="宋体" w:hAnsi="宋体"/>
          <w:sz w:val="24"/>
        </w:rPr>
        <w:t>（1）永久工程、已运至施工现场的材料和工程设备的损坏由发包人承担</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2</w:t>
      </w:r>
      <w:r>
        <w:rPr>
          <w:rFonts w:ascii="宋体" w:hAnsi="宋体"/>
          <w:sz w:val="24"/>
        </w:rPr>
        <w:t>）承包人施工设备的损坏由承包人承担；</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3</w:t>
      </w:r>
      <w:r>
        <w:rPr>
          <w:rFonts w:ascii="宋体" w:hAnsi="宋体"/>
          <w:sz w:val="24"/>
        </w:rPr>
        <w:t>）发包人和承包人承担各自人员伤亡和财产的损失；</w:t>
      </w:r>
    </w:p>
    <w:p>
      <w:pPr>
        <w:autoSpaceDE w:val="0"/>
        <w:autoSpaceDN w:val="0"/>
        <w:spacing w:line="360" w:lineRule="auto"/>
        <w:ind w:firstLine="480" w:firstLineChars="200"/>
        <w:rPr>
          <w:rFonts w:hint="eastAsia" w:ascii="宋体" w:hAnsi="宋体"/>
          <w:sz w:val="24"/>
        </w:rPr>
      </w:pPr>
      <w:r>
        <w:rPr>
          <w:rFonts w:hint="eastAsia" w:ascii="宋体" w:hAnsi="宋体"/>
          <w:sz w:val="24"/>
        </w:rPr>
        <w:t>（4）</w:t>
      </w:r>
      <w:r>
        <w:rPr>
          <w:rFonts w:ascii="宋体" w:hAnsi="宋体"/>
          <w:sz w:val="24"/>
        </w:rPr>
        <w:t>因工程损坏造成的第三</w:t>
      </w:r>
      <w:r>
        <w:rPr>
          <w:rFonts w:hint="eastAsia" w:ascii="宋体" w:hAnsi="宋体"/>
          <w:sz w:val="24"/>
        </w:rPr>
        <w:t>人</w:t>
      </w:r>
      <w:r>
        <w:rPr>
          <w:rFonts w:ascii="宋体" w:hAnsi="宋体"/>
          <w:sz w:val="24"/>
        </w:rPr>
        <w:t>人员伤亡和财产损失由其所在单位负责并承担相应费用；</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5</w:t>
      </w:r>
      <w:r>
        <w:rPr>
          <w:rFonts w:ascii="宋体" w:hAnsi="宋体"/>
          <w:sz w:val="24"/>
        </w:rPr>
        <w:t>）因不可抗力影响承包人履行合同约定的义务，已经引起工期延误的，应当顺延工期</w:t>
      </w:r>
      <w:r>
        <w:rPr>
          <w:rFonts w:hint="eastAsia" w:ascii="宋体" w:hAnsi="宋体"/>
          <w:sz w:val="24"/>
        </w:rPr>
        <w:t>；</w:t>
      </w:r>
    </w:p>
    <w:p>
      <w:pPr>
        <w:autoSpaceDE w:val="0"/>
        <w:autoSpaceDN w:val="0"/>
        <w:spacing w:line="360" w:lineRule="auto"/>
        <w:ind w:firstLine="480" w:firstLineChars="200"/>
        <w:rPr>
          <w:rFonts w:hint="eastAsia" w:ascii="宋体" w:hAnsi="宋体"/>
          <w:sz w:val="24"/>
        </w:rPr>
      </w:pPr>
      <w:r>
        <w:rPr>
          <w:rFonts w:hint="eastAsia" w:ascii="宋体" w:hAnsi="宋体"/>
          <w:sz w:val="24"/>
        </w:rPr>
        <w:t>（6）</w:t>
      </w:r>
      <w:r>
        <w:rPr>
          <w:rFonts w:ascii="宋体" w:hAnsi="宋体"/>
          <w:sz w:val="24"/>
        </w:rPr>
        <w:t>由不可抗力导致停工</w:t>
      </w:r>
      <w:r>
        <w:rPr>
          <w:rFonts w:hint="eastAsia" w:ascii="宋体" w:hAnsi="宋体"/>
          <w:sz w:val="24"/>
        </w:rPr>
        <w:t>而</w:t>
      </w:r>
      <w:r>
        <w:rPr>
          <w:rFonts w:ascii="宋体" w:hAnsi="宋体"/>
          <w:sz w:val="24"/>
        </w:rPr>
        <w:t>产生的费用由发包人和承包人</w:t>
      </w:r>
      <w:r>
        <w:rPr>
          <w:rFonts w:hint="eastAsia" w:ascii="宋体" w:hAnsi="宋体"/>
          <w:sz w:val="24"/>
        </w:rPr>
        <w:t>各自承担</w:t>
      </w:r>
      <w:r>
        <w:rPr>
          <w:rFonts w:ascii="宋体" w:hAnsi="宋体"/>
          <w:sz w:val="24"/>
        </w:rPr>
        <w:t>；</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）因不可抗力引起工期延误，发包人要求赶工的，由此增加的赶工费用由发包人承担；</w:t>
      </w:r>
    </w:p>
    <w:p>
      <w:pPr>
        <w:autoSpaceDE w:val="0"/>
        <w:autoSpaceDN w:val="0"/>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8</w:t>
      </w:r>
      <w:r>
        <w:rPr>
          <w:rFonts w:ascii="宋体" w:hAnsi="宋体"/>
          <w:sz w:val="24"/>
        </w:rPr>
        <w:t>）承包人在停工期间按照发包人要求照管、清理和修复工程的费用由发包人承担。</w:t>
      </w:r>
    </w:p>
    <w:p>
      <w:pPr>
        <w:autoSpaceDE w:val="0"/>
        <w:autoSpaceDN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7</w:t>
      </w:r>
      <w:r>
        <w:rPr>
          <w:rFonts w:ascii="宋体" w:hAnsi="宋体"/>
          <w:sz w:val="24"/>
        </w:rPr>
        <w:t>.3.</w:t>
      </w:r>
      <w:r>
        <w:rPr>
          <w:rFonts w:hint="eastAsia" w:ascii="宋体" w:hAnsi="宋体"/>
          <w:sz w:val="24"/>
        </w:rPr>
        <w:t>2</w:t>
      </w:r>
      <w:r>
        <w:rPr>
          <w:rFonts w:ascii="宋体" w:hAnsi="宋体"/>
          <w:sz w:val="24"/>
        </w:rPr>
        <w:t xml:space="preserve"> </w:t>
      </w:r>
      <w:r>
        <w:rPr>
          <w:rFonts w:hint="eastAsia" w:ascii="宋体" w:hAnsi="宋体"/>
          <w:sz w:val="24"/>
        </w:rPr>
        <w:t>不可抗力引起的后果及造成的损失上述16.3.1项未约定的，由合同当事人按照法律规定各自承担。</w:t>
      </w:r>
    </w:p>
    <w:p>
      <w:pPr>
        <w:autoSpaceDE w:val="0"/>
        <w:autoSpaceDN w:val="0"/>
        <w:spacing w:line="360" w:lineRule="auto"/>
        <w:ind w:firstLine="480" w:firstLineChars="200"/>
        <w:rPr>
          <w:rFonts w:hint="eastAsia" w:ascii="宋体" w:hAnsi="宋体"/>
          <w:sz w:val="24"/>
        </w:rPr>
      </w:pPr>
      <w:r>
        <w:rPr>
          <w:rFonts w:ascii="宋体" w:hAnsi="宋体"/>
          <w:sz w:val="24"/>
        </w:rPr>
        <w:t>不可抗力发生后，合同当事人均应采取措施尽量避免和减少损失的扩大，任何一方当事人没有采取有效措施导致损失扩大的，应对扩大的损失承担责任。</w:t>
      </w:r>
    </w:p>
    <w:p>
      <w:pPr>
        <w:autoSpaceDE w:val="0"/>
        <w:autoSpaceDN w:val="0"/>
        <w:spacing w:line="360" w:lineRule="auto"/>
        <w:ind w:firstLine="480" w:firstLineChars="200"/>
        <w:rPr>
          <w:rFonts w:hint="eastAsia" w:ascii="宋体" w:hAnsi="宋体"/>
          <w:sz w:val="24"/>
        </w:rPr>
      </w:pPr>
      <w:r>
        <w:rPr>
          <w:rFonts w:ascii="宋体" w:hAnsi="宋体"/>
          <w:sz w:val="24"/>
        </w:rPr>
        <w:t>因合同一方迟延履行合同义务，在迟延履行期间遭遇不可抗力的，不免除其违约责任。</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7</w:t>
      </w:r>
      <w:r>
        <w:rPr>
          <w:rFonts w:ascii="宋体" w:hAnsi="宋体"/>
          <w:bCs/>
          <w:sz w:val="24"/>
          <w:lang w:val="zh-CN"/>
        </w:rPr>
        <w:t>.4 因不可抗力解除合同</w:t>
      </w:r>
    </w:p>
    <w:p>
      <w:pPr>
        <w:spacing w:line="360" w:lineRule="auto"/>
        <w:ind w:firstLine="480" w:firstLineChars="200"/>
        <w:rPr>
          <w:rFonts w:hint="eastAsia" w:ascii="宋体" w:hAnsi="宋体"/>
          <w:sz w:val="24"/>
        </w:rPr>
      </w:pPr>
      <w:r>
        <w:rPr>
          <w:rFonts w:ascii="宋体" w:hAnsi="宋体"/>
          <w:sz w:val="24"/>
        </w:rPr>
        <w:t>因不可抗力导致合同无法履行连续超过84天或累计超过140天的，发包人和承包人均有权解除合同。</w:t>
      </w:r>
    </w:p>
    <w:p>
      <w:pPr>
        <w:numPr>
          <w:ilvl w:val="255"/>
          <w:numId w:val="0"/>
        </w:numPr>
        <w:tabs>
          <w:tab w:val="left" w:pos="426"/>
        </w:tabs>
        <w:spacing w:line="360" w:lineRule="auto"/>
        <w:ind w:left="210"/>
        <w:outlineLvl w:val="3"/>
        <w:rPr>
          <w:rFonts w:hint="eastAsia" w:ascii="宋体" w:hAnsi="宋体"/>
          <w:bCs/>
          <w:sz w:val="24"/>
          <w:lang w:val="zh-CN"/>
        </w:rPr>
      </w:pPr>
      <w:r>
        <w:rPr>
          <w:rFonts w:hint="eastAsia" w:ascii="宋体" w:hAnsi="宋体"/>
          <w:bCs/>
          <w:sz w:val="24"/>
        </w:rPr>
        <w:t>18</w:t>
      </w:r>
      <w:r>
        <w:rPr>
          <w:rFonts w:ascii="宋体" w:hAnsi="宋体"/>
          <w:bCs/>
          <w:sz w:val="24"/>
          <w:lang w:val="zh-CN"/>
        </w:rPr>
        <w:t>保险</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8</w:t>
      </w:r>
      <w:r>
        <w:rPr>
          <w:rFonts w:ascii="宋体" w:hAnsi="宋体"/>
          <w:bCs/>
          <w:sz w:val="24"/>
          <w:lang w:val="zh-CN"/>
        </w:rPr>
        <w:t xml:space="preserve">.1 </w:t>
      </w:r>
      <w:r>
        <w:rPr>
          <w:rFonts w:hint="eastAsia" w:ascii="宋体" w:hAnsi="宋体"/>
          <w:bCs/>
          <w:sz w:val="24"/>
          <w:lang w:val="zh-CN"/>
        </w:rPr>
        <w:t>建筑/安装工程一切险</w:t>
      </w:r>
    </w:p>
    <w:p>
      <w:pPr>
        <w:autoSpaceDE w:val="0"/>
        <w:autoSpaceDN w:val="0"/>
        <w:spacing w:line="360" w:lineRule="auto"/>
        <w:ind w:firstLine="480" w:firstLineChars="200"/>
        <w:rPr>
          <w:rFonts w:hint="eastAsia" w:ascii="宋体" w:hAnsi="宋体"/>
          <w:sz w:val="24"/>
        </w:rPr>
      </w:pPr>
      <w:r>
        <w:rPr>
          <w:rFonts w:hint="eastAsia" w:ascii="宋体" w:hAnsi="宋体"/>
          <w:sz w:val="24"/>
        </w:rPr>
        <w:t>承包人需根据建筑/安装工程潜在风险情况及自身承受能力判断购买建筑/安装工程一切险；若未购买建筑/安装工程一切险的，建筑/安装工程未交付发包人前发生的财产损失、第三者责任、特种危险损失、盗窃损失由承包人承担，建筑/安装工程交付发包人后承包人免除该责任。若不购买一切险的，须向发包人提供建筑/安装工程一切险范围内的责任由承包人完全承担法律责任的声明。</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8</w:t>
      </w:r>
      <w:r>
        <w:rPr>
          <w:rFonts w:ascii="宋体" w:hAnsi="宋体"/>
          <w:bCs/>
          <w:sz w:val="24"/>
          <w:lang w:val="zh-CN"/>
        </w:rPr>
        <w:t>.2 工伤保险</w:t>
      </w:r>
    </w:p>
    <w:p>
      <w:pPr>
        <w:autoSpaceDE w:val="0"/>
        <w:autoSpaceDN w:val="0"/>
        <w:spacing w:line="360" w:lineRule="auto"/>
        <w:ind w:firstLine="480" w:firstLineChars="200"/>
        <w:rPr>
          <w:rFonts w:hint="eastAsia" w:ascii="宋体" w:hAnsi="宋体"/>
          <w:sz w:val="24"/>
        </w:rPr>
      </w:pPr>
      <w:r>
        <w:rPr>
          <w:rFonts w:hint="eastAsia" w:ascii="宋体" w:hAnsi="宋体"/>
          <w:sz w:val="24"/>
        </w:rPr>
        <w:t>承包人应依照法律规定参加受雇员工工伤保险，未参加工伤保险所产生的受雇员工的人身伤害责任由承包人负完全责任。</w:t>
      </w:r>
    </w:p>
    <w:p>
      <w:pPr>
        <w:spacing w:line="360" w:lineRule="auto"/>
        <w:outlineLvl w:val="4"/>
        <w:rPr>
          <w:rFonts w:hint="eastAsia" w:ascii="宋体" w:hAnsi="宋体"/>
          <w:bCs/>
          <w:sz w:val="24"/>
          <w:lang w:val="zh-CN"/>
        </w:rPr>
      </w:pPr>
      <w:r>
        <w:rPr>
          <w:rFonts w:ascii="宋体" w:hAnsi="宋体"/>
          <w:bCs/>
          <w:sz w:val="24"/>
          <w:lang w:val="zh-CN"/>
        </w:rPr>
        <w:t>1</w:t>
      </w:r>
      <w:r>
        <w:rPr>
          <w:rFonts w:hint="eastAsia" w:ascii="宋体" w:hAnsi="宋体"/>
          <w:bCs/>
          <w:sz w:val="24"/>
        </w:rPr>
        <w:t>8</w:t>
      </w:r>
      <w:r>
        <w:rPr>
          <w:rFonts w:ascii="宋体" w:hAnsi="宋体"/>
          <w:bCs/>
          <w:sz w:val="24"/>
          <w:lang w:val="zh-CN"/>
        </w:rPr>
        <w:t>.</w:t>
      </w:r>
      <w:r>
        <w:rPr>
          <w:rFonts w:hint="eastAsia" w:ascii="宋体" w:hAnsi="宋体"/>
          <w:bCs/>
          <w:sz w:val="24"/>
        </w:rPr>
        <w:t>7</w:t>
      </w:r>
      <w:r>
        <w:rPr>
          <w:rFonts w:ascii="宋体" w:hAnsi="宋体"/>
          <w:bCs/>
          <w:sz w:val="24"/>
          <w:lang w:val="zh-CN"/>
        </w:rPr>
        <w:t>通知义务</w:t>
      </w:r>
    </w:p>
    <w:p>
      <w:pPr>
        <w:spacing w:line="360" w:lineRule="auto"/>
        <w:ind w:firstLine="480" w:firstLineChars="200"/>
        <w:rPr>
          <w:rFonts w:hint="eastAsia" w:ascii="宋体" w:hAnsi="宋体"/>
          <w:sz w:val="24"/>
        </w:rPr>
      </w:pPr>
      <w:r>
        <w:rPr>
          <w:rFonts w:ascii="宋体" w:hAnsi="宋体"/>
          <w:sz w:val="24"/>
        </w:rPr>
        <w:t>发包人变更除工伤保险之外的保险合同时，应事先征得承包人同意，并通知监理人；承包人变更除工伤保险之外的保险合同时，应事先征得发包人同意，并通知监理人。</w:t>
      </w:r>
    </w:p>
    <w:p>
      <w:pPr>
        <w:spacing w:line="360" w:lineRule="auto"/>
        <w:ind w:firstLine="480" w:firstLineChars="200"/>
        <w:rPr>
          <w:rFonts w:hint="eastAsia" w:ascii="宋体" w:hAnsi="宋体"/>
          <w:sz w:val="24"/>
        </w:rPr>
      </w:pPr>
      <w:r>
        <w:rPr>
          <w:rFonts w:ascii="宋体" w:hAnsi="宋体"/>
          <w:sz w:val="24"/>
        </w:rPr>
        <w:t>保险事故发生时，投保人应按照保险合同规定的条件和期限及时向保险人报告。发包人和承包人应当在知道保险事故发生后及时通知对方。</w:t>
      </w:r>
    </w:p>
    <w:p>
      <w:pPr>
        <w:numPr>
          <w:ilvl w:val="255"/>
          <w:numId w:val="0"/>
        </w:numPr>
        <w:tabs>
          <w:tab w:val="left" w:pos="426"/>
        </w:tabs>
        <w:spacing w:line="360" w:lineRule="auto"/>
        <w:ind w:left="210"/>
        <w:outlineLvl w:val="3"/>
        <w:rPr>
          <w:rFonts w:hint="eastAsia" w:ascii="宋体" w:hAnsi="宋体"/>
          <w:bCs/>
          <w:sz w:val="24"/>
          <w:lang w:val="zh-CN"/>
        </w:rPr>
      </w:pPr>
      <w:r>
        <w:rPr>
          <w:rFonts w:hint="eastAsia" w:ascii="宋体" w:hAnsi="宋体"/>
          <w:bCs/>
          <w:sz w:val="24"/>
        </w:rPr>
        <w:t>19</w:t>
      </w:r>
      <w:r>
        <w:rPr>
          <w:rFonts w:ascii="宋体" w:hAnsi="宋体"/>
          <w:bCs/>
          <w:sz w:val="24"/>
          <w:lang w:val="zh-CN"/>
        </w:rPr>
        <w:t>索赔</w:t>
      </w:r>
    </w:p>
    <w:p>
      <w:pPr>
        <w:spacing w:line="360" w:lineRule="auto"/>
        <w:ind w:firstLine="480" w:firstLineChars="200"/>
        <w:rPr>
          <w:rFonts w:hint="eastAsia" w:ascii="宋体" w:hAnsi="宋体"/>
          <w:sz w:val="24"/>
        </w:rPr>
      </w:pPr>
      <w:r>
        <w:rPr>
          <w:rFonts w:hint="eastAsia" w:ascii="宋体" w:hAnsi="宋体"/>
          <w:sz w:val="24"/>
        </w:rPr>
        <w:t>若一方未能履行合同文件约定的义务或履行的义务存在错误给对方造成损失，可按照以下约定提出索赔。</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9</w:t>
      </w:r>
      <w:r>
        <w:rPr>
          <w:rFonts w:hint="eastAsia" w:ascii="宋体" w:hAnsi="宋体"/>
          <w:bCs/>
          <w:sz w:val="24"/>
          <w:lang w:val="zh-CN"/>
        </w:rPr>
        <w:t xml:space="preserve">.1索赔的提出： </w:t>
      </w:r>
    </w:p>
    <w:p>
      <w:pPr>
        <w:spacing w:line="360" w:lineRule="auto"/>
        <w:ind w:firstLine="480" w:firstLineChars="200"/>
        <w:rPr>
          <w:rFonts w:hint="eastAsia" w:ascii="宋体" w:hAnsi="宋体"/>
          <w:sz w:val="24"/>
        </w:rPr>
      </w:pPr>
      <w:r>
        <w:rPr>
          <w:rFonts w:hint="eastAsia" w:ascii="宋体" w:hAnsi="宋体"/>
          <w:sz w:val="24"/>
        </w:rPr>
        <w:t>（1）应当在知道或应当知道索赔事件发生后28天内，向对方提交索赔意向报告，并说明提出索赔的理由；</w:t>
      </w:r>
    </w:p>
    <w:p>
      <w:pPr>
        <w:spacing w:line="360" w:lineRule="auto"/>
        <w:ind w:firstLine="480" w:firstLineChars="200"/>
        <w:rPr>
          <w:rFonts w:hint="eastAsia" w:ascii="宋体" w:hAnsi="宋体"/>
          <w:sz w:val="24"/>
        </w:rPr>
      </w:pPr>
      <w:r>
        <w:rPr>
          <w:rFonts w:hint="eastAsia" w:ascii="宋体" w:hAnsi="宋体"/>
          <w:sz w:val="24"/>
        </w:rPr>
        <w:t>（2）应当在发出索赔意向报告后28天内，向对方正式提交索赔报告。索赔报告应当详细说明索赔理由以及要求赔付的金额和（或）索赔工期，并附必要的记录和证明材料；</w:t>
      </w:r>
    </w:p>
    <w:p>
      <w:pPr>
        <w:spacing w:line="360" w:lineRule="auto"/>
        <w:ind w:firstLine="480" w:firstLineChars="200"/>
        <w:rPr>
          <w:rFonts w:hint="eastAsia" w:ascii="宋体" w:hAnsi="宋体"/>
          <w:sz w:val="24"/>
        </w:rPr>
      </w:pPr>
      <w:r>
        <w:rPr>
          <w:rFonts w:hint="eastAsia" w:ascii="宋体" w:hAnsi="宋体"/>
          <w:sz w:val="24"/>
        </w:rPr>
        <w:t>（3）索赔事件具有连续影响的，应当按照合理时间间隔继续递交延续索赔报告，说明连续影响的实际情况和记录，列出累计的追加赔付金额和（或）工期天数；</w:t>
      </w:r>
    </w:p>
    <w:p>
      <w:pPr>
        <w:spacing w:line="360" w:lineRule="auto"/>
        <w:ind w:firstLine="480" w:firstLineChars="200"/>
        <w:rPr>
          <w:rFonts w:hint="eastAsia" w:ascii="宋体" w:hAnsi="宋体"/>
          <w:sz w:val="24"/>
        </w:rPr>
      </w:pPr>
      <w:r>
        <w:rPr>
          <w:rFonts w:hint="eastAsia" w:ascii="宋体" w:hAnsi="宋体"/>
          <w:sz w:val="24"/>
        </w:rPr>
        <w:t>（4）在索赔事件影响结束后的28天内，应当向对方提交最终索赔报告，说明最终要求索赔的追加赔付金额和工期，并附必要的记录和证明材料。</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9</w:t>
      </w:r>
      <w:r>
        <w:rPr>
          <w:rFonts w:hint="eastAsia" w:ascii="宋体" w:hAnsi="宋体"/>
          <w:bCs/>
          <w:sz w:val="24"/>
          <w:lang w:val="zh-CN"/>
        </w:rPr>
        <w:t>.2索赔的处理：</w:t>
      </w:r>
    </w:p>
    <w:p>
      <w:pPr>
        <w:spacing w:line="360" w:lineRule="auto"/>
        <w:ind w:firstLine="480" w:firstLineChars="200"/>
        <w:rPr>
          <w:rFonts w:hint="eastAsia" w:ascii="宋体" w:hAnsi="宋体"/>
          <w:sz w:val="24"/>
        </w:rPr>
      </w:pPr>
      <w:r>
        <w:rPr>
          <w:rFonts w:hint="eastAsia" w:ascii="宋体" w:hAnsi="宋体"/>
          <w:sz w:val="24"/>
        </w:rPr>
        <w:t>当收到合同当事人提交的索赔报告后，应当及时审查索赔报告的内容、查验对方的记录和证明材料，必要时可要求对方提交全部原始记录复印件。</w:t>
      </w:r>
    </w:p>
    <w:p>
      <w:pPr>
        <w:spacing w:line="360" w:lineRule="auto"/>
        <w:ind w:firstLine="480" w:firstLineChars="200"/>
        <w:rPr>
          <w:rFonts w:hint="eastAsia" w:ascii="宋体" w:hAnsi="宋体"/>
          <w:sz w:val="24"/>
        </w:rPr>
      </w:pPr>
      <w:r>
        <w:rPr>
          <w:rFonts w:hint="eastAsia" w:ascii="宋体" w:hAnsi="宋体"/>
          <w:sz w:val="24"/>
        </w:rPr>
        <w:t>应当按照合同文件约定对对方提出的追加赔付和（或）工期的要求进行审核和确认，并在收到上述索赔报告或有关索赔的进一步证明材料后的28天内，将索赔处理结果答复对方。</w:t>
      </w:r>
    </w:p>
    <w:p>
      <w:pPr>
        <w:spacing w:line="360" w:lineRule="auto"/>
        <w:ind w:firstLine="480" w:firstLineChars="200"/>
        <w:rPr>
          <w:rFonts w:hint="eastAsia" w:ascii="宋体" w:hAnsi="宋体"/>
          <w:sz w:val="24"/>
        </w:rPr>
      </w:pPr>
      <w:r>
        <w:rPr>
          <w:rFonts w:hint="eastAsia" w:ascii="宋体" w:hAnsi="宋体"/>
          <w:sz w:val="24"/>
        </w:rPr>
        <w:t>如果在收到上述索赔报告或有关索赔的进一步证明材料后的28天内未答复对方处理结果的，则视同接受了对方的索赔要求。</w:t>
      </w:r>
    </w:p>
    <w:p>
      <w:pPr>
        <w:spacing w:line="360" w:lineRule="auto"/>
        <w:ind w:firstLine="480" w:firstLineChars="200"/>
        <w:rPr>
          <w:rFonts w:hint="eastAsia" w:ascii="宋体" w:hAnsi="宋体"/>
          <w:sz w:val="24"/>
        </w:rPr>
      </w:pPr>
      <w:r>
        <w:rPr>
          <w:rFonts w:hint="eastAsia" w:ascii="宋体" w:hAnsi="宋体"/>
          <w:sz w:val="24"/>
        </w:rPr>
        <w:t>对方接受索赔处理结果的，给予赔付。对方不接受索赔处理结果的，按本合同争议解决条款处理。</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9</w:t>
      </w:r>
      <w:r>
        <w:rPr>
          <w:rFonts w:hint="eastAsia" w:ascii="宋体" w:hAnsi="宋体"/>
          <w:bCs/>
          <w:sz w:val="24"/>
          <w:lang w:val="zh-CN"/>
        </w:rPr>
        <w:t>.3提出索赔的期限：</w:t>
      </w:r>
    </w:p>
    <w:p>
      <w:pPr>
        <w:autoSpaceDE w:val="0"/>
        <w:autoSpaceDN w:val="0"/>
        <w:spacing w:line="360" w:lineRule="auto"/>
        <w:ind w:firstLine="480" w:firstLineChars="200"/>
        <w:rPr>
          <w:rFonts w:hint="eastAsia" w:ascii="宋体" w:hAnsi="宋体"/>
          <w:sz w:val="24"/>
        </w:rPr>
      </w:pPr>
      <w:r>
        <w:rPr>
          <w:rFonts w:hint="eastAsia" w:ascii="宋体" w:hAnsi="宋体"/>
          <w:sz w:val="24"/>
        </w:rPr>
        <w:t>如果未按照本条规定时间要求提出索赔，视为合同当事人已放弃了对相关事件的索赔。</w:t>
      </w:r>
    </w:p>
    <w:p>
      <w:pPr>
        <w:autoSpaceDE w:val="0"/>
        <w:autoSpaceDN w:val="0"/>
        <w:spacing w:line="360" w:lineRule="auto"/>
        <w:ind w:firstLine="480" w:firstLineChars="200"/>
        <w:rPr>
          <w:rFonts w:hint="eastAsia" w:ascii="宋体" w:hAnsi="宋体"/>
          <w:sz w:val="24"/>
        </w:rPr>
      </w:pPr>
      <w:r>
        <w:rPr>
          <w:rFonts w:hint="eastAsia" w:ascii="宋体" w:hAnsi="宋体"/>
          <w:sz w:val="24"/>
        </w:rPr>
        <w:t>如果发包人以书面形式确认了承包人的竣工结算报告后，合同当事人应当被认为已无权再提出竣工结算前所发生的任何索赔。</w:t>
      </w:r>
    </w:p>
    <w:p>
      <w:pPr>
        <w:autoSpaceDE w:val="0"/>
        <w:autoSpaceDN w:val="0"/>
        <w:spacing w:line="360" w:lineRule="auto"/>
        <w:ind w:firstLine="480" w:firstLineChars="200"/>
        <w:rPr>
          <w:rFonts w:hint="eastAsia" w:ascii="宋体" w:hAnsi="宋体"/>
          <w:sz w:val="24"/>
        </w:rPr>
      </w:pPr>
      <w:r>
        <w:rPr>
          <w:rFonts w:hint="eastAsia" w:ascii="宋体" w:hAnsi="宋体"/>
          <w:sz w:val="24"/>
        </w:rPr>
        <w:t>索赔要求被批准后，其应当获得的索赔款由对方随当期工程进度款（或合同价款中）或竣工结算中赔付（或扣除）。</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9</w:t>
      </w:r>
      <w:r>
        <w:rPr>
          <w:rFonts w:hint="eastAsia" w:ascii="宋体" w:hAnsi="宋体"/>
          <w:bCs/>
          <w:sz w:val="24"/>
          <w:lang w:val="zh-CN"/>
        </w:rPr>
        <w:t>.4索赔金额</w:t>
      </w:r>
    </w:p>
    <w:p>
      <w:pPr>
        <w:autoSpaceDE w:val="0"/>
        <w:autoSpaceDN w:val="0"/>
        <w:spacing w:line="360" w:lineRule="auto"/>
        <w:ind w:firstLine="480" w:firstLineChars="200"/>
        <w:rPr>
          <w:rFonts w:hint="eastAsia" w:ascii="宋体" w:hAnsi="宋体"/>
          <w:sz w:val="24"/>
        </w:rPr>
      </w:pPr>
      <w:r>
        <w:rPr>
          <w:rFonts w:hint="eastAsia" w:ascii="宋体" w:hAnsi="宋体"/>
          <w:sz w:val="24"/>
        </w:rPr>
        <w:t>索赔事件成立，索赔金额除合同条款明确规定外，其余索赔费用原则上按合同价（无合同价时，按投标报价表，如投标报价也没有时，按定额规定计价）中的某一项费用相对应的金额及其所占比例（比例按照定额计取）计算。索赔金额计算的是索赔事件的直接费用（如人工费、机械台班费、设备费、材料费），用于赔偿因索赔事件而受到的实际损失，不考虑利润等。如合同价（无合同价时，按投标报价表，如投标报价也没有时，按定额规定计价）中无对应的，索赔金额的计算方法采用实际费用法，只计取直接费用。索赔不具有任何惩罚性质。</w:t>
      </w:r>
    </w:p>
    <w:p>
      <w:pPr>
        <w:spacing w:line="360" w:lineRule="auto"/>
        <w:outlineLvl w:val="4"/>
        <w:rPr>
          <w:rFonts w:hint="eastAsia" w:ascii="宋体" w:hAnsi="宋体"/>
          <w:bCs/>
          <w:sz w:val="24"/>
          <w:lang w:val="zh-CN"/>
        </w:rPr>
      </w:pPr>
      <w:r>
        <w:rPr>
          <w:rFonts w:hint="eastAsia" w:ascii="宋体" w:hAnsi="宋体"/>
          <w:bCs/>
          <w:sz w:val="24"/>
          <w:lang w:val="zh-CN"/>
        </w:rPr>
        <w:t>1</w:t>
      </w:r>
      <w:r>
        <w:rPr>
          <w:rFonts w:hint="eastAsia" w:ascii="宋体" w:hAnsi="宋体"/>
          <w:bCs/>
          <w:sz w:val="24"/>
        </w:rPr>
        <w:t>9</w:t>
      </w:r>
      <w:r>
        <w:rPr>
          <w:rFonts w:hint="eastAsia" w:ascii="宋体" w:hAnsi="宋体"/>
          <w:bCs/>
          <w:sz w:val="24"/>
          <w:lang w:val="zh-CN"/>
        </w:rPr>
        <w:t>.5非索赔事项</w:t>
      </w:r>
    </w:p>
    <w:p>
      <w:pPr>
        <w:autoSpaceDE w:val="0"/>
        <w:autoSpaceDN w:val="0"/>
        <w:spacing w:line="360" w:lineRule="auto"/>
        <w:ind w:firstLine="480" w:firstLineChars="200"/>
        <w:rPr>
          <w:rFonts w:hint="eastAsia" w:ascii="宋体" w:hAnsi="宋体"/>
          <w:sz w:val="24"/>
        </w:rPr>
      </w:pPr>
      <w:r>
        <w:rPr>
          <w:rFonts w:hint="eastAsia" w:ascii="宋体" w:hAnsi="宋体"/>
          <w:sz w:val="24"/>
        </w:rPr>
        <w:t>以下事项按照相关条款处理，并不视作本条款所述之索赔：</w:t>
      </w:r>
    </w:p>
    <w:p>
      <w:pPr>
        <w:autoSpaceDE w:val="0"/>
        <w:autoSpaceDN w:val="0"/>
        <w:spacing w:line="360" w:lineRule="auto"/>
        <w:ind w:firstLine="480" w:firstLineChars="200"/>
        <w:rPr>
          <w:rFonts w:hint="eastAsia" w:ascii="宋体" w:hAnsi="宋体"/>
          <w:sz w:val="24"/>
        </w:rPr>
      </w:pPr>
      <w:r>
        <w:rPr>
          <w:rFonts w:hint="eastAsia" w:ascii="宋体" w:hAnsi="宋体"/>
          <w:sz w:val="24"/>
        </w:rPr>
        <w:t>（1）变更对合同价款的增减按照约定条款办理；</w:t>
      </w:r>
    </w:p>
    <w:p>
      <w:pPr>
        <w:autoSpaceDE w:val="0"/>
        <w:autoSpaceDN w:val="0"/>
        <w:spacing w:line="360" w:lineRule="auto"/>
        <w:ind w:firstLine="480" w:firstLineChars="200"/>
        <w:rPr>
          <w:rFonts w:hint="eastAsia" w:ascii="宋体" w:hAnsi="宋体"/>
        </w:rPr>
      </w:pPr>
      <w:r>
        <w:rPr>
          <w:rFonts w:hint="eastAsia" w:ascii="宋体" w:hAnsi="宋体"/>
          <w:sz w:val="24"/>
        </w:rPr>
        <w:t>（2）保险事宜按照保险条款处理。</w:t>
      </w:r>
    </w:p>
    <w:p>
      <w:pPr>
        <w:numPr>
          <w:ilvl w:val="255"/>
          <w:numId w:val="0"/>
        </w:numPr>
        <w:tabs>
          <w:tab w:val="left" w:pos="426"/>
        </w:tabs>
        <w:spacing w:line="360" w:lineRule="auto"/>
        <w:outlineLvl w:val="3"/>
        <w:rPr>
          <w:rFonts w:hint="eastAsia" w:ascii="宋体" w:hAnsi="宋体"/>
          <w:bCs/>
          <w:sz w:val="24"/>
          <w:lang w:val="zh-CN"/>
        </w:rPr>
      </w:pPr>
      <w:r>
        <w:rPr>
          <w:rFonts w:hint="eastAsia" w:ascii="宋体" w:hAnsi="宋体"/>
          <w:bCs/>
          <w:sz w:val="24"/>
        </w:rPr>
        <w:t>20.</w:t>
      </w:r>
      <w:r>
        <w:rPr>
          <w:rFonts w:ascii="宋体" w:hAnsi="宋体"/>
          <w:bCs/>
          <w:sz w:val="24"/>
          <w:lang w:val="zh-CN"/>
        </w:rPr>
        <w:t>争议解决</w:t>
      </w:r>
    </w:p>
    <w:p>
      <w:pPr>
        <w:spacing w:line="360" w:lineRule="auto"/>
        <w:outlineLvl w:val="4"/>
        <w:rPr>
          <w:rFonts w:hint="eastAsia" w:ascii="宋体" w:hAnsi="宋体"/>
          <w:bCs/>
          <w:sz w:val="24"/>
          <w:lang w:val="zh-CN"/>
        </w:rPr>
      </w:pPr>
      <w:r>
        <w:rPr>
          <w:rFonts w:hint="eastAsia" w:ascii="宋体" w:hAnsi="宋体"/>
          <w:bCs/>
          <w:sz w:val="24"/>
        </w:rPr>
        <w:t>20</w:t>
      </w:r>
      <w:r>
        <w:rPr>
          <w:rFonts w:hint="eastAsia" w:ascii="宋体" w:hAnsi="宋体"/>
          <w:bCs/>
          <w:sz w:val="24"/>
          <w:lang w:val="zh-CN"/>
        </w:rPr>
        <w:t>.1</w:t>
      </w:r>
      <w:r>
        <w:rPr>
          <w:rFonts w:ascii="宋体" w:hAnsi="宋体"/>
          <w:bCs/>
          <w:sz w:val="24"/>
          <w:lang w:val="zh-CN"/>
        </w:rPr>
        <w:t>争议解决方式</w:t>
      </w:r>
    </w:p>
    <w:p>
      <w:pPr>
        <w:autoSpaceDE w:val="0"/>
        <w:autoSpaceDN w:val="0"/>
        <w:spacing w:line="360" w:lineRule="auto"/>
        <w:ind w:firstLine="480" w:firstLineChars="200"/>
        <w:rPr>
          <w:rFonts w:hint="eastAsia" w:ascii="宋体" w:hAnsi="宋体"/>
          <w:sz w:val="24"/>
        </w:rPr>
      </w:pPr>
      <w:r>
        <w:rPr>
          <w:rFonts w:hint="eastAsia" w:ascii="宋体" w:hAnsi="宋体"/>
          <w:sz w:val="24"/>
        </w:rPr>
        <w:t>合同履行中如发生争议，由双方友好协商解决；协商不成时，向项目所在地有管辖权的人民法院起诉。</w:t>
      </w:r>
    </w:p>
    <w:p>
      <w:pPr>
        <w:autoSpaceDE w:val="0"/>
        <w:autoSpaceDN w:val="0"/>
        <w:spacing w:line="360" w:lineRule="auto"/>
        <w:ind w:firstLine="480" w:firstLineChars="200"/>
        <w:rPr>
          <w:rFonts w:hint="eastAsia" w:ascii="宋体" w:hAnsi="宋体"/>
          <w:sz w:val="24"/>
        </w:rPr>
      </w:pPr>
      <w:r>
        <w:rPr>
          <w:rFonts w:hint="eastAsia" w:ascii="宋体" w:hAnsi="宋体"/>
          <w:sz w:val="24"/>
        </w:rPr>
        <w:t>发生争议后，除出现下列情况外，双方都应继续履行合同，保证施工连续，并保护好已完工程：</w:t>
      </w:r>
    </w:p>
    <w:p>
      <w:pPr>
        <w:autoSpaceDE w:val="0"/>
        <w:autoSpaceDN w:val="0"/>
        <w:spacing w:line="360" w:lineRule="auto"/>
        <w:ind w:firstLine="480" w:firstLineChars="200"/>
        <w:rPr>
          <w:rFonts w:hint="eastAsia" w:ascii="宋体" w:hAnsi="宋体"/>
          <w:sz w:val="24"/>
        </w:rPr>
      </w:pPr>
      <w:r>
        <w:rPr>
          <w:rFonts w:hint="eastAsia" w:ascii="宋体" w:hAnsi="宋体"/>
          <w:sz w:val="24"/>
        </w:rPr>
        <w:t>（1）单方违约导致合同确已无法履行；</w:t>
      </w:r>
    </w:p>
    <w:p>
      <w:pPr>
        <w:autoSpaceDE w:val="0"/>
        <w:autoSpaceDN w:val="0"/>
        <w:spacing w:line="360" w:lineRule="auto"/>
        <w:ind w:firstLine="480" w:firstLineChars="200"/>
        <w:rPr>
          <w:rFonts w:hint="eastAsia" w:ascii="宋体" w:hAnsi="宋体"/>
          <w:sz w:val="24"/>
        </w:rPr>
      </w:pPr>
      <w:r>
        <w:rPr>
          <w:rFonts w:hint="eastAsia" w:ascii="宋体" w:hAnsi="宋体"/>
          <w:sz w:val="24"/>
        </w:rPr>
        <w:t>（2）双方协商同意停止施工；</w:t>
      </w:r>
    </w:p>
    <w:p>
      <w:pPr>
        <w:autoSpaceDE w:val="0"/>
        <w:autoSpaceDN w:val="0"/>
        <w:spacing w:line="360" w:lineRule="auto"/>
        <w:ind w:firstLine="480" w:firstLineChars="200"/>
        <w:rPr>
          <w:rFonts w:hint="eastAsia" w:ascii="宋体" w:hAnsi="宋体"/>
          <w:sz w:val="24"/>
        </w:rPr>
      </w:pPr>
      <w:r>
        <w:rPr>
          <w:rFonts w:hint="eastAsia" w:ascii="宋体" w:hAnsi="宋体"/>
          <w:sz w:val="24"/>
        </w:rPr>
        <w:t>（3）法院要求停止施工。</w:t>
      </w:r>
    </w:p>
    <w:p>
      <w:pPr>
        <w:spacing w:line="360" w:lineRule="auto"/>
        <w:outlineLvl w:val="4"/>
        <w:rPr>
          <w:rFonts w:hint="eastAsia" w:ascii="宋体" w:hAnsi="宋体"/>
          <w:bCs/>
          <w:sz w:val="24"/>
          <w:lang w:val="zh-CN"/>
        </w:rPr>
      </w:pPr>
      <w:r>
        <w:rPr>
          <w:rFonts w:hint="eastAsia" w:ascii="宋体" w:hAnsi="宋体"/>
          <w:bCs/>
          <w:sz w:val="24"/>
        </w:rPr>
        <w:t>20</w:t>
      </w:r>
      <w:r>
        <w:rPr>
          <w:rFonts w:ascii="宋体" w:hAnsi="宋体"/>
          <w:bCs/>
          <w:sz w:val="24"/>
          <w:lang w:val="zh-CN"/>
        </w:rPr>
        <w:t>.</w:t>
      </w:r>
      <w:r>
        <w:rPr>
          <w:rFonts w:hint="eastAsia" w:ascii="宋体" w:hAnsi="宋体"/>
          <w:bCs/>
          <w:sz w:val="24"/>
        </w:rPr>
        <w:t>5</w:t>
      </w:r>
      <w:r>
        <w:rPr>
          <w:rFonts w:ascii="宋体" w:hAnsi="宋体"/>
          <w:bCs/>
          <w:sz w:val="24"/>
          <w:lang w:val="zh-CN"/>
        </w:rPr>
        <w:t>争议解决条款效力</w:t>
      </w:r>
    </w:p>
    <w:p>
      <w:pPr>
        <w:autoSpaceDE w:val="0"/>
        <w:autoSpaceDN w:val="0"/>
        <w:spacing w:line="360" w:lineRule="auto"/>
        <w:ind w:firstLine="480" w:firstLineChars="200"/>
        <w:rPr>
          <w:rFonts w:hint="eastAsia" w:ascii="宋体" w:hAnsi="宋体"/>
          <w:sz w:val="24"/>
        </w:rPr>
      </w:pPr>
      <w:r>
        <w:rPr>
          <w:rFonts w:ascii="宋体" w:hAnsi="宋体"/>
          <w:sz w:val="24"/>
        </w:rPr>
        <w:t xml:space="preserve">合同有关争议解决的条款独立存在，合同的变更、解除、终止、无效或者被撤销均不影响其效力。 </w:t>
      </w:r>
    </w:p>
    <w:p>
      <w:pPr>
        <w:numPr>
          <w:ilvl w:val="255"/>
          <w:numId w:val="0"/>
        </w:numPr>
        <w:tabs>
          <w:tab w:val="left" w:pos="426"/>
        </w:tabs>
        <w:spacing w:line="360" w:lineRule="auto"/>
        <w:ind w:left="420"/>
        <w:outlineLvl w:val="3"/>
        <w:rPr>
          <w:rFonts w:hint="eastAsia" w:ascii="宋体" w:hAnsi="宋体"/>
          <w:bCs/>
          <w:sz w:val="24"/>
          <w:lang w:val="zh-CN"/>
        </w:rPr>
      </w:pPr>
      <w:r>
        <w:rPr>
          <w:rFonts w:hint="eastAsia" w:ascii="宋体" w:hAnsi="宋体"/>
          <w:bCs/>
          <w:sz w:val="24"/>
        </w:rPr>
        <w:t>21.</w:t>
      </w:r>
      <w:r>
        <w:rPr>
          <w:rFonts w:ascii="宋体" w:hAnsi="宋体"/>
          <w:bCs/>
          <w:sz w:val="24"/>
          <w:lang w:val="zh-CN"/>
        </w:rPr>
        <w:t>合同解除</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1</w:t>
      </w:r>
      <w:r>
        <w:rPr>
          <w:rFonts w:hint="eastAsia" w:ascii="宋体" w:hAnsi="宋体"/>
          <w:bCs/>
          <w:sz w:val="24"/>
          <w:lang w:val="zh-CN"/>
        </w:rPr>
        <w:t>.1发包人、承包人协商一致，可以解除合同。</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1</w:t>
      </w:r>
      <w:r>
        <w:rPr>
          <w:rFonts w:hint="eastAsia" w:ascii="宋体" w:hAnsi="宋体"/>
          <w:bCs/>
          <w:sz w:val="24"/>
          <w:lang w:val="zh-CN"/>
        </w:rPr>
        <w:t>.2承包人将其承包的工程转包给他人或者肢解以后以分包的名义分别转包给他人，发包人有权解除合同。</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1</w:t>
      </w:r>
      <w:r>
        <w:rPr>
          <w:rFonts w:hint="eastAsia" w:ascii="宋体" w:hAnsi="宋体"/>
          <w:bCs/>
          <w:sz w:val="24"/>
          <w:lang w:val="zh-CN"/>
        </w:rPr>
        <w:t>.3有下列情形之一的，双方可以解除合同：</w:t>
      </w:r>
    </w:p>
    <w:p>
      <w:pPr>
        <w:autoSpaceDE w:val="0"/>
        <w:autoSpaceDN w:val="0"/>
        <w:spacing w:line="360" w:lineRule="auto"/>
        <w:ind w:firstLine="480" w:firstLineChars="200"/>
        <w:rPr>
          <w:rFonts w:hint="eastAsia" w:ascii="宋体" w:hAnsi="宋体"/>
          <w:sz w:val="24"/>
        </w:rPr>
      </w:pPr>
      <w:r>
        <w:rPr>
          <w:rFonts w:hint="eastAsia" w:ascii="宋体" w:hAnsi="宋体"/>
          <w:sz w:val="24"/>
        </w:rPr>
        <w:t>(1)因不可抗力致使合同无法履行；</w:t>
      </w:r>
    </w:p>
    <w:p>
      <w:pPr>
        <w:autoSpaceDE w:val="0"/>
        <w:autoSpaceDN w:val="0"/>
        <w:spacing w:line="360" w:lineRule="auto"/>
        <w:ind w:firstLine="480" w:firstLineChars="200"/>
        <w:rPr>
          <w:rFonts w:hint="eastAsia" w:ascii="宋体" w:hAnsi="宋体"/>
          <w:sz w:val="24"/>
        </w:rPr>
      </w:pPr>
      <w:r>
        <w:rPr>
          <w:rFonts w:hint="eastAsia" w:ascii="宋体" w:hAnsi="宋体"/>
          <w:sz w:val="24"/>
        </w:rPr>
        <w:t>(2)因一方违约致使合同无法履行。</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1</w:t>
      </w:r>
      <w:r>
        <w:rPr>
          <w:rFonts w:hint="eastAsia" w:ascii="宋体" w:hAnsi="宋体"/>
          <w:bCs/>
          <w:sz w:val="24"/>
          <w:lang w:val="zh-CN"/>
        </w:rPr>
        <w:t>.4一方要求解除合同的，应以书面形式向对方发出解除合同的通知，并在发出通知前７天告知对方。对解除合同有争议的，按本合同关于争议的相关条款约定处理。</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1</w:t>
      </w:r>
      <w:r>
        <w:rPr>
          <w:rFonts w:hint="eastAsia" w:ascii="宋体" w:hAnsi="宋体"/>
          <w:bCs/>
          <w:sz w:val="24"/>
          <w:lang w:val="zh-CN"/>
        </w:rPr>
        <w:t>.5合同解除后，承包人应妥善做好已完工程和已购材料、设备的保护和移交工作；承包人按发包人要求将自有机械设备和人员撤出施工场地，发包人应为承包人撤出提供必要条件；发包人支付承包人已完成工程的价款；</w:t>
      </w:r>
      <w:r>
        <w:rPr>
          <w:rFonts w:hint="eastAsia" w:ascii="宋体" w:hAnsi="宋体"/>
          <w:bCs/>
          <w:color w:val="000000"/>
          <w:sz w:val="24"/>
          <w:lang w:val="zh-CN"/>
        </w:rPr>
        <w:t>已经订货的材料、设备由订货方负责退货或解除订货合同，因未及时退货造成的损失由责任方承担</w:t>
      </w:r>
      <w:r>
        <w:rPr>
          <w:rFonts w:hint="eastAsia" w:ascii="宋体" w:hAnsi="宋体"/>
          <w:bCs/>
          <w:sz w:val="24"/>
          <w:lang w:val="zh-CN"/>
        </w:rPr>
        <w:t>；违约方应当承担合同约定的违约责任。除此之外，有过错的一方应当赔偿因合同解除给对方造成的损失。</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1</w:t>
      </w:r>
      <w:r>
        <w:rPr>
          <w:rFonts w:hint="eastAsia" w:ascii="宋体" w:hAnsi="宋体"/>
          <w:bCs/>
          <w:sz w:val="24"/>
          <w:lang w:val="zh-CN"/>
        </w:rPr>
        <w:t>.6合同解除后，不影响双方在合同中约定的结算和清算条款的效力。</w:t>
      </w:r>
    </w:p>
    <w:p>
      <w:pPr>
        <w:numPr>
          <w:ilvl w:val="255"/>
          <w:numId w:val="0"/>
        </w:numPr>
        <w:tabs>
          <w:tab w:val="left" w:pos="426"/>
        </w:tabs>
        <w:spacing w:line="360" w:lineRule="auto"/>
        <w:ind w:left="420"/>
        <w:outlineLvl w:val="3"/>
        <w:rPr>
          <w:rFonts w:hint="eastAsia" w:ascii="宋体" w:hAnsi="宋体"/>
          <w:bCs/>
          <w:sz w:val="24"/>
          <w:lang w:val="zh-CN"/>
        </w:rPr>
      </w:pPr>
      <w:r>
        <w:rPr>
          <w:rFonts w:hint="eastAsia" w:ascii="宋体" w:hAnsi="宋体"/>
          <w:bCs/>
          <w:sz w:val="24"/>
        </w:rPr>
        <w:t>22.</w:t>
      </w:r>
      <w:r>
        <w:rPr>
          <w:rFonts w:hint="eastAsia" w:ascii="宋体" w:hAnsi="宋体"/>
          <w:bCs/>
          <w:sz w:val="24"/>
          <w:lang w:val="zh-CN"/>
        </w:rPr>
        <w:t>工程停建或缓建</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2</w:t>
      </w:r>
      <w:r>
        <w:rPr>
          <w:rFonts w:hint="eastAsia" w:ascii="宋体" w:hAnsi="宋体"/>
          <w:bCs/>
          <w:sz w:val="24"/>
          <w:lang w:val="zh-CN"/>
        </w:rPr>
        <w:t>.1由于政策变化、不可抗力以及发包人、承包人双方之外原因导致工程停建或缓建，使合同不能继续履行，承包人应妥善做好已完工程和已购材料、设备的保护和移交工作；按发包人要求将自有机械设备和人员撤出施工现场，发包人应为承包人撤出提供必要条件，并按合同规定支付已完工程价款。</w:t>
      </w:r>
    </w:p>
    <w:p>
      <w:pPr>
        <w:spacing w:line="360" w:lineRule="auto"/>
        <w:outlineLvl w:val="4"/>
        <w:rPr>
          <w:rFonts w:hint="eastAsia" w:ascii="宋体" w:hAnsi="宋体"/>
          <w:bCs/>
          <w:sz w:val="24"/>
          <w:lang w:val="zh-CN"/>
        </w:rPr>
      </w:pPr>
      <w:r>
        <w:rPr>
          <w:rFonts w:hint="eastAsia" w:ascii="宋体" w:hAnsi="宋体"/>
          <w:bCs/>
          <w:sz w:val="24"/>
          <w:lang w:val="zh-CN"/>
        </w:rPr>
        <w:t>2</w:t>
      </w:r>
      <w:r>
        <w:rPr>
          <w:rFonts w:hint="eastAsia" w:ascii="宋体" w:hAnsi="宋体"/>
          <w:bCs/>
          <w:sz w:val="24"/>
        </w:rPr>
        <w:t>2</w:t>
      </w:r>
      <w:r>
        <w:rPr>
          <w:rFonts w:hint="eastAsia" w:ascii="宋体" w:hAnsi="宋体"/>
          <w:bCs/>
          <w:sz w:val="24"/>
          <w:lang w:val="zh-CN"/>
        </w:rPr>
        <w:t>.2由承包人负责订购的材料、设备，由承包人负责退货，不能退还的货款和退货发生的费用，经发包人确认后由发包人承担。但未及时退货造成的损失由责任方承担。</w:t>
      </w:r>
    </w:p>
    <w:p>
      <w:pPr>
        <w:numPr>
          <w:ilvl w:val="255"/>
          <w:numId w:val="0"/>
        </w:numPr>
        <w:tabs>
          <w:tab w:val="left" w:pos="426"/>
        </w:tabs>
        <w:spacing w:line="360" w:lineRule="auto"/>
        <w:outlineLvl w:val="3"/>
        <w:rPr>
          <w:rFonts w:hint="eastAsia" w:ascii="宋体" w:hAnsi="宋体"/>
          <w:bCs/>
          <w:sz w:val="24"/>
          <w:lang w:val="zh-CN"/>
        </w:rPr>
      </w:pPr>
      <w:r>
        <w:rPr>
          <w:rFonts w:hint="eastAsia" w:ascii="宋体" w:hAnsi="宋体"/>
          <w:bCs/>
          <w:sz w:val="24"/>
        </w:rPr>
        <w:t>23</w:t>
      </w:r>
      <w:r>
        <w:rPr>
          <w:rFonts w:hint="eastAsia" w:ascii="宋体" w:hAnsi="宋体"/>
          <w:bCs/>
          <w:sz w:val="24"/>
          <w:lang w:val="zh-CN"/>
        </w:rPr>
        <w:t>合同文件抵触</w:t>
      </w:r>
    </w:p>
    <w:p>
      <w:pPr>
        <w:autoSpaceDE w:val="0"/>
        <w:autoSpaceDN w:val="0"/>
        <w:spacing w:line="360" w:lineRule="auto"/>
        <w:ind w:firstLine="480" w:firstLineChars="200"/>
        <w:rPr>
          <w:rFonts w:hint="eastAsia" w:ascii="宋体" w:hAnsi="宋体"/>
          <w:sz w:val="24"/>
        </w:rPr>
      </w:pPr>
      <w:r>
        <w:rPr>
          <w:rFonts w:hint="eastAsia" w:ascii="宋体" w:hAnsi="宋体"/>
          <w:sz w:val="24"/>
        </w:rPr>
        <w:t xml:space="preserve">本合同文件若有相抵触时，执行较为严格的要求 </w:t>
      </w:r>
    </w:p>
    <w:p>
      <w:pPr>
        <w:numPr>
          <w:ilvl w:val="255"/>
          <w:numId w:val="0"/>
        </w:numPr>
        <w:tabs>
          <w:tab w:val="left" w:pos="426"/>
        </w:tabs>
        <w:spacing w:line="360" w:lineRule="auto"/>
        <w:outlineLvl w:val="3"/>
        <w:rPr>
          <w:rFonts w:hint="eastAsia" w:ascii="宋体" w:hAnsi="宋体"/>
          <w:bCs/>
          <w:sz w:val="24"/>
          <w:lang w:val="zh-CN"/>
        </w:rPr>
      </w:pPr>
      <w:r>
        <w:rPr>
          <w:rFonts w:hint="eastAsia" w:ascii="宋体" w:hAnsi="宋体"/>
          <w:bCs/>
          <w:sz w:val="24"/>
        </w:rPr>
        <w:t>24.</w:t>
      </w:r>
      <w:r>
        <w:rPr>
          <w:rFonts w:hint="eastAsia" w:ascii="宋体" w:hAnsi="宋体"/>
          <w:bCs/>
          <w:sz w:val="24"/>
          <w:lang w:val="zh-CN"/>
        </w:rPr>
        <w:t xml:space="preserve">资金管理要求  </w:t>
      </w:r>
    </w:p>
    <w:p>
      <w:pPr>
        <w:autoSpaceDE w:val="0"/>
        <w:autoSpaceDN w:val="0"/>
        <w:spacing w:line="360" w:lineRule="auto"/>
        <w:ind w:left="-142"/>
        <w:rPr>
          <w:rFonts w:hint="eastAsia" w:ascii="宋体" w:hAnsi="宋体"/>
          <w:bCs/>
          <w:sz w:val="24"/>
          <w:lang w:val="zh-CN"/>
        </w:rPr>
      </w:pPr>
      <w:r>
        <w:rPr>
          <w:rFonts w:hint="eastAsia" w:ascii="宋体" w:hAnsi="宋体"/>
          <w:bCs/>
          <w:sz w:val="24"/>
          <w:lang w:val="zh-CN"/>
        </w:rPr>
        <w:t>2</w:t>
      </w:r>
      <w:r>
        <w:rPr>
          <w:rFonts w:hint="eastAsia" w:ascii="宋体" w:hAnsi="宋体"/>
          <w:bCs/>
          <w:sz w:val="24"/>
        </w:rPr>
        <w:t>4</w:t>
      </w:r>
      <w:r>
        <w:rPr>
          <w:rFonts w:hint="eastAsia" w:ascii="宋体" w:hAnsi="宋体"/>
          <w:bCs/>
          <w:sz w:val="24"/>
          <w:lang w:val="zh-CN"/>
        </w:rPr>
        <w:t xml:space="preserve">.1 </w:t>
      </w:r>
      <w:r>
        <w:rPr>
          <w:rFonts w:hint="eastAsia" w:ascii="宋体" w:hAnsi="宋体"/>
          <w:sz w:val="24"/>
          <w:lang w:val="zh-CN"/>
        </w:rPr>
        <w:t>承包人必须保证发包人所支付的资金全部用于本工程。</w:t>
      </w:r>
    </w:p>
    <w:p>
      <w:pPr>
        <w:autoSpaceDE w:val="0"/>
        <w:autoSpaceDN w:val="0"/>
        <w:spacing w:line="360" w:lineRule="auto"/>
        <w:ind w:left="-142"/>
        <w:rPr>
          <w:rFonts w:hint="eastAsia" w:ascii="宋体" w:hAnsi="宋体"/>
          <w:bCs/>
          <w:sz w:val="24"/>
          <w:lang w:val="zh-CN"/>
        </w:rPr>
      </w:pPr>
      <w:r>
        <w:rPr>
          <w:rFonts w:hint="eastAsia" w:ascii="宋体" w:hAnsi="宋体"/>
          <w:bCs/>
          <w:sz w:val="24"/>
          <w:lang w:val="zh-CN"/>
        </w:rPr>
        <w:t>2</w:t>
      </w:r>
      <w:r>
        <w:rPr>
          <w:rFonts w:hint="eastAsia" w:ascii="宋体" w:hAnsi="宋体"/>
          <w:bCs/>
          <w:sz w:val="24"/>
        </w:rPr>
        <w:t>4</w:t>
      </w:r>
      <w:r>
        <w:rPr>
          <w:rFonts w:hint="eastAsia" w:ascii="宋体" w:hAnsi="宋体"/>
          <w:bCs/>
          <w:sz w:val="24"/>
          <w:lang w:val="zh-CN"/>
        </w:rPr>
        <w:t>.2 若发包人认为有必要时，承包人应向发包人提供银行出具的资金进出帐单复印件，供发包人审核。如果发包人需要到银行查核承包人的合同资金使用情况，承包人必须无条件向发包人提供可以到银行进行核查的相关法律手续和证明。</w:t>
      </w:r>
    </w:p>
    <w:p>
      <w:pPr>
        <w:autoSpaceDE w:val="0"/>
        <w:autoSpaceDN w:val="0"/>
        <w:spacing w:line="360" w:lineRule="auto"/>
        <w:ind w:left="-142"/>
        <w:rPr>
          <w:rFonts w:hint="eastAsia" w:ascii="宋体" w:hAnsi="宋体"/>
          <w:bCs/>
          <w:sz w:val="24"/>
          <w:lang w:val="zh-CN"/>
        </w:rPr>
      </w:pPr>
      <w:r>
        <w:rPr>
          <w:rFonts w:hint="eastAsia" w:ascii="宋体" w:hAnsi="宋体"/>
          <w:bCs/>
          <w:sz w:val="24"/>
          <w:lang w:val="zh-CN"/>
        </w:rPr>
        <w:t>2</w:t>
      </w:r>
      <w:r>
        <w:rPr>
          <w:rFonts w:hint="eastAsia" w:ascii="宋体" w:hAnsi="宋体"/>
          <w:bCs/>
          <w:sz w:val="24"/>
        </w:rPr>
        <w:t>4</w:t>
      </w:r>
      <w:r>
        <w:rPr>
          <w:rFonts w:hint="eastAsia" w:ascii="宋体" w:hAnsi="宋体"/>
          <w:bCs/>
          <w:sz w:val="24"/>
          <w:lang w:val="zh-CN"/>
        </w:rPr>
        <w:t>.3 如承包人将资金挪作他用，应向发包人支付挪作他用资金额2倍的违约金，发包人有权从承包人的应得合同款中扣除。</w:t>
      </w:r>
    </w:p>
    <w:p>
      <w:pPr>
        <w:autoSpaceDE w:val="0"/>
        <w:autoSpaceDN w:val="0"/>
        <w:spacing w:line="360" w:lineRule="auto"/>
        <w:ind w:left="-142"/>
        <w:rPr>
          <w:rFonts w:hint="eastAsia" w:ascii="宋体" w:hAnsi="宋体"/>
          <w:bCs/>
          <w:sz w:val="24"/>
          <w:lang w:val="zh-CN"/>
        </w:rPr>
      </w:pPr>
      <w:r>
        <w:rPr>
          <w:rFonts w:hint="eastAsia" w:ascii="宋体" w:hAnsi="宋体"/>
          <w:bCs/>
          <w:sz w:val="24"/>
        </w:rPr>
        <w:t>25</w:t>
      </w:r>
      <w:r>
        <w:rPr>
          <w:rFonts w:hint="eastAsia" w:ascii="宋体" w:hAnsi="宋体"/>
          <w:bCs/>
          <w:sz w:val="24"/>
          <w:lang w:val="zh-CN"/>
        </w:rPr>
        <w:t xml:space="preserve">其他  </w:t>
      </w:r>
    </w:p>
    <w:p>
      <w:pPr>
        <w:autoSpaceDE w:val="0"/>
        <w:autoSpaceDN w:val="0"/>
        <w:spacing w:line="360" w:lineRule="auto"/>
        <w:ind w:left="-142"/>
        <w:rPr>
          <w:rFonts w:hint="eastAsia" w:ascii="宋体" w:hAnsi="宋体"/>
          <w:bCs/>
          <w:sz w:val="24"/>
          <w:lang w:val="zh-CN"/>
        </w:rPr>
      </w:pPr>
      <w:r>
        <w:rPr>
          <w:rFonts w:hint="eastAsia" w:ascii="宋体" w:hAnsi="宋体"/>
          <w:bCs/>
          <w:sz w:val="24"/>
          <w:lang w:val="zh-CN"/>
        </w:rPr>
        <w:t>2</w:t>
      </w:r>
      <w:r>
        <w:rPr>
          <w:rFonts w:hint="eastAsia" w:ascii="宋体" w:hAnsi="宋体"/>
          <w:bCs/>
          <w:sz w:val="24"/>
        </w:rPr>
        <w:t>5</w:t>
      </w:r>
      <w:r>
        <w:rPr>
          <w:rFonts w:hint="eastAsia" w:ascii="宋体" w:hAnsi="宋体"/>
          <w:bCs/>
          <w:sz w:val="24"/>
          <w:lang w:val="zh-CN"/>
        </w:rPr>
        <w:t xml:space="preserve">.1 民工工资发放及农民工工资保障金缴纳: 执行辽宁省人民政府办公厅关于印发《自治区建设领域农民工工资保障金管理办法》的通知。 </w:t>
      </w:r>
    </w:p>
    <w:p>
      <w:pPr>
        <w:autoSpaceDE w:val="0"/>
        <w:autoSpaceDN w:val="0"/>
        <w:spacing w:line="360" w:lineRule="auto"/>
        <w:ind w:left="-142"/>
        <w:rPr>
          <w:rFonts w:hint="eastAsia" w:ascii="宋体" w:hAnsi="宋体"/>
          <w:bCs/>
          <w:sz w:val="24"/>
          <w:lang w:val="zh-CN"/>
        </w:rPr>
      </w:pPr>
      <w:r>
        <w:rPr>
          <w:rFonts w:hint="eastAsia" w:ascii="宋体" w:hAnsi="宋体"/>
          <w:bCs/>
          <w:sz w:val="24"/>
          <w:lang w:val="zh-CN"/>
        </w:rPr>
        <w:t>2</w:t>
      </w:r>
      <w:r>
        <w:rPr>
          <w:rFonts w:hint="eastAsia" w:ascii="宋体" w:hAnsi="宋体"/>
          <w:bCs/>
          <w:sz w:val="24"/>
        </w:rPr>
        <w:t>5</w:t>
      </w:r>
      <w:r>
        <w:rPr>
          <w:rFonts w:hint="eastAsia" w:ascii="宋体" w:hAnsi="宋体"/>
          <w:bCs/>
          <w:sz w:val="24"/>
          <w:lang w:val="zh-CN"/>
        </w:rPr>
        <w:t>.2 根据当地规定，本工程承包人应使用商品混凝土。</w:t>
      </w:r>
    </w:p>
    <w:p>
      <w:pPr>
        <w:autoSpaceDE w:val="0"/>
        <w:autoSpaceDN w:val="0"/>
        <w:spacing w:line="360" w:lineRule="auto"/>
        <w:ind w:left="-142"/>
        <w:rPr>
          <w:rFonts w:hint="eastAsia" w:ascii="宋体" w:hAnsi="宋体"/>
          <w:bCs/>
          <w:sz w:val="24"/>
          <w:lang w:val="zh-CN"/>
        </w:rPr>
      </w:pPr>
      <w:r>
        <w:rPr>
          <w:rFonts w:hint="eastAsia" w:ascii="宋体" w:hAnsi="宋体"/>
          <w:bCs/>
          <w:sz w:val="24"/>
          <w:lang w:val="zh-CN"/>
        </w:rPr>
        <w:t>2</w:t>
      </w:r>
      <w:r>
        <w:rPr>
          <w:rFonts w:hint="eastAsia" w:ascii="宋体" w:hAnsi="宋体"/>
          <w:bCs/>
          <w:sz w:val="24"/>
        </w:rPr>
        <w:t>5</w:t>
      </w:r>
      <w:r>
        <w:rPr>
          <w:rFonts w:hint="eastAsia" w:ascii="宋体" w:hAnsi="宋体"/>
          <w:bCs/>
          <w:sz w:val="24"/>
          <w:lang w:val="zh-CN"/>
        </w:rPr>
        <w:t>.3 承包人应遵守发包人工程项目管理制度及项目管理体系文件。</w:t>
      </w:r>
    </w:p>
    <w:p>
      <w:pPr>
        <w:autoSpaceDE w:val="0"/>
        <w:autoSpaceDN w:val="0"/>
        <w:spacing w:line="360" w:lineRule="auto"/>
        <w:ind w:left="-142"/>
        <w:rPr>
          <w:rFonts w:hint="eastAsia" w:ascii="宋体" w:hAnsi="宋体"/>
          <w:sz w:val="24"/>
          <w:lang w:val="zh-CN"/>
        </w:rPr>
      </w:pPr>
      <w:r>
        <w:rPr>
          <w:rFonts w:hint="eastAsia" w:ascii="宋体" w:hAnsi="宋体"/>
          <w:sz w:val="24"/>
          <w:lang w:val="zh-CN"/>
        </w:rPr>
        <w:t>2</w:t>
      </w:r>
      <w:r>
        <w:rPr>
          <w:rFonts w:hint="eastAsia" w:ascii="宋体" w:hAnsi="宋体"/>
          <w:sz w:val="24"/>
        </w:rPr>
        <w:t>5</w:t>
      </w:r>
      <w:r>
        <w:rPr>
          <w:rFonts w:hint="eastAsia" w:ascii="宋体" w:hAnsi="宋体"/>
          <w:sz w:val="24"/>
          <w:lang w:val="zh-CN"/>
        </w:rPr>
        <w:t>.</w:t>
      </w:r>
      <w:r>
        <w:rPr>
          <w:rFonts w:hint="eastAsia" w:ascii="宋体" w:hAnsi="宋体"/>
          <w:sz w:val="24"/>
        </w:rPr>
        <w:t>4</w:t>
      </w:r>
      <w:r>
        <w:rPr>
          <w:rFonts w:hint="eastAsia" w:ascii="宋体" w:hAnsi="宋体"/>
          <w:sz w:val="24"/>
          <w:lang w:val="zh-CN"/>
        </w:rPr>
        <w:t xml:space="preserve"> 在合同履行期间若未按照经审批的施工进度计划执行，发包人有权解除合同，造成的损失由承包人承担。</w:t>
      </w:r>
    </w:p>
    <w:p>
      <w:pPr>
        <w:pStyle w:val="2"/>
        <w:rPr>
          <w:lang w:val="zh-CN"/>
        </w:rPr>
      </w:pPr>
    </w:p>
    <w:p>
      <w:pPr>
        <w:widowControl/>
        <w:rPr>
          <w:rFonts w:hint="eastAsia" w:ascii="宋体" w:hAnsi="宋体"/>
          <w:sz w:val="24"/>
          <w:lang w:val="zh-CN"/>
        </w:rPr>
      </w:pPr>
      <w:r>
        <w:rPr>
          <w:rFonts w:ascii="宋体" w:hAnsi="宋体"/>
          <w:sz w:val="24"/>
          <w:lang w:val="zh-CN"/>
        </w:rPr>
        <w:br w:type="page"/>
      </w:r>
    </w:p>
    <w:p>
      <w:pPr>
        <w:pStyle w:val="7"/>
        <w:tabs>
          <w:tab w:val="left" w:pos="567"/>
          <w:tab w:val="left" w:pos="709"/>
          <w:tab w:val="left" w:pos="851"/>
        </w:tabs>
        <w:spacing w:before="0" w:after="0" w:line="360" w:lineRule="auto"/>
        <w:contextualSpacing/>
        <w:rPr>
          <w:rFonts w:hint="eastAsia" w:ascii="宋体" w:hAnsi="宋体" w:eastAsia="宋体" w:cs="宋体"/>
          <w:b w:val="0"/>
          <w:sz w:val="32"/>
          <w:szCs w:val="32"/>
        </w:rPr>
      </w:pPr>
      <w:r>
        <w:rPr>
          <w:rFonts w:hint="eastAsia" w:ascii="宋体" w:hAnsi="宋体" w:eastAsia="宋体" w:cs="宋体"/>
          <w:b w:val="0"/>
          <w:sz w:val="24"/>
          <w:szCs w:val="24"/>
          <w:lang w:val="zh-CN"/>
        </w:rPr>
        <w:t>附件一</w:t>
      </w:r>
      <w:r>
        <w:rPr>
          <w:rFonts w:ascii="宋体" w:hAnsi="宋体" w:eastAsia="宋体" w:cs="宋体"/>
          <w:b w:val="0"/>
          <w:sz w:val="32"/>
          <w:szCs w:val="32"/>
        </w:rPr>
        <w:t xml:space="preserve">：            </w:t>
      </w:r>
      <w:r>
        <w:rPr>
          <w:rFonts w:hint="eastAsia" w:ascii="宋体" w:hAnsi="宋体" w:eastAsia="宋体" w:cs="宋体"/>
          <w:b w:val="0"/>
          <w:sz w:val="32"/>
          <w:szCs w:val="32"/>
        </w:rPr>
        <w:t xml:space="preserve"> </w:t>
      </w:r>
    </w:p>
    <w:p>
      <w:pPr>
        <w:jc w:val="center"/>
        <w:rPr>
          <w:rFonts w:hint="eastAsia" w:ascii="黑体" w:hAnsi="黑体" w:eastAsia="黑体"/>
          <w:b/>
          <w:sz w:val="36"/>
          <w:szCs w:val="30"/>
        </w:rPr>
      </w:pPr>
      <w:r>
        <w:rPr>
          <w:rFonts w:hint="eastAsia" w:ascii="黑体" w:hAnsi="黑体" w:eastAsia="黑体"/>
          <w:b/>
          <w:sz w:val="36"/>
          <w:szCs w:val="30"/>
        </w:rPr>
        <w:t>廉政协议书</w:t>
      </w:r>
    </w:p>
    <w:p>
      <w:pPr>
        <w:spacing w:line="420" w:lineRule="exact"/>
        <w:jc w:val="center"/>
        <w:rPr>
          <w:rFonts w:hint="eastAsia" w:ascii="仿宋" w:hAnsi="仿宋" w:eastAsia="仿宋"/>
          <w:b/>
          <w:bCs/>
          <w:sz w:val="32"/>
          <w:szCs w:val="32"/>
        </w:rPr>
      </w:pPr>
    </w:p>
    <w:p>
      <w:pPr>
        <w:spacing w:line="360" w:lineRule="auto"/>
        <w:ind w:firstLine="482" w:firstLineChars="200"/>
        <w:rPr>
          <w:rFonts w:hint="eastAsia" w:ascii="宋体" w:hAnsi="宋体" w:cs="宋体"/>
          <w:b/>
          <w:sz w:val="24"/>
        </w:rPr>
      </w:pPr>
      <w:r>
        <w:rPr>
          <w:rFonts w:hint="eastAsia" w:ascii="宋体" w:hAnsi="宋体" w:cs="宋体"/>
          <w:b/>
          <w:sz w:val="24"/>
        </w:rPr>
        <w:t>甲方：</w:t>
      </w:r>
    </w:p>
    <w:p>
      <w:pPr>
        <w:spacing w:line="360" w:lineRule="auto"/>
        <w:ind w:firstLine="482" w:firstLineChars="200"/>
        <w:rPr>
          <w:rFonts w:hint="eastAsia" w:ascii="宋体" w:hAnsi="宋体" w:cs="宋体"/>
          <w:b/>
          <w:sz w:val="24"/>
        </w:rPr>
      </w:pPr>
      <w:r>
        <w:rPr>
          <w:rFonts w:hint="eastAsia" w:ascii="宋体" w:hAnsi="宋体" w:cs="宋体"/>
          <w:b/>
          <w:sz w:val="24"/>
        </w:rPr>
        <w:t xml:space="preserve">乙方： </w:t>
      </w:r>
    </w:p>
    <w:p>
      <w:pPr>
        <w:spacing w:line="360" w:lineRule="auto"/>
        <w:ind w:firstLine="482" w:firstLineChars="200"/>
        <w:rPr>
          <w:rFonts w:hint="eastAsia" w:ascii="宋体" w:hAnsi="宋体" w:cs="宋体"/>
          <w:b/>
          <w:sz w:val="24"/>
        </w:rPr>
      </w:pPr>
    </w:p>
    <w:p>
      <w:pPr>
        <w:pStyle w:val="21"/>
        <w:snapToGrid w:val="0"/>
        <w:spacing w:before="0" w:beforeAutospacing="0" w:after="0" w:afterAutospacing="0" w:line="360" w:lineRule="auto"/>
        <w:ind w:firstLine="480" w:firstLineChars="200"/>
        <w:rPr>
          <w:rFonts w:hint="eastAsia"/>
        </w:rPr>
      </w:pPr>
      <w:r>
        <w:rPr>
          <w:rFonts w:hint="eastAsia"/>
        </w:rPr>
        <w:t>为加强廉政建设,防止发生各种谋取不正当利益的违法违纪行为，确保双方工作人员在合同履行过程中廉洁自律、诚实守信，保护双方合法权益,现就</w:t>
      </w:r>
      <w:r>
        <w:rPr>
          <w:rFonts w:hint="eastAsia"/>
          <w:u w:val="single"/>
        </w:rPr>
        <w:t xml:space="preserve">      </w:t>
      </w:r>
      <w:r>
        <w:rPr>
          <w:rFonts w:hint="eastAsia"/>
        </w:rPr>
        <w:t>合同签订本廉政协议书。</w:t>
      </w:r>
    </w:p>
    <w:p>
      <w:pPr>
        <w:pStyle w:val="21"/>
        <w:snapToGrid w:val="0"/>
        <w:spacing w:before="0" w:beforeAutospacing="0" w:after="0" w:afterAutospacing="0" w:line="360" w:lineRule="auto"/>
        <w:ind w:firstLine="482" w:firstLineChars="200"/>
        <w:rPr>
          <w:rFonts w:hint="eastAsia"/>
          <w:b/>
        </w:rPr>
      </w:pPr>
      <w:r>
        <w:rPr>
          <w:rFonts w:hint="eastAsia"/>
          <w:b/>
        </w:rPr>
        <w:t xml:space="preserve">第一条 </w:t>
      </w:r>
      <w:r>
        <w:rPr>
          <w:rFonts w:hint="eastAsia"/>
        </w:rPr>
        <w:t>甲乙双方责任</w:t>
      </w:r>
    </w:p>
    <w:p>
      <w:pPr>
        <w:pStyle w:val="21"/>
        <w:snapToGrid w:val="0"/>
        <w:spacing w:before="0" w:beforeAutospacing="0" w:after="0" w:afterAutospacing="0" w:line="360" w:lineRule="auto"/>
        <w:ind w:firstLine="480" w:firstLineChars="200"/>
        <w:rPr>
          <w:rFonts w:hint="eastAsia"/>
        </w:rPr>
      </w:pPr>
      <w:r>
        <w:rPr>
          <w:rFonts w:hint="eastAsia"/>
        </w:rPr>
        <w:t>（一）甲、乙双方单位及工作人员应严格遵守国家的法律法规和廉政建设方面的有关规定。</w:t>
      </w:r>
    </w:p>
    <w:p>
      <w:pPr>
        <w:pStyle w:val="21"/>
        <w:snapToGrid w:val="0"/>
        <w:spacing w:before="0" w:beforeAutospacing="0" w:after="0" w:afterAutospacing="0" w:line="360" w:lineRule="auto"/>
        <w:ind w:firstLine="480" w:firstLineChars="200"/>
        <w:rPr>
          <w:rFonts w:hint="eastAsia"/>
        </w:rPr>
      </w:pPr>
      <w:r>
        <w:rPr>
          <w:rFonts w:hint="eastAsia"/>
        </w:rPr>
        <w:t>（二）自项目招标、签订合同直至项目结束全过程，甲、乙双方工作人员均应全面履行廉政协议的各项规定。</w:t>
      </w:r>
    </w:p>
    <w:p>
      <w:pPr>
        <w:pStyle w:val="21"/>
        <w:snapToGrid w:val="0"/>
        <w:spacing w:before="0" w:beforeAutospacing="0" w:after="0" w:afterAutospacing="0" w:line="360" w:lineRule="auto"/>
        <w:ind w:firstLine="480" w:firstLineChars="200"/>
        <w:rPr>
          <w:rFonts w:hint="eastAsia"/>
        </w:rPr>
      </w:pPr>
      <w:r>
        <w:rPr>
          <w:rFonts w:hint="eastAsia"/>
        </w:rPr>
        <w:t>（三）发现对方在业务活动中有违规、违纪、违法行为的，应及时提醒对方，情节严重的，应向其上级主管部门或纪检监察部门举报。</w:t>
      </w:r>
    </w:p>
    <w:p>
      <w:pPr>
        <w:pStyle w:val="21"/>
        <w:snapToGrid w:val="0"/>
        <w:spacing w:before="0" w:beforeAutospacing="0" w:after="0" w:afterAutospacing="0" w:line="360" w:lineRule="auto"/>
        <w:ind w:firstLine="482" w:firstLineChars="200"/>
        <w:rPr>
          <w:rFonts w:hint="eastAsia"/>
        </w:rPr>
      </w:pPr>
      <w:r>
        <w:rPr>
          <w:rFonts w:hint="eastAsia"/>
          <w:b/>
        </w:rPr>
        <w:t xml:space="preserve">第二条 </w:t>
      </w:r>
      <w:r>
        <w:rPr>
          <w:rFonts w:hint="eastAsia"/>
        </w:rPr>
        <w:t>甲方责任</w:t>
      </w:r>
    </w:p>
    <w:p>
      <w:pPr>
        <w:pStyle w:val="21"/>
        <w:snapToGrid w:val="0"/>
        <w:spacing w:before="0" w:beforeAutospacing="0" w:after="0" w:afterAutospacing="0" w:line="360" w:lineRule="auto"/>
        <w:ind w:firstLine="480" w:firstLineChars="200"/>
        <w:rPr>
          <w:rFonts w:hint="eastAsia"/>
          <w:b/>
        </w:rPr>
      </w:pPr>
      <w:r>
        <w:rPr>
          <w:rFonts w:hint="eastAsia"/>
        </w:rPr>
        <w:t>甲方单位及工作人员在合同签订及履行过程中要做到以下几点：</w:t>
      </w:r>
    </w:p>
    <w:p>
      <w:pPr>
        <w:pStyle w:val="21"/>
        <w:snapToGrid w:val="0"/>
        <w:spacing w:before="0" w:beforeAutospacing="0" w:after="0" w:afterAutospacing="0" w:line="360" w:lineRule="auto"/>
        <w:ind w:firstLine="480" w:firstLineChars="200"/>
        <w:rPr>
          <w:rFonts w:hint="eastAsia"/>
        </w:rPr>
      </w:pPr>
      <w:r>
        <w:rPr>
          <w:rFonts w:hint="eastAsia"/>
        </w:rPr>
        <w:t>（一）严格遵守廉洁从业各项规定，不准以任何形式向乙方索取和收受回扣、佣金或其他好处；</w:t>
      </w:r>
    </w:p>
    <w:p>
      <w:pPr>
        <w:pStyle w:val="21"/>
        <w:snapToGrid w:val="0"/>
        <w:spacing w:before="0" w:beforeAutospacing="0" w:after="0" w:afterAutospacing="0" w:line="360" w:lineRule="auto"/>
        <w:ind w:firstLine="480" w:firstLineChars="200"/>
        <w:rPr>
          <w:rFonts w:hint="eastAsia"/>
        </w:rPr>
      </w:pPr>
      <w:r>
        <w:rPr>
          <w:rFonts w:hint="eastAsia"/>
        </w:rPr>
        <w:t>（二）不得接受乙方的礼金、有价证券和物品，不准在乙方单位及乙方所属单位报销任何应由甲方个人支付的费用；</w:t>
      </w:r>
    </w:p>
    <w:p>
      <w:pPr>
        <w:pStyle w:val="21"/>
        <w:snapToGrid w:val="0"/>
        <w:spacing w:before="0" w:beforeAutospacing="0" w:after="0" w:afterAutospacing="0" w:line="360" w:lineRule="auto"/>
        <w:ind w:firstLine="480" w:firstLineChars="200"/>
        <w:rPr>
          <w:rFonts w:hint="eastAsia"/>
        </w:rPr>
      </w:pPr>
      <w:r>
        <w:rPr>
          <w:rFonts w:hint="eastAsia"/>
        </w:rPr>
        <w:t>（三）不得要求或者接受乙方为其住房装修、婚丧嫁娶活动、配偶子女的工作安排以及出国出境、旅游等提供方便；</w:t>
      </w:r>
    </w:p>
    <w:p>
      <w:pPr>
        <w:pStyle w:val="21"/>
        <w:snapToGrid w:val="0"/>
        <w:spacing w:before="0" w:beforeAutospacing="0" w:after="0" w:afterAutospacing="0" w:line="360" w:lineRule="auto"/>
        <w:ind w:firstLine="480" w:firstLineChars="200"/>
        <w:rPr>
          <w:rFonts w:hint="eastAsia"/>
        </w:rPr>
      </w:pPr>
      <w:r>
        <w:rPr>
          <w:rFonts w:hint="eastAsia"/>
        </w:rPr>
        <w:t>（四）不得参加可能对公正执行公务有影响的宴请和娱乐活动；</w:t>
      </w:r>
    </w:p>
    <w:p>
      <w:pPr>
        <w:pStyle w:val="21"/>
        <w:snapToGrid w:val="0"/>
        <w:spacing w:before="0" w:beforeAutospacing="0" w:after="0" w:afterAutospacing="0" w:line="360" w:lineRule="auto"/>
        <w:ind w:firstLine="480" w:firstLineChars="200"/>
        <w:rPr>
          <w:rFonts w:hint="eastAsia"/>
        </w:rPr>
      </w:pPr>
      <w:r>
        <w:rPr>
          <w:rFonts w:hint="eastAsia"/>
        </w:rPr>
        <w:t>（五）不得利用职权为其家属和亲友向乙方推销各类材料及设备等提供方便。</w:t>
      </w:r>
    </w:p>
    <w:p>
      <w:pPr>
        <w:pStyle w:val="21"/>
        <w:snapToGrid w:val="0"/>
        <w:spacing w:before="0" w:beforeAutospacing="0" w:after="0" w:afterAutospacing="0" w:line="360" w:lineRule="auto"/>
        <w:ind w:firstLine="482" w:firstLineChars="200"/>
        <w:rPr>
          <w:rFonts w:hint="eastAsia"/>
          <w:b/>
          <w:color w:val="000000"/>
        </w:rPr>
      </w:pPr>
      <w:r>
        <w:rPr>
          <w:rFonts w:hint="eastAsia"/>
          <w:b/>
          <w:color w:val="000000"/>
        </w:rPr>
        <w:t xml:space="preserve">第三条 </w:t>
      </w:r>
      <w:r>
        <w:rPr>
          <w:rFonts w:hint="eastAsia"/>
          <w:color w:val="000000"/>
        </w:rPr>
        <w:t>乙方责任</w:t>
      </w:r>
    </w:p>
    <w:p>
      <w:pPr>
        <w:pStyle w:val="21"/>
        <w:snapToGrid w:val="0"/>
        <w:spacing w:before="0" w:beforeAutospacing="0" w:after="0" w:afterAutospacing="0" w:line="360" w:lineRule="auto"/>
        <w:ind w:firstLine="480" w:firstLineChars="200"/>
        <w:rPr>
          <w:rFonts w:hint="eastAsia"/>
          <w:b/>
        </w:rPr>
      </w:pPr>
      <w:r>
        <w:rPr>
          <w:rFonts w:hint="eastAsia"/>
        </w:rPr>
        <w:t>乙方单位及所属工作人员在合同签订及履行过程中要做到以下几点：</w:t>
      </w:r>
    </w:p>
    <w:p>
      <w:pPr>
        <w:pStyle w:val="21"/>
        <w:snapToGrid w:val="0"/>
        <w:spacing w:before="0" w:beforeAutospacing="0" w:after="0" w:afterAutospacing="0" w:line="360" w:lineRule="auto"/>
        <w:ind w:firstLine="480" w:firstLineChars="200"/>
        <w:rPr>
          <w:rFonts w:hint="eastAsia"/>
        </w:rPr>
      </w:pPr>
      <w:r>
        <w:rPr>
          <w:rFonts w:hint="eastAsia"/>
        </w:rPr>
        <w:t>（一）不得向甲方工作人员赠送礼品、礼金、有价证券、支付凭证和贵重物品等；</w:t>
      </w:r>
    </w:p>
    <w:p>
      <w:pPr>
        <w:pStyle w:val="21"/>
        <w:snapToGrid w:val="0"/>
        <w:spacing w:before="0" w:beforeAutospacing="0" w:after="0" w:afterAutospacing="0" w:line="360" w:lineRule="auto"/>
        <w:ind w:firstLine="480" w:firstLineChars="200"/>
        <w:rPr>
          <w:rFonts w:hint="eastAsia"/>
        </w:rPr>
      </w:pPr>
      <w:r>
        <w:rPr>
          <w:rFonts w:hint="eastAsia"/>
        </w:rPr>
        <w:t>（二）不准以任何形式、理由报销应由甲方工作人员支付的费用；</w:t>
      </w:r>
    </w:p>
    <w:p>
      <w:pPr>
        <w:pStyle w:val="21"/>
        <w:snapToGrid w:val="0"/>
        <w:spacing w:before="0" w:beforeAutospacing="0" w:after="0" w:afterAutospacing="0" w:line="360" w:lineRule="auto"/>
        <w:ind w:firstLine="480" w:firstLineChars="200"/>
        <w:rPr>
          <w:rFonts w:hint="eastAsia"/>
        </w:rPr>
      </w:pPr>
      <w:r>
        <w:rPr>
          <w:rFonts w:hint="eastAsia"/>
        </w:rPr>
        <w:t>（三）不准为甲方工作人员购置或者提供通讯工具、交通工具、家电、高档办公用品等物品；</w:t>
      </w:r>
    </w:p>
    <w:p>
      <w:pPr>
        <w:pStyle w:val="21"/>
        <w:snapToGrid w:val="0"/>
        <w:spacing w:before="0" w:beforeAutospacing="0" w:after="0" w:afterAutospacing="0" w:line="360" w:lineRule="auto"/>
        <w:ind w:firstLine="480" w:firstLineChars="200"/>
        <w:rPr>
          <w:rFonts w:hint="eastAsia"/>
        </w:rPr>
      </w:pPr>
      <w:r>
        <w:rPr>
          <w:rFonts w:hint="eastAsia"/>
        </w:rPr>
        <w:t>（四）不准组织有可能影响甲方工作人员履行公职职责或可能影响项目（产品）质量、廉政建设的宴请、旅游等各种高消费娱乐活动。</w:t>
      </w:r>
    </w:p>
    <w:p>
      <w:pPr>
        <w:pStyle w:val="21"/>
        <w:snapToGrid w:val="0"/>
        <w:spacing w:before="0" w:beforeAutospacing="0" w:after="0" w:afterAutospacing="0" w:line="360" w:lineRule="auto"/>
        <w:ind w:firstLine="482" w:firstLineChars="200"/>
        <w:rPr>
          <w:rFonts w:hint="eastAsia"/>
          <w:b/>
        </w:rPr>
      </w:pPr>
      <w:r>
        <w:rPr>
          <w:rFonts w:hint="eastAsia"/>
          <w:b/>
        </w:rPr>
        <w:t xml:space="preserve">第四条 </w:t>
      </w:r>
      <w:r>
        <w:rPr>
          <w:rFonts w:hint="eastAsia"/>
        </w:rPr>
        <w:t>合同监管</w:t>
      </w:r>
    </w:p>
    <w:p>
      <w:pPr>
        <w:pStyle w:val="21"/>
        <w:snapToGrid w:val="0"/>
        <w:spacing w:before="0" w:beforeAutospacing="0" w:after="0" w:afterAutospacing="0" w:line="360" w:lineRule="auto"/>
        <w:ind w:firstLine="480" w:firstLineChars="200"/>
        <w:rPr>
          <w:rFonts w:hint="eastAsia"/>
        </w:rPr>
      </w:pPr>
      <w:r>
        <w:rPr>
          <w:rFonts w:hint="eastAsia"/>
        </w:rPr>
        <w:t>甲、乙双方单位纪检监察部门有权依照本合同内容的规定，对合同履约中的廉洁从业情况实施监督，并有权采取措施及时制止不廉洁行为的发生。</w:t>
      </w:r>
    </w:p>
    <w:p>
      <w:pPr>
        <w:pStyle w:val="21"/>
        <w:snapToGrid w:val="0"/>
        <w:spacing w:before="0" w:beforeAutospacing="0" w:after="0" w:afterAutospacing="0" w:line="360" w:lineRule="auto"/>
        <w:ind w:firstLine="482" w:firstLineChars="200"/>
        <w:rPr>
          <w:rFonts w:hint="eastAsia"/>
        </w:rPr>
      </w:pPr>
      <w:r>
        <w:rPr>
          <w:rFonts w:hint="eastAsia"/>
          <w:b/>
        </w:rPr>
        <w:t xml:space="preserve">第五条 </w:t>
      </w:r>
      <w:r>
        <w:rPr>
          <w:rFonts w:hint="eastAsia"/>
        </w:rPr>
        <w:t>违约责任</w:t>
      </w:r>
    </w:p>
    <w:p>
      <w:pPr>
        <w:pStyle w:val="21"/>
        <w:snapToGrid w:val="0"/>
        <w:spacing w:before="0" w:beforeAutospacing="0" w:after="0" w:afterAutospacing="0" w:line="360" w:lineRule="auto"/>
        <w:ind w:firstLine="480" w:firstLineChars="200"/>
        <w:rPr>
          <w:rFonts w:hint="eastAsia"/>
        </w:rPr>
      </w:pPr>
      <w:r>
        <w:rPr>
          <w:rFonts w:hint="eastAsia"/>
        </w:rPr>
        <w:t>（一）甲方工作人员有违反本协议书责任行为的，按照管理权限，依据有关法律法规和规定，将追究党纪、政纪责任和给予相应的经济处罚。</w:t>
      </w:r>
    </w:p>
    <w:p>
      <w:pPr>
        <w:pStyle w:val="21"/>
        <w:snapToGrid w:val="0"/>
        <w:spacing w:before="0" w:beforeAutospacing="0" w:after="0" w:afterAutospacing="0" w:line="360" w:lineRule="auto"/>
        <w:ind w:firstLine="480" w:firstLineChars="200"/>
        <w:rPr>
          <w:rFonts w:hint="eastAsia"/>
        </w:rPr>
      </w:pPr>
      <w:r>
        <w:rPr>
          <w:rFonts w:hint="eastAsia"/>
        </w:rPr>
        <w:t>（二）乙方工作人员或所属单位人员有违反本协议书责任行为的，甲方有权要求乙方承担合同额</w:t>
      </w:r>
      <w:r>
        <w:rPr>
          <w:rFonts w:hint="eastAsia"/>
          <w:u w:val="single"/>
        </w:rPr>
        <w:t xml:space="preserve"> 5% </w:t>
      </w:r>
      <w:r>
        <w:rPr>
          <w:rFonts w:hint="eastAsia"/>
        </w:rPr>
        <w:t>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21"/>
        <w:snapToGrid w:val="0"/>
        <w:spacing w:before="0" w:beforeAutospacing="0" w:after="0" w:afterAutospacing="0" w:line="360" w:lineRule="auto"/>
        <w:ind w:firstLine="482" w:firstLineChars="200"/>
        <w:rPr>
          <w:rFonts w:hint="eastAsia"/>
        </w:rPr>
      </w:pPr>
      <w:r>
        <w:rPr>
          <w:rFonts w:hint="eastAsia"/>
          <w:b/>
        </w:rPr>
        <w:t>第六条</w:t>
      </w:r>
      <w:r>
        <w:rPr>
          <w:rFonts w:hint="eastAsia"/>
        </w:rPr>
        <w:t xml:space="preserve"> 本协议书作为</w:t>
      </w:r>
      <w:r>
        <w:rPr>
          <w:rFonts w:hint="eastAsia"/>
          <w:u w:val="single"/>
        </w:rPr>
        <w:t xml:space="preserve">        </w:t>
      </w:r>
      <w:r>
        <w:rPr>
          <w:rFonts w:hint="eastAsia"/>
        </w:rPr>
        <w:t>合同的附件，与该合同具有同等效力。经双方签字盖章后生效。</w:t>
      </w:r>
    </w:p>
    <w:p>
      <w:pPr>
        <w:pStyle w:val="21"/>
        <w:snapToGrid w:val="0"/>
        <w:spacing w:before="0" w:beforeAutospacing="0" w:after="0" w:afterAutospacing="0" w:line="360" w:lineRule="auto"/>
        <w:ind w:firstLine="482" w:firstLineChars="200"/>
        <w:rPr>
          <w:rFonts w:hint="eastAsia"/>
        </w:rPr>
      </w:pPr>
      <w:r>
        <w:rPr>
          <w:rFonts w:hint="eastAsia"/>
          <w:b/>
        </w:rPr>
        <w:t>第七条</w:t>
      </w:r>
      <w:r>
        <w:rPr>
          <w:rFonts w:hint="eastAsia"/>
        </w:rPr>
        <w:t xml:space="preserve"> 本协议书的有效期为双方签字盖章之日起至项目合同履行完成时止。</w:t>
      </w:r>
    </w:p>
    <w:p>
      <w:pPr>
        <w:pStyle w:val="21"/>
        <w:snapToGrid w:val="0"/>
        <w:spacing w:before="0" w:beforeAutospacing="0" w:after="0" w:afterAutospacing="0" w:line="360" w:lineRule="auto"/>
        <w:ind w:firstLine="482" w:firstLineChars="200"/>
        <w:rPr>
          <w:rFonts w:hint="eastAsia"/>
        </w:rPr>
      </w:pPr>
      <w:r>
        <w:rPr>
          <w:rFonts w:hint="eastAsia"/>
          <w:b/>
        </w:rPr>
        <w:t xml:space="preserve">第八条 </w:t>
      </w:r>
      <w:r>
        <w:rPr>
          <w:rFonts w:hint="eastAsia"/>
        </w:rPr>
        <w:t>本合同一式</w:t>
      </w:r>
      <w:r>
        <w:rPr>
          <w:rFonts w:hint="eastAsia"/>
          <w:u w:val="single"/>
        </w:rPr>
        <w:t xml:space="preserve"> 贰 </w:t>
      </w:r>
      <w:r>
        <w:rPr>
          <w:rFonts w:hint="eastAsia"/>
        </w:rPr>
        <w:t>份，双方各执</w:t>
      </w:r>
      <w:r>
        <w:rPr>
          <w:rFonts w:hint="eastAsia"/>
          <w:u w:val="single"/>
        </w:rPr>
        <w:t xml:space="preserve"> 壹 </w:t>
      </w:r>
      <w:r>
        <w:rPr>
          <w:rFonts w:hint="eastAsia"/>
        </w:rPr>
        <w:t>份。</w:t>
      </w:r>
    </w:p>
    <w:p>
      <w:pPr>
        <w:pStyle w:val="21"/>
        <w:snapToGrid w:val="0"/>
        <w:spacing w:before="0" w:beforeAutospacing="0" w:after="0" w:afterAutospacing="0" w:line="360" w:lineRule="auto"/>
        <w:ind w:firstLine="482" w:firstLineChars="200"/>
        <w:rPr>
          <w:rFonts w:hint="eastAsia"/>
        </w:rPr>
      </w:pPr>
      <w:r>
        <w:rPr>
          <w:rFonts w:hint="eastAsia"/>
          <w:b/>
        </w:rPr>
        <w:t>第九条</w:t>
      </w:r>
      <w:r>
        <w:rPr>
          <w:rFonts w:hint="eastAsia"/>
        </w:rPr>
        <w:t xml:space="preserve"> 未尽事宜，由双方协商解决。</w:t>
      </w:r>
    </w:p>
    <w:p>
      <w:pPr>
        <w:pStyle w:val="21"/>
        <w:snapToGrid w:val="0"/>
        <w:spacing w:before="0" w:beforeAutospacing="0" w:after="0" w:afterAutospacing="0" w:line="360" w:lineRule="auto"/>
        <w:ind w:firstLine="480" w:firstLineChars="200"/>
        <w:rPr>
          <w:rFonts w:hint="eastAsia"/>
        </w:rPr>
      </w:pPr>
    </w:p>
    <w:p>
      <w:pPr>
        <w:pStyle w:val="21"/>
        <w:snapToGrid w:val="0"/>
        <w:spacing w:before="0" w:beforeAutospacing="0" w:after="0" w:afterAutospacing="0" w:line="360" w:lineRule="auto"/>
        <w:ind w:firstLine="480" w:firstLineChars="200"/>
        <w:rPr>
          <w:rFonts w:hint="eastAsia"/>
        </w:rPr>
      </w:pPr>
      <w:r>
        <w:rPr>
          <w:rFonts w:hint="eastAsia"/>
        </w:rPr>
        <w:t>甲 方 单 位 （公章）            乙 方 单 位 （公章）</w:t>
      </w:r>
    </w:p>
    <w:p>
      <w:pPr>
        <w:pStyle w:val="21"/>
        <w:snapToGrid w:val="0"/>
        <w:spacing w:before="0" w:beforeAutospacing="0" w:after="0" w:afterAutospacing="0" w:line="360" w:lineRule="auto"/>
        <w:ind w:firstLine="480" w:firstLineChars="200"/>
        <w:rPr>
          <w:rFonts w:hint="eastAsia"/>
        </w:rPr>
      </w:pPr>
    </w:p>
    <w:p>
      <w:pPr>
        <w:pStyle w:val="21"/>
        <w:snapToGrid w:val="0"/>
        <w:spacing w:before="0" w:beforeAutospacing="0" w:after="0" w:afterAutospacing="0" w:line="360" w:lineRule="auto"/>
        <w:ind w:firstLine="480" w:firstLineChars="200"/>
        <w:rPr>
          <w:rFonts w:hint="eastAsia"/>
        </w:rPr>
      </w:pPr>
      <w:r>
        <w:rPr>
          <w:rFonts w:hint="eastAsia"/>
        </w:rPr>
        <w:t>法人代表（委托代理人）：        法人代表（委托代理人）：</w:t>
      </w:r>
    </w:p>
    <w:p>
      <w:pPr>
        <w:pStyle w:val="21"/>
        <w:snapToGrid w:val="0"/>
        <w:spacing w:before="0" w:beforeAutospacing="0" w:after="0" w:afterAutospacing="0" w:line="360" w:lineRule="auto"/>
        <w:ind w:firstLine="480" w:firstLineChars="200"/>
        <w:rPr>
          <w:rFonts w:hint="eastAsia"/>
        </w:rPr>
      </w:pPr>
      <w:r>
        <w:rPr>
          <w:rFonts w:hint="eastAsia"/>
        </w:rPr>
        <w:t xml:space="preserve">        </w:t>
      </w:r>
    </w:p>
    <w:p>
      <w:pPr>
        <w:pStyle w:val="21"/>
        <w:snapToGrid w:val="0"/>
        <w:spacing w:before="0" w:beforeAutospacing="0" w:after="0" w:afterAutospacing="0" w:line="360" w:lineRule="auto"/>
        <w:ind w:firstLine="480" w:firstLineChars="200"/>
        <w:rPr>
          <w:rFonts w:hint="eastAsia"/>
        </w:rPr>
      </w:pPr>
      <w:r>
        <w:rPr>
          <w:rFonts w:hint="eastAsia"/>
        </w:rPr>
        <w:t>年  月  日                       年  月  日</w:t>
      </w:r>
    </w:p>
    <w:p>
      <w:pPr>
        <w:spacing w:line="360" w:lineRule="auto"/>
        <w:rPr>
          <w:rFonts w:hint="eastAsia" w:ascii="宋体" w:hAnsi="宋体"/>
          <w:b/>
          <w:bCs/>
          <w:sz w:val="30"/>
          <w:szCs w:val="30"/>
        </w:rPr>
      </w:pPr>
    </w:p>
    <w:p>
      <w:pPr>
        <w:spacing w:line="360" w:lineRule="auto"/>
        <w:rPr>
          <w:rFonts w:hint="eastAsia" w:ascii="宋体" w:hAnsi="宋体"/>
          <w:b/>
          <w:bCs/>
          <w:sz w:val="30"/>
          <w:szCs w:val="30"/>
        </w:rPr>
      </w:pPr>
    </w:p>
    <w:p>
      <w:pPr>
        <w:pStyle w:val="7"/>
        <w:tabs>
          <w:tab w:val="left" w:pos="567"/>
          <w:tab w:val="left" w:pos="709"/>
          <w:tab w:val="left" w:pos="851"/>
        </w:tabs>
        <w:spacing w:before="0" w:after="0" w:line="360" w:lineRule="auto"/>
        <w:contextualSpacing/>
        <w:rPr>
          <w:rFonts w:hint="eastAsia" w:ascii="宋体" w:hAnsi="宋体" w:eastAsia="宋体"/>
          <w:sz w:val="24"/>
        </w:rPr>
      </w:pPr>
      <w:r>
        <w:rPr>
          <w:rFonts w:hint="eastAsia" w:ascii="宋体" w:hAnsi="宋体" w:eastAsia="宋体" w:cs="宋体"/>
          <w:b w:val="0"/>
          <w:sz w:val="24"/>
          <w:szCs w:val="24"/>
          <w:lang w:val="zh-CN"/>
        </w:rPr>
        <w:t>附件二</w:t>
      </w:r>
      <w:r>
        <w:rPr>
          <w:rFonts w:hint="eastAsia" w:ascii="宋体" w:hAnsi="宋体" w:eastAsia="宋体" w:cs="宋体"/>
          <w:b w:val="0"/>
          <w:sz w:val="32"/>
          <w:szCs w:val="32"/>
        </w:rPr>
        <w:t xml:space="preserve"> </w:t>
      </w:r>
      <w:r>
        <w:rPr>
          <w:rFonts w:hint="eastAsia" w:ascii="宋体" w:hAnsi="宋体" w:eastAsia="宋体" w:cs="宋体"/>
          <w:sz w:val="32"/>
          <w:szCs w:val="32"/>
        </w:rPr>
        <w:t xml:space="preserve"> </w:t>
      </w:r>
    </w:p>
    <w:p>
      <w:pPr>
        <w:spacing w:line="360" w:lineRule="auto"/>
        <w:jc w:val="center"/>
        <w:rPr>
          <w:rFonts w:hint="eastAsia" w:ascii="宋体" w:hAnsi="宋体" w:cs="宋体"/>
          <w:b/>
          <w:bCs/>
          <w:sz w:val="36"/>
          <w:szCs w:val="36"/>
          <w:lang w:val="zh-CN"/>
        </w:rPr>
      </w:pPr>
      <w:r>
        <w:rPr>
          <w:rFonts w:ascii="宋体" w:hAnsi="宋体" w:cs="宋体"/>
          <w:b/>
          <w:bCs/>
          <w:sz w:val="36"/>
          <w:szCs w:val="36"/>
          <w:lang w:val="zh-CN"/>
        </w:rPr>
        <w:t>工程质量保修书</w:t>
      </w:r>
    </w:p>
    <w:p>
      <w:pPr>
        <w:spacing w:line="360" w:lineRule="auto"/>
        <w:ind w:firstLine="480" w:firstLineChars="200"/>
        <w:rPr>
          <w:rFonts w:hint="eastAsia" w:ascii="宋体" w:hAnsi="宋体"/>
          <w:b/>
          <w:color w:val="000000"/>
          <w:sz w:val="24"/>
          <w:u w:val="single"/>
        </w:rPr>
      </w:pPr>
      <w:r>
        <w:rPr>
          <w:rFonts w:ascii="宋体" w:hAnsi="宋体"/>
          <w:color w:val="000000"/>
          <w:sz w:val="24"/>
        </w:rPr>
        <w:t>发包人（全称）：</w:t>
      </w:r>
      <w:r>
        <w:rPr>
          <w:rFonts w:hint="eastAsia" w:ascii="宋体" w:hAnsi="宋体"/>
          <w:b/>
          <w:color w:val="000000"/>
          <w:sz w:val="24"/>
          <w:u w:val="single"/>
        </w:rPr>
        <w:t>营口建发盛海磷化工有限公司</w:t>
      </w:r>
    </w:p>
    <w:p>
      <w:pPr>
        <w:spacing w:line="360" w:lineRule="auto"/>
        <w:ind w:firstLine="480" w:firstLineChars="200"/>
        <w:rPr>
          <w:rFonts w:hint="eastAsia" w:ascii="宋体" w:hAnsi="宋体"/>
          <w:color w:val="000000"/>
          <w:sz w:val="24"/>
        </w:rPr>
      </w:pPr>
      <w:r>
        <w:rPr>
          <w:rFonts w:ascii="宋体" w:hAnsi="宋体"/>
          <w:color w:val="000000"/>
          <w:sz w:val="24"/>
        </w:rPr>
        <w:t>承包人（全称）：</w:t>
      </w:r>
      <w:r>
        <w:rPr>
          <w:rFonts w:hint="eastAsia" w:ascii="宋体" w:hAnsi="宋体"/>
          <w:b/>
          <w:kern w:val="13"/>
          <w:sz w:val="24"/>
          <w:u w:val="single"/>
        </w:rPr>
        <w:t xml:space="preserve">                              </w:t>
      </w:r>
      <w:r>
        <w:rPr>
          <w:rFonts w:ascii="宋体" w:hAnsi="宋体"/>
          <w:color w:val="000000"/>
          <w:sz w:val="24"/>
          <w:u w:val="single"/>
        </w:rPr>
        <w:t xml:space="preserve"> </w:t>
      </w:r>
      <w:r>
        <w:rPr>
          <w:rFonts w:ascii="宋体" w:hAnsi="宋体"/>
          <w:color w:val="000000"/>
          <w:sz w:val="24"/>
        </w:rPr>
        <w:t xml:space="preserve"> </w:t>
      </w:r>
    </w:p>
    <w:p>
      <w:pPr>
        <w:spacing w:line="360" w:lineRule="auto"/>
        <w:ind w:firstLine="480" w:firstLineChars="200"/>
        <w:rPr>
          <w:rFonts w:hint="eastAsia" w:ascii="宋体" w:hAnsi="宋体"/>
          <w:color w:val="000000"/>
          <w:sz w:val="24"/>
        </w:rPr>
      </w:pPr>
      <w:r>
        <w:rPr>
          <w:rFonts w:ascii="宋体" w:hAnsi="宋体"/>
          <w:color w:val="000000"/>
          <w:sz w:val="24"/>
        </w:rPr>
        <w:t>发包人和承包人根据《中华人民共和国建筑法》和《建设工程质量管理条例》，经协商一致就</w:t>
      </w:r>
      <w:r>
        <w:rPr>
          <w:rFonts w:hint="eastAsia" w:ascii="宋体" w:hAnsi="宋体"/>
          <w:color w:val="000000"/>
          <w:sz w:val="24"/>
          <w:u w:val="single"/>
        </w:rPr>
        <w:t xml:space="preserve">                           （</w:t>
      </w:r>
      <w:r>
        <w:rPr>
          <w:rFonts w:hint="eastAsia" w:ascii="宋体" w:hAnsi="宋体"/>
          <w:color w:val="000000"/>
          <w:sz w:val="24"/>
          <w:highlight w:val="yellow"/>
          <w:u w:val="single"/>
        </w:rPr>
        <w:t>PC</w:t>
      </w:r>
      <w:r>
        <w:rPr>
          <w:rFonts w:hint="eastAsia" w:ascii="宋体" w:hAnsi="宋体"/>
          <w:color w:val="000000"/>
          <w:sz w:val="24"/>
          <w:u w:val="single"/>
        </w:rPr>
        <w:t>）</w:t>
      </w:r>
      <w:r>
        <w:rPr>
          <w:rFonts w:ascii="宋体" w:hAnsi="宋体"/>
          <w:color w:val="000000"/>
          <w:sz w:val="24"/>
        </w:rPr>
        <w:t>（工程全称）签订工程质量保修书。</w:t>
      </w:r>
    </w:p>
    <w:p>
      <w:pPr>
        <w:spacing w:line="360" w:lineRule="auto"/>
        <w:ind w:firstLine="480" w:firstLineChars="200"/>
        <w:rPr>
          <w:rFonts w:hint="eastAsia" w:ascii="宋体" w:hAnsi="宋体"/>
          <w:color w:val="000000"/>
          <w:sz w:val="24"/>
        </w:rPr>
      </w:pPr>
      <w:r>
        <w:rPr>
          <w:rFonts w:ascii="宋体" w:hAnsi="宋体"/>
          <w:color w:val="000000"/>
          <w:sz w:val="24"/>
        </w:rPr>
        <w:t>一、工程质量保修范围和内容</w:t>
      </w:r>
    </w:p>
    <w:p>
      <w:pPr>
        <w:spacing w:line="360" w:lineRule="auto"/>
        <w:ind w:firstLine="480" w:firstLineChars="200"/>
        <w:rPr>
          <w:rFonts w:hint="eastAsia" w:ascii="宋体" w:hAnsi="宋体"/>
          <w:color w:val="000000"/>
          <w:sz w:val="24"/>
        </w:rPr>
      </w:pPr>
      <w:r>
        <w:rPr>
          <w:rFonts w:ascii="宋体" w:hAnsi="宋体"/>
          <w:color w:val="000000"/>
          <w:sz w:val="24"/>
        </w:rPr>
        <w:t>承包人在质量保修期内，按照有关法律规定和合同约定，承担工程质量保修责任。</w:t>
      </w:r>
    </w:p>
    <w:p>
      <w:pPr>
        <w:spacing w:line="360" w:lineRule="auto"/>
        <w:ind w:firstLine="480" w:firstLineChars="200"/>
        <w:rPr>
          <w:rFonts w:hint="eastAsia" w:ascii="宋体" w:hAnsi="宋体"/>
          <w:color w:val="000000"/>
          <w:sz w:val="24"/>
        </w:rPr>
      </w:pPr>
      <w:r>
        <w:rPr>
          <w:rFonts w:ascii="宋体" w:hAnsi="宋体"/>
          <w:color w:val="000000"/>
          <w:sz w:val="24"/>
        </w:rPr>
        <w:t>质量保修范围包括地基基础工程、主体结构工程，屋面防水工程、外墙面的防渗漏</w:t>
      </w:r>
      <w:r>
        <w:rPr>
          <w:rFonts w:hint="eastAsia" w:ascii="宋体" w:hAnsi="宋体"/>
          <w:color w:val="000000"/>
          <w:sz w:val="24"/>
        </w:rPr>
        <w:t>、</w:t>
      </w:r>
      <w:r>
        <w:rPr>
          <w:rFonts w:ascii="宋体" w:hAnsi="宋体"/>
          <w:color w:val="000000"/>
          <w:sz w:val="24"/>
        </w:rPr>
        <w:t>装修工程等合同范围内的所有工程。</w:t>
      </w:r>
    </w:p>
    <w:p>
      <w:pPr>
        <w:spacing w:line="360" w:lineRule="auto"/>
        <w:ind w:firstLine="480" w:firstLineChars="200"/>
        <w:rPr>
          <w:rFonts w:hint="eastAsia" w:ascii="宋体" w:hAnsi="宋体"/>
          <w:color w:val="000000"/>
          <w:sz w:val="24"/>
        </w:rPr>
      </w:pPr>
      <w:r>
        <w:rPr>
          <w:rFonts w:ascii="宋体" w:hAnsi="宋体"/>
          <w:color w:val="000000"/>
          <w:sz w:val="24"/>
        </w:rPr>
        <w:t>二、质量保修期</w:t>
      </w:r>
    </w:p>
    <w:p>
      <w:pPr>
        <w:spacing w:line="360" w:lineRule="auto"/>
        <w:ind w:firstLine="480" w:firstLineChars="200"/>
        <w:rPr>
          <w:rFonts w:hint="eastAsia" w:ascii="宋体" w:hAnsi="宋体"/>
          <w:color w:val="000000"/>
          <w:sz w:val="24"/>
        </w:rPr>
      </w:pPr>
      <w:r>
        <w:rPr>
          <w:rFonts w:ascii="宋体" w:hAnsi="宋体"/>
          <w:color w:val="000000"/>
          <w:sz w:val="24"/>
        </w:rPr>
        <w:t>根据《建设工程质量管理条例》及有关规定，工程的质量保修期如下：</w:t>
      </w:r>
    </w:p>
    <w:p>
      <w:pPr>
        <w:spacing w:line="360" w:lineRule="auto"/>
        <w:ind w:firstLine="480" w:firstLineChars="200"/>
        <w:rPr>
          <w:rFonts w:hint="eastAsia" w:ascii="宋体" w:hAnsi="宋体"/>
          <w:sz w:val="24"/>
        </w:rPr>
      </w:pPr>
      <w:r>
        <w:rPr>
          <w:rFonts w:hint="eastAsia" w:ascii="宋体" w:hAnsi="宋体"/>
          <w:sz w:val="24"/>
        </w:rPr>
        <w:t>1</w:t>
      </w:r>
      <w:r>
        <w:rPr>
          <w:rFonts w:hint="eastAsia" w:ascii="宋体" w:hAnsi="宋体"/>
          <w:color w:val="000000"/>
          <w:sz w:val="24"/>
        </w:rPr>
        <w:t>．</w:t>
      </w:r>
      <w:r>
        <w:rPr>
          <w:rFonts w:hint="eastAsia" w:ascii="宋体" w:hAnsi="宋体"/>
          <w:sz w:val="24"/>
        </w:rPr>
        <w:t>地基基础工程和主体结构工程为设计文件规定的工程合理使用年限；</w:t>
      </w:r>
    </w:p>
    <w:p>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hint="eastAsia" w:ascii="宋体" w:hAnsi="宋体"/>
          <w:sz w:val="24"/>
        </w:rPr>
        <w:t>．</w:t>
      </w:r>
      <w:r>
        <w:rPr>
          <w:rFonts w:ascii="宋体" w:hAnsi="宋体"/>
          <w:color w:val="000000"/>
          <w:sz w:val="24"/>
        </w:rPr>
        <w:t>屋面防水工程、有防水要求的卫生间、房间和外墙面的防渗</w:t>
      </w:r>
      <w:r>
        <w:rPr>
          <w:rFonts w:hint="eastAsia" w:ascii="宋体" w:hAnsi="宋体"/>
          <w:color w:val="000000"/>
          <w:sz w:val="24"/>
        </w:rPr>
        <w:t>为</w:t>
      </w:r>
      <w:r>
        <w:rPr>
          <w:rFonts w:hint="eastAsia" w:ascii="宋体" w:hAnsi="宋体"/>
          <w:color w:val="000000"/>
          <w:sz w:val="24"/>
          <w:u w:val="single"/>
        </w:rPr>
        <w:t>5</w:t>
      </w:r>
      <w:r>
        <w:rPr>
          <w:rFonts w:ascii="宋体" w:hAnsi="宋体"/>
          <w:color w:val="000000"/>
          <w:sz w:val="24"/>
        </w:rPr>
        <w:t>年；</w:t>
      </w:r>
    </w:p>
    <w:p>
      <w:pPr>
        <w:spacing w:line="360" w:lineRule="auto"/>
        <w:ind w:firstLine="480" w:firstLineChars="200"/>
        <w:rPr>
          <w:rFonts w:hint="eastAsia" w:ascii="宋体" w:hAnsi="宋体"/>
          <w:color w:val="000000"/>
          <w:sz w:val="24"/>
        </w:rPr>
      </w:pPr>
      <w:r>
        <w:rPr>
          <w:rFonts w:hint="eastAsia" w:ascii="宋体" w:hAnsi="宋体"/>
          <w:color w:val="000000"/>
          <w:sz w:val="24"/>
        </w:rPr>
        <w:t>3．</w:t>
      </w:r>
      <w:r>
        <w:rPr>
          <w:rFonts w:ascii="宋体" w:hAnsi="宋体"/>
          <w:color w:val="000000"/>
          <w:sz w:val="24"/>
        </w:rPr>
        <w:t>装修工程为</w:t>
      </w:r>
      <w:r>
        <w:rPr>
          <w:rFonts w:hint="eastAsia" w:ascii="宋体" w:hAnsi="宋体"/>
          <w:color w:val="000000"/>
          <w:sz w:val="24"/>
          <w:u w:val="single"/>
        </w:rPr>
        <w:t>2</w:t>
      </w:r>
      <w:r>
        <w:rPr>
          <w:rFonts w:ascii="宋体" w:hAnsi="宋体"/>
          <w:color w:val="000000"/>
          <w:sz w:val="24"/>
        </w:rPr>
        <w:t>年；</w:t>
      </w:r>
    </w:p>
    <w:p>
      <w:pPr>
        <w:spacing w:line="360" w:lineRule="auto"/>
        <w:ind w:firstLine="480" w:firstLineChars="200"/>
        <w:rPr>
          <w:rFonts w:hint="eastAsia" w:ascii="宋体" w:hAnsi="宋体"/>
          <w:color w:val="000000"/>
          <w:sz w:val="24"/>
        </w:rPr>
      </w:pPr>
      <w:r>
        <w:rPr>
          <w:rFonts w:hint="eastAsia" w:ascii="宋体" w:hAnsi="宋体"/>
          <w:color w:val="000000"/>
          <w:sz w:val="24"/>
        </w:rPr>
        <w:t>4．</w:t>
      </w:r>
      <w:r>
        <w:rPr>
          <w:rFonts w:ascii="宋体" w:hAnsi="宋体"/>
          <w:color w:val="000000"/>
          <w:sz w:val="24"/>
        </w:rPr>
        <w:t>电气管线、给排水管道、设备安装工程为</w:t>
      </w:r>
      <w:r>
        <w:rPr>
          <w:rFonts w:hint="eastAsia" w:ascii="宋体" w:hAnsi="宋体"/>
          <w:color w:val="000000"/>
          <w:sz w:val="24"/>
          <w:u w:val="single"/>
        </w:rPr>
        <w:t>2</w:t>
      </w:r>
      <w:r>
        <w:rPr>
          <w:rFonts w:ascii="宋体" w:hAnsi="宋体"/>
          <w:color w:val="000000"/>
          <w:sz w:val="24"/>
        </w:rPr>
        <w:t>年；</w:t>
      </w:r>
    </w:p>
    <w:p>
      <w:pPr>
        <w:spacing w:line="360" w:lineRule="auto"/>
        <w:ind w:firstLine="480" w:firstLineChars="200"/>
        <w:rPr>
          <w:rFonts w:hint="eastAsia" w:ascii="宋体" w:hAnsi="宋体"/>
          <w:color w:val="000000"/>
          <w:sz w:val="24"/>
        </w:rPr>
      </w:pPr>
      <w:r>
        <w:rPr>
          <w:rFonts w:hint="eastAsia" w:ascii="宋体" w:hAnsi="宋体"/>
          <w:color w:val="000000"/>
          <w:sz w:val="24"/>
        </w:rPr>
        <w:t>5．</w:t>
      </w:r>
      <w:r>
        <w:rPr>
          <w:rFonts w:ascii="宋体" w:hAnsi="宋体"/>
          <w:color w:val="000000"/>
          <w:sz w:val="24"/>
        </w:rPr>
        <w:t>供热与供冷系统为</w:t>
      </w:r>
      <w:r>
        <w:rPr>
          <w:rFonts w:hint="eastAsia" w:ascii="宋体" w:hAnsi="宋体"/>
          <w:color w:val="000000"/>
          <w:sz w:val="24"/>
          <w:u w:val="single"/>
        </w:rPr>
        <w:t>2</w:t>
      </w:r>
      <w:r>
        <w:rPr>
          <w:rFonts w:ascii="宋体" w:hAnsi="宋体"/>
          <w:color w:val="000000"/>
          <w:sz w:val="24"/>
        </w:rPr>
        <w:t>个采暖期、供冷期；</w:t>
      </w:r>
    </w:p>
    <w:p>
      <w:pPr>
        <w:spacing w:line="360" w:lineRule="auto"/>
        <w:ind w:firstLine="480" w:firstLineChars="200"/>
        <w:rPr>
          <w:rFonts w:hint="eastAsia" w:ascii="宋体" w:hAnsi="宋体"/>
          <w:color w:val="000000"/>
          <w:sz w:val="24"/>
        </w:rPr>
      </w:pPr>
      <w:r>
        <w:rPr>
          <w:rFonts w:hint="eastAsia" w:ascii="宋体" w:hAnsi="宋体"/>
          <w:color w:val="000000"/>
          <w:sz w:val="24"/>
        </w:rPr>
        <w:t>6</w:t>
      </w:r>
      <w:r>
        <w:rPr>
          <w:rFonts w:hint="eastAsia" w:ascii="宋体" w:hAnsi="宋体"/>
          <w:sz w:val="24"/>
        </w:rPr>
        <w:t>．</w:t>
      </w:r>
      <w:r>
        <w:rPr>
          <w:rFonts w:ascii="宋体" w:hAnsi="宋体"/>
          <w:color w:val="000000"/>
          <w:sz w:val="24"/>
        </w:rPr>
        <w:t>住宅小区内的给排水设施、道路等配套工程为</w:t>
      </w:r>
      <w:r>
        <w:rPr>
          <w:rFonts w:ascii="宋体" w:hAnsi="宋体"/>
          <w:color w:val="000000"/>
          <w:sz w:val="24"/>
          <w:u w:val="single"/>
        </w:rPr>
        <w:t xml:space="preserve">  2  </w:t>
      </w:r>
      <w:r>
        <w:rPr>
          <w:rFonts w:ascii="宋体" w:hAnsi="宋体"/>
          <w:color w:val="000000"/>
          <w:sz w:val="24"/>
        </w:rPr>
        <w:t>年；</w:t>
      </w:r>
    </w:p>
    <w:p>
      <w:pPr>
        <w:spacing w:line="360" w:lineRule="auto"/>
        <w:ind w:firstLine="480" w:firstLineChars="200"/>
        <w:rPr>
          <w:rFonts w:hint="eastAsia" w:ascii="宋体" w:hAnsi="宋体"/>
          <w:color w:val="000000"/>
          <w:sz w:val="24"/>
        </w:rPr>
      </w:pPr>
      <w:r>
        <w:rPr>
          <w:rFonts w:hint="eastAsia" w:ascii="宋体" w:hAnsi="宋体"/>
          <w:color w:val="000000"/>
          <w:sz w:val="24"/>
        </w:rPr>
        <w:t>7</w:t>
      </w:r>
      <w:r>
        <w:rPr>
          <w:rFonts w:hint="eastAsia" w:ascii="宋体" w:hAnsi="宋体"/>
          <w:sz w:val="24"/>
        </w:rPr>
        <w:t>．</w:t>
      </w:r>
      <w:r>
        <w:rPr>
          <w:rFonts w:ascii="宋体" w:hAnsi="宋体"/>
          <w:color w:val="000000"/>
          <w:sz w:val="24"/>
        </w:rPr>
        <w:t>其他项目保修期限约定如下：</w:t>
      </w:r>
      <w:r>
        <w:rPr>
          <w:rFonts w:hint="eastAsia" w:ascii="宋体" w:hAnsi="宋体"/>
          <w:color w:val="000000"/>
          <w:sz w:val="24"/>
          <w:u w:val="single"/>
        </w:rPr>
        <w:t xml:space="preserve">           无</w:t>
      </w:r>
      <w:r>
        <w:rPr>
          <w:rFonts w:ascii="宋体" w:hAnsi="宋体"/>
          <w:color w:val="000000"/>
          <w:sz w:val="24"/>
          <w:u w:val="single"/>
        </w:rPr>
        <w:t xml:space="preserve">        </w:t>
      </w:r>
      <w:r>
        <w:rPr>
          <w:rFonts w:ascii="宋体" w:hAnsi="宋体"/>
          <w:color w:val="000000"/>
          <w:sz w:val="24"/>
        </w:rPr>
        <w:t>。</w:t>
      </w:r>
    </w:p>
    <w:p>
      <w:pPr>
        <w:spacing w:line="360" w:lineRule="auto"/>
        <w:ind w:firstLine="480" w:firstLineChars="200"/>
        <w:rPr>
          <w:rFonts w:hint="eastAsia" w:ascii="宋体" w:hAnsi="宋体"/>
          <w:color w:val="000000"/>
          <w:sz w:val="24"/>
        </w:rPr>
      </w:pPr>
      <w:r>
        <w:rPr>
          <w:rFonts w:ascii="宋体" w:hAnsi="宋体"/>
          <w:color w:val="000000"/>
          <w:sz w:val="24"/>
        </w:rPr>
        <w:t>质量保修期自工程竣工验收合格之日起计算。</w:t>
      </w:r>
    </w:p>
    <w:p>
      <w:pPr>
        <w:spacing w:line="360" w:lineRule="auto"/>
        <w:ind w:firstLine="480" w:firstLineChars="200"/>
        <w:rPr>
          <w:rFonts w:hint="eastAsia" w:ascii="宋体" w:hAnsi="宋体"/>
          <w:color w:val="000000"/>
          <w:sz w:val="24"/>
        </w:rPr>
      </w:pPr>
      <w:r>
        <w:rPr>
          <w:rFonts w:ascii="宋体" w:hAnsi="宋体"/>
          <w:color w:val="000000"/>
          <w:sz w:val="24"/>
        </w:rPr>
        <w:t>三、缺陷责任期</w:t>
      </w:r>
    </w:p>
    <w:p>
      <w:pPr>
        <w:spacing w:line="360" w:lineRule="auto"/>
        <w:ind w:firstLine="480" w:firstLineChars="200"/>
        <w:rPr>
          <w:rFonts w:hint="eastAsia" w:ascii="宋体" w:hAnsi="宋体"/>
          <w:color w:val="000000"/>
          <w:sz w:val="24"/>
        </w:rPr>
      </w:pPr>
      <w:r>
        <w:rPr>
          <w:rFonts w:ascii="宋体" w:hAnsi="宋体"/>
          <w:color w:val="000000"/>
          <w:sz w:val="24"/>
        </w:rPr>
        <w:t>工程缺陷责任期为</w:t>
      </w:r>
      <w:r>
        <w:rPr>
          <w:rFonts w:ascii="宋体" w:hAnsi="宋体"/>
          <w:color w:val="000000"/>
          <w:sz w:val="24"/>
          <w:u w:val="single"/>
        </w:rPr>
        <w:t>12</w:t>
      </w:r>
      <w:r>
        <w:rPr>
          <w:rFonts w:ascii="宋体" w:hAnsi="宋体"/>
          <w:color w:val="000000"/>
          <w:sz w:val="24"/>
        </w:rPr>
        <w:t>个月，缺陷责任期自工程</w:t>
      </w:r>
      <w:r>
        <w:rPr>
          <w:rFonts w:hint="eastAsia" w:ascii="宋体" w:hAnsi="宋体"/>
          <w:color w:val="000000"/>
          <w:sz w:val="24"/>
        </w:rPr>
        <w:t>实际竣工</w:t>
      </w:r>
      <w:r>
        <w:rPr>
          <w:rFonts w:ascii="宋体" w:hAnsi="宋体"/>
          <w:color w:val="000000"/>
          <w:sz w:val="24"/>
        </w:rPr>
        <w:t>之日起计算。单位工程先于全部工程进行验收，单位工程缺陷责任期自单位工程验收合格之日起算。</w:t>
      </w:r>
    </w:p>
    <w:p>
      <w:pPr>
        <w:spacing w:line="360" w:lineRule="auto"/>
        <w:ind w:firstLine="480" w:firstLineChars="200"/>
        <w:rPr>
          <w:rFonts w:hint="eastAsia" w:ascii="宋体" w:hAnsi="宋体"/>
          <w:color w:val="000000"/>
          <w:sz w:val="24"/>
        </w:rPr>
      </w:pPr>
      <w:r>
        <w:rPr>
          <w:rFonts w:ascii="宋体" w:hAnsi="宋体"/>
          <w:color w:val="000000"/>
          <w:sz w:val="24"/>
        </w:rPr>
        <w:t>缺陷责任期终止后，发包人应退还剩余的质量保证金。</w:t>
      </w:r>
    </w:p>
    <w:p>
      <w:pPr>
        <w:spacing w:line="360" w:lineRule="auto"/>
        <w:ind w:firstLine="480" w:firstLineChars="200"/>
        <w:rPr>
          <w:rFonts w:hint="eastAsia" w:ascii="宋体" w:hAnsi="宋体"/>
          <w:color w:val="000000"/>
          <w:sz w:val="24"/>
        </w:rPr>
      </w:pPr>
      <w:r>
        <w:rPr>
          <w:rFonts w:ascii="宋体" w:hAnsi="宋体"/>
          <w:color w:val="000000"/>
          <w:sz w:val="24"/>
        </w:rPr>
        <w:t>四、质量保修责任</w:t>
      </w:r>
    </w:p>
    <w:p>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．属于保修范围、内容的工程，承包人应当在接到保修通知之日起</w:t>
      </w:r>
      <w:r>
        <w:rPr>
          <w:rFonts w:ascii="宋体" w:hAnsi="宋体"/>
          <w:color w:val="000000"/>
          <w:sz w:val="24"/>
        </w:rPr>
        <w:t>24</w:t>
      </w:r>
      <w:r>
        <w:rPr>
          <w:rFonts w:hint="eastAsia" w:ascii="宋体" w:hAnsi="宋体"/>
          <w:color w:val="000000"/>
          <w:sz w:val="24"/>
        </w:rPr>
        <w:t>小时内给予答复，</w:t>
      </w:r>
      <w:r>
        <w:rPr>
          <w:rFonts w:ascii="宋体" w:hAnsi="宋体"/>
          <w:color w:val="000000"/>
          <w:sz w:val="24"/>
        </w:rPr>
        <w:t>48</w:t>
      </w:r>
      <w:r>
        <w:rPr>
          <w:rFonts w:hint="eastAsia" w:ascii="宋体" w:hAnsi="宋体"/>
          <w:color w:val="000000"/>
          <w:sz w:val="24"/>
        </w:rPr>
        <w:t>小时内派人保修。承包人不在约定期限内派人保修的，发包人有权委托他人修理，费用由承包人支付。</w:t>
      </w:r>
    </w:p>
    <w:p>
      <w:pPr>
        <w:spacing w:line="360" w:lineRule="auto"/>
        <w:ind w:firstLine="480" w:firstLineChars="200"/>
        <w:rPr>
          <w:rFonts w:hint="eastAsia" w:ascii="宋体" w:hAnsi="宋体"/>
          <w:color w:val="000000"/>
          <w:sz w:val="24"/>
        </w:rPr>
      </w:pPr>
      <w:r>
        <w:rPr>
          <w:rFonts w:ascii="宋体" w:hAnsi="宋体"/>
          <w:color w:val="000000"/>
          <w:sz w:val="24"/>
        </w:rPr>
        <w:t>2</w:t>
      </w:r>
      <w:r>
        <w:rPr>
          <w:rFonts w:hint="eastAsia" w:ascii="宋体" w:hAnsi="宋体"/>
          <w:color w:val="000000"/>
          <w:sz w:val="24"/>
        </w:rPr>
        <w:t>．发生紧急抢修事故，承包人在接到事故通知后，应当立即到达事故现场抢修或委托他人修理。</w:t>
      </w:r>
    </w:p>
    <w:p>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对于涉及结构安全的质量问题，应当按照《建设工程质量管理条例》的规定，立即向当地建设行政主管部门报告，采取安全防范措施；由原设计人或者具有相应资质等级的设计人提出保修方案，承包人实施保修。</w:t>
      </w:r>
    </w:p>
    <w:p>
      <w:pPr>
        <w:spacing w:line="360" w:lineRule="auto"/>
        <w:ind w:firstLine="480" w:firstLineChars="200"/>
        <w:rPr>
          <w:rFonts w:hint="eastAsia" w:ascii="宋体" w:hAnsi="宋体"/>
          <w:color w:val="000000"/>
          <w:sz w:val="24"/>
        </w:rPr>
      </w:pPr>
      <w:r>
        <w:rPr>
          <w:rFonts w:ascii="宋体" w:hAnsi="宋体"/>
          <w:color w:val="000000"/>
          <w:sz w:val="24"/>
        </w:rPr>
        <w:t>4</w:t>
      </w:r>
      <w:r>
        <w:rPr>
          <w:rFonts w:hint="eastAsia" w:ascii="宋体" w:hAnsi="宋体"/>
          <w:color w:val="000000"/>
          <w:sz w:val="24"/>
        </w:rPr>
        <w:t>．在国家规定的工程合理使用期限内，承包人应确保其质量。因承包人原因致使工程在合理使用期限内造成人身和财产损害，承包人应承担损害赔偿责任。</w:t>
      </w:r>
    </w:p>
    <w:p>
      <w:pPr>
        <w:spacing w:line="360" w:lineRule="auto"/>
        <w:ind w:firstLine="480" w:firstLineChars="200"/>
        <w:rPr>
          <w:rFonts w:hint="eastAsia" w:ascii="宋体" w:hAnsi="宋体"/>
          <w:color w:val="000000"/>
          <w:sz w:val="24"/>
        </w:rPr>
      </w:pPr>
      <w:r>
        <w:rPr>
          <w:rFonts w:ascii="宋体" w:hAnsi="宋体"/>
          <w:color w:val="000000"/>
          <w:sz w:val="24"/>
        </w:rPr>
        <w:t>5</w:t>
      </w:r>
      <w:r>
        <w:rPr>
          <w:rFonts w:hint="eastAsia" w:ascii="宋体" w:hAnsi="宋体"/>
          <w:color w:val="000000"/>
          <w:sz w:val="24"/>
        </w:rPr>
        <w:t>．质保期满后，由发包人组织验收。</w:t>
      </w:r>
    </w:p>
    <w:p>
      <w:pPr>
        <w:spacing w:line="360" w:lineRule="auto"/>
        <w:ind w:firstLine="480" w:firstLineChars="200"/>
        <w:rPr>
          <w:rFonts w:hint="eastAsia" w:ascii="宋体" w:hAnsi="宋体"/>
          <w:color w:val="000000"/>
          <w:sz w:val="24"/>
        </w:rPr>
      </w:pPr>
      <w:r>
        <w:rPr>
          <w:rFonts w:ascii="宋体" w:hAnsi="宋体"/>
          <w:color w:val="000000"/>
          <w:sz w:val="24"/>
        </w:rPr>
        <w:t>五、保修费用</w:t>
      </w:r>
    </w:p>
    <w:p>
      <w:pPr>
        <w:spacing w:line="360" w:lineRule="auto"/>
        <w:ind w:firstLine="480" w:firstLineChars="200"/>
        <w:rPr>
          <w:rFonts w:hint="eastAsia" w:ascii="宋体" w:hAnsi="宋体"/>
          <w:color w:val="000000"/>
          <w:sz w:val="24"/>
        </w:rPr>
      </w:pPr>
      <w:r>
        <w:rPr>
          <w:rFonts w:ascii="宋体" w:hAnsi="宋体"/>
          <w:color w:val="000000"/>
          <w:sz w:val="24"/>
        </w:rPr>
        <w:t>保修费用由造成质量缺陷的责任方承担。</w:t>
      </w:r>
    </w:p>
    <w:p>
      <w:pPr>
        <w:spacing w:line="360" w:lineRule="auto"/>
        <w:ind w:firstLine="480" w:firstLineChars="200"/>
        <w:rPr>
          <w:rFonts w:hint="eastAsia" w:ascii="宋体" w:hAnsi="宋体"/>
          <w:color w:val="000000"/>
          <w:sz w:val="24"/>
        </w:rPr>
      </w:pPr>
      <w:r>
        <w:rPr>
          <w:rFonts w:ascii="宋体" w:hAnsi="宋体"/>
          <w:color w:val="000000"/>
          <w:sz w:val="24"/>
        </w:rPr>
        <w:t>六、双方约定的其他工程质量保修事项：</w:t>
      </w:r>
      <w:r>
        <w:rPr>
          <w:rFonts w:ascii="宋体" w:hAnsi="宋体"/>
          <w:color w:val="000000"/>
          <w:sz w:val="24"/>
          <w:u w:val="single"/>
        </w:rPr>
        <w:t xml:space="preserve">   </w:t>
      </w:r>
      <w:r>
        <w:rPr>
          <w:rFonts w:hint="eastAsia" w:ascii="宋体" w:hAnsi="宋体"/>
          <w:color w:val="000000"/>
          <w:sz w:val="24"/>
          <w:u w:val="single"/>
        </w:rPr>
        <w:t xml:space="preserve">       无  </w:t>
      </w:r>
      <w:r>
        <w:rPr>
          <w:rFonts w:ascii="宋体" w:hAnsi="宋体"/>
          <w:color w:val="000000"/>
          <w:sz w:val="24"/>
          <w:u w:val="single"/>
        </w:rPr>
        <w:t xml:space="preserve">          </w:t>
      </w:r>
      <w:r>
        <w:rPr>
          <w:rFonts w:ascii="宋体" w:hAnsi="宋体"/>
          <w:color w:val="000000"/>
          <w:sz w:val="24"/>
        </w:rPr>
        <w:t>。</w:t>
      </w:r>
    </w:p>
    <w:p>
      <w:pPr>
        <w:spacing w:line="360" w:lineRule="auto"/>
        <w:ind w:firstLine="456" w:firstLineChars="190"/>
        <w:rPr>
          <w:rFonts w:hint="eastAsia" w:ascii="宋体" w:hAnsi="宋体"/>
          <w:color w:val="000000"/>
          <w:sz w:val="24"/>
        </w:rPr>
      </w:pPr>
      <w:r>
        <w:rPr>
          <w:rFonts w:ascii="宋体" w:hAnsi="宋体"/>
          <w:color w:val="000000"/>
          <w:sz w:val="24"/>
        </w:rPr>
        <w:t>工程质量保修书由发包人、承包人共同签署，作为施工合同附件，其有效期限至保修期满。</w:t>
      </w:r>
    </w:p>
    <w:p>
      <w:pPr>
        <w:spacing w:line="360" w:lineRule="auto"/>
        <w:ind w:firstLine="456" w:firstLineChars="190"/>
        <w:rPr>
          <w:rFonts w:hint="eastAsia" w:ascii="宋体" w:hAnsi="宋体"/>
          <w:color w:val="000000"/>
          <w:sz w:val="24"/>
        </w:rPr>
      </w:pPr>
    </w:p>
    <w:tbl>
      <w:tblPr>
        <w:tblStyle w:val="22"/>
        <w:tblW w:w="8897" w:type="dxa"/>
        <w:tblInd w:w="0" w:type="dxa"/>
        <w:tblLayout w:type="fixed"/>
        <w:tblCellMar>
          <w:top w:w="0" w:type="dxa"/>
          <w:left w:w="108" w:type="dxa"/>
          <w:bottom w:w="0" w:type="dxa"/>
          <w:right w:w="108" w:type="dxa"/>
        </w:tblCellMar>
      </w:tblPr>
      <w:tblGrid>
        <w:gridCol w:w="4503"/>
        <w:gridCol w:w="4394"/>
      </w:tblGrid>
      <w:tr>
        <w:tblPrEx>
          <w:tblCellMar>
            <w:top w:w="0" w:type="dxa"/>
            <w:left w:w="108" w:type="dxa"/>
            <w:bottom w:w="0" w:type="dxa"/>
            <w:right w:w="108" w:type="dxa"/>
          </w:tblCellMar>
        </w:tblPrEx>
        <w:tc>
          <w:tcPr>
            <w:tcW w:w="4503" w:type="dxa"/>
          </w:tcPr>
          <w:p>
            <w:pPr>
              <w:spacing w:line="360" w:lineRule="auto"/>
              <w:ind w:left="1920" w:hanging="1920" w:hangingChars="800"/>
              <w:rPr>
                <w:rFonts w:hint="eastAsia" w:ascii="宋体" w:hAnsi="宋体"/>
                <w:color w:val="000000"/>
                <w:sz w:val="24"/>
              </w:rPr>
            </w:pPr>
            <w:r>
              <w:rPr>
                <w:rFonts w:hint="eastAsia" w:ascii="宋体" w:hAnsi="宋体"/>
                <w:color w:val="000000"/>
                <w:sz w:val="24"/>
              </w:rPr>
              <w:t>发包人（盖章）：营口建发盛海磷化工有限公司</w:t>
            </w:r>
          </w:p>
        </w:tc>
        <w:tc>
          <w:tcPr>
            <w:tcW w:w="4394" w:type="dxa"/>
          </w:tcPr>
          <w:p>
            <w:pPr>
              <w:spacing w:line="360" w:lineRule="auto"/>
              <w:ind w:firstLine="456" w:firstLineChars="190"/>
              <w:rPr>
                <w:rFonts w:hint="eastAsia" w:ascii="宋体" w:hAnsi="宋体"/>
                <w:color w:val="000000"/>
                <w:sz w:val="24"/>
              </w:rPr>
            </w:pPr>
            <w:r>
              <w:rPr>
                <w:rFonts w:hint="eastAsia" w:ascii="宋体" w:hAnsi="宋体"/>
                <w:color w:val="000000"/>
                <w:sz w:val="24"/>
              </w:rPr>
              <w:t>承包人：（盖章）</w:t>
            </w:r>
          </w:p>
        </w:tc>
      </w:tr>
      <w:tr>
        <w:tblPrEx>
          <w:tblCellMar>
            <w:top w:w="0" w:type="dxa"/>
            <w:left w:w="108" w:type="dxa"/>
            <w:bottom w:w="0" w:type="dxa"/>
            <w:right w:w="108" w:type="dxa"/>
          </w:tblCellMar>
        </w:tblPrEx>
        <w:tc>
          <w:tcPr>
            <w:tcW w:w="4503" w:type="dxa"/>
          </w:tcPr>
          <w:p>
            <w:pPr>
              <w:spacing w:line="360" w:lineRule="auto"/>
              <w:rPr>
                <w:rFonts w:hint="eastAsia" w:ascii="宋体" w:hAnsi="宋体"/>
                <w:color w:val="000000"/>
                <w:sz w:val="24"/>
              </w:rPr>
            </w:pPr>
            <w:r>
              <w:rPr>
                <w:rFonts w:hint="eastAsia" w:ascii="宋体" w:hAnsi="宋体"/>
                <w:color w:val="000000"/>
                <w:sz w:val="24"/>
              </w:rPr>
              <w:t>法定代表人（签字）：</w:t>
            </w:r>
          </w:p>
        </w:tc>
        <w:tc>
          <w:tcPr>
            <w:tcW w:w="4394" w:type="dxa"/>
          </w:tcPr>
          <w:p>
            <w:pPr>
              <w:spacing w:line="360" w:lineRule="auto"/>
              <w:rPr>
                <w:rFonts w:hint="eastAsia" w:ascii="宋体" w:hAnsi="宋体"/>
                <w:color w:val="000000"/>
                <w:sz w:val="24"/>
              </w:rPr>
            </w:pPr>
            <w:r>
              <w:rPr>
                <w:rFonts w:hint="eastAsia" w:ascii="宋体" w:hAnsi="宋体"/>
                <w:color w:val="000000"/>
                <w:sz w:val="24"/>
              </w:rPr>
              <w:t>法定代表人（签字）：</w:t>
            </w:r>
          </w:p>
        </w:tc>
      </w:tr>
      <w:tr>
        <w:tblPrEx>
          <w:tblCellMar>
            <w:top w:w="0" w:type="dxa"/>
            <w:left w:w="108" w:type="dxa"/>
            <w:bottom w:w="0" w:type="dxa"/>
            <w:right w:w="108" w:type="dxa"/>
          </w:tblCellMar>
        </w:tblPrEx>
        <w:tc>
          <w:tcPr>
            <w:tcW w:w="4503" w:type="dxa"/>
          </w:tcPr>
          <w:p>
            <w:pPr>
              <w:spacing w:line="360" w:lineRule="auto"/>
              <w:ind w:firstLine="456" w:firstLineChars="190"/>
              <w:rPr>
                <w:rFonts w:hint="eastAsia" w:ascii="宋体" w:hAnsi="宋体"/>
                <w:color w:val="000000"/>
                <w:sz w:val="24"/>
              </w:rPr>
            </w:pPr>
          </w:p>
        </w:tc>
        <w:tc>
          <w:tcPr>
            <w:tcW w:w="4394" w:type="dxa"/>
          </w:tcPr>
          <w:p>
            <w:pPr>
              <w:spacing w:line="360" w:lineRule="auto"/>
              <w:ind w:firstLine="456" w:firstLineChars="190"/>
              <w:rPr>
                <w:rFonts w:hint="eastAsia" w:ascii="宋体" w:hAnsi="宋体"/>
                <w:color w:val="000000"/>
                <w:sz w:val="24"/>
              </w:rPr>
            </w:pPr>
          </w:p>
        </w:tc>
      </w:tr>
      <w:tr>
        <w:tblPrEx>
          <w:tblCellMar>
            <w:top w:w="0" w:type="dxa"/>
            <w:left w:w="108" w:type="dxa"/>
            <w:bottom w:w="0" w:type="dxa"/>
            <w:right w:w="108" w:type="dxa"/>
          </w:tblCellMar>
        </w:tblPrEx>
        <w:tc>
          <w:tcPr>
            <w:tcW w:w="4503" w:type="dxa"/>
          </w:tcPr>
          <w:p>
            <w:pPr>
              <w:spacing w:line="360" w:lineRule="auto"/>
              <w:rPr>
                <w:rFonts w:hint="eastAsia" w:ascii="宋体" w:hAnsi="宋体"/>
                <w:color w:val="000000"/>
                <w:sz w:val="24"/>
              </w:rPr>
            </w:pPr>
            <w:r>
              <w:rPr>
                <w:rFonts w:hint="eastAsia" w:ascii="宋体" w:hAnsi="宋体"/>
                <w:color w:val="000000"/>
                <w:sz w:val="24"/>
              </w:rPr>
              <w:t>委托代理人（签字）：</w:t>
            </w:r>
          </w:p>
        </w:tc>
        <w:tc>
          <w:tcPr>
            <w:tcW w:w="4394" w:type="dxa"/>
          </w:tcPr>
          <w:p>
            <w:pPr>
              <w:spacing w:line="360" w:lineRule="auto"/>
              <w:rPr>
                <w:rFonts w:hint="eastAsia" w:ascii="宋体" w:hAnsi="宋体"/>
                <w:color w:val="000000"/>
                <w:sz w:val="24"/>
              </w:rPr>
            </w:pPr>
            <w:r>
              <w:rPr>
                <w:rFonts w:hint="eastAsia" w:ascii="宋体" w:hAnsi="宋体"/>
                <w:color w:val="000000"/>
                <w:sz w:val="24"/>
              </w:rPr>
              <w:t>委托代理人（签字）：</w:t>
            </w:r>
          </w:p>
        </w:tc>
      </w:tr>
      <w:tr>
        <w:tblPrEx>
          <w:tblCellMar>
            <w:top w:w="0" w:type="dxa"/>
            <w:left w:w="108" w:type="dxa"/>
            <w:bottom w:w="0" w:type="dxa"/>
            <w:right w:w="108" w:type="dxa"/>
          </w:tblCellMar>
        </w:tblPrEx>
        <w:tc>
          <w:tcPr>
            <w:tcW w:w="4503" w:type="dxa"/>
          </w:tcPr>
          <w:p>
            <w:pPr>
              <w:spacing w:line="360" w:lineRule="auto"/>
              <w:rPr>
                <w:rFonts w:hint="eastAsia" w:ascii="宋体" w:hAnsi="宋体"/>
                <w:color w:val="000000"/>
                <w:sz w:val="24"/>
              </w:rPr>
            </w:pPr>
          </w:p>
        </w:tc>
        <w:tc>
          <w:tcPr>
            <w:tcW w:w="4394" w:type="dxa"/>
          </w:tcPr>
          <w:p>
            <w:pPr>
              <w:spacing w:line="360" w:lineRule="auto"/>
              <w:rPr>
                <w:rFonts w:hint="eastAsia" w:ascii="宋体" w:hAnsi="宋体"/>
                <w:color w:val="000000"/>
                <w:sz w:val="24"/>
              </w:rPr>
            </w:pPr>
          </w:p>
        </w:tc>
      </w:tr>
      <w:tr>
        <w:tblPrEx>
          <w:tblCellMar>
            <w:top w:w="0" w:type="dxa"/>
            <w:left w:w="108" w:type="dxa"/>
            <w:bottom w:w="0" w:type="dxa"/>
            <w:right w:w="108" w:type="dxa"/>
          </w:tblCellMar>
        </w:tblPrEx>
        <w:tc>
          <w:tcPr>
            <w:tcW w:w="4503" w:type="dxa"/>
          </w:tcPr>
          <w:p>
            <w:pPr>
              <w:spacing w:line="360" w:lineRule="auto"/>
              <w:rPr>
                <w:rFonts w:hint="eastAsia" w:ascii="宋体" w:hAnsi="宋体"/>
                <w:color w:val="000000"/>
                <w:sz w:val="24"/>
              </w:rPr>
            </w:pPr>
            <w:r>
              <w:rPr>
                <w:rFonts w:hint="eastAsia" w:ascii="宋体" w:hAnsi="宋体"/>
                <w:color w:val="000000"/>
                <w:sz w:val="24"/>
              </w:rPr>
              <w:t>签订日期： 2025 年  月   日</w:t>
            </w:r>
          </w:p>
        </w:tc>
        <w:tc>
          <w:tcPr>
            <w:tcW w:w="4394" w:type="dxa"/>
          </w:tcPr>
          <w:p>
            <w:pPr>
              <w:spacing w:line="360" w:lineRule="auto"/>
              <w:rPr>
                <w:rFonts w:hint="eastAsia" w:ascii="宋体" w:hAnsi="宋体"/>
                <w:color w:val="000000"/>
                <w:sz w:val="24"/>
              </w:rPr>
            </w:pPr>
            <w:r>
              <w:rPr>
                <w:rFonts w:hint="eastAsia" w:ascii="宋体" w:hAnsi="宋体"/>
                <w:color w:val="000000"/>
                <w:sz w:val="24"/>
              </w:rPr>
              <w:t>签订日期： 20</w:t>
            </w:r>
            <w:r>
              <w:rPr>
                <w:rFonts w:ascii="宋体" w:hAnsi="宋体"/>
                <w:color w:val="000000"/>
                <w:sz w:val="24"/>
              </w:rPr>
              <w:t>2</w:t>
            </w:r>
            <w:r>
              <w:rPr>
                <w:rFonts w:hint="eastAsia" w:ascii="宋体" w:hAnsi="宋体"/>
                <w:color w:val="000000"/>
                <w:sz w:val="24"/>
              </w:rPr>
              <w:t>5年  月  日</w:t>
            </w:r>
          </w:p>
        </w:tc>
      </w:tr>
    </w:tbl>
    <w:p>
      <w:pPr>
        <w:rPr>
          <w:rFonts w:hint="eastAsia" w:ascii="宋体" w:hAnsi="宋体"/>
          <w:sz w:val="24"/>
        </w:rPr>
      </w:pPr>
      <w:r>
        <w:rPr>
          <w:rFonts w:hint="eastAsia" w:ascii="宋体" w:hAnsi="宋体"/>
          <w:sz w:val="24"/>
        </w:rPr>
        <w:br w:type="page"/>
      </w:r>
    </w:p>
    <w:p>
      <w:pPr>
        <w:spacing w:before="120" w:beforeLines="50" w:after="120" w:afterLines="50" w:line="440" w:lineRule="exact"/>
        <w:jc w:val="left"/>
        <w:rPr>
          <w:rFonts w:hint="eastAsia" w:ascii="宋体" w:hAnsi="宋体"/>
          <w:sz w:val="24"/>
        </w:rPr>
      </w:pPr>
      <w:r>
        <w:rPr>
          <w:rFonts w:hint="eastAsia" w:ascii="宋体" w:hAnsi="宋体"/>
          <w:sz w:val="24"/>
        </w:rPr>
        <w:t>附件</w:t>
      </w:r>
      <w:r>
        <w:rPr>
          <w:rFonts w:hint="eastAsia"/>
          <w:sz w:val="24"/>
        </w:rPr>
        <w:t>三</w:t>
      </w:r>
      <w:r>
        <w:rPr>
          <w:sz w:val="24"/>
        </w:rPr>
        <w:t>：</w:t>
      </w:r>
    </w:p>
    <w:p>
      <w:pPr>
        <w:spacing w:before="120" w:beforeLines="50" w:after="120" w:afterLines="50" w:line="440" w:lineRule="exact"/>
        <w:jc w:val="center"/>
        <w:rPr>
          <w:rFonts w:eastAsia="黑体"/>
          <w:sz w:val="28"/>
          <w:szCs w:val="28"/>
        </w:rPr>
      </w:pPr>
      <w:r>
        <w:rPr>
          <w:rFonts w:eastAsia="黑体"/>
          <w:sz w:val="28"/>
          <w:szCs w:val="28"/>
        </w:rPr>
        <w:t>发包人供应材料设备一览表</w:t>
      </w:r>
    </w:p>
    <w:tbl>
      <w:tblPr>
        <w:tblStyle w:val="22"/>
        <w:tblW w:w="8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6"/>
        <w:gridCol w:w="1134"/>
        <w:gridCol w:w="851"/>
        <w:gridCol w:w="708"/>
        <w:gridCol w:w="709"/>
        <w:gridCol w:w="851"/>
        <w:gridCol w:w="850"/>
        <w:gridCol w:w="803"/>
        <w:gridCol w:w="1465"/>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66"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序号</w:t>
            </w:r>
          </w:p>
        </w:tc>
        <w:tc>
          <w:tcPr>
            <w:tcW w:w="113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hint="eastAsia" w:ascii="宋体" w:hAnsi="宋体"/>
                <w:szCs w:val="21"/>
              </w:rPr>
              <w:t xml:space="preserve">  </w:t>
            </w:r>
            <w:r>
              <w:rPr>
                <w:rFonts w:ascii="宋体" w:hAnsi="宋体"/>
                <w:szCs w:val="21"/>
              </w:rPr>
              <w:t>材料、</w:t>
            </w:r>
          </w:p>
          <w:p>
            <w:pPr>
              <w:pStyle w:val="10"/>
              <w:keepNext/>
              <w:spacing w:after="0" w:line="440" w:lineRule="exact"/>
              <w:ind w:right="63"/>
              <w:jc w:val="center"/>
              <w:rPr>
                <w:rFonts w:hint="eastAsia" w:ascii="宋体" w:hAnsi="宋体"/>
                <w:szCs w:val="21"/>
              </w:rPr>
            </w:pPr>
            <w:r>
              <w:rPr>
                <w:rFonts w:ascii="宋体" w:hAnsi="宋体"/>
                <w:szCs w:val="21"/>
              </w:rPr>
              <w:t>设备品种</w:t>
            </w:r>
          </w:p>
        </w:tc>
        <w:tc>
          <w:tcPr>
            <w:tcW w:w="85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规格</w:t>
            </w:r>
          </w:p>
          <w:p>
            <w:pPr>
              <w:pStyle w:val="10"/>
              <w:keepNext/>
              <w:spacing w:after="0" w:line="440" w:lineRule="exact"/>
              <w:ind w:left="63" w:right="63"/>
              <w:jc w:val="center"/>
              <w:rPr>
                <w:rFonts w:hint="eastAsia" w:ascii="宋体" w:hAnsi="宋体"/>
                <w:szCs w:val="21"/>
              </w:rPr>
            </w:pPr>
            <w:r>
              <w:rPr>
                <w:rFonts w:ascii="宋体" w:hAnsi="宋体"/>
                <w:szCs w:val="21"/>
              </w:rPr>
              <w:t>型号</w:t>
            </w:r>
          </w:p>
        </w:tc>
        <w:tc>
          <w:tcPr>
            <w:tcW w:w="708"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单位</w:t>
            </w:r>
          </w:p>
        </w:tc>
        <w:tc>
          <w:tcPr>
            <w:tcW w:w="709"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数量</w:t>
            </w:r>
          </w:p>
        </w:tc>
        <w:tc>
          <w:tcPr>
            <w:tcW w:w="85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单价</w:t>
            </w:r>
            <w:r>
              <w:rPr>
                <w:rFonts w:hint="eastAsia" w:ascii="宋体" w:hAnsi="宋体"/>
                <w:szCs w:val="21"/>
              </w:rPr>
              <w:t>（元）</w:t>
            </w:r>
          </w:p>
        </w:tc>
        <w:tc>
          <w:tcPr>
            <w:tcW w:w="850"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质量</w:t>
            </w:r>
          </w:p>
          <w:p>
            <w:pPr>
              <w:pStyle w:val="10"/>
              <w:keepNext/>
              <w:spacing w:after="0" w:line="440" w:lineRule="exact"/>
              <w:ind w:left="63" w:right="63"/>
              <w:jc w:val="center"/>
              <w:rPr>
                <w:rFonts w:hint="eastAsia" w:ascii="宋体" w:hAnsi="宋体"/>
                <w:szCs w:val="21"/>
              </w:rPr>
            </w:pPr>
            <w:r>
              <w:rPr>
                <w:rFonts w:ascii="宋体" w:hAnsi="宋体"/>
                <w:szCs w:val="21"/>
              </w:rPr>
              <w:t>等级</w:t>
            </w:r>
          </w:p>
        </w:tc>
        <w:tc>
          <w:tcPr>
            <w:tcW w:w="803"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供应</w:t>
            </w:r>
          </w:p>
          <w:p>
            <w:pPr>
              <w:pStyle w:val="10"/>
              <w:keepNext/>
              <w:spacing w:after="0" w:line="440" w:lineRule="exact"/>
              <w:ind w:left="63" w:right="63"/>
              <w:jc w:val="center"/>
              <w:rPr>
                <w:rFonts w:hint="eastAsia" w:ascii="宋体" w:hAnsi="宋体"/>
                <w:szCs w:val="21"/>
              </w:rPr>
            </w:pPr>
            <w:r>
              <w:rPr>
                <w:rFonts w:ascii="宋体" w:hAnsi="宋体"/>
                <w:szCs w:val="21"/>
              </w:rPr>
              <w:t>时间</w:t>
            </w:r>
          </w:p>
        </w:tc>
        <w:tc>
          <w:tcPr>
            <w:tcW w:w="1465"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送达地点</w:t>
            </w:r>
          </w:p>
        </w:tc>
        <w:tc>
          <w:tcPr>
            <w:tcW w:w="803"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1134"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51"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708"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709"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51"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50"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03"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1465"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03"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nil"/>
            </w:tcBorders>
            <w:vAlign w:val="center"/>
          </w:tcPr>
          <w:p>
            <w:pPr>
              <w:pStyle w:val="10"/>
              <w:keepNext/>
              <w:spacing w:after="0" w:line="440" w:lineRule="exact"/>
              <w:ind w:left="63" w:right="63"/>
              <w:rPr>
                <w:rFonts w:eastAsia="仿宋_GB2312"/>
                <w:sz w:val="30"/>
                <w:szCs w:val="30"/>
              </w:rPr>
            </w:pPr>
          </w:p>
        </w:tc>
        <w:tc>
          <w:tcPr>
            <w:tcW w:w="1134" w:type="dxa"/>
            <w:tcBorders>
              <w:top w:val="nil"/>
            </w:tcBorders>
            <w:vAlign w:val="center"/>
          </w:tcPr>
          <w:p>
            <w:pPr>
              <w:pStyle w:val="10"/>
              <w:keepNext/>
              <w:spacing w:after="0" w:line="440" w:lineRule="exact"/>
              <w:ind w:left="63" w:right="63"/>
              <w:rPr>
                <w:rFonts w:eastAsia="仿宋_GB2312"/>
                <w:sz w:val="30"/>
                <w:szCs w:val="30"/>
              </w:rPr>
            </w:pPr>
          </w:p>
        </w:tc>
        <w:tc>
          <w:tcPr>
            <w:tcW w:w="851" w:type="dxa"/>
            <w:tcBorders>
              <w:top w:val="nil"/>
            </w:tcBorders>
            <w:vAlign w:val="center"/>
          </w:tcPr>
          <w:p>
            <w:pPr>
              <w:pStyle w:val="10"/>
              <w:keepNext/>
              <w:spacing w:after="0" w:line="440" w:lineRule="exact"/>
              <w:ind w:left="63" w:right="63"/>
              <w:rPr>
                <w:rFonts w:eastAsia="仿宋_GB2312"/>
                <w:sz w:val="30"/>
                <w:szCs w:val="30"/>
              </w:rPr>
            </w:pPr>
          </w:p>
        </w:tc>
        <w:tc>
          <w:tcPr>
            <w:tcW w:w="708" w:type="dxa"/>
            <w:tcBorders>
              <w:top w:val="nil"/>
            </w:tcBorders>
            <w:vAlign w:val="center"/>
          </w:tcPr>
          <w:p>
            <w:pPr>
              <w:pStyle w:val="10"/>
              <w:keepNext/>
              <w:spacing w:after="0" w:line="440" w:lineRule="exact"/>
              <w:ind w:left="63" w:right="63"/>
              <w:rPr>
                <w:rFonts w:eastAsia="仿宋_GB2312"/>
                <w:sz w:val="30"/>
                <w:szCs w:val="30"/>
              </w:rPr>
            </w:pPr>
          </w:p>
        </w:tc>
        <w:tc>
          <w:tcPr>
            <w:tcW w:w="709" w:type="dxa"/>
            <w:tcBorders>
              <w:top w:val="nil"/>
            </w:tcBorders>
            <w:vAlign w:val="center"/>
          </w:tcPr>
          <w:p>
            <w:pPr>
              <w:pStyle w:val="10"/>
              <w:keepNext/>
              <w:spacing w:after="0" w:line="440" w:lineRule="exact"/>
              <w:ind w:left="63" w:right="63"/>
              <w:rPr>
                <w:rFonts w:eastAsia="仿宋_GB2312"/>
                <w:sz w:val="30"/>
                <w:szCs w:val="30"/>
              </w:rPr>
            </w:pPr>
          </w:p>
        </w:tc>
        <w:tc>
          <w:tcPr>
            <w:tcW w:w="851" w:type="dxa"/>
            <w:tcBorders>
              <w:top w:val="nil"/>
            </w:tcBorders>
            <w:vAlign w:val="center"/>
          </w:tcPr>
          <w:p>
            <w:pPr>
              <w:pStyle w:val="10"/>
              <w:keepNext/>
              <w:spacing w:after="0" w:line="440" w:lineRule="exact"/>
              <w:ind w:left="63" w:right="63"/>
              <w:rPr>
                <w:rFonts w:eastAsia="仿宋_GB2312"/>
                <w:sz w:val="30"/>
                <w:szCs w:val="30"/>
              </w:rPr>
            </w:pPr>
          </w:p>
        </w:tc>
        <w:tc>
          <w:tcPr>
            <w:tcW w:w="850" w:type="dxa"/>
            <w:tcBorders>
              <w:top w:val="nil"/>
            </w:tcBorders>
            <w:vAlign w:val="center"/>
          </w:tcPr>
          <w:p>
            <w:pPr>
              <w:pStyle w:val="10"/>
              <w:keepNext/>
              <w:spacing w:after="0" w:line="440" w:lineRule="exact"/>
              <w:ind w:left="63" w:right="63"/>
              <w:rPr>
                <w:rFonts w:eastAsia="仿宋_GB2312"/>
                <w:sz w:val="30"/>
                <w:szCs w:val="30"/>
              </w:rPr>
            </w:pPr>
          </w:p>
        </w:tc>
        <w:tc>
          <w:tcPr>
            <w:tcW w:w="803" w:type="dxa"/>
            <w:tcBorders>
              <w:top w:val="nil"/>
            </w:tcBorders>
            <w:vAlign w:val="center"/>
          </w:tcPr>
          <w:p>
            <w:pPr>
              <w:pStyle w:val="10"/>
              <w:keepNext/>
              <w:spacing w:after="0" w:line="440" w:lineRule="exact"/>
              <w:ind w:left="63" w:right="63"/>
              <w:rPr>
                <w:rFonts w:eastAsia="仿宋_GB2312"/>
                <w:sz w:val="30"/>
                <w:szCs w:val="30"/>
              </w:rPr>
            </w:pPr>
          </w:p>
        </w:tc>
        <w:tc>
          <w:tcPr>
            <w:tcW w:w="1465" w:type="dxa"/>
            <w:tcBorders>
              <w:top w:val="nil"/>
            </w:tcBorders>
            <w:vAlign w:val="center"/>
          </w:tcPr>
          <w:p>
            <w:pPr>
              <w:pStyle w:val="10"/>
              <w:keepNext/>
              <w:spacing w:after="0" w:line="440" w:lineRule="exact"/>
              <w:ind w:left="63" w:right="63"/>
              <w:rPr>
                <w:rFonts w:eastAsia="仿宋_GB2312"/>
                <w:sz w:val="30"/>
                <w:szCs w:val="30"/>
              </w:rPr>
            </w:pPr>
          </w:p>
        </w:tc>
        <w:tc>
          <w:tcPr>
            <w:tcW w:w="803" w:type="dxa"/>
            <w:tcBorders>
              <w:top w:val="nil"/>
            </w:tcBorders>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10"/>
              <w:keepNext/>
              <w:spacing w:after="0" w:line="440" w:lineRule="exact"/>
              <w:ind w:left="63" w:right="63"/>
              <w:rPr>
                <w:rFonts w:eastAsia="仿宋_GB2312"/>
                <w:sz w:val="30"/>
                <w:szCs w:val="30"/>
              </w:rPr>
            </w:pPr>
          </w:p>
        </w:tc>
        <w:tc>
          <w:tcPr>
            <w:tcW w:w="1134"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8"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c>
          <w:tcPr>
            <w:tcW w:w="1465" w:type="dxa"/>
            <w:vAlign w:val="center"/>
          </w:tcPr>
          <w:p>
            <w:pPr>
              <w:pStyle w:val="10"/>
              <w:keepNext/>
              <w:spacing w:after="0" w:line="440" w:lineRule="exact"/>
              <w:ind w:left="63" w:right="63"/>
              <w:rPr>
                <w:rFonts w:eastAsia="仿宋_GB2312"/>
                <w:sz w:val="30"/>
                <w:szCs w:val="30"/>
              </w:rPr>
            </w:pPr>
          </w:p>
        </w:tc>
        <w:tc>
          <w:tcPr>
            <w:tcW w:w="803"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eastAsia="仿宋_GB2312"/>
                <w:sz w:val="30"/>
                <w:szCs w:val="30"/>
              </w:rPr>
            </w:pPr>
          </w:p>
        </w:tc>
        <w:tc>
          <w:tcPr>
            <w:tcW w:w="1134"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708" w:type="dxa"/>
            <w:vAlign w:val="center"/>
          </w:tcPr>
          <w:p>
            <w:pPr>
              <w:jc w:val="center"/>
              <w:rPr>
                <w:rFonts w:eastAsia="仿宋_GB2312"/>
                <w:sz w:val="30"/>
                <w:szCs w:val="30"/>
              </w:rPr>
            </w:pPr>
          </w:p>
        </w:tc>
        <w:tc>
          <w:tcPr>
            <w:tcW w:w="709" w:type="dxa"/>
            <w:vAlign w:val="center"/>
          </w:tcPr>
          <w:p>
            <w:pPr>
              <w:jc w:val="center"/>
              <w:rPr>
                <w:rFonts w:eastAsia="仿宋_GB2312"/>
                <w:sz w:val="30"/>
                <w:szCs w:val="30"/>
              </w:rPr>
            </w:pPr>
          </w:p>
        </w:tc>
        <w:tc>
          <w:tcPr>
            <w:tcW w:w="851" w:type="dxa"/>
            <w:vAlign w:val="center"/>
          </w:tcPr>
          <w:p>
            <w:pPr>
              <w:jc w:val="center"/>
              <w:rPr>
                <w:rFonts w:eastAsia="仿宋_GB2312"/>
                <w:sz w:val="30"/>
                <w:szCs w:val="30"/>
              </w:rPr>
            </w:pPr>
          </w:p>
        </w:tc>
        <w:tc>
          <w:tcPr>
            <w:tcW w:w="850"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c>
          <w:tcPr>
            <w:tcW w:w="1465" w:type="dxa"/>
            <w:vAlign w:val="center"/>
          </w:tcPr>
          <w:p>
            <w:pPr>
              <w:jc w:val="center"/>
              <w:rPr>
                <w:rFonts w:eastAsia="仿宋_GB2312"/>
                <w:sz w:val="30"/>
                <w:szCs w:val="30"/>
              </w:rPr>
            </w:pPr>
          </w:p>
        </w:tc>
        <w:tc>
          <w:tcPr>
            <w:tcW w:w="803" w:type="dxa"/>
            <w:vAlign w:val="center"/>
          </w:tcPr>
          <w:p>
            <w:pPr>
              <w:jc w:val="center"/>
              <w:rPr>
                <w:rFonts w:eastAsia="仿宋_GB2312"/>
                <w:sz w:val="30"/>
                <w:szCs w:val="30"/>
              </w:rPr>
            </w:pPr>
          </w:p>
        </w:tc>
      </w:tr>
    </w:tbl>
    <w:p>
      <w:pPr>
        <w:spacing w:line="440" w:lineRule="exact"/>
        <w:rPr>
          <w:rFonts w:eastAsia="仿宋_GB2312"/>
          <w:sz w:val="30"/>
          <w:szCs w:val="30"/>
        </w:rPr>
      </w:pPr>
    </w:p>
    <w:p>
      <w:pPr>
        <w:spacing w:before="120" w:beforeLines="50" w:after="120" w:afterLines="50" w:line="440" w:lineRule="exact"/>
        <w:jc w:val="left"/>
        <w:rPr>
          <w:rFonts w:hint="eastAsia" w:ascii="宋体" w:hAnsi="宋体"/>
          <w:sz w:val="24"/>
        </w:rPr>
        <w:sectPr>
          <w:pgSz w:w="11906" w:h="16838"/>
          <w:pgMar w:top="1440" w:right="1797" w:bottom="1440" w:left="1797" w:header="851" w:footer="851" w:gutter="0"/>
          <w:cols w:space="720" w:num="1"/>
          <w:docGrid w:linePitch="312" w:charSpace="0"/>
        </w:sectPr>
      </w:pPr>
    </w:p>
    <w:p>
      <w:pPr>
        <w:spacing w:before="120" w:beforeLines="50" w:after="120" w:afterLines="50" w:line="440" w:lineRule="exact"/>
        <w:jc w:val="left"/>
        <w:rPr>
          <w:rFonts w:eastAsia="黑体"/>
          <w:sz w:val="30"/>
          <w:szCs w:val="30"/>
        </w:rPr>
      </w:pPr>
      <w:r>
        <w:rPr>
          <w:rFonts w:ascii="宋体" w:hAnsi="宋体"/>
          <w:sz w:val="24"/>
        </w:rPr>
        <w:t>附</w:t>
      </w:r>
      <w:r>
        <w:rPr>
          <w:sz w:val="24"/>
        </w:rPr>
        <w:t>件</w:t>
      </w:r>
      <w:r>
        <w:rPr>
          <w:rFonts w:hint="eastAsia"/>
          <w:sz w:val="24"/>
        </w:rPr>
        <w:t>四</w:t>
      </w:r>
      <w:r>
        <w:rPr>
          <w:sz w:val="24"/>
        </w:rPr>
        <w:t>：</w:t>
      </w:r>
    </w:p>
    <w:p>
      <w:pPr>
        <w:spacing w:before="120" w:beforeLines="50" w:after="120" w:afterLines="50" w:line="440" w:lineRule="exact"/>
        <w:jc w:val="center"/>
        <w:rPr>
          <w:rFonts w:eastAsia="黑体"/>
          <w:sz w:val="28"/>
          <w:szCs w:val="28"/>
        </w:rPr>
      </w:pPr>
      <w:r>
        <w:rPr>
          <w:rFonts w:eastAsia="黑体"/>
          <w:sz w:val="28"/>
          <w:szCs w:val="28"/>
        </w:rPr>
        <w:t>承包人用于本工程施工的机械设备表</w:t>
      </w:r>
    </w:p>
    <w:tbl>
      <w:tblPr>
        <w:tblStyle w:val="22"/>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8"/>
        <w:gridCol w:w="1417"/>
        <w:gridCol w:w="851"/>
        <w:gridCol w:w="709"/>
        <w:gridCol w:w="850"/>
        <w:gridCol w:w="851"/>
        <w:gridCol w:w="1276"/>
        <w:gridCol w:w="1275"/>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8"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序号</w:t>
            </w:r>
          </w:p>
        </w:tc>
        <w:tc>
          <w:tcPr>
            <w:tcW w:w="1417"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机械或设备名称</w:t>
            </w:r>
          </w:p>
        </w:tc>
        <w:tc>
          <w:tcPr>
            <w:tcW w:w="85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规格</w:t>
            </w:r>
          </w:p>
          <w:p>
            <w:pPr>
              <w:pStyle w:val="10"/>
              <w:keepNext/>
              <w:spacing w:after="0" w:line="440" w:lineRule="exact"/>
              <w:ind w:left="63" w:right="63"/>
              <w:jc w:val="center"/>
              <w:rPr>
                <w:rFonts w:hint="eastAsia" w:ascii="宋体" w:hAnsi="宋体"/>
                <w:szCs w:val="21"/>
              </w:rPr>
            </w:pPr>
            <w:r>
              <w:rPr>
                <w:rFonts w:ascii="宋体" w:hAnsi="宋体"/>
                <w:szCs w:val="21"/>
              </w:rPr>
              <w:t>型号</w:t>
            </w:r>
          </w:p>
        </w:tc>
        <w:tc>
          <w:tcPr>
            <w:tcW w:w="709"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数量</w:t>
            </w:r>
          </w:p>
        </w:tc>
        <w:tc>
          <w:tcPr>
            <w:tcW w:w="850"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产地</w:t>
            </w:r>
          </w:p>
        </w:tc>
        <w:tc>
          <w:tcPr>
            <w:tcW w:w="85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制造</w:t>
            </w:r>
          </w:p>
          <w:p>
            <w:pPr>
              <w:pStyle w:val="10"/>
              <w:keepNext/>
              <w:spacing w:after="0" w:line="440" w:lineRule="exact"/>
              <w:ind w:left="63" w:right="63"/>
              <w:jc w:val="center"/>
              <w:rPr>
                <w:rFonts w:hint="eastAsia" w:ascii="宋体" w:hAnsi="宋体"/>
                <w:szCs w:val="21"/>
              </w:rPr>
            </w:pPr>
            <w:r>
              <w:rPr>
                <w:rFonts w:ascii="宋体" w:hAnsi="宋体"/>
                <w:szCs w:val="21"/>
              </w:rPr>
              <w:t>年份</w:t>
            </w:r>
          </w:p>
        </w:tc>
        <w:tc>
          <w:tcPr>
            <w:tcW w:w="1276"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额定功率（kW）</w:t>
            </w:r>
          </w:p>
        </w:tc>
        <w:tc>
          <w:tcPr>
            <w:tcW w:w="1275"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生产能力</w:t>
            </w:r>
          </w:p>
        </w:tc>
        <w:tc>
          <w:tcPr>
            <w:tcW w:w="992"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1417"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51"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709"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50"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851"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1276"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1275"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c>
          <w:tcPr>
            <w:tcW w:w="992" w:type="dxa"/>
            <w:tcBorders>
              <w:top w:val="double" w:color="auto" w:sz="6" w:space="0"/>
              <w:bottom w:val="single" w:color="auto" w:sz="6" w:space="0"/>
            </w:tcBorders>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nil"/>
            </w:tcBorders>
            <w:vAlign w:val="center"/>
          </w:tcPr>
          <w:p>
            <w:pPr>
              <w:pStyle w:val="10"/>
              <w:keepNext/>
              <w:spacing w:after="0" w:line="440" w:lineRule="exact"/>
              <w:ind w:left="63" w:right="63"/>
              <w:rPr>
                <w:rFonts w:eastAsia="仿宋_GB2312"/>
                <w:sz w:val="30"/>
                <w:szCs w:val="30"/>
              </w:rPr>
            </w:pPr>
          </w:p>
        </w:tc>
        <w:tc>
          <w:tcPr>
            <w:tcW w:w="1417" w:type="dxa"/>
            <w:tcBorders>
              <w:top w:val="nil"/>
            </w:tcBorders>
            <w:vAlign w:val="center"/>
          </w:tcPr>
          <w:p>
            <w:pPr>
              <w:pStyle w:val="10"/>
              <w:keepNext/>
              <w:spacing w:after="0" w:line="440" w:lineRule="exact"/>
              <w:ind w:left="63" w:right="63"/>
              <w:rPr>
                <w:rFonts w:eastAsia="仿宋_GB2312"/>
                <w:sz w:val="30"/>
                <w:szCs w:val="30"/>
              </w:rPr>
            </w:pPr>
          </w:p>
        </w:tc>
        <w:tc>
          <w:tcPr>
            <w:tcW w:w="851" w:type="dxa"/>
            <w:tcBorders>
              <w:top w:val="nil"/>
            </w:tcBorders>
            <w:vAlign w:val="center"/>
          </w:tcPr>
          <w:p>
            <w:pPr>
              <w:pStyle w:val="10"/>
              <w:keepNext/>
              <w:spacing w:after="0" w:line="440" w:lineRule="exact"/>
              <w:ind w:left="63" w:right="63"/>
              <w:rPr>
                <w:rFonts w:eastAsia="仿宋_GB2312"/>
                <w:sz w:val="30"/>
                <w:szCs w:val="30"/>
              </w:rPr>
            </w:pPr>
          </w:p>
        </w:tc>
        <w:tc>
          <w:tcPr>
            <w:tcW w:w="709" w:type="dxa"/>
            <w:tcBorders>
              <w:top w:val="nil"/>
            </w:tcBorders>
            <w:vAlign w:val="center"/>
          </w:tcPr>
          <w:p>
            <w:pPr>
              <w:pStyle w:val="10"/>
              <w:keepNext/>
              <w:spacing w:after="0" w:line="440" w:lineRule="exact"/>
              <w:ind w:left="63" w:right="63"/>
              <w:rPr>
                <w:rFonts w:eastAsia="仿宋_GB2312"/>
                <w:sz w:val="30"/>
                <w:szCs w:val="30"/>
              </w:rPr>
            </w:pPr>
          </w:p>
        </w:tc>
        <w:tc>
          <w:tcPr>
            <w:tcW w:w="850" w:type="dxa"/>
            <w:tcBorders>
              <w:top w:val="nil"/>
            </w:tcBorders>
            <w:vAlign w:val="center"/>
          </w:tcPr>
          <w:p>
            <w:pPr>
              <w:pStyle w:val="10"/>
              <w:keepNext/>
              <w:spacing w:after="0" w:line="440" w:lineRule="exact"/>
              <w:ind w:left="63" w:right="63"/>
              <w:rPr>
                <w:rFonts w:eastAsia="仿宋_GB2312"/>
                <w:sz w:val="30"/>
                <w:szCs w:val="30"/>
              </w:rPr>
            </w:pPr>
          </w:p>
        </w:tc>
        <w:tc>
          <w:tcPr>
            <w:tcW w:w="851" w:type="dxa"/>
            <w:tcBorders>
              <w:top w:val="nil"/>
            </w:tcBorders>
            <w:vAlign w:val="center"/>
          </w:tcPr>
          <w:p>
            <w:pPr>
              <w:pStyle w:val="10"/>
              <w:keepNext/>
              <w:spacing w:after="0" w:line="440" w:lineRule="exact"/>
              <w:ind w:left="63" w:right="63"/>
              <w:rPr>
                <w:rFonts w:eastAsia="仿宋_GB2312"/>
                <w:sz w:val="30"/>
                <w:szCs w:val="30"/>
              </w:rPr>
            </w:pPr>
          </w:p>
        </w:tc>
        <w:tc>
          <w:tcPr>
            <w:tcW w:w="1276" w:type="dxa"/>
            <w:tcBorders>
              <w:top w:val="nil"/>
            </w:tcBorders>
            <w:vAlign w:val="center"/>
          </w:tcPr>
          <w:p>
            <w:pPr>
              <w:pStyle w:val="10"/>
              <w:keepNext/>
              <w:spacing w:after="0" w:line="440" w:lineRule="exact"/>
              <w:ind w:left="63" w:right="63"/>
              <w:rPr>
                <w:rFonts w:eastAsia="仿宋_GB2312"/>
                <w:sz w:val="30"/>
                <w:szCs w:val="30"/>
              </w:rPr>
            </w:pPr>
          </w:p>
        </w:tc>
        <w:tc>
          <w:tcPr>
            <w:tcW w:w="1275" w:type="dxa"/>
            <w:tcBorders>
              <w:top w:val="nil"/>
            </w:tcBorders>
            <w:vAlign w:val="center"/>
          </w:tcPr>
          <w:p>
            <w:pPr>
              <w:pStyle w:val="10"/>
              <w:keepNext/>
              <w:spacing w:after="0" w:line="440" w:lineRule="exact"/>
              <w:ind w:left="63" w:right="63"/>
              <w:rPr>
                <w:rFonts w:eastAsia="仿宋_GB2312"/>
                <w:sz w:val="30"/>
                <w:szCs w:val="30"/>
              </w:rPr>
            </w:pPr>
          </w:p>
        </w:tc>
        <w:tc>
          <w:tcPr>
            <w:tcW w:w="992" w:type="dxa"/>
            <w:tcBorders>
              <w:top w:val="nil"/>
            </w:tcBorders>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10"/>
              <w:keepNext/>
              <w:spacing w:after="0" w:line="440" w:lineRule="exact"/>
              <w:ind w:left="63" w:right="63"/>
              <w:rPr>
                <w:rFonts w:eastAsia="仿宋_GB2312"/>
                <w:sz w:val="30"/>
                <w:szCs w:val="30"/>
              </w:rPr>
            </w:pPr>
          </w:p>
        </w:tc>
        <w:tc>
          <w:tcPr>
            <w:tcW w:w="1417"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709" w:type="dxa"/>
            <w:vAlign w:val="center"/>
          </w:tcPr>
          <w:p>
            <w:pPr>
              <w:pStyle w:val="10"/>
              <w:keepNext/>
              <w:spacing w:after="0" w:line="440" w:lineRule="exact"/>
              <w:ind w:left="63" w:right="63"/>
              <w:rPr>
                <w:rFonts w:eastAsia="仿宋_GB2312"/>
                <w:sz w:val="30"/>
                <w:szCs w:val="30"/>
              </w:rPr>
            </w:pPr>
          </w:p>
        </w:tc>
        <w:tc>
          <w:tcPr>
            <w:tcW w:w="850" w:type="dxa"/>
            <w:vAlign w:val="center"/>
          </w:tcPr>
          <w:p>
            <w:pPr>
              <w:pStyle w:val="10"/>
              <w:keepNext/>
              <w:spacing w:after="0" w:line="440" w:lineRule="exact"/>
              <w:ind w:left="63" w:right="63"/>
              <w:rPr>
                <w:rFonts w:eastAsia="仿宋_GB2312"/>
                <w:sz w:val="30"/>
                <w:szCs w:val="30"/>
              </w:rPr>
            </w:pPr>
          </w:p>
        </w:tc>
        <w:tc>
          <w:tcPr>
            <w:tcW w:w="851" w:type="dxa"/>
            <w:vAlign w:val="center"/>
          </w:tcPr>
          <w:p>
            <w:pPr>
              <w:pStyle w:val="10"/>
              <w:keepNext/>
              <w:spacing w:after="0" w:line="440" w:lineRule="exact"/>
              <w:ind w:left="63" w:right="63"/>
              <w:rPr>
                <w:rFonts w:eastAsia="仿宋_GB2312"/>
                <w:sz w:val="30"/>
                <w:szCs w:val="30"/>
              </w:rPr>
            </w:pPr>
          </w:p>
        </w:tc>
        <w:tc>
          <w:tcPr>
            <w:tcW w:w="1276" w:type="dxa"/>
            <w:vAlign w:val="center"/>
          </w:tcPr>
          <w:p>
            <w:pPr>
              <w:pStyle w:val="10"/>
              <w:keepNext/>
              <w:spacing w:after="0" w:line="440" w:lineRule="exact"/>
              <w:ind w:left="63" w:right="63"/>
              <w:rPr>
                <w:rFonts w:eastAsia="仿宋_GB2312"/>
                <w:sz w:val="30"/>
                <w:szCs w:val="30"/>
              </w:rPr>
            </w:pPr>
          </w:p>
        </w:tc>
        <w:tc>
          <w:tcPr>
            <w:tcW w:w="1275" w:type="dxa"/>
            <w:vAlign w:val="center"/>
          </w:tcPr>
          <w:p>
            <w:pPr>
              <w:pStyle w:val="10"/>
              <w:keepNext/>
              <w:spacing w:after="0" w:line="440" w:lineRule="exact"/>
              <w:ind w:left="63" w:right="63"/>
              <w:rPr>
                <w:rFonts w:eastAsia="仿宋_GB2312"/>
                <w:sz w:val="30"/>
                <w:szCs w:val="30"/>
              </w:rPr>
            </w:pPr>
          </w:p>
        </w:tc>
        <w:tc>
          <w:tcPr>
            <w:tcW w:w="992" w:type="dxa"/>
            <w:vAlign w:val="center"/>
          </w:tcPr>
          <w:p>
            <w:pPr>
              <w:pStyle w:val="10"/>
              <w:keepNext/>
              <w:spacing w:after="0" w:line="440" w:lineRule="exact"/>
              <w:ind w:left="63" w:right="63"/>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eastAsia="仿宋_GB2312"/>
                <w:sz w:val="30"/>
                <w:szCs w:val="30"/>
              </w:rPr>
            </w:pPr>
          </w:p>
        </w:tc>
        <w:tc>
          <w:tcPr>
            <w:tcW w:w="1417" w:type="dxa"/>
          </w:tcPr>
          <w:p>
            <w:pPr>
              <w:rPr>
                <w:rFonts w:eastAsia="仿宋_GB2312"/>
                <w:sz w:val="30"/>
                <w:szCs w:val="30"/>
              </w:rPr>
            </w:pPr>
          </w:p>
        </w:tc>
        <w:tc>
          <w:tcPr>
            <w:tcW w:w="851" w:type="dxa"/>
          </w:tcPr>
          <w:p>
            <w:pPr>
              <w:rPr>
                <w:rFonts w:eastAsia="仿宋_GB2312"/>
                <w:sz w:val="30"/>
                <w:szCs w:val="30"/>
              </w:rPr>
            </w:pPr>
          </w:p>
        </w:tc>
        <w:tc>
          <w:tcPr>
            <w:tcW w:w="709" w:type="dxa"/>
          </w:tcPr>
          <w:p>
            <w:pPr>
              <w:rPr>
                <w:rFonts w:eastAsia="仿宋_GB2312"/>
                <w:sz w:val="30"/>
                <w:szCs w:val="30"/>
              </w:rPr>
            </w:pPr>
          </w:p>
        </w:tc>
        <w:tc>
          <w:tcPr>
            <w:tcW w:w="850" w:type="dxa"/>
          </w:tcPr>
          <w:p>
            <w:pPr>
              <w:rPr>
                <w:rFonts w:eastAsia="仿宋_GB2312"/>
                <w:sz w:val="30"/>
                <w:szCs w:val="30"/>
              </w:rPr>
            </w:pPr>
          </w:p>
        </w:tc>
        <w:tc>
          <w:tcPr>
            <w:tcW w:w="851" w:type="dxa"/>
          </w:tcPr>
          <w:p>
            <w:pPr>
              <w:rPr>
                <w:rFonts w:eastAsia="仿宋_GB2312"/>
                <w:sz w:val="30"/>
                <w:szCs w:val="30"/>
              </w:rPr>
            </w:pPr>
          </w:p>
        </w:tc>
        <w:tc>
          <w:tcPr>
            <w:tcW w:w="1276" w:type="dxa"/>
          </w:tcPr>
          <w:p>
            <w:pPr>
              <w:rPr>
                <w:rFonts w:eastAsia="仿宋_GB2312"/>
                <w:sz w:val="30"/>
                <w:szCs w:val="30"/>
              </w:rPr>
            </w:pPr>
          </w:p>
        </w:tc>
        <w:tc>
          <w:tcPr>
            <w:tcW w:w="1275" w:type="dxa"/>
          </w:tcPr>
          <w:p>
            <w:pPr>
              <w:rPr>
                <w:rFonts w:eastAsia="仿宋_GB2312"/>
                <w:sz w:val="30"/>
                <w:szCs w:val="30"/>
              </w:rPr>
            </w:pPr>
          </w:p>
        </w:tc>
        <w:tc>
          <w:tcPr>
            <w:tcW w:w="992" w:type="dxa"/>
          </w:tcPr>
          <w:p>
            <w:pPr>
              <w:rPr>
                <w:rFonts w:eastAsia="仿宋_GB2312"/>
                <w:sz w:val="30"/>
                <w:szCs w:val="30"/>
              </w:rPr>
            </w:pPr>
          </w:p>
        </w:tc>
      </w:tr>
    </w:tbl>
    <w:p>
      <w:pPr>
        <w:spacing w:before="120" w:beforeLines="50" w:after="120" w:afterLines="50" w:line="440" w:lineRule="exact"/>
        <w:jc w:val="left"/>
        <w:rPr>
          <w:rFonts w:hint="eastAsia" w:ascii="宋体" w:hAnsi="宋体"/>
          <w:sz w:val="24"/>
        </w:rPr>
        <w:sectPr>
          <w:pgSz w:w="11906" w:h="16838"/>
          <w:pgMar w:top="1440" w:right="1797" w:bottom="1440" w:left="1797" w:header="851" w:footer="851" w:gutter="0"/>
          <w:cols w:space="720" w:num="1"/>
          <w:docGrid w:linePitch="312" w:charSpace="0"/>
        </w:sectPr>
      </w:pPr>
    </w:p>
    <w:p>
      <w:pPr>
        <w:spacing w:before="156" w:beforeLines="50" w:after="156" w:afterLines="50" w:line="440" w:lineRule="exact"/>
        <w:jc w:val="left"/>
        <w:rPr>
          <w:rFonts w:hint="eastAsia" w:ascii="宋体" w:hAnsi="宋体"/>
          <w:sz w:val="24"/>
        </w:rPr>
      </w:pPr>
      <w:r>
        <w:rPr>
          <w:rFonts w:ascii="宋体" w:hAnsi="宋体"/>
          <w:sz w:val="24"/>
        </w:rPr>
        <w:t>附件</w:t>
      </w:r>
      <w:r>
        <w:rPr>
          <w:rFonts w:hint="eastAsia"/>
          <w:sz w:val="24"/>
        </w:rPr>
        <w:t>五</w:t>
      </w:r>
      <w:r>
        <w:rPr>
          <w:sz w:val="24"/>
        </w:rPr>
        <w:t>：</w:t>
      </w:r>
    </w:p>
    <w:p>
      <w:pPr>
        <w:spacing w:before="156" w:beforeLines="50" w:after="156" w:afterLines="50" w:line="440" w:lineRule="exact"/>
        <w:jc w:val="center"/>
        <w:rPr>
          <w:rFonts w:eastAsia="黑体"/>
          <w:sz w:val="28"/>
          <w:szCs w:val="28"/>
        </w:rPr>
      </w:pPr>
      <w:r>
        <w:rPr>
          <w:rFonts w:eastAsia="黑体"/>
          <w:sz w:val="28"/>
          <w:szCs w:val="28"/>
        </w:rPr>
        <w:t>承包人主要施工管理人员表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名    称</w:t>
            </w:r>
          </w:p>
        </w:tc>
        <w:tc>
          <w:tcPr>
            <w:tcW w:w="1418"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姓名</w:t>
            </w:r>
          </w:p>
        </w:tc>
        <w:tc>
          <w:tcPr>
            <w:tcW w:w="113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职务</w:t>
            </w:r>
          </w:p>
        </w:tc>
        <w:tc>
          <w:tcPr>
            <w:tcW w:w="113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职称</w:t>
            </w:r>
          </w:p>
        </w:tc>
        <w:tc>
          <w:tcPr>
            <w:tcW w:w="4252"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项目主管</w:t>
            </w:r>
          </w:p>
        </w:tc>
        <w:tc>
          <w:tcPr>
            <w:tcW w:w="1418" w:type="dxa"/>
            <w:tcBorders>
              <w:top w:val="nil"/>
            </w:tcBorders>
            <w:vAlign w:val="center"/>
          </w:tcPr>
          <w:p>
            <w:pPr>
              <w:pStyle w:val="10"/>
              <w:keepNext/>
              <w:spacing w:after="0" w:line="440" w:lineRule="exact"/>
              <w:ind w:left="63" w:right="63"/>
              <w:jc w:val="center"/>
              <w:rPr>
                <w:rFonts w:hint="eastAsia" w:ascii="宋体" w:hAnsi="宋体"/>
                <w:szCs w:val="21"/>
              </w:rPr>
            </w:pPr>
          </w:p>
        </w:tc>
        <w:tc>
          <w:tcPr>
            <w:tcW w:w="1134" w:type="dxa"/>
            <w:tcBorders>
              <w:top w:val="nil"/>
            </w:tcBorders>
            <w:vAlign w:val="center"/>
          </w:tcPr>
          <w:p>
            <w:pPr>
              <w:pStyle w:val="10"/>
              <w:keepNext/>
              <w:spacing w:after="0" w:line="440" w:lineRule="exact"/>
              <w:ind w:left="63" w:right="63"/>
              <w:jc w:val="center"/>
              <w:rPr>
                <w:rFonts w:hint="eastAsia" w:ascii="宋体" w:hAnsi="宋体"/>
                <w:szCs w:val="21"/>
              </w:rPr>
            </w:pPr>
          </w:p>
        </w:tc>
        <w:tc>
          <w:tcPr>
            <w:tcW w:w="1134" w:type="dxa"/>
            <w:tcBorders>
              <w:top w:val="nil"/>
            </w:tcBorders>
            <w:vAlign w:val="center"/>
          </w:tcPr>
          <w:p>
            <w:pPr>
              <w:pStyle w:val="10"/>
              <w:keepNext/>
              <w:spacing w:after="0" w:line="440" w:lineRule="exact"/>
              <w:ind w:left="63" w:right="63"/>
              <w:jc w:val="center"/>
              <w:rPr>
                <w:rFonts w:hint="eastAsia" w:ascii="宋体" w:hAnsi="宋体"/>
                <w:szCs w:val="21"/>
              </w:rPr>
            </w:pPr>
          </w:p>
        </w:tc>
        <w:tc>
          <w:tcPr>
            <w:tcW w:w="4252" w:type="dxa"/>
            <w:tcBorders>
              <w:top w:val="nil"/>
            </w:tcBorders>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10"/>
              <w:keepNext/>
              <w:spacing w:after="0" w:line="440" w:lineRule="exact"/>
              <w:ind w:left="63" w:right="63"/>
              <w:jc w:val="center"/>
              <w:rPr>
                <w:rFonts w:hint="eastAsia" w:ascii="宋体" w:hAnsi="宋体"/>
                <w:szCs w:val="21"/>
              </w:rPr>
            </w:pP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其他人员</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0"/>
              <w:keepNext/>
              <w:spacing w:after="0" w:line="440" w:lineRule="exact"/>
              <w:ind w:left="63" w:right="63"/>
              <w:jc w:val="center"/>
              <w:rPr>
                <w:rFonts w:hint="eastAsia" w:ascii="宋体" w:hAnsi="宋体"/>
                <w:szCs w:val="21"/>
              </w:rPr>
            </w:pP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项目经理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项目副经理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技术负责人</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造价管理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质量管理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材料管理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计划管理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安全管理</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其他人员</w:t>
            </w: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0"/>
              <w:keepNext/>
              <w:spacing w:after="0" w:line="440" w:lineRule="exact"/>
              <w:ind w:left="63" w:right="63"/>
              <w:jc w:val="center"/>
              <w:rPr>
                <w:rFonts w:hint="eastAsia" w:ascii="宋体" w:hAnsi="宋体"/>
                <w:szCs w:val="21"/>
              </w:rPr>
            </w:pPr>
          </w:p>
        </w:tc>
        <w:tc>
          <w:tcPr>
            <w:tcW w:w="1418" w:type="dxa"/>
            <w:tcBorders>
              <w:bottom w:val="nil"/>
            </w:tcBorders>
            <w:vAlign w:val="center"/>
          </w:tcPr>
          <w:p>
            <w:pPr>
              <w:pStyle w:val="10"/>
              <w:keepNext/>
              <w:spacing w:after="0" w:line="440" w:lineRule="exact"/>
              <w:ind w:left="63" w:right="63"/>
              <w:jc w:val="center"/>
              <w:rPr>
                <w:rFonts w:hint="eastAsia" w:ascii="宋体" w:hAnsi="宋体"/>
                <w:szCs w:val="21"/>
              </w:rPr>
            </w:pPr>
          </w:p>
        </w:tc>
        <w:tc>
          <w:tcPr>
            <w:tcW w:w="1134" w:type="dxa"/>
            <w:tcBorders>
              <w:bottom w:val="nil"/>
            </w:tcBorders>
            <w:vAlign w:val="center"/>
          </w:tcPr>
          <w:p>
            <w:pPr>
              <w:pStyle w:val="10"/>
              <w:keepNext/>
              <w:spacing w:after="0" w:line="440" w:lineRule="exact"/>
              <w:ind w:left="63" w:right="63"/>
              <w:jc w:val="center"/>
              <w:rPr>
                <w:rFonts w:hint="eastAsia" w:ascii="宋体" w:hAnsi="宋体"/>
                <w:szCs w:val="21"/>
              </w:rPr>
            </w:pPr>
          </w:p>
        </w:tc>
        <w:tc>
          <w:tcPr>
            <w:tcW w:w="1134" w:type="dxa"/>
            <w:tcBorders>
              <w:bottom w:val="nil"/>
            </w:tcBorders>
            <w:vAlign w:val="center"/>
          </w:tcPr>
          <w:p>
            <w:pPr>
              <w:pStyle w:val="10"/>
              <w:keepNext/>
              <w:spacing w:after="0" w:line="440" w:lineRule="exact"/>
              <w:ind w:left="63" w:right="63"/>
              <w:jc w:val="center"/>
              <w:rPr>
                <w:rFonts w:hint="eastAsia" w:ascii="宋体" w:hAnsi="宋体"/>
                <w:szCs w:val="21"/>
              </w:rPr>
            </w:pPr>
          </w:p>
        </w:tc>
        <w:tc>
          <w:tcPr>
            <w:tcW w:w="4252" w:type="dxa"/>
            <w:tcBorders>
              <w:bottom w:val="nil"/>
            </w:tcBorders>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0"/>
              <w:keepNext/>
              <w:spacing w:after="0" w:line="440" w:lineRule="exact"/>
              <w:ind w:left="63" w:right="63"/>
              <w:jc w:val="center"/>
              <w:rPr>
                <w:rFonts w:hint="eastAsia" w:ascii="宋体" w:hAnsi="宋体"/>
                <w:szCs w:val="21"/>
              </w:rPr>
            </w:pP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0"/>
              <w:keepNext/>
              <w:spacing w:after="0" w:line="440" w:lineRule="exact"/>
              <w:ind w:left="63" w:right="63"/>
              <w:jc w:val="center"/>
              <w:rPr>
                <w:rFonts w:hint="eastAsia" w:ascii="宋体" w:hAnsi="宋体"/>
                <w:szCs w:val="21"/>
              </w:rPr>
            </w:pP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0"/>
              <w:keepNext/>
              <w:spacing w:after="0" w:line="440" w:lineRule="exact"/>
              <w:ind w:left="63" w:right="63"/>
              <w:jc w:val="center"/>
              <w:rPr>
                <w:rFonts w:hint="eastAsia" w:ascii="宋体" w:hAnsi="宋体"/>
                <w:szCs w:val="21"/>
              </w:rPr>
            </w:pPr>
          </w:p>
        </w:tc>
        <w:tc>
          <w:tcPr>
            <w:tcW w:w="1418"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1134" w:type="dxa"/>
            <w:vAlign w:val="center"/>
          </w:tcPr>
          <w:p>
            <w:pPr>
              <w:pStyle w:val="10"/>
              <w:keepNext/>
              <w:spacing w:after="0" w:line="440" w:lineRule="exact"/>
              <w:ind w:left="63" w:right="63"/>
              <w:jc w:val="center"/>
              <w:rPr>
                <w:rFonts w:hint="eastAsia" w:ascii="宋体" w:hAnsi="宋体"/>
                <w:szCs w:val="21"/>
              </w:rPr>
            </w:pPr>
          </w:p>
        </w:tc>
        <w:tc>
          <w:tcPr>
            <w:tcW w:w="4252" w:type="dxa"/>
            <w:vAlign w:val="center"/>
          </w:tcPr>
          <w:p>
            <w:pPr>
              <w:pStyle w:val="10"/>
              <w:keepNext/>
              <w:spacing w:after="0" w:line="440" w:lineRule="exact"/>
              <w:ind w:left="63" w:right="63"/>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10"/>
              <w:keepNext/>
              <w:spacing w:after="0" w:line="440" w:lineRule="exact"/>
              <w:ind w:left="63" w:right="63"/>
              <w:jc w:val="center"/>
              <w:rPr>
                <w:rFonts w:hint="eastAsia" w:ascii="宋体" w:hAnsi="宋体"/>
                <w:szCs w:val="21"/>
              </w:rPr>
            </w:pPr>
          </w:p>
        </w:tc>
        <w:tc>
          <w:tcPr>
            <w:tcW w:w="1418" w:type="dxa"/>
            <w:tcBorders>
              <w:bottom w:val="single" w:color="auto" w:sz="12" w:space="0"/>
            </w:tcBorders>
            <w:vAlign w:val="center"/>
          </w:tcPr>
          <w:p>
            <w:pPr>
              <w:pStyle w:val="10"/>
              <w:keepNext/>
              <w:spacing w:after="0" w:line="440" w:lineRule="exact"/>
              <w:ind w:left="63" w:right="63"/>
              <w:jc w:val="center"/>
              <w:rPr>
                <w:rFonts w:hint="eastAsia" w:ascii="宋体" w:hAnsi="宋体"/>
                <w:szCs w:val="21"/>
              </w:rPr>
            </w:pPr>
          </w:p>
        </w:tc>
        <w:tc>
          <w:tcPr>
            <w:tcW w:w="1134" w:type="dxa"/>
            <w:tcBorders>
              <w:bottom w:val="single" w:color="auto" w:sz="12" w:space="0"/>
            </w:tcBorders>
            <w:vAlign w:val="center"/>
          </w:tcPr>
          <w:p>
            <w:pPr>
              <w:pStyle w:val="10"/>
              <w:keepNext/>
              <w:spacing w:after="0" w:line="440" w:lineRule="exact"/>
              <w:ind w:left="63" w:right="63"/>
              <w:jc w:val="center"/>
              <w:rPr>
                <w:rFonts w:hint="eastAsia" w:ascii="宋体" w:hAnsi="宋体"/>
                <w:szCs w:val="21"/>
              </w:rPr>
            </w:pPr>
          </w:p>
        </w:tc>
        <w:tc>
          <w:tcPr>
            <w:tcW w:w="1134" w:type="dxa"/>
            <w:tcBorders>
              <w:bottom w:val="single" w:color="auto" w:sz="12" w:space="0"/>
            </w:tcBorders>
            <w:vAlign w:val="center"/>
          </w:tcPr>
          <w:p>
            <w:pPr>
              <w:pStyle w:val="10"/>
              <w:keepNext/>
              <w:spacing w:after="0" w:line="440" w:lineRule="exact"/>
              <w:ind w:left="63" w:right="63"/>
              <w:jc w:val="center"/>
              <w:rPr>
                <w:rFonts w:hint="eastAsia" w:ascii="宋体" w:hAnsi="宋体"/>
                <w:szCs w:val="21"/>
              </w:rPr>
            </w:pPr>
          </w:p>
        </w:tc>
        <w:tc>
          <w:tcPr>
            <w:tcW w:w="4252" w:type="dxa"/>
            <w:tcBorders>
              <w:bottom w:val="single" w:color="auto" w:sz="12" w:space="0"/>
            </w:tcBorders>
            <w:vAlign w:val="center"/>
          </w:tcPr>
          <w:p>
            <w:pPr>
              <w:pStyle w:val="10"/>
              <w:keepNext/>
              <w:spacing w:after="0" w:line="440" w:lineRule="exact"/>
              <w:ind w:left="63" w:right="63"/>
              <w:jc w:val="center"/>
              <w:rPr>
                <w:rFonts w:hint="eastAsia" w:ascii="宋体" w:hAnsi="宋体"/>
                <w:szCs w:val="21"/>
              </w:rPr>
            </w:pPr>
          </w:p>
        </w:tc>
      </w:tr>
    </w:tbl>
    <w:p>
      <w:pPr>
        <w:spacing w:before="156" w:beforeLines="50" w:after="156" w:afterLines="50" w:line="440" w:lineRule="exact"/>
        <w:jc w:val="left"/>
        <w:rPr>
          <w:sz w:val="30"/>
          <w:szCs w:val="30"/>
        </w:rPr>
      </w:pPr>
      <w:r>
        <w:rPr>
          <w:rFonts w:eastAsia="仿宋_GB2312"/>
          <w:sz w:val="30"/>
          <w:szCs w:val="30"/>
        </w:rPr>
        <w:br w:type="page"/>
      </w:r>
      <w:r>
        <w:rPr>
          <w:rFonts w:ascii="宋体" w:hAnsi="宋体"/>
          <w:sz w:val="24"/>
        </w:rPr>
        <w:t>附件</w:t>
      </w:r>
      <w:r>
        <w:rPr>
          <w:rFonts w:hint="eastAsia"/>
          <w:sz w:val="24"/>
        </w:rPr>
        <w:t>六</w:t>
      </w:r>
      <w:r>
        <w:rPr>
          <w:sz w:val="24"/>
        </w:rPr>
        <w:t>：</w:t>
      </w:r>
      <w:r>
        <w:rPr>
          <w:rFonts w:hint="eastAsia"/>
          <w:sz w:val="24"/>
        </w:rPr>
        <w:t>履约保函格式</w:t>
      </w:r>
    </w:p>
    <w:p>
      <w:pPr>
        <w:spacing w:before="156" w:beforeLines="50" w:after="156" w:afterLines="50" w:line="440" w:lineRule="exact"/>
        <w:jc w:val="left"/>
        <w:rPr>
          <w:rFonts w:hint="eastAsia" w:ascii="宋体" w:hAnsi="宋体"/>
          <w:sz w:val="24"/>
        </w:rPr>
      </w:pPr>
      <w:r>
        <w:rPr>
          <w:rFonts w:ascii="宋体" w:hAnsi="宋体"/>
          <w:sz w:val="24"/>
        </w:rPr>
        <w:t>附</w:t>
      </w:r>
      <w:r>
        <w:rPr>
          <w:sz w:val="24"/>
        </w:rPr>
        <w:t>件</w:t>
      </w:r>
      <w:r>
        <w:rPr>
          <w:rFonts w:hint="eastAsia"/>
          <w:sz w:val="24"/>
        </w:rPr>
        <w:t>七</w:t>
      </w:r>
      <w:r>
        <w:rPr>
          <w:sz w:val="24"/>
        </w:rPr>
        <w:t xml:space="preserve"> ：</w:t>
      </w:r>
      <w:r>
        <w:rPr>
          <w:rFonts w:hint="eastAsia"/>
          <w:sz w:val="24"/>
        </w:rPr>
        <w:t>预付款保函格式</w:t>
      </w:r>
    </w:p>
    <w:p>
      <w:pPr>
        <w:spacing w:before="156" w:beforeLines="50" w:after="156" w:afterLines="50" w:line="440" w:lineRule="exact"/>
        <w:jc w:val="left"/>
        <w:rPr>
          <w:rFonts w:eastAsia="黑体"/>
          <w:sz w:val="30"/>
          <w:szCs w:val="30"/>
        </w:rPr>
      </w:pPr>
      <w:r>
        <w:rPr>
          <w:rFonts w:ascii="宋体" w:hAnsi="宋体"/>
          <w:sz w:val="24"/>
        </w:rPr>
        <w:t>附</w:t>
      </w:r>
      <w:r>
        <w:rPr>
          <w:sz w:val="24"/>
        </w:rPr>
        <w:t>件</w:t>
      </w:r>
      <w:r>
        <w:rPr>
          <w:rFonts w:hint="eastAsia"/>
          <w:sz w:val="24"/>
        </w:rPr>
        <w:t>八</w:t>
      </w:r>
      <w:r>
        <w:rPr>
          <w:sz w:val="24"/>
        </w:rPr>
        <w:t>：</w:t>
      </w:r>
    </w:p>
    <w:p>
      <w:pPr>
        <w:spacing w:before="156" w:beforeLines="50" w:after="156" w:afterLines="50" w:line="440" w:lineRule="exact"/>
        <w:jc w:val="center"/>
        <w:rPr>
          <w:rFonts w:eastAsia="黑体"/>
          <w:sz w:val="28"/>
          <w:szCs w:val="28"/>
        </w:rPr>
      </w:pPr>
      <w:r>
        <w:rPr>
          <w:rFonts w:eastAsia="黑体"/>
          <w:sz w:val="28"/>
          <w:szCs w:val="28"/>
        </w:rPr>
        <w:t>材料暂估价表</w:t>
      </w:r>
    </w:p>
    <w:tbl>
      <w:tblPr>
        <w:tblStyle w:val="22"/>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序号</w:t>
            </w:r>
          </w:p>
        </w:tc>
        <w:tc>
          <w:tcPr>
            <w:tcW w:w="198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名称</w:t>
            </w:r>
          </w:p>
        </w:tc>
        <w:tc>
          <w:tcPr>
            <w:tcW w:w="85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单位</w:t>
            </w:r>
          </w:p>
        </w:tc>
        <w:tc>
          <w:tcPr>
            <w:tcW w:w="77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数量</w:t>
            </w:r>
          </w:p>
        </w:tc>
        <w:tc>
          <w:tcPr>
            <w:tcW w:w="1352"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单价</w:t>
            </w:r>
            <w:r>
              <w:rPr>
                <w:rFonts w:hint="eastAsia" w:ascii="宋体" w:hAnsi="宋体"/>
                <w:szCs w:val="21"/>
              </w:rPr>
              <w:t>（元）</w:t>
            </w:r>
          </w:p>
        </w:tc>
        <w:tc>
          <w:tcPr>
            <w:tcW w:w="1418"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合价</w:t>
            </w:r>
            <w:r>
              <w:rPr>
                <w:rFonts w:hint="eastAsia" w:ascii="宋体" w:hAnsi="宋体"/>
                <w:szCs w:val="21"/>
              </w:rPr>
              <w:t>（元）</w:t>
            </w:r>
          </w:p>
        </w:tc>
        <w:tc>
          <w:tcPr>
            <w:tcW w:w="170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984"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851"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774"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352"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418"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701"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10"/>
              <w:keepNext/>
              <w:spacing w:after="0" w:line="440" w:lineRule="exact"/>
              <w:ind w:left="63" w:right="63"/>
              <w:rPr>
                <w:rFonts w:eastAsia="仿宋_GB2312"/>
                <w:sz w:val="28"/>
                <w:szCs w:val="30"/>
              </w:rPr>
            </w:pPr>
          </w:p>
        </w:tc>
        <w:tc>
          <w:tcPr>
            <w:tcW w:w="1984" w:type="dxa"/>
            <w:tcBorders>
              <w:top w:val="nil"/>
            </w:tcBorders>
          </w:tcPr>
          <w:p>
            <w:pPr>
              <w:pStyle w:val="10"/>
              <w:keepNext/>
              <w:spacing w:after="0" w:line="440" w:lineRule="exact"/>
              <w:ind w:left="63" w:right="63"/>
              <w:rPr>
                <w:rFonts w:eastAsia="仿宋_GB2312"/>
                <w:sz w:val="28"/>
                <w:szCs w:val="30"/>
              </w:rPr>
            </w:pPr>
          </w:p>
        </w:tc>
        <w:tc>
          <w:tcPr>
            <w:tcW w:w="851" w:type="dxa"/>
            <w:tcBorders>
              <w:top w:val="nil"/>
            </w:tcBorders>
          </w:tcPr>
          <w:p>
            <w:pPr>
              <w:pStyle w:val="10"/>
              <w:keepNext/>
              <w:spacing w:after="0" w:line="440" w:lineRule="exact"/>
              <w:ind w:left="63" w:right="63"/>
              <w:rPr>
                <w:rFonts w:eastAsia="仿宋_GB2312"/>
                <w:sz w:val="28"/>
                <w:szCs w:val="30"/>
              </w:rPr>
            </w:pPr>
          </w:p>
        </w:tc>
        <w:tc>
          <w:tcPr>
            <w:tcW w:w="774" w:type="dxa"/>
            <w:tcBorders>
              <w:top w:val="nil"/>
            </w:tcBorders>
          </w:tcPr>
          <w:p>
            <w:pPr>
              <w:pStyle w:val="10"/>
              <w:keepNext/>
              <w:spacing w:after="0" w:line="440" w:lineRule="exact"/>
              <w:ind w:left="63" w:right="63"/>
              <w:rPr>
                <w:rFonts w:eastAsia="仿宋_GB2312"/>
                <w:sz w:val="28"/>
                <w:szCs w:val="30"/>
              </w:rPr>
            </w:pPr>
          </w:p>
        </w:tc>
        <w:tc>
          <w:tcPr>
            <w:tcW w:w="1352" w:type="dxa"/>
            <w:tcBorders>
              <w:top w:val="nil"/>
            </w:tcBorders>
          </w:tcPr>
          <w:p>
            <w:pPr>
              <w:pStyle w:val="10"/>
              <w:keepNext/>
              <w:spacing w:after="0" w:line="440" w:lineRule="exact"/>
              <w:ind w:left="63" w:right="63"/>
              <w:rPr>
                <w:rFonts w:eastAsia="仿宋_GB2312"/>
                <w:sz w:val="28"/>
                <w:szCs w:val="30"/>
              </w:rPr>
            </w:pPr>
          </w:p>
        </w:tc>
        <w:tc>
          <w:tcPr>
            <w:tcW w:w="1418" w:type="dxa"/>
            <w:tcBorders>
              <w:top w:val="nil"/>
            </w:tcBorders>
          </w:tcPr>
          <w:p>
            <w:pPr>
              <w:pStyle w:val="10"/>
              <w:keepNext/>
              <w:spacing w:after="0" w:line="440" w:lineRule="exact"/>
              <w:ind w:left="63" w:right="63"/>
              <w:rPr>
                <w:rFonts w:eastAsia="仿宋_GB2312"/>
                <w:sz w:val="28"/>
                <w:szCs w:val="30"/>
              </w:rPr>
            </w:pPr>
          </w:p>
        </w:tc>
        <w:tc>
          <w:tcPr>
            <w:tcW w:w="1701" w:type="dxa"/>
            <w:tcBorders>
              <w:top w:val="nil"/>
            </w:tcBorders>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bl>
    <w:p>
      <w:pPr>
        <w:spacing w:before="156" w:beforeLines="50" w:after="156" w:afterLines="50" w:line="440" w:lineRule="exact"/>
        <w:rPr>
          <w:rFonts w:eastAsia="黑体"/>
          <w:sz w:val="30"/>
          <w:szCs w:val="30"/>
        </w:rPr>
      </w:pPr>
    </w:p>
    <w:p/>
    <w:p>
      <w:pPr>
        <w:spacing w:before="156" w:beforeLines="50" w:after="156" w:afterLines="50" w:line="440" w:lineRule="exact"/>
        <w:jc w:val="left"/>
        <w:rPr>
          <w:sz w:val="24"/>
        </w:rPr>
      </w:pPr>
      <w:r>
        <w:rPr>
          <w:rFonts w:hint="eastAsia"/>
          <w:sz w:val="24"/>
        </w:rPr>
        <w:t xml:space="preserve">附件九：                   </w:t>
      </w:r>
    </w:p>
    <w:p>
      <w:pPr>
        <w:spacing w:before="156" w:beforeLines="50" w:after="156" w:afterLines="50" w:line="440" w:lineRule="exact"/>
        <w:jc w:val="center"/>
        <w:rPr>
          <w:rFonts w:eastAsia="黑体"/>
          <w:sz w:val="28"/>
          <w:szCs w:val="28"/>
        </w:rPr>
      </w:pPr>
      <w:r>
        <w:rPr>
          <w:rFonts w:eastAsia="黑体"/>
          <w:sz w:val="28"/>
          <w:szCs w:val="28"/>
        </w:rPr>
        <w:t>工程设备暂估价表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序号</w:t>
            </w:r>
          </w:p>
        </w:tc>
        <w:tc>
          <w:tcPr>
            <w:tcW w:w="198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名称</w:t>
            </w:r>
          </w:p>
        </w:tc>
        <w:tc>
          <w:tcPr>
            <w:tcW w:w="85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单位</w:t>
            </w:r>
          </w:p>
        </w:tc>
        <w:tc>
          <w:tcPr>
            <w:tcW w:w="77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数量</w:t>
            </w:r>
          </w:p>
        </w:tc>
        <w:tc>
          <w:tcPr>
            <w:tcW w:w="1352"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单价</w:t>
            </w:r>
            <w:r>
              <w:rPr>
                <w:rFonts w:hint="eastAsia" w:ascii="宋体" w:hAnsi="宋体"/>
                <w:szCs w:val="21"/>
              </w:rPr>
              <w:t>（元）</w:t>
            </w:r>
          </w:p>
        </w:tc>
        <w:tc>
          <w:tcPr>
            <w:tcW w:w="1418"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合价</w:t>
            </w:r>
            <w:r>
              <w:rPr>
                <w:rFonts w:hint="eastAsia" w:ascii="宋体" w:hAnsi="宋体"/>
                <w:szCs w:val="21"/>
              </w:rPr>
              <w:t>（元）</w:t>
            </w:r>
          </w:p>
        </w:tc>
        <w:tc>
          <w:tcPr>
            <w:tcW w:w="1701"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984"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851"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774"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352"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418"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c>
          <w:tcPr>
            <w:tcW w:w="1701" w:type="dxa"/>
            <w:tcBorders>
              <w:top w:val="double" w:color="auto" w:sz="6" w:space="0"/>
              <w:bottom w:val="single" w:color="auto" w:sz="6" w:space="0"/>
            </w:tcBorders>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10"/>
              <w:keepNext/>
              <w:spacing w:after="0" w:line="440" w:lineRule="exact"/>
              <w:ind w:left="63" w:right="63"/>
              <w:rPr>
                <w:rFonts w:eastAsia="仿宋_GB2312"/>
                <w:sz w:val="28"/>
                <w:szCs w:val="30"/>
              </w:rPr>
            </w:pPr>
          </w:p>
        </w:tc>
        <w:tc>
          <w:tcPr>
            <w:tcW w:w="1984" w:type="dxa"/>
            <w:tcBorders>
              <w:top w:val="nil"/>
            </w:tcBorders>
          </w:tcPr>
          <w:p>
            <w:pPr>
              <w:pStyle w:val="10"/>
              <w:keepNext/>
              <w:spacing w:after="0" w:line="440" w:lineRule="exact"/>
              <w:ind w:left="63" w:right="63"/>
              <w:rPr>
                <w:rFonts w:eastAsia="仿宋_GB2312"/>
                <w:sz w:val="28"/>
                <w:szCs w:val="30"/>
              </w:rPr>
            </w:pPr>
          </w:p>
        </w:tc>
        <w:tc>
          <w:tcPr>
            <w:tcW w:w="851" w:type="dxa"/>
            <w:tcBorders>
              <w:top w:val="nil"/>
            </w:tcBorders>
          </w:tcPr>
          <w:p>
            <w:pPr>
              <w:pStyle w:val="10"/>
              <w:keepNext/>
              <w:spacing w:after="0" w:line="440" w:lineRule="exact"/>
              <w:ind w:left="63" w:right="63"/>
              <w:rPr>
                <w:rFonts w:eastAsia="仿宋_GB2312"/>
                <w:sz w:val="28"/>
                <w:szCs w:val="30"/>
              </w:rPr>
            </w:pPr>
          </w:p>
        </w:tc>
        <w:tc>
          <w:tcPr>
            <w:tcW w:w="774" w:type="dxa"/>
            <w:tcBorders>
              <w:top w:val="nil"/>
            </w:tcBorders>
          </w:tcPr>
          <w:p>
            <w:pPr>
              <w:pStyle w:val="10"/>
              <w:keepNext/>
              <w:spacing w:after="0" w:line="440" w:lineRule="exact"/>
              <w:ind w:left="63" w:right="63"/>
              <w:rPr>
                <w:rFonts w:eastAsia="仿宋_GB2312"/>
                <w:sz w:val="28"/>
                <w:szCs w:val="30"/>
              </w:rPr>
            </w:pPr>
          </w:p>
        </w:tc>
        <w:tc>
          <w:tcPr>
            <w:tcW w:w="1352" w:type="dxa"/>
            <w:tcBorders>
              <w:top w:val="nil"/>
            </w:tcBorders>
          </w:tcPr>
          <w:p>
            <w:pPr>
              <w:pStyle w:val="10"/>
              <w:keepNext/>
              <w:spacing w:after="0" w:line="440" w:lineRule="exact"/>
              <w:ind w:left="63" w:right="63"/>
              <w:rPr>
                <w:rFonts w:eastAsia="仿宋_GB2312"/>
                <w:sz w:val="28"/>
                <w:szCs w:val="30"/>
              </w:rPr>
            </w:pPr>
          </w:p>
        </w:tc>
        <w:tc>
          <w:tcPr>
            <w:tcW w:w="1418" w:type="dxa"/>
            <w:tcBorders>
              <w:top w:val="nil"/>
            </w:tcBorders>
          </w:tcPr>
          <w:p>
            <w:pPr>
              <w:pStyle w:val="10"/>
              <w:keepNext/>
              <w:spacing w:after="0" w:line="440" w:lineRule="exact"/>
              <w:ind w:left="63" w:right="63"/>
              <w:rPr>
                <w:rFonts w:eastAsia="仿宋_GB2312"/>
                <w:sz w:val="28"/>
                <w:szCs w:val="30"/>
              </w:rPr>
            </w:pPr>
          </w:p>
        </w:tc>
        <w:tc>
          <w:tcPr>
            <w:tcW w:w="1701" w:type="dxa"/>
            <w:tcBorders>
              <w:top w:val="nil"/>
            </w:tcBorders>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0"/>
              <w:keepNext/>
              <w:spacing w:after="0" w:line="440" w:lineRule="exact"/>
              <w:ind w:left="63" w:right="63"/>
              <w:rPr>
                <w:rFonts w:eastAsia="仿宋_GB2312"/>
                <w:sz w:val="28"/>
                <w:szCs w:val="30"/>
              </w:rPr>
            </w:pPr>
          </w:p>
        </w:tc>
        <w:tc>
          <w:tcPr>
            <w:tcW w:w="1984" w:type="dxa"/>
          </w:tcPr>
          <w:p>
            <w:pPr>
              <w:pStyle w:val="10"/>
              <w:keepNext/>
              <w:spacing w:after="0" w:line="440" w:lineRule="exact"/>
              <w:ind w:left="63" w:right="63"/>
              <w:rPr>
                <w:rFonts w:eastAsia="仿宋_GB2312"/>
                <w:sz w:val="28"/>
                <w:szCs w:val="30"/>
              </w:rPr>
            </w:pPr>
          </w:p>
        </w:tc>
        <w:tc>
          <w:tcPr>
            <w:tcW w:w="851" w:type="dxa"/>
          </w:tcPr>
          <w:p>
            <w:pPr>
              <w:pStyle w:val="10"/>
              <w:keepNext/>
              <w:spacing w:after="0" w:line="440" w:lineRule="exact"/>
              <w:ind w:left="63" w:right="63"/>
              <w:rPr>
                <w:rFonts w:eastAsia="仿宋_GB2312"/>
                <w:sz w:val="28"/>
                <w:szCs w:val="30"/>
              </w:rPr>
            </w:pPr>
          </w:p>
        </w:tc>
        <w:tc>
          <w:tcPr>
            <w:tcW w:w="774" w:type="dxa"/>
          </w:tcPr>
          <w:p>
            <w:pPr>
              <w:pStyle w:val="10"/>
              <w:keepNext/>
              <w:spacing w:after="0" w:line="440" w:lineRule="exact"/>
              <w:ind w:left="63" w:right="63"/>
              <w:rPr>
                <w:rFonts w:eastAsia="仿宋_GB2312"/>
                <w:sz w:val="28"/>
                <w:szCs w:val="30"/>
              </w:rPr>
            </w:pPr>
          </w:p>
        </w:tc>
        <w:tc>
          <w:tcPr>
            <w:tcW w:w="1352" w:type="dxa"/>
          </w:tcPr>
          <w:p>
            <w:pPr>
              <w:pStyle w:val="10"/>
              <w:keepNext/>
              <w:spacing w:after="0" w:line="440" w:lineRule="exact"/>
              <w:ind w:left="63" w:right="63"/>
              <w:rPr>
                <w:rFonts w:eastAsia="仿宋_GB2312"/>
                <w:sz w:val="28"/>
                <w:szCs w:val="30"/>
              </w:rPr>
            </w:pPr>
          </w:p>
        </w:tc>
        <w:tc>
          <w:tcPr>
            <w:tcW w:w="1418" w:type="dxa"/>
          </w:tcPr>
          <w:p>
            <w:pPr>
              <w:pStyle w:val="10"/>
              <w:keepNext/>
              <w:spacing w:after="0" w:line="440" w:lineRule="exact"/>
              <w:ind w:left="63" w:right="63"/>
              <w:rPr>
                <w:rFonts w:eastAsia="仿宋_GB2312"/>
                <w:sz w:val="28"/>
                <w:szCs w:val="30"/>
              </w:rPr>
            </w:pPr>
          </w:p>
        </w:tc>
        <w:tc>
          <w:tcPr>
            <w:tcW w:w="1701" w:type="dxa"/>
          </w:tcPr>
          <w:p>
            <w:pPr>
              <w:pStyle w:val="10"/>
              <w:keepNext/>
              <w:spacing w:after="0" w:line="440" w:lineRule="exact"/>
              <w:ind w:left="63" w:right="63"/>
              <w:rPr>
                <w:rFonts w:eastAsia="仿宋_GB2312"/>
                <w:sz w:val="28"/>
                <w:szCs w:val="30"/>
              </w:rPr>
            </w:pPr>
          </w:p>
        </w:tc>
      </w:tr>
    </w:tbl>
    <w:p>
      <w:pPr>
        <w:spacing w:line="440" w:lineRule="exact"/>
        <w:rPr>
          <w:rFonts w:eastAsia="仿宋_GB2312"/>
          <w:sz w:val="30"/>
          <w:szCs w:val="30"/>
        </w:rPr>
      </w:pPr>
    </w:p>
    <w:p>
      <w:pPr>
        <w:spacing w:before="156" w:beforeLines="50" w:after="156" w:afterLines="50" w:line="440" w:lineRule="exact"/>
        <w:jc w:val="left"/>
        <w:rPr>
          <w:sz w:val="24"/>
        </w:rPr>
      </w:pPr>
      <w:r>
        <w:rPr>
          <w:rFonts w:eastAsia="仿宋_GB2312"/>
          <w:sz w:val="30"/>
          <w:szCs w:val="30"/>
        </w:rPr>
        <w:br w:type="page"/>
      </w:r>
      <w:r>
        <w:rPr>
          <w:rFonts w:hint="eastAsia"/>
          <w:sz w:val="24"/>
        </w:rPr>
        <w:t xml:space="preserve">附件十：                </w:t>
      </w:r>
    </w:p>
    <w:p>
      <w:pPr>
        <w:spacing w:before="156" w:beforeLines="50" w:after="156" w:afterLines="50" w:line="440" w:lineRule="exact"/>
        <w:jc w:val="center"/>
        <w:rPr>
          <w:rFonts w:eastAsia="黑体"/>
          <w:sz w:val="30"/>
          <w:szCs w:val="30"/>
        </w:rPr>
      </w:pPr>
      <w:r>
        <w:rPr>
          <w:rFonts w:eastAsia="黑体"/>
          <w:sz w:val="28"/>
          <w:szCs w:val="28"/>
        </w:rPr>
        <w:t>专业工程暂估价表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序号</w:t>
            </w:r>
          </w:p>
        </w:tc>
        <w:tc>
          <w:tcPr>
            <w:tcW w:w="1984"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专业工程名称</w:t>
            </w:r>
          </w:p>
        </w:tc>
        <w:tc>
          <w:tcPr>
            <w:tcW w:w="4678"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工程内容</w:t>
            </w:r>
          </w:p>
        </w:tc>
        <w:tc>
          <w:tcPr>
            <w:tcW w:w="1276" w:type="dxa"/>
            <w:tcBorders>
              <w:top w:val="single" w:color="auto" w:sz="12" w:space="0"/>
              <w:bottom w:val="double" w:color="auto" w:sz="6" w:space="0"/>
            </w:tcBorders>
            <w:vAlign w:val="center"/>
          </w:tcPr>
          <w:p>
            <w:pPr>
              <w:pStyle w:val="10"/>
              <w:keepNext/>
              <w:spacing w:after="0" w:line="440" w:lineRule="exact"/>
              <w:ind w:left="63" w:right="63"/>
              <w:jc w:val="center"/>
              <w:rPr>
                <w:rFonts w:hint="eastAsia" w:ascii="宋体" w:hAnsi="宋体"/>
                <w:szCs w:val="21"/>
              </w:rPr>
            </w:pPr>
            <w:r>
              <w:rPr>
                <w:rFonts w:ascii="宋体" w:hAnsi="宋体"/>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pStyle w:val="10"/>
              <w:keepNext/>
              <w:spacing w:after="0" w:line="440" w:lineRule="exact"/>
              <w:ind w:left="63" w:right="63"/>
              <w:rPr>
                <w:szCs w:val="21"/>
              </w:rPr>
            </w:pPr>
          </w:p>
        </w:tc>
        <w:tc>
          <w:tcPr>
            <w:tcW w:w="1984" w:type="dxa"/>
            <w:tcBorders>
              <w:top w:val="double" w:color="auto" w:sz="6" w:space="0"/>
              <w:bottom w:val="single" w:color="auto" w:sz="6" w:space="0"/>
            </w:tcBorders>
          </w:tcPr>
          <w:p>
            <w:pPr>
              <w:pStyle w:val="10"/>
              <w:keepNext/>
              <w:spacing w:after="0" w:line="440" w:lineRule="exact"/>
              <w:ind w:left="63" w:right="63"/>
              <w:rPr>
                <w:szCs w:val="21"/>
              </w:rPr>
            </w:pPr>
          </w:p>
        </w:tc>
        <w:tc>
          <w:tcPr>
            <w:tcW w:w="4678" w:type="dxa"/>
            <w:tcBorders>
              <w:top w:val="double" w:color="auto" w:sz="6" w:space="0"/>
              <w:bottom w:val="single" w:color="auto" w:sz="6" w:space="0"/>
            </w:tcBorders>
          </w:tcPr>
          <w:p>
            <w:pPr>
              <w:pStyle w:val="10"/>
              <w:keepNext/>
              <w:spacing w:after="0" w:line="440" w:lineRule="exact"/>
              <w:ind w:left="63" w:right="63"/>
              <w:rPr>
                <w:szCs w:val="21"/>
              </w:rPr>
            </w:pPr>
          </w:p>
        </w:tc>
        <w:tc>
          <w:tcPr>
            <w:tcW w:w="1276" w:type="dxa"/>
            <w:tcBorders>
              <w:top w:val="double" w:color="auto" w:sz="6" w:space="0"/>
              <w:bottom w:val="single" w:color="auto" w:sz="6" w:space="0"/>
            </w:tcBorders>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10"/>
              <w:keepNext/>
              <w:spacing w:after="0" w:line="440" w:lineRule="exact"/>
              <w:ind w:left="63" w:right="63"/>
              <w:rPr>
                <w:szCs w:val="21"/>
              </w:rPr>
            </w:pPr>
          </w:p>
        </w:tc>
        <w:tc>
          <w:tcPr>
            <w:tcW w:w="1984" w:type="dxa"/>
            <w:tcBorders>
              <w:top w:val="nil"/>
            </w:tcBorders>
          </w:tcPr>
          <w:p>
            <w:pPr>
              <w:pStyle w:val="10"/>
              <w:keepNext/>
              <w:spacing w:after="0" w:line="440" w:lineRule="exact"/>
              <w:ind w:left="63" w:right="63"/>
              <w:rPr>
                <w:szCs w:val="21"/>
              </w:rPr>
            </w:pPr>
          </w:p>
        </w:tc>
        <w:tc>
          <w:tcPr>
            <w:tcW w:w="4678" w:type="dxa"/>
            <w:tcBorders>
              <w:top w:val="nil"/>
            </w:tcBorders>
          </w:tcPr>
          <w:p>
            <w:pPr>
              <w:pStyle w:val="10"/>
              <w:keepNext/>
              <w:spacing w:after="0" w:line="440" w:lineRule="exact"/>
              <w:ind w:left="63" w:right="63"/>
              <w:rPr>
                <w:szCs w:val="21"/>
              </w:rPr>
            </w:pPr>
          </w:p>
        </w:tc>
        <w:tc>
          <w:tcPr>
            <w:tcW w:w="1276" w:type="dxa"/>
            <w:tcBorders>
              <w:top w:val="nil"/>
            </w:tcBorders>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10"/>
              <w:keepNext/>
              <w:spacing w:after="0" w:line="440" w:lineRule="exact"/>
              <w:ind w:left="63" w:right="63"/>
              <w:rPr>
                <w:szCs w:val="21"/>
              </w:rPr>
            </w:pPr>
          </w:p>
        </w:tc>
        <w:tc>
          <w:tcPr>
            <w:tcW w:w="1984" w:type="dxa"/>
            <w:tcBorders>
              <w:top w:val="nil"/>
            </w:tcBorders>
          </w:tcPr>
          <w:p>
            <w:pPr>
              <w:pStyle w:val="10"/>
              <w:keepNext/>
              <w:spacing w:after="0" w:line="440" w:lineRule="exact"/>
              <w:ind w:left="63" w:right="63"/>
              <w:rPr>
                <w:szCs w:val="21"/>
              </w:rPr>
            </w:pPr>
          </w:p>
        </w:tc>
        <w:tc>
          <w:tcPr>
            <w:tcW w:w="4678" w:type="dxa"/>
            <w:tcBorders>
              <w:top w:val="nil"/>
            </w:tcBorders>
          </w:tcPr>
          <w:p>
            <w:pPr>
              <w:pStyle w:val="10"/>
              <w:keepNext/>
              <w:spacing w:after="0" w:line="440" w:lineRule="exact"/>
              <w:ind w:left="63" w:right="63"/>
              <w:rPr>
                <w:szCs w:val="21"/>
              </w:rPr>
            </w:pPr>
          </w:p>
        </w:tc>
        <w:tc>
          <w:tcPr>
            <w:tcW w:w="1276" w:type="dxa"/>
            <w:tcBorders>
              <w:top w:val="nil"/>
            </w:tcBorders>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0"/>
              <w:keepNext/>
              <w:spacing w:after="0" w:line="440" w:lineRule="exact"/>
              <w:ind w:left="63" w:right="63"/>
              <w:rPr>
                <w:szCs w:val="21"/>
              </w:rPr>
            </w:pPr>
          </w:p>
        </w:tc>
        <w:tc>
          <w:tcPr>
            <w:tcW w:w="1984" w:type="dxa"/>
          </w:tcPr>
          <w:p>
            <w:pPr>
              <w:pStyle w:val="10"/>
              <w:keepNext/>
              <w:spacing w:after="0" w:line="440" w:lineRule="exact"/>
              <w:ind w:left="63" w:right="63"/>
              <w:rPr>
                <w:szCs w:val="21"/>
              </w:rPr>
            </w:pPr>
          </w:p>
        </w:tc>
        <w:tc>
          <w:tcPr>
            <w:tcW w:w="4678" w:type="dxa"/>
          </w:tcPr>
          <w:p>
            <w:pPr>
              <w:pStyle w:val="10"/>
              <w:keepNext/>
              <w:spacing w:after="0" w:line="440" w:lineRule="exact"/>
              <w:ind w:left="63" w:right="63"/>
              <w:rPr>
                <w:szCs w:val="21"/>
              </w:rPr>
            </w:pPr>
          </w:p>
        </w:tc>
        <w:tc>
          <w:tcPr>
            <w:tcW w:w="1276" w:type="dxa"/>
          </w:tcPr>
          <w:p>
            <w:pPr>
              <w:pStyle w:val="10"/>
              <w:keepNext/>
              <w:spacing w:after="0" w:line="440" w:lineRule="exact"/>
              <w:ind w:left="63" w:right="63"/>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pPr>
              <w:pStyle w:val="10"/>
              <w:keepNext/>
              <w:spacing w:after="0" w:line="440" w:lineRule="exact"/>
              <w:ind w:left="63" w:right="63"/>
              <w:rPr>
                <w:szCs w:val="21"/>
              </w:rPr>
            </w:pPr>
            <w:r>
              <w:rPr>
                <w:rFonts w:eastAsia="仿宋_GB2312"/>
                <w:sz w:val="28"/>
                <w:szCs w:val="30"/>
              </w:rPr>
              <w:t>小计：</w:t>
            </w:r>
          </w:p>
        </w:tc>
      </w:tr>
    </w:tbl>
    <w:p/>
    <w:p>
      <w:pPr>
        <w:jc w:val="center"/>
        <w:rPr>
          <w:rFonts w:ascii="黑体" w:eastAsia="黑体"/>
          <w:sz w:val="30"/>
          <w:szCs w:val="30"/>
        </w:rPr>
      </w:pPr>
    </w:p>
    <w:p>
      <w:pPr>
        <w:jc w:val="center"/>
        <w:rPr>
          <w:rFonts w:ascii="黑体" w:eastAsia="黑体"/>
          <w:sz w:val="30"/>
          <w:szCs w:val="30"/>
        </w:rPr>
      </w:pPr>
    </w:p>
    <w:p>
      <w:pPr>
        <w:jc w:val="center"/>
        <w:rPr>
          <w:rFonts w:ascii="黑体" w:eastAsia="黑体"/>
          <w:sz w:val="30"/>
          <w:szCs w:val="30"/>
        </w:rPr>
      </w:pPr>
    </w:p>
    <w:p>
      <w:pPr>
        <w:jc w:val="center"/>
        <w:rPr>
          <w:rFonts w:ascii="黑体" w:eastAsia="黑体"/>
          <w:sz w:val="30"/>
          <w:szCs w:val="30"/>
        </w:rPr>
      </w:pPr>
    </w:p>
    <w:p>
      <w:pPr>
        <w:jc w:val="center"/>
        <w:rPr>
          <w:rFonts w:ascii="黑体" w:eastAsia="黑体"/>
          <w:sz w:val="30"/>
          <w:szCs w:val="30"/>
        </w:rPr>
      </w:pPr>
    </w:p>
    <w:p>
      <w:pPr>
        <w:jc w:val="center"/>
        <w:rPr>
          <w:rFonts w:ascii="黑体" w:eastAsia="黑体"/>
          <w:sz w:val="30"/>
          <w:szCs w:val="30"/>
        </w:rPr>
      </w:pPr>
    </w:p>
    <w:p>
      <w:pPr>
        <w:spacing w:line="320" w:lineRule="exact"/>
        <w:sectPr>
          <w:pgSz w:w="11906" w:h="16838"/>
          <w:pgMar w:top="1440" w:right="1800" w:bottom="1440" w:left="1800" w:header="851" w:footer="992" w:gutter="0"/>
          <w:cols w:space="425" w:num="1"/>
          <w:docGrid w:type="lines" w:linePitch="312" w:charSpace="0"/>
        </w:sectPr>
      </w:pPr>
    </w:p>
    <w:p>
      <w:bookmarkStart w:id="1316" w:name="_Toc152264508"/>
      <w:bookmarkStart w:id="1317" w:name="_Toc256000149"/>
    </w:p>
    <w:p/>
    <w:p/>
    <w:p/>
    <w:p/>
    <w:p>
      <w:pPr>
        <w:pStyle w:val="4"/>
        <w:spacing w:before="120" w:after="120" w:line="400" w:lineRule="exact"/>
        <w:jc w:val="center"/>
        <w:rPr>
          <w:rFonts w:hint="eastAsia" w:ascii="黑体" w:hAnsi="黑体" w:eastAsia="黑体"/>
          <w:b w:val="0"/>
          <w:bCs w:val="0"/>
          <w:sz w:val="32"/>
        </w:rPr>
      </w:pPr>
      <w:bookmarkStart w:id="1318" w:name="_Toc22752"/>
      <w:r>
        <w:rPr>
          <w:rFonts w:hint="eastAsia" w:ascii="黑体" w:hAnsi="黑体" w:eastAsia="黑体"/>
          <w:b w:val="0"/>
          <w:bCs w:val="0"/>
          <w:sz w:val="32"/>
        </w:rPr>
        <w:t>第五章  工程量清单</w:t>
      </w:r>
      <w:bookmarkEnd w:id="1318"/>
    </w:p>
    <w:p>
      <w:pPr>
        <w:spacing w:after="468" w:afterLines="150" w:line="380" w:lineRule="exact"/>
        <w:rPr>
          <w:sz w:val="28"/>
          <w:szCs w:val="36"/>
        </w:rPr>
        <w:sectPr>
          <w:footerReference r:id="rId18" w:type="default"/>
          <w:pgSz w:w="11906" w:h="16838"/>
          <w:pgMar w:top="1440" w:right="1800" w:bottom="1440" w:left="1800" w:header="851" w:footer="992" w:gutter="0"/>
          <w:cols w:space="425" w:num="1"/>
          <w:docGrid w:type="lines" w:linePitch="312" w:charSpace="0"/>
        </w:sectPr>
      </w:pPr>
    </w:p>
    <w:p>
      <w:pPr>
        <w:pStyle w:val="29"/>
        <w:rPr>
          <w:sz w:val="24"/>
          <w:szCs w:val="24"/>
        </w:rPr>
      </w:pPr>
      <w:bookmarkStart w:id="1319" w:name="_Toc16538"/>
      <w:r>
        <w:rPr>
          <w:rFonts w:hint="eastAsia"/>
          <w:sz w:val="24"/>
          <w:szCs w:val="24"/>
        </w:rPr>
        <w:t>1、招标工程量清单说明</w:t>
      </w:r>
      <w:bookmarkEnd w:id="1319"/>
    </w:p>
    <w:p>
      <w:pPr>
        <w:spacing w:line="430" w:lineRule="exact"/>
        <w:ind w:left="769" w:hanging="768" w:hangingChars="366"/>
        <w:rPr>
          <w:rFonts w:hint="eastAsia" w:ascii="宋体" w:hAnsi="宋体"/>
          <w:szCs w:val="21"/>
        </w:rPr>
      </w:pPr>
      <w:r>
        <w:rPr>
          <w:rFonts w:hint="eastAsia" w:ascii="黑体" w:hAnsi="宋体" w:eastAsia="黑体"/>
          <w:szCs w:val="21"/>
        </w:rPr>
        <w:t xml:space="preserve">1.1   </w:t>
      </w:r>
      <w:r>
        <w:rPr>
          <w:rFonts w:hint="eastAsia" w:ascii="宋体" w:hAnsi="宋体"/>
          <w:szCs w:val="21"/>
        </w:rPr>
        <w:t xml:space="preserve"> 本招标工程量清单是依据中华人民共和国国家标准《建设工程工程量清单计价规范》（GB50500-2013</w:t>
      </w:r>
      <w:r>
        <w:rPr>
          <w:rFonts w:ascii="宋体" w:hAnsi="宋体"/>
          <w:szCs w:val="21"/>
        </w:rPr>
        <w:t>）和配套的工程量计算规范（GB50854-2013 ～GB50862-2013）</w:t>
      </w:r>
      <w:r>
        <w:rPr>
          <w:rFonts w:hint="eastAsia" w:ascii="宋体" w:hAnsi="宋体"/>
          <w:szCs w:val="21"/>
        </w:rPr>
        <w:t>、</w:t>
      </w:r>
      <w:r>
        <w:t>2017年辽宁省建设工程计价依据</w:t>
      </w:r>
      <w:r>
        <w:rPr>
          <w:rFonts w:hint="eastAsia" w:ascii="宋体" w:hAnsi="宋体"/>
          <w:szCs w:val="21"/>
        </w:rPr>
        <w:t>（以下简称“计价规范”、“计量规范”或“计价计量规范”）以及招标文件中包括的图纸等编制。</w:t>
      </w:r>
    </w:p>
    <w:p>
      <w:pPr>
        <w:spacing w:line="430" w:lineRule="exact"/>
        <w:ind w:left="756" w:hanging="756" w:hangingChars="360"/>
        <w:rPr>
          <w:rFonts w:hint="eastAsia" w:ascii="宋体" w:hAnsi="宋体"/>
          <w:szCs w:val="21"/>
        </w:rPr>
      </w:pPr>
      <w:r>
        <w:rPr>
          <w:rFonts w:hint="eastAsia" w:ascii="黑体" w:hAnsi="宋体" w:eastAsia="黑体"/>
          <w:szCs w:val="21"/>
        </w:rPr>
        <w:t xml:space="preserve">1.2    </w:t>
      </w:r>
      <w:r>
        <w:rPr>
          <w:rFonts w:hint="eastAsia" w:ascii="宋体" w:hAnsi="宋体"/>
          <w:szCs w:val="21"/>
        </w:rPr>
        <w:t>本招标工程量清单应与招标文件中的投标人须知、通用合同条款、专用合同条款、技术标准和要求及图纸等章节内容一起阅读和理解。</w:t>
      </w:r>
    </w:p>
    <w:p>
      <w:pPr>
        <w:spacing w:line="430" w:lineRule="exact"/>
        <w:ind w:left="783" w:hanging="783" w:hangingChars="373"/>
        <w:rPr>
          <w:rFonts w:hint="eastAsia" w:ascii="宋体" w:hAnsi="宋体"/>
          <w:szCs w:val="21"/>
        </w:rPr>
      </w:pPr>
      <w:r>
        <w:rPr>
          <w:rFonts w:hint="eastAsia"/>
        </w:rPr>
        <w:t>1</w:t>
      </w:r>
      <w:r>
        <w:rPr>
          <w:rFonts w:hint="eastAsia" w:ascii="黑体" w:hAnsi="宋体" w:eastAsia="黑体"/>
          <w:szCs w:val="21"/>
        </w:rPr>
        <w:t>.3</w:t>
      </w:r>
      <w:r>
        <w:rPr>
          <w:rFonts w:hint="eastAsia"/>
        </w:rPr>
        <w:t xml:space="preserve">   </w:t>
      </w:r>
      <w:r>
        <w:rPr>
          <w:rFonts w:hint="eastAsia" w:ascii="宋体" w:hAnsi="宋体"/>
          <w:szCs w:val="21"/>
        </w:rPr>
        <w:t xml:space="preserve"> 本招标工程量清单作为招标文件的组成部分，供投标人参考，投标人需要根据图纸对工程量清单进行核算，招标人不对投标人投标清单负责。</w:t>
      </w:r>
    </w:p>
    <w:p>
      <w:pPr>
        <w:spacing w:line="430" w:lineRule="exact"/>
        <w:ind w:left="716" w:hanging="716" w:hangingChars="341"/>
        <w:rPr>
          <w:rFonts w:hint="eastAsia" w:ascii="宋体" w:hAnsi="宋体"/>
          <w:szCs w:val="21"/>
        </w:rPr>
      </w:pPr>
      <w:r>
        <w:rPr>
          <w:rFonts w:hint="eastAsia" w:ascii="黑体" w:hAnsi="宋体" w:eastAsia="黑体"/>
          <w:szCs w:val="21"/>
        </w:rPr>
        <w:t>1.4</w:t>
      </w:r>
      <w:r>
        <w:rPr>
          <w:rFonts w:hint="eastAsia"/>
        </w:rPr>
        <w:t xml:space="preserve"> </w:t>
      </w:r>
      <w:r>
        <w:rPr>
          <w:rFonts w:hint="eastAsia" w:ascii="黑体" w:hAnsi="宋体" w:eastAsia="黑体"/>
          <w:szCs w:val="21"/>
        </w:rPr>
        <w:t xml:space="preserve"> </w:t>
      </w:r>
      <w:r>
        <w:rPr>
          <w:rFonts w:hint="eastAsia" w:ascii="宋体" w:hAnsi="宋体"/>
          <w:szCs w:val="21"/>
        </w:rPr>
        <w:t xml:space="preserve">  分部分项工程和单价措施项目清单必须载明项目编码、项目名称、项目特征、计量单位和工程量。</w:t>
      </w:r>
    </w:p>
    <w:p>
      <w:pPr>
        <w:spacing w:line="430" w:lineRule="exact"/>
        <w:ind w:left="783" w:hanging="783" w:hangingChars="373"/>
        <w:rPr>
          <w:rFonts w:hint="eastAsia" w:ascii="宋体" w:hAnsi="宋体"/>
          <w:szCs w:val="21"/>
        </w:rPr>
      </w:pPr>
      <w:r>
        <w:rPr>
          <w:rFonts w:hint="eastAsia" w:ascii="宋体" w:hAnsi="宋体"/>
          <w:szCs w:val="21"/>
        </w:rPr>
        <w:t>1</w:t>
      </w:r>
      <w:r>
        <w:rPr>
          <w:rFonts w:hint="eastAsia" w:ascii="黑体" w:hAnsi="宋体" w:eastAsia="黑体"/>
          <w:szCs w:val="21"/>
        </w:rPr>
        <w:t>.5</w:t>
      </w:r>
      <w:r>
        <w:rPr>
          <w:rFonts w:hint="eastAsia"/>
        </w:rPr>
        <w:t xml:space="preserve"> </w:t>
      </w:r>
      <w:r>
        <w:rPr>
          <w:rFonts w:hint="eastAsia" w:ascii="宋体" w:hAnsi="宋体"/>
          <w:szCs w:val="21"/>
        </w:rPr>
        <w:t xml:space="preserve">   分部分项工程和单价措施项目清单必须根据相关工程现行国家及省计价计量规范规定的项目编码、项目名称、项目特征、计量单位和工程量计算规则进行编制。</w:t>
      </w:r>
    </w:p>
    <w:p>
      <w:pPr>
        <w:spacing w:line="430" w:lineRule="exact"/>
        <w:ind w:left="783" w:hanging="783" w:hangingChars="373"/>
        <w:rPr>
          <w:rFonts w:hint="eastAsia" w:ascii="宋体" w:hAnsi="宋体"/>
          <w:szCs w:val="21"/>
        </w:rPr>
      </w:pPr>
      <w:r>
        <w:rPr>
          <w:rFonts w:hint="eastAsia" w:ascii="宋体" w:hAnsi="宋体"/>
          <w:szCs w:val="21"/>
        </w:rPr>
        <w:t>1</w:t>
      </w:r>
      <w:r>
        <w:rPr>
          <w:rFonts w:hint="eastAsia" w:ascii="黑体" w:hAnsi="宋体" w:eastAsia="黑体"/>
          <w:szCs w:val="21"/>
        </w:rPr>
        <w:t>.6</w:t>
      </w:r>
      <w:r>
        <w:rPr>
          <w:rFonts w:hint="eastAsia" w:ascii="宋体" w:hAnsi="宋体"/>
          <w:szCs w:val="21"/>
        </w:rPr>
        <w:t xml:space="preserve">    总价措施项目清单必须根据相关工程现行国家及省计价计量规范的规定编制。</w:t>
      </w:r>
    </w:p>
    <w:p>
      <w:pPr>
        <w:spacing w:line="430" w:lineRule="exact"/>
        <w:ind w:left="783" w:hanging="783" w:hangingChars="373"/>
        <w:rPr>
          <w:rFonts w:hint="eastAsia" w:ascii="宋体" w:hAnsi="宋体"/>
          <w:szCs w:val="21"/>
        </w:rPr>
      </w:pPr>
      <w:r>
        <w:rPr>
          <w:rFonts w:hint="eastAsia" w:ascii="黑体" w:hAnsi="宋体" w:eastAsia="黑体"/>
          <w:szCs w:val="21"/>
        </w:rPr>
        <w:t xml:space="preserve">1.7    </w:t>
      </w:r>
      <w:r>
        <w:rPr>
          <w:rFonts w:hint="eastAsia" w:ascii="宋体" w:hAnsi="宋体"/>
          <w:szCs w:val="21"/>
        </w:rPr>
        <w:t>其他项目、规费和税金项目清单应按照现行国家及省计价计量规范的规定编制。</w:t>
      </w:r>
    </w:p>
    <w:p>
      <w:pPr>
        <w:spacing w:line="430" w:lineRule="exact"/>
        <w:ind w:left="735" w:hanging="735" w:hangingChars="350"/>
        <w:rPr>
          <w:rFonts w:hint="eastAsia" w:ascii="宋体" w:hAnsi="宋体"/>
          <w:szCs w:val="21"/>
        </w:rPr>
      </w:pPr>
      <w:r>
        <w:rPr>
          <w:rFonts w:hint="eastAsia" w:ascii="黑体" w:hAnsi="宋体" w:eastAsia="黑体"/>
          <w:szCs w:val="21"/>
        </w:rPr>
        <w:t xml:space="preserve">1.8    </w:t>
      </w:r>
      <w:r>
        <w:rPr>
          <w:rFonts w:hint="eastAsia" w:ascii="宋体" w:hAnsi="宋体"/>
          <w:szCs w:val="21"/>
        </w:rPr>
        <w:t>编制招标工程量清单出现相关工程现行国家计量规范附录中未包括的项目，编制人应做补充。</w:t>
      </w:r>
    </w:p>
    <w:p>
      <w:pPr>
        <w:spacing w:line="430" w:lineRule="exact"/>
        <w:ind w:left="741" w:hanging="741" w:hangingChars="353"/>
        <w:rPr>
          <w:rFonts w:hint="eastAsia" w:ascii="宋体" w:hAnsi="宋体"/>
          <w:szCs w:val="21"/>
        </w:rPr>
      </w:pPr>
      <w:r>
        <w:rPr>
          <w:rFonts w:hint="eastAsia" w:ascii="宋体" w:hAnsi="宋体"/>
          <w:szCs w:val="21"/>
        </w:rPr>
        <w:t xml:space="preserve">       补充项目的编码规则按相关工程现行国家及省计价计量规范的规定编制，同一招标工程的同一个单位工程内项目不得重码。</w:t>
      </w:r>
    </w:p>
    <w:p>
      <w:pPr>
        <w:spacing w:line="430" w:lineRule="exact"/>
        <w:ind w:left="783" w:hanging="783" w:hangingChars="373"/>
        <w:rPr>
          <w:rFonts w:hint="eastAsia" w:ascii="宋体" w:hAnsi="宋体"/>
          <w:szCs w:val="21"/>
        </w:rPr>
      </w:pPr>
      <w:r>
        <w:rPr>
          <w:rFonts w:hint="eastAsia" w:ascii="宋体" w:hAnsi="宋体"/>
          <w:szCs w:val="21"/>
        </w:rPr>
        <w:t xml:space="preserve">       补充的工程量清单需附有补充项目的名称、项目特征、计量单位、工程量计算规则、工作内容。不能计量的措施项目，需附有补充项目的名称、工作内容及包含范围。</w:t>
      </w:r>
    </w:p>
    <w:p>
      <w:pPr>
        <w:spacing w:line="430" w:lineRule="exact"/>
        <w:ind w:left="741" w:hanging="741" w:hangingChars="353"/>
        <w:rPr>
          <w:rFonts w:hint="eastAsia" w:ascii="宋体" w:hAnsi="宋体"/>
          <w:szCs w:val="21"/>
        </w:rPr>
      </w:pPr>
      <w:r>
        <w:rPr>
          <w:rFonts w:hint="eastAsia" w:ascii="黑体" w:hAnsi="宋体" w:eastAsia="黑体"/>
          <w:szCs w:val="21"/>
        </w:rPr>
        <w:t xml:space="preserve">1.9    </w:t>
      </w:r>
      <w:r>
        <w:rPr>
          <w:rFonts w:hint="eastAsia" w:ascii="宋体" w:hAnsi="宋体"/>
          <w:szCs w:val="21"/>
        </w:rPr>
        <w:t>本招标工程量清单仅是投标报价的共同基础，采用工程量清单方式招标形成的无论是单价合同还是总价合同，其工程量必须以招标图纸及过程中签证图纸予以确定</w:t>
      </w:r>
      <w:r>
        <w:rPr>
          <w:rFonts w:hint="eastAsia" w:ascii="宋体" w:hAnsi="宋体" w:cs="宋体"/>
          <w:szCs w:val="21"/>
        </w:rPr>
        <w:t>工程量。</w:t>
      </w:r>
      <w:r>
        <w:rPr>
          <w:rFonts w:hint="eastAsia" w:ascii="宋体" w:hAnsi="宋体"/>
          <w:szCs w:val="21"/>
        </w:rPr>
        <w:t>合同价格的确定以及价款支付应遵循合同条款（包括通用合同条款和专用合同条款）、技术标准和要求以及本章的有关约定。</w:t>
      </w:r>
    </w:p>
    <w:p>
      <w:pPr>
        <w:spacing w:line="430" w:lineRule="exact"/>
        <w:ind w:left="783" w:hanging="783" w:hangingChars="373"/>
        <w:rPr>
          <w:rFonts w:hint="eastAsia" w:ascii="宋体" w:hAnsi="宋体"/>
          <w:szCs w:val="21"/>
        </w:rPr>
      </w:pPr>
      <w:r>
        <w:rPr>
          <w:rFonts w:hint="eastAsia" w:ascii="黑体" w:hAnsi="宋体" w:eastAsia="黑体"/>
          <w:szCs w:val="21"/>
        </w:rPr>
        <w:t>1.10</w:t>
      </w:r>
      <w:r>
        <w:rPr>
          <w:rFonts w:hint="eastAsia" w:ascii="宋体" w:hAnsi="宋体"/>
          <w:szCs w:val="21"/>
        </w:rPr>
        <w:t xml:space="preserve">   除招标文件另有约定外，本条第1.1款中约定的计量和计价规则适用于本招标工程发承包及实施阶段的计价活动包括：招标工程量清单、最高投标限价、投标报价的编制，工程合同价款的约定，竣工结算的办理以及施工过程中的工程量计量、合同价款支付、施工索赔与现场签证、合同价款调整和合同价款争议的解决等活动。</w:t>
      </w:r>
    </w:p>
    <w:p>
      <w:pPr>
        <w:spacing w:line="430" w:lineRule="exact"/>
        <w:ind w:left="769" w:hanging="768" w:hangingChars="366"/>
        <w:rPr>
          <w:rFonts w:hint="eastAsia" w:ascii="宋体" w:hAnsi="宋体"/>
          <w:szCs w:val="21"/>
        </w:rPr>
      </w:pPr>
      <w:r>
        <w:rPr>
          <w:rFonts w:hint="eastAsia" w:ascii="黑体" w:hAnsi="宋体" w:eastAsia="黑体"/>
          <w:szCs w:val="21"/>
        </w:rPr>
        <w:t>1.11</w:t>
      </w:r>
      <w:r>
        <w:rPr>
          <w:rFonts w:hint="eastAsia" w:ascii="宋体" w:hAnsi="宋体"/>
          <w:szCs w:val="21"/>
        </w:rPr>
        <w:t xml:space="preserve">   本条与下述第2条和第3条的说明内容是构成合同文件的已标价工程量清单的组成部分。</w:t>
      </w:r>
    </w:p>
    <w:p>
      <w:pPr>
        <w:pStyle w:val="29"/>
        <w:rPr>
          <w:sz w:val="24"/>
          <w:szCs w:val="24"/>
        </w:rPr>
      </w:pPr>
      <w:bookmarkStart w:id="1320" w:name="_Toc24058"/>
      <w:r>
        <w:rPr>
          <w:rFonts w:hint="eastAsia"/>
          <w:sz w:val="24"/>
          <w:szCs w:val="24"/>
        </w:rPr>
        <w:t>2、投标报价说明</w:t>
      </w:r>
      <w:bookmarkEnd w:id="1320"/>
    </w:p>
    <w:p>
      <w:pPr>
        <w:spacing w:line="430" w:lineRule="exact"/>
        <w:rPr>
          <w:rFonts w:hint="eastAsia" w:ascii="宋体" w:hAnsi="宋体"/>
          <w:szCs w:val="21"/>
        </w:rPr>
      </w:pPr>
      <w:r>
        <w:rPr>
          <w:rFonts w:hint="eastAsia" w:ascii="黑体" w:hAnsi="宋体" w:eastAsia="黑体"/>
          <w:szCs w:val="21"/>
        </w:rPr>
        <w:t>2.1</w:t>
      </w:r>
      <w:r>
        <w:rPr>
          <w:rFonts w:hint="eastAsia" w:ascii="宋体" w:hAnsi="宋体"/>
          <w:szCs w:val="21"/>
        </w:rPr>
        <w:t xml:space="preserve">    投标报价应根据招标文件中的有关计价要求，并按照下列依据自主报价。</w:t>
      </w:r>
    </w:p>
    <w:p>
      <w:pPr>
        <w:spacing w:line="430" w:lineRule="exact"/>
        <w:ind w:left="1252" w:leftChars="346" w:hanging="525" w:hangingChars="250"/>
        <w:rPr>
          <w:rFonts w:hint="eastAsia" w:ascii="黑体" w:hAnsi="宋体" w:eastAsia="黑体"/>
          <w:szCs w:val="21"/>
        </w:rPr>
      </w:pPr>
      <w:r>
        <w:rPr>
          <w:rFonts w:hint="eastAsia" w:ascii="黑体" w:hAnsi="宋体" w:eastAsia="黑体"/>
          <w:szCs w:val="21"/>
        </w:rPr>
        <w:t xml:space="preserve">（1） </w:t>
      </w:r>
      <w:r>
        <w:rPr>
          <w:rFonts w:hint="eastAsia" w:ascii="宋体" w:hAnsi="宋体"/>
          <w:szCs w:val="21"/>
        </w:rPr>
        <w:t>《建设工程工程量清单计价规范》</w:t>
      </w:r>
      <w:r>
        <w:rPr>
          <w:rFonts w:ascii="宋体" w:hAnsi="宋体"/>
          <w:szCs w:val="21"/>
        </w:rPr>
        <w:t>（GB50500-2013）；</w:t>
      </w:r>
    </w:p>
    <w:p>
      <w:pPr>
        <w:spacing w:line="430" w:lineRule="exact"/>
        <w:ind w:firstLine="726" w:firstLineChars="346"/>
        <w:rPr>
          <w:rFonts w:hint="eastAsia" w:ascii="宋体" w:hAnsi="宋体"/>
          <w:szCs w:val="21"/>
        </w:rPr>
      </w:pPr>
      <w:r>
        <w:rPr>
          <w:rFonts w:hint="eastAsia" w:ascii="黑体" w:hAnsi="宋体" w:eastAsia="黑体"/>
          <w:szCs w:val="21"/>
        </w:rPr>
        <w:t>（2）</w:t>
      </w:r>
      <w:r>
        <w:rPr>
          <w:rFonts w:hint="eastAsia" w:ascii="宋体" w:hAnsi="宋体"/>
          <w:szCs w:val="21"/>
        </w:rPr>
        <w:t xml:space="preserve">  国家或省级、行业建设主管部门颁发的计价办法；</w:t>
      </w:r>
    </w:p>
    <w:p>
      <w:pPr>
        <w:spacing w:line="430" w:lineRule="exact"/>
        <w:ind w:firstLine="726" w:firstLineChars="346"/>
        <w:rPr>
          <w:rFonts w:hint="eastAsia" w:ascii="宋体" w:hAnsi="宋体"/>
          <w:szCs w:val="21"/>
        </w:rPr>
      </w:pPr>
      <w:r>
        <w:rPr>
          <w:rFonts w:hint="eastAsia" w:ascii="黑体" w:hAnsi="宋体" w:eastAsia="黑体"/>
          <w:szCs w:val="21"/>
        </w:rPr>
        <w:t>（3）</w:t>
      </w:r>
      <w:r>
        <w:rPr>
          <w:rFonts w:hint="eastAsia" w:ascii="宋体" w:hAnsi="宋体"/>
          <w:szCs w:val="21"/>
        </w:rPr>
        <w:t xml:space="preserve">  企业定额，国家或省级、行业建设主管部门颁发的计价定额和计价办法；</w:t>
      </w:r>
    </w:p>
    <w:p>
      <w:pPr>
        <w:spacing w:line="430" w:lineRule="exact"/>
        <w:ind w:firstLine="726" w:firstLineChars="346"/>
        <w:rPr>
          <w:rFonts w:hint="eastAsia" w:ascii="宋体" w:hAnsi="宋体"/>
          <w:szCs w:val="21"/>
        </w:rPr>
      </w:pPr>
      <w:r>
        <w:rPr>
          <w:rFonts w:hint="eastAsia" w:ascii="黑体" w:hAnsi="宋体" w:eastAsia="黑体"/>
          <w:szCs w:val="21"/>
        </w:rPr>
        <w:t>（4）</w:t>
      </w:r>
      <w:r>
        <w:rPr>
          <w:rFonts w:hint="eastAsia" w:ascii="宋体" w:hAnsi="宋体"/>
          <w:szCs w:val="21"/>
        </w:rPr>
        <w:t xml:space="preserve">  招标文件（包括招标工程量清单）及其澄清、修改文件；</w:t>
      </w:r>
    </w:p>
    <w:p>
      <w:pPr>
        <w:spacing w:line="430" w:lineRule="exact"/>
        <w:ind w:firstLine="726" w:firstLineChars="346"/>
        <w:rPr>
          <w:rFonts w:hint="eastAsia" w:ascii="宋体" w:hAnsi="宋体"/>
          <w:szCs w:val="21"/>
        </w:rPr>
      </w:pPr>
      <w:r>
        <w:rPr>
          <w:rFonts w:hint="eastAsia" w:ascii="黑体" w:hAnsi="宋体" w:eastAsia="黑体"/>
          <w:szCs w:val="21"/>
        </w:rPr>
        <w:t>（5）</w:t>
      </w:r>
      <w:r>
        <w:rPr>
          <w:rFonts w:hint="eastAsia" w:ascii="宋体" w:hAnsi="宋体"/>
          <w:szCs w:val="21"/>
        </w:rPr>
        <w:t xml:space="preserve">  建设工程设计文件及相关资料；</w:t>
      </w:r>
    </w:p>
    <w:p>
      <w:pPr>
        <w:spacing w:line="430" w:lineRule="exact"/>
        <w:ind w:firstLine="726" w:firstLineChars="346"/>
        <w:rPr>
          <w:rFonts w:hint="eastAsia" w:ascii="宋体" w:hAnsi="宋体"/>
          <w:szCs w:val="21"/>
        </w:rPr>
      </w:pPr>
      <w:r>
        <w:rPr>
          <w:rFonts w:hint="eastAsia" w:ascii="黑体" w:hAnsi="宋体" w:eastAsia="黑体"/>
          <w:szCs w:val="21"/>
        </w:rPr>
        <w:t>（6）</w:t>
      </w:r>
      <w:r>
        <w:rPr>
          <w:rFonts w:hint="eastAsia" w:ascii="宋体" w:hAnsi="宋体"/>
          <w:szCs w:val="21"/>
        </w:rPr>
        <w:t xml:space="preserve">  施工现场情况、工程特点及投标时拟定的施工组织设计或施工方案；</w:t>
      </w:r>
    </w:p>
    <w:p>
      <w:pPr>
        <w:spacing w:line="420" w:lineRule="exact"/>
        <w:ind w:firstLine="726" w:firstLineChars="346"/>
      </w:pPr>
      <w:r>
        <w:rPr>
          <w:rFonts w:hint="eastAsia" w:ascii="黑体" w:eastAsia="黑体"/>
        </w:rPr>
        <w:t>（7）</w:t>
      </w:r>
      <w:r>
        <w:rPr>
          <w:rFonts w:hint="eastAsia"/>
        </w:rPr>
        <w:t xml:space="preserve">  与建设项目相关的标准、规范等技术资料；</w:t>
      </w:r>
    </w:p>
    <w:p>
      <w:pPr>
        <w:spacing w:line="420" w:lineRule="exact"/>
        <w:ind w:firstLine="726" w:firstLineChars="346"/>
      </w:pPr>
      <w:r>
        <w:rPr>
          <w:rFonts w:hint="eastAsia" w:ascii="黑体" w:eastAsia="黑体"/>
        </w:rPr>
        <w:t>（8）</w:t>
      </w:r>
      <w:r>
        <w:rPr>
          <w:rFonts w:hint="eastAsia"/>
        </w:rPr>
        <w:t xml:space="preserve">  市场价格信息或官方机构发布的工程造价信息；</w:t>
      </w:r>
    </w:p>
    <w:p>
      <w:pPr>
        <w:spacing w:line="420" w:lineRule="exact"/>
        <w:ind w:firstLine="726" w:firstLineChars="346"/>
      </w:pPr>
      <w:r>
        <w:rPr>
          <w:rFonts w:hint="eastAsia" w:ascii="黑体" w:eastAsia="黑体"/>
        </w:rPr>
        <w:t xml:space="preserve">（9）  </w:t>
      </w:r>
      <w:r>
        <w:rPr>
          <w:rFonts w:hint="eastAsia"/>
        </w:rPr>
        <w:t>其他的相关资料。</w:t>
      </w:r>
    </w:p>
    <w:p>
      <w:pPr>
        <w:spacing w:line="420" w:lineRule="exact"/>
        <w:ind w:left="735" w:hanging="735" w:hangingChars="350"/>
        <w:rPr>
          <w:bdr w:val="single" w:color="auto" w:sz="4" w:space="0"/>
        </w:rPr>
      </w:pPr>
      <w:r>
        <w:rPr>
          <w:rFonts w:hint="eastAsia" w:ascii="黑体" w:eastAsia="黑体"/>
        </w:rPr>
        <w:t>2.2</w:t>
      </w:r>
      <w:r>
        <w:rPr>
          <w:rFonts w:hint="eastAsia"/>
        </w:rPr>
        <w:t xml:space="preserve">    投标人必须按招标工程量清单填报价格。项目编码、项目名称、项目特征、计量单位必须与招标工程量清单一致。</w:t>
      </w:r>
    </w:p>
    <w:p>
      <w:pPr>
        <w:spacing w:line="420" w:lineRule="exact"/>
        <w:ind w:left="769" w:hanging="768" w:hangingChars="366"/>
      </w:pPr>
      <w:r>
        <w:rPr>
          <w:rFonts w:hint="eastAsia" w:ascii="黑体" w:hAnsi="宋体" w:eastAsia="黑体"/>
          <w:szCs w:val="21"/>
        </w:rPr>
        <w:t>2.3</w:t>
      </w:r>
      <w:r>
        <w:rPr>
          <w:rFonts w:hint="eastAsia"/>
        </w:rPr>
        <w:t xml:space="preserve">    工程量清单应采用综合单价计价。综合单价中应包括招标文件中划分的应由投标人承担的风险范围及其费用，招标文件中没有明确的，应提请招标人明确。即工程量清单中标价的单价或金额，应包括所需人工费、材料费、施工机械使用费和企业管理费及利润，以及一定范围内的风险费用。所谓“一定范围内的风险”是指合同约定的风险。</w:t>
      </w:r>
    </w:p>
    <w:p>
      <w:pPr>
        <w:spacing w:line="420" w:lineRule="exact"/>
        <w:ind w:left="756" w:leftChars="7" w:hanging="741" w:hangingChars="353"/>
      </w:pPr>
      <w:r>
        <w:rPr>
          <w:rFonts w:hint="eastAsia" w:ascii="黑体" w:hAnsi="宋体" w:eastAsia="黑体"/>
          <w:szCs w:val="21"/>
        </w:rPr>
        <w:t>2.4</w:t>
      </w:r>
      <w:r>
        <w:rPr>
          <w:rFonts w:hint="eastAsia"/>
        </w:rPr>
        <w:t xml:space="preserve">    招标工程量清单与计价表中列明的所有需要填写单价和合价的项目，投标人均应填写且只允许有一个报价。未填写单价和合价的项目，可视为此项费用已经包含在已标价工程量清单中其他项目的单价或合价之中。当竣工结算时，此项目不得重新组价予以调整。</w:t>
      </w:r>
    </w:p>
    <w:p>
      <w:pPr>
        <w:spacing w:line="420" w:lineRule="exact"/>
        <w:ind w:left="769" w:hanging="768" w:hangingChars="366"/>
        <w:rPr>
          <w:bdr w:val="single" w:color="auto" w:sz="4" w:space="0"/>
        </w:rPr>
      </w:pPr>
      <w:r>
        <w:rPr>
          <w:rFonts w:hint="eastAsia" w:ascii="黑体" w:hAnsi="宋体" w:eastAsia="黑体"/>
          <w:szCs w:val="21"/>
        </w:rPr>
        <w:t>2.5</w:t>
      </w:r>
      <w:r>
        <w:rPr>
          <w:rFonts w:hint="eastAsia"/>
        </w:rPr>
        <w:t xml:space="preserve">    “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pPr>
        <w:spacing w:line="420" w:lineRule="exact"/>
      </w:pPr>
      <w:r>
        <w:rPr>
          <w:rFonts w:hint="eastAsia" w:ascii="黑体" w:hAnsi="宋体" w:eastAsia="黑体"/>
          <w:szCs w:val="21"/>
        </w:rPr>
        <w:t>2.6</w:t>
      </w:r>
      <w:r>
        <w:rPr>
          <w:rFonts w:hint="eastAsia"/>
        </w:rPr>
        <w:t xml:space="preserve">    分部分项工程</w:t>
      </w:r>
      <w:r>
        <w:t>和单价措施项目</w:t>
      </w:r>
      <w:r>
        <w:rPr>
          <w:rFonts w:hint="eastAsia"/>
        </w:rPr>
        <w:t>按下列要求报价：</w:t>
      </w:r>
    </w:p>
    <w:p>
      <w:pPr>
        <w:spacing w:line="420" w:lineRule="exact"/>
        <w:ind w:left="735" w:hanging="735" w:hangingChars="350"/>
      </w:pPr>
      <w:r>
        <w:rPr>
          <w:rFonts w:hint="eastAsia" w:ascii="黑体" w:hAnsi="宋体" w:eastAsia="黑体"/>
          <w:szCs w:val="21"/>
        </w:rPr>
        <w:t>2.6.1</w:t>
      </w:r>
      <w:r>
        <w:rPr>
          <w:rFonts w:hint="eastAsia"/>
        </w:rPr>
        <w:t xml:space="preserve">  分部分项工程</w:t>
      </w:r>
      <w:r>
        <w:t>和单价措施项目</w:t>
      </w:r>
      <w:r>
        <w:rPr>
          <w:rFonts w:hint="eastAsia"/>
        </w:rPr>
        <w:t>，应根据招标文件和招标工程量清单中的项目特征描述确定综合单价。</w:t>
      </w:r>
    </w:p>
    <w:p>
      <w:pPr>
        <w:spacing w:line="420" w:lineRule="exact"/>
        <w:ind w:left="769" w:hanging="768" w:hangingChars="366"/>
      </w:pPr>
      <w:r>
        <w:rPr>
          <w:rFonts w:hint="eastAsia" w:ascii="黑体" w:hAnsi="宋体" w:eastAsia="黑体"/>
          <w:szCs w:val="21"/>
        </w:rPr>
        <w:t>2.6.2</w:t>
      </w:r>
      <w:r>
        <w:rPr>
          <w:rFonts w:hint="eastAsia"/>
        </w:rPr>
        <w:t xml:space="preserve">  如果分部分项工程</w:t>
      </w:r>
      <w:r>
        <w:t>和单价措施项目</w:t>
      </w:r>
      <w:r>
        <w:rPr>
          <w:rFonts w:hint="eastAsia"/>
        </w:rPr>
        <w:t>清单中涉及“材料（工程设备）暂估单价表”中列出的材料和工程设备，则按照本节第3.3.2项的报价原则计价。</w:t>
      </w:r>
    </w:p>
    <w:p>
      <w:pPr>
        <w:spacing w:line="420" w:lineRule="exact"/>
        <w:ind w:left="769" w:hanging="768" w:hangingChars="366"/>
      </w:pPr>
      <w:r>
        <w:rPr>
          <w:rFonts w:hint="eastAsia" w:ascii="黑体" w:hAnsi="宋体" w:eastAsia="黑体"/>
          <w:szCs w:val="21"/>
        </w:rPr>
        <w:t>2.6.3</w:t>
      </w:r>
      <w:r>
        <w:rPr>
          <w:rFonts w:hint="eastAsia" w:ascii="宋体" w:hAnsi="宋体"/>
          <w:szCs w:val="21"/>
        </w:rPr>
        <w:t xml:space="preserve">  如果分部分项工程</w:t>
      </w:r>
      <w:r>
        <w:t>和单价措施项目</w:t>
      </w:r>
      <w:r>
        <w:rPr>
          <w:rFonts w:hint="eastAsia"/>
        </w:rPr>
        <w:t>清单</w:t>
      </w:r>
      <w:r>
        <w:rPr>
          <w:rFonts w:hint="eastAsia" w:ascii="宋体" w:hAnsi="宋体"/>
          <w:szCs w:val="21"/>
        </w:rPr>
        <w:t>中涉及“发包人提供的材料和工程设备一览表”</w:t>
      </w:r>
      <w:r>
        <w:rPr>
          <w:rFonts w:hint="eastAsia" w:ascii="黑体" w:hAnsi="宋体" w:eastAsia="黑体"/>
          <w:sz w:val="24"/>
        </w:rPr>
        <w:t xml:space="preserve"> </w:t>
      </w:r>
      <w:r>
        <w:rPr>
          <w:rFonts w:hint="eastAsia"/>
        </w:rPr>
        <w:t>列出的材料和工程设备。</w:t>
      </w:r>
    </w:p>
    <w:p>
      <w:pPr>
        <w:spacing w:line="420" w:lineRule="exact"/>
        <w:ind w:left="769" w:leftChars="366"/>
      </w:pPr>
      <w:r>
        <w:rPr>
          <w:rFonts w:hint="eastAsia" w:ascii="宋体" w:hAnsi="宋体"/>
          <w:szCs w:val="21"/>
        </w:rPr>
        <w:t>采用一般计税方法的，甲供材不计入除税工程造价。</w:t>
      </w:r>
    </w:p>
    <w:p>
      <w:pPr>
        <w:spacing w:line="420" w:lineRule="exact"/>
        <w:ind w:left="768" w:leftChars="350" w:hanging="33" w:hangingChars="16"/>
      </w:pPr>
      <w:r>
        <w:rPr>
          <w:rFonts w:hint="eastAsia" w:ascii="宋体" w:hAnsi="宋体"/>
          <w:szCs w:val="21"/>
        </w:rPr>
        <w:t>采用简易计税方法的，甲供材计入除税工程造价。</w:t>
      </w:r>
    </w:p>
    <w:p>
      <w:pPr>
        <w:spacing w:line="420" w:lineRule="exact"/>
        <w:ind w:left="769" w:hanging="768" w:hangingChars="366"/>
      </w:pPr>
      <w:r>
        <w:rPr>
          <w:rFonts w:hint="eastAsia" w:ascii="黑体" w:hAnsi="宋体" w:eastAsia="黑体"/>
          <w:szCs w:val="21"/>
        </w:rPr>
        <w:t>2.6.4</w:t>
      </w:r>
      <w:r>
        <w:rPr>
          <w:rFonts w:hint="eastAsia"/>
        </w:rPr>
        <w:t xml:space="preserve">  “分部分项工程</w:t>
      </w:r>
      <w:r>
        <w:t>和单价措施项目</w:t>
      </w:r>
      <w:r>
        <w:rPr>
          <w:rFonts w:hint="eastAsia"/>
        </w:rPr>
        <w:t>清单与计价表”所列各项目的综合单价组成中，各项目的人工、材料和机械台班消耗量由投标人按照其自身情况做充分的竞争性考虑。材料消耗量包括损耗量。</w:t>
      </w:r>
    </w:p>
    <w:p>
      <w:pPr>
        <w:spacing w:line="420" w:lineRule="exact"/>
        <w:ind w:left="769" w:hanging="768" w:hangingChars="366"/>
      </w:pPr>
      <w:r>
        <w:rPr>
          <w:rFonts w:hint="eastAsia" w:ascii="黑体" w:hAnsi="宋体" w:eastAsia="黑体"/>
          <w:szCs w:val="21"/>
        </w:rPr>
        <w:t>2.6.5</w:t>
      </w:r>
      <w:r>
        <w:rPr>
          <w:rFonts w:hint="eastAsia"/>
        </w:rPr>
        <w:t xml:space="preserve">  投标人在投标文件中提交并构成合同文件的“</w:t>
      </w:r>
      <w:r>
        <w:rPr>
          <w:rFonts w:hint="eastAsia" w:ascii="宋体" w:hAnsi="宋体"/>
          <w:szCs w:val="21"/>
        </w:rPr>
        <w:t>承包人提供主要材料和工程设备一览表</w:t>
      </w:r>
      <w:r>
        <w:rPr>
          <w:rFonts w:hint="eastAsia"/>
        </w:rPr>
        <w:t>”应符合下列要求。</w:t>
      </w:r>
    </w:p>
    <w:p>
      <w:pPr>
        <w:spacing w:line="420" w:lineRule="exact"/>
        <w:ind w:left="768" w:leftChars="350" w:hanging="33" w:hangingChars="16"/>
      </w:pPr>
      <w:r>
        <w:rPr>
          <w:rFonts w:hint="eastAsia" w:ascii="宋体" w:hAnsi="宋体"/>
          <w:szCs w:val="21"/>
        </w:rPr>
        <w:t>采用</w:t>
      </w:r>
      <w:r>
        <w:rPr>
          <w:rFonts w:hint="eastAsia"/>
        </w:rPr>
        <w:t>一般计税</w:t>
      </w:r>
      <w:r>
        <w:rPr>
          <w:rFonts w:hint="eastAsia" w:ascii="宋体" w:hAnsi="宋体"/>
          <w:szCs w:val="21"/>
        </w:rPr>
        <w:t>方</w:t>
      </w:r>
      <w:r>
        <w:rPr>
          <w:rFonts w:hint="eastAsia"/>
        </w:rPr>
        <w:t>法的，进入综合单价的材料和工程设备的价格为除税价格。</w:t>
      </w:r>
    </w:p>
    <w:p>
      <w:pPr>
        <w:spacing w:line="420" w:lineRule="exact"/>
        <w:ind w:left="768" w:leftChars="350" w:hanging="33" w:hangingChars="16"/>
        <w:rPr>
          <w:bdr w:val="single" w:color="auto" w:sz="4" w:space="0"/>
        </w:rPr>
      </w:pPr>
      <w:r>
        <w:rPr>
          <w:rFonts w:hint="eastAsia" w:ascii="宋体" w:hAnsi="宋体"/>
          <w:szCs w:val="21"/>
        </w:rPr>
        <w:t>采用</w:t>
      </w:r>
      <w:r>
        <w:rPr>
          <w:rFonts w:hint="eastAsia"/>
        </w:rPr>
        <w:t>简易计税</w:t>
      </w:r>
      <w:r>
        <w:rPr>
          <w:rFonts w:hint="eastAsia" w:ascii="宋体" w:hAnsi="宋体"/>
          <w:szCs w:val="21"/>
        </w:rPr>
        <w:t>方</w:t>
      </w:r>
      <w:r>
        <w:rPr>
          <w:rFonts w:hint="eastAsia"/>
        </w:rPr>
        <w:t>法的，进入综合单价的材料和工程设备的价格为含税价格。</w:t>
      </w:r>
    </w:p>
    <w:p>
      <w:pPr>
        <w:spacing w:line="420" w:lineRule="exact"/>
        <w:ind w:left="769" w:hanging="768" w:hangingChars="366"/>
      </w:pPr>
      <w:r>
        <w:rPr>
          <w:rFonts w:hint="eastAsia" w:ascii="黑体" w:hAnsi="宋体" w:eastAsia="黑体"/>
          <w:szCs w:val="21"/>
        </w:rPr>
        <w:t xml:space="preserve">2.6.6  </w:t>
      </w:r>
      <w:r>
        <w:rPr>
          <w:rFonts w:hint="eastAsia"/>
        </w:rPr>
        <w:t>投标人应对每一个分部分项工程</w:t>
      </w:r>
      <w:r>
        <w:t>和单价措施项目</w:t>
      </w:r>
      <w:r>
        <w:rPr>
          <w:rFonts w:hint="eastAsia"/>
        </w:rPr>
        <w:t>编制“综合单价分析表”，并按分部分项工程</w:t>
      </w:r>
      <w:r>
        <w:t>和单价措施项目</w:t>
      </w:r>
      <w:r>
        <w:rPr>
          <w:rFonts w:hint="eastAsia"/>
        </w:rPr>
        <w:t>的顺序附在“分部分项工程</w:t>
      </w:r>
      <w:r>
        <w:t>和单价措施项目</w:t>
      </w:r>
      <w:r>
        <w:rPr>
          <w:rFonts w:hint="eastAsia"/>
        </w:rPr>
        <w:t>清单与计价表”之后，“综合单价分析表”中的综合单价应与“分部分项工程</w:t>
      </w:r>
      <w:r>
        <w:t>和单价措施项目</w:t>
      </w:r>
      <w:r>
        <w:rPr>
          <w:rFonts w:hint="eastAsia"/>
        </w:rPr>
        <w:t>清单与计价表”中相应的综合单价一致。</w:t>
      </w:r>
    </w:p>
    <w:p>
      <w:pPr>
        <w:spacing w:line="380" w:lineRule="exact"/>
      </w:pPr>
      <w:r>
        <w:rPr>
          <w:rFonts w:hint="eastAsia" w:ascii="黑体" w:hAnsi="宋体" w:eastAsia="黑体"/>
          <w:szCs w:val="21"/>
        </w:rPr>
        <w:t>2.7</w:t>
      </w:r>
      <w:r>
        <w:rPr>
          <w:rFonts w:hint="eastAsia"/>
        </w:rPr>
        <w:t xml:space="preserve">    </w:t>
      </w:r>
      <w:r>
        <w:t>总价</w:t>
      </w:r>
      <w:r>
        <w:rPr>
          <w:rFonts w:hint="eastAsia"/>
        </w:rPr>
        <w:t>措施项目按下列要求报价：</w:t>
      </w:r>
    </w:p>
    <w:p>
      <w:pPr>
        <w:spacing w:line="420" w:lineRule="exact"/>
        <w:ind w:left="769" w:hanging="768" w:hangingChars="366"/>
      </w:pPr>
      <w:r>
        <w:rPr>
          <w:rFonts w:hint="eastAsia" w:ascii="黑体" w:hAnsi="宋体" w:eastAsia="黑体"/>
          <w:szCs w:val="21"/>
        </w:rPr>
        <w:t>2.7.1</w:t>
      </w:r>
      <w:r>
        <w:rPr>
          <w:rFonts w:hint="eastAsia"/>
        </w:rPr>
        <w:t xml:space="preserve">  </w:t>
      </w:r>
      <w:r>
        <w:t>总价</w:t>
      </w:r>
      <w:r>
        <w:rPr>
          <w:rFonts w:hint="eastAsia"/>
        </w:rPr>
        <w:t>措施项目应根据招标文件及投标时拟定的施工组织设计或施工方案，</w:t>
      </w:r>
      <w:r>
        <w:t>以“项”为单位</w:t>
      </w:r>
      <w:r>
        <w:rPr>
          <w:rFonts w:hint="eastAsia"/>
        </w:rPr>
        <w:t>自主确定价格</w:t>
      </w:r>
      <w:r>
        <w:rPr>
          <w:rFonts w:ascii="宋体" w:hAnsi="宋体" w:cs="宋体"/>
          <w:kern w:val="0"/>
          <w:sz w:val="19"/>
          <w:szCs w:val="19"/>
        </w:rPr>
        <w:t>。</w:t>
      </w:r>
      <w:r>
        <w:rPr>
          <w:rFonts w:hint="eastAsia"/>
        </w:rPr>
        <w:t>投标人所填报价格应包括除规费、税金外的全部费用。</w:t>
      </w:r>
    </w:p>
    <w:p>
      <w:pPr>
        <w:spacing w:line="420" w:lineRule="exact"/>
        <w:ind w:left="769" w:hanging="768" w:hangingChars="366"/>
      </w:pPr>
      <w:r>
        <w:rPr>
          <w:rFonts w:hint="eastAsia" w:ascii="黑体" w:hAnsi="宋体" w:eastAsia="黑体"/>
          <w:szCs w:val="21"/>
        </w:rPr>
        <w:t>2.7.2</w:t>
      </w:r>
      <w:r>
        <w:rPr>
          <w:rFonts w:hint="eastAsia"/>
        </w:rPr>
        <w:t xml:space="preserve">  总价措施项目清单中的安全文明施工费必须按国家或省级、行业建设主管部门的规定计算，不得作为竞争性费用。</w:t>
      </w:r>
    </w:p>
    <w:p>
      <w:pPr>
        <w:spacing w:line="420" w:lineRule="exact"/>
        <w:ind w:left="769" w:hanging="768" w:hangingChars="366"/>
      </w:pPr>
      <w:r>
        <w:rPr>
          <w:rFonts w:hint="eastAsia" w:ascii="黑体" w:hAnsi="宋体" w:eastAsia="黑体"/>
          <w:szCs w:val="21"/>
        </w:rPr>
        <w:t>2.7.3</w:t>
      </w:r>
      <w:r>
        <w:rPr>
          <w:rFonts w:hint="eastAsia"/>
        </w:rPr>
        <w:t xml:space="preserve">  “</w:t>
      </w:r>
      <w:r>
        <w:t>总价</w:t>
      </w:r>
      <w:r>
        <w:rPr>
          <w:rFonts w:hint="eastAsia"/>
        </w:rPr>
        <w:t>措施项目清单与计价表”中所填写的报价金额，应全面涵盖招标文件约定的投标人中标后施工、竣工、交付本工程并维修其任何缺陷所需要履行的责任和义务的全部费用。</w:t>
      </w:r>
    </w:p>
    <w:p>
      <w:pPr>
        <w:spacing w:line="380" w:lineRule="exact"/>
      </w:pPr>
      <w:r>
        <w:rPr>
          <w:rFonts w:hint="eastAsia" w:ascii="黑体" w:hAnsi="宋体" w:eastAsia="黑体"/>
          <w:szCs w:val="21"/>
        </w:rPr>
        <w:t>2.8</w:t>
      </w:r>
      <w:r>
        <w:rPr>
          <w:rFonts w:hint="eastAsia"/>
        </w:rPr>
        <w:t xml:space="preserve">    其他项目应按下列规定报价：</w:t>
      </w:r>
    </w:p>
    <w:p>
      <w:pPr>
        <w:spacing w:line="420" w:lineRule="exact"/>
        <w:ind w:left="718" w:leftChars="2" w:hanging="714" w:hangingChars="340"/>
      </w:pPr>
      <w:r>
        <w:rPr>
          <w:rFonts w:hint="eastAsia" w:ascii="黑体" w:hAnsi="宋体" w:eastAsia="黑体"/>
          <w:szCs w:val="21"/>
        </w:rPr>
        <w:t>2.8.1</w:t>
      </w:r>
      <w:r>
        <w:rPr>
          <w:rFonts w:hint="eastAsia"/>
        </w:rPr>
        <w:t xml:space="preserve">  暂列金额应按招标工程量清单“暂列金额明细表”中列出的金额填写，不得变动。</w:t>
      </w:r>
    </w:p>
    <w:p>
      <w:pPr>
        <w:spacing w:line="420" w:lineRule="exact"/>
        <w:ind w:left="718" w:leftChars="2" w:hanging="714" w:hangingChars="340"/>
      </w:pPr>
      <w:r>
        <w:rPr>
          <w:rFonts w:hint="eastAsia" w:ascii="黑体" w:hAnsi="宋体" w:eastAsia="黑体"/>
          <w:szCs w:val="21"/>
        </w:rPr>
        <w:t>2.8.2</w:t>
      </w:r>
      <w:r>
        <w:rPr>
          <w:rFonts w:hint="eastAsia"/>
        </w:rPr>
        <w:t xml:space="preserve">  暂估价分为材料（工程设备）暂估单价和专业工程暂估价两类。其中材料、工程设备暂估单价应按招标工程量清单“材料（工程设备）暂估单价表”中列出的单价和本节第3.3.2项的报价原则进入分部分项工程</w:t>
      </w:r>
      <w:r>
        <w:t>和单价措施项目</w:t>
      </w:r>
      <w:r>
        <w:rPr>
          <w:rFonts w:hint="eastAsia"/>
        </w:rPr>
        <w:t>清单之综合单价，不得变动，不在“其他项目清单与计价汇总表”中汇总</w:t>
      </w:r>
      <w:r>
        <w:rPr>
          <w:rFonts w:hint="eastAsia" w:ascii="宋体" w:hAnsi="宋体"/>
          <w:szCs w:val="21"/>
        </w:rPr>
        <w:t>；</w:t>
      </w:r>
      <w:r>
        <w:rPr>
          <w:rFonts w:hint="eastAsia"/>
        </w:rPr>
        <w:t>专业工程暂估价应按招标工程量清单 “专业工程暂估价表”中列出的金额和本节第3.3.3项的报价原则计入其他项目清单报价，不得变动。</w:t>
      </w:r>
    </w:p>
    <w:p>
      <w:pPr>
        <w:spacing w:line="420" w:lineRule="exact"/>
        <w:ind w:left="741" w:leftChars="2" w:hanging="737" w:hangingChars="351"/>
      </w:pPr>
      <w:r>
        <w:rPr>
          <w:rFonts w:hint="eastAsia" w:ascii="黑体" w:hAnsi="宋体" w:eastAsia="黑体"/>
          <w:szCs w:val="21"/>
        </w:rPr>
        <w:t>2.8.3</w:t>
      </w:r>
      <w:r>
        <w:rPr>
          <w:rFonts w:hint="eastAsia"/>
        </w:rPr>
        <w:t xml:space="preserve">  计日工应按招标工程量清单“计日工表”中列出的项目和数量，自主确定单价并计取企业管理费与利润。计日工单价不包括规费和税金。总承包服务费应按招标工程量清单“总承包服务费计价表”中列出的内容和提出的要求自主报价。</w:t>
      </w:r>
    </w:p>
    <w:p>
      <w:pPr>
        <w:spacing w:line="420" w:lineRule="exact"/>
        <w:ind w:left="642" w:leftChars="2" w:hanging="638" w:hangingChars="304"/>
      </w:pPr>
      <w:r>
        <w:rPr>
          <w:rFonts w:hint="eastAsia" w:ascii="黑体" w:hAnsi="宋体" w:eastAsia="黑体"/>
          <w:szCs w:val="21"/>
        </w:rPr>
        <w:t>2.9</w:t>
      </w:r>
      <w:r>
        <w:rPr>
          <w:rFonts w:hint="eastAsia"/>
        </w:rPr>
        <w:t xml:space="preserve">   规费和税金</w:t>
      </w:r>
      <w:r>
        <w:t>项目</w:t>
      </w:r>
      <w:r>
        <w:rPr>
          <w:rFonts w:hint="eastAsia"/>
        </w:rPr>
        <w:t>按下列要求报价：</w:t>
      </w:r>
    </w:p>
    <w:p>
      <w:pPr>
        <w:spacing w:line="420" w:lineRule="exact"/>
        <w:ind w:left="634" w:leftChars="302"/>
      </w:pPr>
      <w:r>
        <w:rPr>
          <w:rFonts w:hint="eastAsia"/>
        </w:rPr>
        <w:t>规费和税金必须按国家或省级、行业建设主管部门的规定计算，不得作为竞争性费用。</w:t>
      </w:r>
    </w:p>
    <w:p>
      <w:pPr>
        <w:spacing w:line="420" w:lineRule="exact"/>
        <w:ind w:left="642" w:leftChars="2" w:hanging="638" w:hangingChars="304"/>
      </w:pPr>
      <w:r>
        <w:rPr>
          <w:rFonts w:hint="eastAsia" w:ascii="黑体" w:hAnsi="宋体" w:eastAsia="黑体"/>
          <w:szCs w:val="21"/>
        </w:rPr>
        <w:t>2.10</w:t>
      </w:r>
      <w:r>
        <w:rPr>
          <w:rFonts w:hint="eastAsia" w:ascii="宋体" w:hAnsi="宋体"/>
          <w:szCs w:val="21"/>
        </w:rPr>
        <w:t xml:space="preserve">  除招标文件有强制性规定以及不可竞争部分以外，投标报价由投标人自主确定，但不</w:t>
      </w:r>
      <w:r>
        <w:rPr>
          <w:rFonts w:hint="eastAsia"/>
        </w:rPr>
        <w:t>得低于其工程成本。</w:t>
      </w:r>
    </w:p>
    <w:p>
      <w:pPr>
        <w:spacing w:line="420" w:lineRule="exact"/>
        <w:ind w:left="627" w:leftChars="1" w:hanging="625" w:hangingChars="298"/>
      </w:pPr>
      <w:r>
        <w:rPr>
          <w:rFonts w:hint="eastAsia" w:ascii="黑体" w:hAnsi="宋体" w:eastAsia="黑体"/>
        </w:rPr>
        <w:t>2.11</w:t>
      </w:r>
      <w:r>
        <w:rPr>
          <w:rFonts w:hint="eastAsia"/>
        </w:rPr>
        <w:t xml:space="preserve">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pPr>
        <w:spacing w:line="420" w:lineRule="exact"/>
        <w:ind w:left="657" w:leftChars="2" w:hanging="653" w:hangingChars="311"/>
      </w:pPr>
      <w:r>
        <w:rPr>
          <w:rFonts w:hint="eastAsia" w:ascii="黑体" w:hAnsi="宋体" w:eastAsia="黑体"/>
        </w:rPr>
        <w:t>2.12</w:t>
      </w:r>
      <w:r>
        <w:rPr>
          <w:rFonts w:hint="eastAsia"/>
        </w:rPr>
        <w:t xml:space="preserve">  </w:t>
      </w:r>
      <w:r>
        <w:t>企业</w:t>
      </w:r>
      <w:r>
        <w:rPr>
          <w:rFonts w:hint="eastAsia"/>
        </w:rPr>
        <w:t>管理费应由投标人在保证不低于其成本的基础上合理报价；利润由投标人根据自身情况和综合实力合理报价。</w:t>
      </w:r>
    </w:p>
    <w:p>
      <w:pPr>
        <w:spacing w:line="380" w:lineRule="exact"/>
      </w:pPr>
      <w:r>
        <w:rPr>
          <w:rFonts w:hint="eastAsia" w:ascii="黑体" w:eastAsia="黑体"/>
        </w:rPr>
        <w:t>2.13</w:t>
      </w:r>
      <w:r>
        <w:rPr>
          <w:rFonts w:hint="eastAsia"/>
        </w:rPr>
        <w:t xml:space="preserve">  投标报价中应考虑招标文件中要求投标人承担的风险范围以及相关的费用。</w:t>
      </w:r>
    </w:p>
    <w:p>
      <w:pPr>
        <w:spacing w:line="420" w:lineRule="exact"/>
        <w:ind w:left="684" w:leftChars="2" w:hanging="680" w:hangingChars="324"/>
      </w:pPr>
      <w:r>
        <w:rPr>
          <w:rFonts w:hint="eastAsia" w:ascii="黑体" w:eastAsia="黑体"/>
        </w:rPr>
        <w:t>2.14</w:t>
      </w:r>
      <w:r>
        <w:rPr>
          <w:rFonts w:hint="eastAsia"/>
        </w:rPr>
        <w:t xml:space="preserve">  投标总价为投标人在投标文件中提出的各项支付金额的总和，为实施、完成招标工程并修补缺陷以及履行招标文件中约定的风险范围内的所有责任和义务所发生的全部费用。</w:t>
      </w:r>
    </w:p>
    <w:p>
      <w:pPr>
        <w:spacing w:line="380" w:lineRule="exact"/>
      </w:pPr>
      <w:r>
        <w:rPr>
          <w:rFonts w:hint="eastAsia" w:ascii="黑体" w:eastAsia="黑体"/>
        </w:rPr>
        <w:t>2.15</w:t>
      </w:r>
      <w:r>
        <w:rPr>
          <w:rFonts w:hint="eastAsia"/>
        </w:rPr>
        <w:t xml:space="preserve">  有关投标报价的其他说明：</w:t>
      </w:r>
    </w:p>
    <w:p>
      <w:pPr>
        <w:adjustRightInd w:val="0"/>
        <w:spacing w:line="380" w:lineRule="exact"/>
        <w:ind w:firstLine="420" w:firstLineChars="200"/>
        <w:rPr>
          <w:u w:val="single"/>
        </w:rPr>
      </w:pPr>
      <w:r>
        <w:rPr>
          <w:rFonts w:hint="eastAsia"/>
          <w:u w:val="single"/>
        </w:rPr>
        <w:t xml:space="preserve">                                                                           </w:t>
      </w:r>
    </w:p>
    <w:p>
      <w:pPr>
        <w:pStyle w:val="29"/>
        <w:rPr>
          <w:sz w:val="24"/>
          <w:szCs w:val="24"/>
        </w:rPr>
      </w:pPr>
      <w:bookmarkStart w:id="1321" w:name="_Toc10401"/>
      <w:r>
        <w:rPr>
          <w:rFonts w:hint="eastAsia"/>
          <w:sz w:val="24"/>
          <w:szCs w:val="24"/>
        </w:rPr>
        <w:t>3、其他说明</w:t>
      </w:r>
      <w:bookmarkEnd w:id="1321"/>
    </w:p>
    <w:p>
      <w:pPr>
        <w:spacing w:after="156" w:afterLines="50" w:line="380" w:lineRule="exact"/>
        <w:rPr>
          <w:rFonts w:ascii="黑体" w:eastAsia="黑体"/>
        </w:rPr>
      </w:pPr>
      <w:r>
        <w:rPr>
          <w:rFonts w:hint="eastAsia" w:ascii="黑体" w:eastAsia="黑体"/>
        </w:rPr>
        <w:t>3.1词语和定义</w:t>
      </w:r>
    </w:p>
    <w:p>
      <w:pPr>
        <w:spacing w:before="31" w:beforeLines="10" w:after="62" w:afterLines="20" w:line="380" w:lineRule="exact"/>
        <w:rPr>
          <w:b/>
        </w:rPr>
      </w:pPr>
      <w:r>
        <w:rPr>
          <w:rFonts w:hint="eastAsia" w:ascii="黑体" w:eastAsia="黑体"/>
        </w:rPr>
        <w:t>3.1.1</w:t>
      </w:r>
      <w:r>
        <w:rPr>
          <w:rFonts w:hint="eastAsia"/>
        </w:rPr>
        <w:t xml:space="preserve">  </w:t>
      </w:r>
      <w:r>
        <w:rPr>
          <w:rFonts w:hint="eastAsia"/>
          <w:b/>
        </w:rPr>
        <w:t>工程量清单</w:t>
      </w:r>
    </w:p>
    <w:p>
      <w:pPr>
        <w:spacing w:line="380" w:lineRule="exact"/>
        <w:ind w:left="735" w:leftChars="350"/>
      </w:pPr>
      <w:r>
        <w:rPr>
          <w:rFonts w:hint="eastAsia"/>
        </w:rPr>
        <w:t>是表现建设工程分部分项工程项目、措施项目、其他项目的名称和相应数量以及规费和税金项目等内容的明细清单。</w:t>
      </w:r>
    </w:p>
    <w:p>
      <w:pPr>
        <w:spacing w:line="420" w:lineRule="exact"/>
        <w:ind w:left="735" w:hanging="735" w:hangingChars="350"/>
      </w:pPr>
      <w:r>
        <w:rPr>
          <w:rFonts w:hint="eastAsia" w:ascii="黑体" w:eastAsia="黑体"/>
        </w:rPr>
        <w:t xml:space="preserve">3.1.2 </w:t>
      </w:r>
      <w:r>
        <w:rPr>
          <w:rFonts w:hint="eastAsia" w:ascii="黑体" w:eastAsia="黑体"/>
          <w:b/>
        </w:rPr>
        <w:t xml:space="preserve"> </w:t>
      </w:r>
      <w:r>
        <w:rPr>
          <w:b/>
        </w:rPr>
        <w:t>招标工程量清单</w:t>
      </w:r>
    </w:p>
    <w:p>
      <w:pPr>
        <w:spacing w:line="420" w:lineRule="exact"/>
        <w:ind w:left="735" w:leftChars="350"/>
      </w:pPr>
      <w:r>
        <w:t>是招标人依据国家标准、招标文件、设计文件以及施工现场实际情况编制的，随招标文件发布供投标报价的工程量</w:t>
      </w:r>
      <w:r>
        <w:rPr>
          <w:rFonts w:hint="eastAsia"/>
        </w:rPr>
        <w:t>清</w:t>
      </w:r>
      <w:r>
        <w:t>单，包括其说明和表格，同时也是编制招标控制价的依据之一。</w:t>
      </w:r>
    </w:p>
    <w:p>
      <w:pPr>
        <w:spacing w:before="31" w:beforeLines="10" w:after="62" w:afterLines="20" w:line="380" w:lineRule="exact"/>
        <w:rPr>
          <w:b/>
        </w:rPr>
      </w:pPr>
      <w:r>
        <w:rPr>
          <w:rFonts w:hint="eastAsia" w:ascii="黑体" w:eastAsia="黑体"/>
        </w:rPr>
        <w:t xml:space="preserve">3.1.3 </w:t>
      </w:r>
      <w:r>
        <w:rPr>
          <w:rFonts w:hint="eastAsia"/>
        </w:rPr>
        <w:t xml:space="preserve"> </w:t>
      </w:r>
      <w:r>
        <w:rPr>
          <w:rFonts w:hint="eastAsia"/>
          <w:b/>
        </w:rPr>
        <w:t>总价项目</w:t>
      </w:r>
    </w:p>
    <w:p>
      <w:pPr>
        <w:spacing w:line="380" w:lineRule="exact"/>
        <w:ind w:left="735" w:leftChars="350"/>
        <w:rPr>
          <w:b/>
          <w:bdr w:val="single" w:color="auto" w:sz="4" w:space="0"/>
        </w:rPr>
      </w:pPr>
      <w:r>
        <w:rPr>
          <w:rFonts w:hint="eastAsia"/>
        </w:rPr>
        <w:t>工程量清单中以总价计价的项目，即此类项目在相关工程国家计量规范中无工程量计算规则以总价（或计算基础乘费率）计算的项目，通常以“项”为计量单位，除专用合同条款另有约定外，总价固定包干。</w:t>
      </w:r>
    </w:p>
    <w:p>
      <w:pPr>
        <w:spacing w:before="31" w:beforeLines="10" w:after="62" w:afterLines="20" w:line="380" w:lineRule="exact"/>
        <w:rPr>
          <w:b/>
        </w:rPr>
      </w:pPr>
      <w:r>
        <w:rPr>
          <w:rFonts w:hint="eastAsia" w:ascii="黑体" w:eastAsia="黑体"/>
        </w:rPr>
        <w:t>3.1.4</w:t>
      </w:r>
      <w:r>
        <w:rPr>
          <w:rFonts w:hint="eastAsia"/>
        </w:rPr>
        <w:t xml:space="preserve">  </w:t>
      </w:r>
      <w:r>
        <w:rPr>
          <w:rFonts w:hint="eastAsia"/>
          <w:b/>
        </w:rPr>
        <w:t>单价项目</w:t>
      </w:r>
    </w:p>
    <w:p>
      <w:pPr>
        <w:spacing w:line="380" w:lineRule="exact"/>
        <w:ind w:left="735" w:leftChars="350"/>
      </w:pPr>
      <w:r>
        <w:rPr>
          <w:rFonts w:hint="eastAsia"/>
        </w:rPr>
        <w:t>工程量清单中以单价计价的项目，即根据合同工程图纸（含设计变更）和相关工程国家计量规范规定的工程量计算规则进行计量，与已标价工程量清单相应综合单价进行价款计算的项目。</w:t>
      </w:r>
    </w:p>
    <w:p>
      <w:pPr>
        <w:spacing w:before="31" w:beforeLines="10" w:after="62" w:afterLines="20" w:line="380" w:lineRule="exact"/>
        <w:rPr>
          <w:b/>
        </w:rPr>
      </w:pPr>
      <w:r>
        <w:rPr>
          <w:rFonts w:hint="eastAsia" w:ascii="黑体" w:eastAsia="黑体"/>
        </w:rPr>
        <w:t>3.1.5</w:t>
      </w:r>
      <w:r>
        <w:rPr>
          <w:rFonts w:hint="eastAsia"/>
        </w:rPr>
        <w:t xml:space="preserve">  </w:t>
      </w:r>
      <w:r>
        <w:rPr>
          <w:rFonts w:hint="eastAsia"/>
          <w:b/>
        </w:rPr>
        <w:t>项目编码</w:t>
      </w:r>
    </w:p>
    <w:p>
      <w:pPr>
        <w:spacing w:line="380" w:lineRule="exact"/>
        <w:ind w:left="724" w:leftChars="345"/>
      </w:pPr>
      <w:r>
        <w:rPr>
          <w:rFonts w:hint="eastAsia"/>
        </w:rPr>
        <w:t>分部分项工程和措施项目清单名称的阿拉伯数字标识。项目编码与子目编码同义。</w:t>
      </w:r>
    </w:p>
    <w:p>
      <w:pPr>
        <w:spacing w:before="62" w:beforeLines="20" w:after="62" w:afterLines="20" w:line="380" w:lineRule="exact"/>
        <w:rPr>
          <w:b/>
        </w:rPr>
      </w:pPr>
      <w:r>
        <w:rPr>
          <w:rFonts w:hint="eastAsia" w:ascii="黑体" w:eastAsia="黑体"/>
        </w:rPr>
        <w:t>3.1.6</w:t>
      </w:r>
      <w:r>
        <w:rPr>
          <w:rFonts w:hint="eastAsia"/>
        </w:rPr>
        <w:t xml:space="preserve">  </w:t>
      </w:r>
      <w:r>
        <w:rPr>
          <w:rFonts w:hint="eastAsia"/>
          <w:b/>
        </w:rPr>
        <w:t>项目特征</w:t>
      </w:r>
    </w:p>
    <w:p>
      <w:pPr>
        <w:spacing w:line="380" w:lineRule="exact"/>
        <w:ind w:left="718" w:leftChars="342" w:firstLine="35" w:firstLineChars="17"/>
      </w:pPr>
      <w:r>
        <w:rPr>
          <w:rFonts w:hint="eastAsia"/>
        </w:rPr>
        <w:t>构成分部分项工程项目、措施项目自身价值的本质特征，项目特征与子目特征同义。</w:t>
      </w:r>
    </w:p>
    <w:p>
      <w:pPr>
        <w:spacing w:before="62" w:beforeLines="20" w:after="62" w:afterLines="20" w:line="380" w:lineRule="exact"/>
        <w:rPr>
          <w:rFonts w:hint="eastAsia" w:ascii="宋体" w:hAnsi="宋体"/>
          <w:b/>
        </w:rPr>
      </w:pPr>
      <w:r>
        <w:rPr>
          <w:rFonts w:hint="eastAsia" w:ascii="黑体" w:eastAsia="黑体"/>
        </w:rPr>
        <w:t xml:space="preserve">3.1.7 </w:t>
      </w:r>
      <w:r>
        <w:rPr>
          <w:rFonts w:hint="eastAsia" w:ascii="宋体" w:hAnsi="宋体"/>
        </w:rPr>
        <w:t xml:space="preserve"> </w:t>
      </w:r>
      <w:r>
        <w:rPr>
          <w:rFonts w:hint="eastAsia" w:ascii="宋体" w:hAnsi="宋体"/>
          <w:b/>
        </w:rPr>
        <w:t>规费</w:t>
      </w:r>
    </w:p>
    <w:p>
      <w:pPr>
        <w:spacing w:line="380" w:lineRule="exact"/>
        <w:ind w:left="735" w:leftChars="350"/>
      </w:pPr>
      <w:r>
        <w:rPr>
          <w:rFonts w:hint="eastAsia"/>
        </w:rPr>
        <w:t>根据国家法律、法规规定，由省级政府或省级有关权力部门规定承包人必须缴纳的，应计入建筑安装工程造价的费用。</w:t>
      </w:r>
    </w:p>
    <w:p>
      <w:pPr>
        <w:spacing w:before="62" w:beforeLines="20" w:after="62" w:afterLines="20" w:line="380" w:lineRule="exact"/>
      </w:pPr>
      <w:r>
        <w:rPr>
          <w:rFonts w:hint="eastAsia" w:ascii="黑体" w:eastAsia="黑体"/>
        </w:rPr>
        <w:t>3.1.8</w:t>
      </w:r>
      <w:r>
        <w:rPr>
          <w:rFonts w:hint="eastAsia"/>
        </w:rPr>
        <w:t xml:space="preserve">  </w:t>
      </w:r>
      <w:r>
        <w:rPr>
          <w:rFonts w:hint="eastAsia"/>
          <w:b/>
        </w:rPr>
        <w:t>税金</w:t>
      </w:r>
    </w:p>
    <w:p>
      <w:pPr>
        <w:spacing w:line="380" w:lineRule="exact"/>
        <w:ind w:left="735" w:leftChars="350"/>
      </w:pPr>
      <w:r>
        <w:rPr>
          <w:rFonts w:hint="eastAsia" w:ascii="宋体" w:cs="宋体"/>
          <w:kern w:val="0"/>
          <w:szCs w:val="21"/>
        </w:rPr>
        <w:t>国家税法规定的应计入建筑安装工程造价内的营业税、城市维护建设税及教育费附加等。</w:t>
      </w:r>
    </w:p>
    <w:p>
      <w:pPr>
        <w:spacing w:before="62" w:beforeLines="20" w:after="62" w:afterLines="20" w:line="380" w:lineRule="exact"/>
        <w:rPr>
          <w:b/>
        </w:rPr>
      </w:pPr>
      <w:r>
        <w:rPr>
          <w:rFonts w:hint="eastAsia" w:ascii="黑体" w:eastAsia="黑体"/>
        </w:rPr>
        <w:t>3.1.9</w:t>
      </w:r>
      <w:r>
        <w:rPr>
          <w:rFonts w:hint="eastAsia"/>
        </w:rPr>
        <w:t xml:space="preserve">  </w:t>
      </w:r>
      <w:r>
        <w:rPr>
          <w:rFonts w:hint="eastAsia"/>
          <w:b/>
        </w:rPr>
        <w:t>总承包服务费</w:t>
      </w:r>
    </w:p>
    <w:p>
      <w:pPr>
        <w:spacing w:line="390" w:lineRule="exact"/>
        <w:ind w:left="781" w:leftChars="366" w:hanging="12" w:hangingChars="6"/>
      </w:pPr>
      <w:r>
        <w:rPr>
          <w:rFonts w:hint="eastAsia"/>
        </w:rPr>
        <w:t>总承包人为配合协调发包人进行的专业工程发包，对发包人自行采购的材料、工程设备等进行保管以及施工现场管理、竣工资料汇总整理等服务所需的费用。</w:t>
      </w:r>
    </w:p>
    <w:p>
      <w:pPr>
        <w:spacing w:before="62" w:beforeLines="20" w:after="62" w:afterLines="20" w:line="380" w:lineRule="exact"/>
        <w:rPr>
          <w:b/>
        </w:rPr>
      </w:pPr>
      <w:r>
        <w:rPr>
          <w:rFonts w:hint="eastAsia" w:ascii="黑体" w:eastAsia="黑体"/>
        </w:rPr>
        <w:t>3.1.10</w:t>
      </w:r>
      <w:r>
        <w:rPr>
          <w:rFonts w:hint="eastAsia"/>
        </w:rPr>
        <w:t xml:space="preserve"> </w:t>
      </w:r>
      <w:r>
        <w:rPr>
          <w:rFonts w:hint="eastAsia"/>
          <w:b/>
        </w:rPr>
        <w:t>同义词语</w:t>
      </w:r>
    </w:p>
    <w:p>
      <w:pPr>
        <w:spacing w:line="390" w:lineRule="exact"/>
        <w:ind w:left="735" w:leftChars="350" w:firstLine="105" w:firstLineChars="50"/>
      </w:pPr>
      <w:r>
        <w:rPr>
          <w:rFonts w:hint="eastAsia"/>
        </w:rPr>
        <w:t>本章中使用的词语“招标人”和“投标人”分别与合同条款中定义的“发包人”和“承包人”同义</w:t>
      </w:r>
      <w:r>
        <w:rPr>
          <w:rFonts w:hint="eastAsia" w:ascii="宋体" w:hAnsi="宋体"/>
          <w:szCs w:val="21"/>
        </w:rPr>
        <w:t>；</w:t>
      </w:r>
      <w:r>
        <w:rPr>
          <w:rFonts w:hint="eastAsia"/>
        </w:rPr>
        <w:t>就工程量清单而言，“项目”与“子目”同义。</w:t>
      </w:r>
    </w:p>
    <w:p>
      <w:pPr>
        <w:spacing w:before="62" w:beforeLines="20" w:after="62" w:afterLines="20" w:line="380" w:lineRule="exact"/>
      </w:pPr>
      <w:r>
        <w:rPr>
          <w:rFonts w:hint="eastAsia" w:ascii="黑体" w:eastAsia="黑体"/>
        </w:rPr>
        <w:t>3.2工程量差异调整</w:t>
      </w:r>
    </w:p>
    <w:p>
      <w:pPr>
        <w:spacing w:line="380" w:lineRule="exact"/>
        <w:ind w:left="720" w:leftChars="-7" w:hanging="735" w:hangingChars="350"/>
      </w:pPr>
      <w:r>
        <w:rPr>
          <w:rFonts w:hint="eastAsia" w:ascii="黑体" w:eastAsia="黑体"/>
        </w:rPr>
        <w:t>3.2.1</w:t>
      </w:r>
      <w:r>
        <w:rPr>
          <w:rFonts w:hint="eastAsia"/>
        </w:rPr>
        <w:t xml:space="preserve">  招标工程量清单中的工作内容分类、项目列项、特征描述以及“分部分项工程</w:t>
      </w:r>
      <w:r>
        <w:t>和单价措施项目</w:t>
      </w:r>
      <w:r>
        <w:rPr>
          <w:rFonts w:hint="eastAsia"/>
        </w:rPr>
        <w:t>清单与计价表”中附带的工程量都不应理解为是对承包（招标）范围以及合同工作内容的唯一的、最终的或全部的定义。</w:t>
      </w:r>
    </w:p>
    <w:p>
      <w:pPr>
        <w:spacing w:line="380" w:lineRule="exact"/>
        <w:ind w:left="718" w:hanging="718" w:hangingChars="342"/>
      </w:pPr>
      <w:r>
        <w:rPr>
          <w:rFonts w:hint="eastAsia" w:ascii="黑体" w:eastAsia="黑体"/>
        </w:rPr>
        <w:t>3.2.2</w:t>
      </w:r>
      <w:r>
        <w:rPr>
          <w:rFonts w:hint="eastAsia"/>
        </w:rPr>
        <w:t xml:space="preserve">  投标人可以对招标工程量清单进行复核。这种复核包括对招标工程量清单中的项目编码、项目名称、项目特征描述、计量单位、工程量的准确性以及可能存在的任何书写、打印错误进行检查和复核。如果投标人经过检查和复核以后认为招标工程量清单存在差异，这种差异的</w:t>
      </w:r>
      <w:r>
        <w:t>存在可能对造价产生重大影响的，</w:t>
      </w:r>
      <w:r>
        <w:rPr>
          <w:rFonts w:hint="eastAsia"/>
        </w:rPr>
        <w:t>则投标人应将此类差异的详细情况连同按投标人须知规定提交的要求招标人澄清的其他问题一起提交给招标人，招标人</w:t>
      </w:r>
      <w:r>
        <w:t>在核实差异后</w:t>
      </w:r>
      <w:r>
        <w:rPr>
          <w:rFonts w:hint="eastAsia"/>
        </w:rPr>
        <w:t>将根据实际情况决定是否颁发招标工程量清单的澄清和（或）修改文件。</w:t>
      </w:r>
    </w:p>
    <w:p>
      <w:pPr>
        <w:spacing w:line="380" w:lineRule="exact"/>
        <w:ind w:left="720" w:leftChars="-7" w:hanging="735" w:hangingChars="350"/>
      </w:pPr>
      <w:r>
        <w:rPr>
          <w:rFonts w:hint="eastAsia" w:ascii="黑体" w:eastAsia="黑体"/>
        </w:rPr>
        <w:t>3.2.3</w:t>
      </w:r>
      <w:r>
        <w:rPr>
          <w:rFonts w:hint="eastAsia"/>
        </w:rPr>
        <w:t xml:space="preserve">  如果招标人在检查投标人根据上文第3.2.2项提交的差异问题后认为没有必要对招标工程量清单进行澄清和（或）修改，或者招标人根据上文第3.2.2项对招标工程量清单进行了澄清和（或）修改，但投标人认为招标工程量清单依然存在差异，则此类差异不再提交招标人要求澄清和（或）修改，而是直接按招标工程量清单（包括招标人可能的澄清和（或）修改）进行报价。</w:t>
      </w:r>
    </w:p>
    <w:p>
      <w:pPr>
        <w:spacing w:line="380" w:lineRule="exact"/>
        <w:ind w:left="735" w:hanging="735" w:hangingChars="350"/>
      </w:pPr>
      <w:r>
        <w:rPr>
          <w:rFonts w:hint="eastAsia" w:ascii="黑体" w:eastAsia="黑体"/>
        </w:rPr>
        <w:t xml:space="preserve">3.2.4  </w:t>
      </w:r>
      <w:r>
        <w:rPr>
          <w:rFonts w:hint="eastAsia"/>
        </w:rPr>
        <w:t>投标人在按照招标工程量清单进行报价时，不得改变招标工程量清单的项目编码、项目名称、项目特征描述、计量单位以及工程量，也不得改变其他项目清单及其载明的暂列金额和暂估价等内容。即使按照图纸和招标范围的约定并不存在的项目，只要在招标人提供的招标工程量清单中已经列明，投标人都需要对其报价，并纳入投标总价的计算。</w:t>
      </w:r>
    </w:p>
    <w:p>
      <w:pPr>
        <w:spacing w:line="380" w:lineRule="exact"/>
        <w:rPr>
          <w:rFonts w:ascii="黑体" w:eastAsia="黑体"/>
        </w:rPr>
      </w:pPr>
      <w:r>
        <w:rPr>
          <w:rFonts w:hint="eastAsia" w:ascii="黑体" w:eastAsia="黑体"/>
        </w:rPr>
        <w:t>3.3暂列金额和暂估价</w:t>
      </w:r>
    </w:p>
    <w:p>
      <w:pPr>
        <w:spacing w:line="380" w:lineRule="exact"/>
        <w:ind w:left="735" w:hanging="735" w:hangingChars="350"/>
        <w:rPr>
          <w:rFonts w:hint="eastAsia" w:ascii="宋体" w:hAnsi="宋体"/>
        </w:rPr>
      </w:pPr>
      <w:r>
        <w:rPr>
          <w:rFonts w:hint="eastAsia" w:ascii="黑体" w:eastAsia="黑体"/>
        </w:rPr>
        <w:t xml:space="preserve">3.3.1  </w:t>
      </w:r>
      <w:r>
        <w:rPr>
          <w:rFonts w:hint="eastAsia" w:ascii="宋体" w:hAnsi="宋体"/>
        </w:rPr>
        <w:t>采用一般计税方法的，“暂列金额明细表”中所列暂列金额为不含进项税额和销项税额的金额。投标人应按本招标文件规定将此类暂列金额直接纳入其他项目清单的投标价格，并计取相应的销项税额。</w:t>
      </w:r>
    </w:p>
    <w:p>
      <w:pPr>
        <w:spacing w:line="380" w:lineRule="exact"/>
        <w:ind w:left="735" w:leftChars="350"/>
        <w:rPr>
          <w:rFonts w:ascii="黑体" w:eastAsia="黑体"/>
        </w:rPr>
      </w:pPr>
      <w:r>
        <w:rPr>
          <w:rFonts w:hint="eastAsia" w:ascii="宋体" w:hAnsi="宋体"/>
        </w:rPr>
        <w:t>采用简易计税方法，“暂列金额明细表”中所列暂列金额为含进项税额但不含销项税额的金额。投标人应按本招标文件规定将此类暂列金额直接纳入其他项目清单的投标价格，并计取相应的增值税征收率。</w:t>
      </w:r>
    </w:p>
    <w:p>
      <w:pPr>
        <w:spacing w:line="380" w:lineRule="exact"/>
        <w:ind w:left="735" w:hanging="735" w:hangingChars="350"/>
        <w:rPr>
          <w:rFonts w:ascii="黑体" w:eastAsia="黑体"/>
        </w:rPr>
      </w:pPr>
      <w:r>
        <w:rPr>
          <w:rFonts w:hint="eastAsia" w:ascii="黑体" w:eastAsia="黑体"/>
        </w:rPr>
        <w:t xml:space="preserve">3.3.2  </w:t>
      </w:r>
      <w:r>
        <w:rPr>
          <w:rFonts w:hint="eastAsia" w:ascii="宋体" w:hAnsi="宋体"/>
        </w:rPr>
        <w:t>“材料（工程设备）暂估单价表”中所列的材料和工程设备暂估价是此类材料、工程设备本身运至施工现场内的工地地面价，除应按本招标文件规定将此类暂估价本身纳入分部分项工程和单价措施项目清单相应项目的综合单价以外，投标人还应将上述材料和工程设备的安装及辅助工作所发生的费用以及与此类费用有关的</w:t>
      </w:r>
      <w:r>
        <w:rPr>
          <w:rFonts w:ascii="宋体" w:hAnsi="宋体"/>
        </w:rPr>
        <w:t>企业</w:t>
      </w:r>
      <w:r>
        <w:rPr>
          <w:rFonts w:hint="eastAsia" w:ascii="宋体" w:hAnsi="宋体"/>
        </w:rPr>
        <w:t>管理费和利润包含在分部分项工程和单价措施项目清单相应项目的综合单价中。</w:t>
      </w:r>
    </w:p>
    <w:p>
      <w:pPr>
        <w:spacing w:line="380" w:lineRule="exact"/>
        <w:ind w:left="735" w:hanging="735" w:hangingChars="350"/>
        <w:rPr>
          <w:rFonts w:hint="eastAsia" w:ascii="宋体" w:hAnsi="宋体"/>
        </w:rPr>
      </w:pPr>
      <w:r>
        <w:rPr>
          <w:rFonts w:hint="eastAsia" w:ascii="黑体" w:eastAsia="黑体"/>
        </w:rPr>
        <w:t xml:space="preserve">3.3.3  </w:t>
      </w:r>
      <w:r>
        <w:rPr>
          <w:rFonts w:hint="eastAsia" w:ascii="宋体" w:hAnsi="宋体"/>
        </w:rPr>
        <w:t>采用一般计税</w:t>
      </w:r>
      <w:r>
        <w:rPr>
          <w:rFonts w:hint="eastAsia"/>
        </w:rPr>
        <w:t>方</w:t>
      </w:r>
      <w:r>
        <w:rPr>
          <w:rFonts w:hint="eastAsia" w:ascii="宋体" w:hAnsi="宋体"/>
        </w:rPr>
        <w:t>法的，“专业工程暂估价表”中所列专业工程暂估价为不含进项税额和销项税额的</w:t>
      </w:r>
      <w:r>
        <w:rPr>
          <w:rFonts w:hint="eastAsia"/>
        </w:rPr>
        <w:t>金额</w:t>
      </w:r>
      <w:r>
        <w:rPr>
          <w:rFonts w:hint="eastAsia" w:ascii="宋体" w:hAnsi="宋体"/>
        </w:rPr>
        <w:t>。投标人应按本招标文件规定将此类专业工程暂估金额直接纳入其他项目清单的投标价格，并计取相应的销项税额。</w:t>
      </w:r>
    </w:p>
    <w:p>
      <w:pPr>
        <w:spacing w:line="380" w:lineRule="exact"/>
        <w:ind w:left="735" w:leftChars="350"/>
        <w:rPr>
          <w:rFonts w:ascii="黑体" w:eastAsia="黑体"/>
        </w:rPr>
      </w:pPr>
      <w:r>
        <w:rPr>
          <w:rFonts w:hint="eastAsia" w:ascii="宋体" w:hAnsi="宋体"/>
        </w:rPr>
        <w:t>采用简易计税</w:t>
      </w:r>
      <w:r>
        <w:rPr>
          <w:rFonts w:hint="eastAsia"/>
        </w:rPr>
        <w:t>方</w:t>
      </w:r>
      <w:r>
        <w:rPr>
          <w:rFonts w:hint="eastAsia" w:ascii="宋体" w:hAnsi="宋体"/>
        </w:rPr>
        <w:t>法的，“专业工程暂估价表”中所列专业工程暂估价为含进项税额但不含销项税额的</w:t>
      </w:r>
      <w:r>
        <w:rPr>
          <w:rFonts w:hint="eastAsia"/>
        </w:rPr>
        <w:t>金额</w:t>
      </w:r>
      <w:r>
        <w:rPr>
          <w:rFonts w:hint="eastAsia" w:ascii="宋体" w:hAnsi="宋体"/>
        </w:rPr>
        <w:t>。投标人应按本招标文件规定将此类专业工程暂估金额直接纳入其他项目清单的投标价格，并计取相应的增值税征收率。</w:t>
      </w:r>
    </w:p>
    <w:p>
      <w:pPr>
        <w:spacing w:line="380" w:lineRule="exact"/>
        <w:ind w:left="735" w:hanging="735" w:hangingChars="350"/>
        <w:rPr>
          <w:rFonts w:ascii="黑体" w:eastAsia="黑体"/>
        </w:rPr>
      </w:pPr>
      <w:r>
        <w:rPr>
          <w:rFonts w:hint="eastAsia" w:ascii="黑体" w:eastAsia="黑体"/>
        </w:rPr>
        <w:t>3.4其他补充说明</w:t>
      </w:r>
    </w:p>
    <w:p>
      <w:pPr>
        <w:spacing w:line="380" w:lineRule="exact"/>
        <w:ind w:firstLine="420" w:firstLineChars="200"/>
        <w:rPr>
          <w:rFonts w:ascii="黑体" w:eastAsia="黑体"/>
          <w:u w:val="single"/>
        </w:rPr>
      </w:pPr>
      <w:r>
        <w:rPr>
          <w:rFonts w:hint="eastAsia" w:ascii="黑体" w:eastAsia="黑体"/>
          <w:u w:val="single"/>
        </w:rPr>
        <w:t xml:space="preserve">                                                                             </w:t>
      </w:r>
    </w:p>
    <w:p>
      <w:pPr>
        <w:spacing w:line="380" w:lineRule="exact"/>
        <w:ind w:firstLine="420" w:firstLineChars="200"/>
        <w:rPr>
          <w:rFonts w:ascii="黑体" w:eastAsia="黑体"/>
          <w:u w:val="single"/>
        </w:rPr>
      </w:pPr>
      <w:r>
        <w:rPr>
          <w:rFonts w:hint="eastAsia" w:ascii="黑体" w:eastAsia="黑体"/>
          <w:u w:val="single"/>
        </w:rPr>
        <w:t xml:space="preserve">                                                                             </w:t>
      </w:r>
    </w:p>
    <w:p>
      <w:pPr>
        <w:spacing w:after="312" w:afterLines="100" w:line="380" w:lineRule="exact"/>
        <w:rPr>
          <w:rFonts w:ascii="黑体" w:eastAsia="黑体"/>
          <w:sz w:val="28"/>
          <w:szCs w:val="28"/>
          <w:u w:val="single"/>
        </w:rPr>
      </w:pPr>
    </w:p>
    <w:p>
      <w:pPr>
        <w:pStyle w:val="29"/>
        <w:rPr>
          <w:szCs w:val="28"/>
        </w:rPr>
      </w:pPr>
      <w:bookmarkStart w:id="1322" w:name="_Toc16133"/>
      <w:r>
        <w:rPr>
          <w:rFonts w:hint="eastAsia"/>
          <w:szCs w:val="28"/>
        </w:rPr>
        <w:t>4、工程量清单与计价表</w:t>
      </w:r>
      <w:bookmarkEnd w:id="1322"/>
    </w:p>
    <w:p>
      <w:pPr>
        <w:spacing w:line="380" w:lineRule="exact"/>
        <w:ind w:left="735" w:hanging="735" w:hangingChars="350"/>
        <w:rPr>
          <w:rFonts w:hint="eastAsia" w:ascii="宋体" w:hAnsi="宋体"/>
        </w:rPr>
      </w:pPr>
    </w:p>
    <w:p>
      <w:pPr>
        <w:spacing w:line="380" w:lineRule="exact"/>
        <w:ind w:left="735" w:hanging="735" w:hangingChars="350"/>
        <w:rPr>
          <w:rFonts w:hint="eastAsia" w:ascii="宋体" w:hAnsi="宋体"/>
        </w:rPr>
      </w:pPr>
    </w:p>
    <w:p>
      <w:pPr>
        <w:ind w:left="995" w:leftChars="207" w:hanging="560" w:hangingChars="200"/>
        <w:rPr>
          <w:sz w:val="28"/>
          <w:szCs w:val="36"/>
        </w:rPr>
        <w:sectPr>
          <w:headerReference r:id="rId19" w:type="default"/>
          <w:footerReference r:id="rId20" w:type="default"/>
          <w:pgSz w:w="11906" w:h="16838"/>
          <w:pgMar w:top="1440" w:right="1800" w:bottom="1440" w:left="1800" w:header="851" w:footer="992" w:gutter="0"/>
          <w:cols w:space="425" w:num="1"/>
          <w:docGrid w:type="lines" w:linePitch="312" w:charSpace="0"/>
        </w:sectPr>
      </w:pPr>
      <w:r>
        <w:rPr>
          <w:rFonts w:hint="eastAsia"/>
          <w:sz w:val="28"/>
          <w:szCs w:val="36"/>
        </w:rPr>
        <w:t>详见附件：工程量清单</w:t>
      </w:r>
      <w:bookmarkEnd w:id="1316"/>
      <w:bookmarkEnd w:id="1317"/>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pStyle w:val="4"/>
        <w:spacing w:before="120" w:after="120" w:line="400" w:lineRule="exact"/>
        <w:jc w:val="center"/>
        <w:rPr>
          <w:rFonts w:hint="eastAsia" w:ascii="黑体" w:hAnsi="黑体" w:eastAsia="黑体"/>
          <w:b w:val="0"/>
          <w:bCs w:val="0"/>
          <w:sz w:val="48"/>
          <w:szCs w:val="48"/>
        </w:rPr>
      </w:pPr>
      <w:bookmarkStart w:id="1323" w:name="_Toc122603037"/>
      <w:bookmarkStart w:id="1324" w:name="_Toc256000344"/>
      <w:bookmarkStart w:id="1325" w:name="_Toc15553"/>
      <w:r>
        <w:rPr>
          <w:rFonts w:hint="eastAsia" w:ascii="黑体" w:hAnsi="黑体" w:eastAsia="黑体"/>
          <w:b w:val="0"/>
          <w:bCs w:val="0"/>
          <w:sz w:val="48"/>
          <w:szCs w:val="48"/>
        </w:rPr>
        <w:t>第二卷</w:t>
      </w:r>
      <w:bookmarkEnd w:id="1323"/>
      <w:bookmarkEnd w:id="1324"/>
      <w:bookmarkEnd w:id="1325"/>
    </w:p>
    <w:p>
      <w:pPr>
        <w:rPr>
          <w:rFonts w:ascii="黑体" w:eastAsia="黑体"/>
          <w:sz w:val="48"/>
          <w:szCs w:val="48"/>
        </w:rPr>
      </w:pPr>
    </w:p>
    <w:p>
      <w:pPr>
        <w:sectPr>
          <w:pgSz w:w="11906" w:h="16838"/>
          <w:pgMar w:top="1440" w:right="1800" w:bottom="1440" w:left="1800" w:header="851" w:footer="992" w:gutter="0"/>
          <w:cols w:space="425" w:num="1"/>
          <w:docGrid w:type="lines" w:linePitch="312" w:charSpace="0"/>
        </w:sectPr>
      </w:pPr>
    </w:p>
    <w:p>
      <w:bookmarkStart w:id="1326" w:name="_Toc152265814_1"/>
    </w:p>
    <w:p/>
    <w:p/>
    <w:p/>
    <w:p/>
    <w:p/>
    <w:p/>
    <w:p/>
    <w:p/>
    <w:p/>
    <w:p/>
    <w:p/>
    <w:p/>
    <w:p/>
    <w:p/>
    <w:p/>
    <w:p>
      <w:pPr>
        <w:pStyle w:val="4"/>
        <w:spacing w:before="120" w:after="120" w:line="400" w:lineRule="exact"/>
        <w:jc w:val="center"/>
        <w:rPr>
          <w:rFonts w:eastAsia="黑体"/>
        </w:rPr>
        <w:sectPr>
          <w:footerReference r:id="rId21" w:type="default"/>
          <w:pgSz w:w="11906" w:h="16838"/>
          <w:pgMar w:top="1440" w:right="1800" w:bottom="1440" w:left="1800" w:header="851" w:footer="992" w:gutter="0"/>
          <w:cols w:space="425" w:num="1"/>
          <w:docGrid w:type="lines" w:linePitch="312" w:charSpace="0"/>
        </w:sectPr>
      </w:pPr>
      <w:bookmarkStart w:id="1327" w:name="_Toc256000345"/>
      <w:bookmarkStart w:id="1328" w:name="_Toc21766"/>
      <w:r>
        <w:rPr>
          <w:rFonts w:ascii="黑体" w:hAnsi="黑体" w:eastAsia="黑体"/>
          <w:b w:val="0"/>
          <w:bCs w:val="0"/>
          <w:sz w:val="32"/>
        </w:rPr>
        <w:t>第</w:t>
      </w:r>
      <w:r>
        <w:rPr>
          <w:rFonts w:hint="eastAsia" w:ascii="黑体" w:hAnsi="黑体" w:eastAsia="黑体"/>
          <w:b w:val="0"/>
          <w:bCs w:val="0"/>
          <w:sz w:val="32"/>
        </w:rPr>
        <w:t>六</w:t>
      </w:r>
      <w:r>
        <w:rPr>
          <w:rFonts w:ascii="黑体" w:hAnsi="黑体" w:eastAsia="黑体"/>
          <w:b w:val="0"/>
          <w:bCs w:val="0"/>
          <w:sz w:val="32"/>
        </w:rPr>
        <w:t>章</w:t>
      </w:r>
      <w:r>
        <w:rPr>
          <w:rFonts w:hint="eastAsia" w:ascii="黑体" w:hAnsi="黑体" w:eastAsia="黑体"/>
          <w:b w:val="0"/>
          <w:bCs w:val="0"/>
          <w:sz w:val="32"/>
        </w:rPr>
        <w:t xml:space="preserve">  </w:t>
      </w:r>
      <w:bookmarkEnd w:id="1326"/>
      <w:r>
        <w:rPr>
          <w:rFonts w:hint="eastAsia" w:ascii="黑体" w:hAnsi="黑体" w:eastAsia="黑体"/>
          <w:b w:val="0"/>
          <w:bCs w:val="0"/>
          <w:sz w:val="32"/>
        </w:rPr>
        <w:t>图  纸</w:t>
      </w:r>
      <w:bookmarkEnd w:id="1327"/>
      <w:bookmarkEnd w:id="1328"/>
    </w:p>
    <w:p>
      <w:pPr>
        <w:pStyle w:val="29"/>
        <w:rPr>
          <w:sz w:val="24"/>
          <w:szCs w:val="24"/>
        </w:rPr>
      </w:pPr>
      <w:bookmarkStart w:id="1329" w:name="_Toc256000346"/>
      <w:bookmarkStart w:id="1330" w:name="_Toc173866992"/>
      <w:bookmarkStart w:id="1331" w:name="_Toc6970"/>
      <w:r>
        <w:rPr>
          <w:rFonts w:hint="eastAsia"/>
          <w:sz w:val="24"/>
          <w:szCs w:val="24"/>
        </w:rPr>
        <w:t>1．图纸目录</w:t>
      </w:r>
      <w:bookmarkEnd w:id="1329"/>
      <w:bookmarkEnd w:id="1330"/>
      <w:bookmarkEnd w:id="133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r>
              <w:rPr>
                <w:rFonts w:hint="eastAsia" w:ascii="宋体" w:hAnsi="宋体"/>
                <w:szCs w:val="21"/>
              </w:rPr>
              <w:t>序号</w:t>
            </w:r>
          </w:p>
        </w:tc>
        <w:tc>
          <w:tcPr>
            <w:tcW w:w="1453" w:type="dxa"/>
            <w:vAlign w:val="center"/>
          </w:tcPr>
          <w:p>
            <w:pPr>
              <w:jc w:val="center"/>
              <w:rPr>
                <w:rFonts w:hint="eastAsia" w:ascii="宋体" w:hAnsi="宋体"/>
                <w:szCs w:val="21"/>
              </w:rPr>
            </w:pPr>
            <w:r>
              <w:rPr>
                <w:rFonts w:hint="eastAsia" w:ascii="宋体" w:hAnsi="宋体"/>
                <w:szCs w:val="21"/>
              </w:rPr>
              <w:t>图名</w:t>
            </w:r>
          </w:p>
        </w:tc>
        <w:tc>
          <w:tcPr>
            <w:tcW w:w="1453" w:type="dxa"/>
            <w:vAlign w:val="center"/>
          </w:tcPr>
          <w:p>
            <w:pPr>
              <w:jc w:val="center"/>
              <w:rPr>
                <w:rFonts w:hint="eastAsia" w:ascii="宋体" w:hAnsi="宋体"/>
                <w:szCs w:val="21"/>
              </w:rPr>
            </w:pPr>
            <w:r>
              <w:rPr>
                <w:rFonts w:hint="eastAsia" w:ascii="宋体" w:hAnsi="宋体"/>
                <w:szCs w:val="21"/>
              </w:rPr>
              <w:t>图号</w:t>
            </w:r>
          </w:p>
        </w:tc>
        <w:tc>
          <w:tcPr>
            <w:tcW w:w="1453" w:type="dxa"/>
            <w:vAlign w:val="center"/>
          </w:tcPr>
          <w:p>
            <w:pPr>
              <w:jc w:val="center"/>
              <w:rPr>
                <w:rFonts w:hint="eastAsia" w:ascii="宋体" w:hAnsi="宋体"/>
                <w:szCs w:val="21"/>
              </w:rPr>
            </w:pPr>
            <w:r>
              <w:rPr>
                <w:rFonts w:hint="eastAsia" w:ascii="宋体" w:hAnsi="宋体"/>
                <w:szCs w:val="21"/>
              </w:rPr>
              <w:t>版本</w:t>
            </w:r>
          </w:p>
        </w:tc>
        <w:tc>
          <w:tcPr>
            <w:tcW w:w="1454" w:type="dxa"/>
            <w:vAlign w:val="center"/>
          </w:tcPr>
          <w:p>
            <w:pPr>
              <w:jc w:val="center"/>
              <w:rPr>
                <w:rFonts w:hint="eastAsia" w:ascii="宋体" w:hAnsi="宋体"/>
                <w:szCs w:val="21"/>
              </w:rPr>
            </w:pPr>
            <w:r>
              <w:rPr>
                <w:rFonts w:hint="eastAsia" w:ascii="宋体" w:hAnsi="宋体"/>
                <w:szCs w:val="21"/>
              </w:rPr>
              <w:t>出图日期</w:t>
            </w:r>
          </w:p>
        </w:tc>
        <w:tc>
          <w:tcPr>
            <w:tcW w:w="1454" w:type="dxa"/>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3"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c>
          <w:tcPr>
            <w:tcW w:w="1454" w:type="dxa"/>
            <w:vAlign w:val="center"/>
          </w:tcPr>
          <w:p>
            <w:pPr>
              <w:jc w:val="center"/>
              <w:rPr>
                <w:rFonts w:hint="eastAsia" w:ascii="宋体" w:hAnsi="宋体"/>
                <w:szCs w:val="21"/>
              </w:rPr>
            </w:pPr>
          </w:p>
        </w:tc>
      </w:tr>
    </w:tbl>
    <w:p>
      <w:pPr>
        <w:rPr>
          <w:szCs w:val="21"/>
        </w:rPr>
      </w:pPr>
    </w:p>
    <w:p>
      <w:pPr>
        <w:rPr>
          <w:szCs w:val="21"/>
        </w:rPr>
      </w:pPr>
      <w:r>
        <w:rPr>
          <w:szCs w:val="21"/>
        </w:rPr>
        <w:br w:type="page"/>
      </w:r>
    </w:p>
    <w:p>
      <w:pPr>
        <w:pStyle w:val="29"/>
        <w:rPr>
          <w:sz w:val="24"/>
          <w:szCs w:val="24"/>
        </w:rPr>
      </w:pPr>
      <w:bookmarkStart w:id="1332" w:name="_Toc256000347"/>
      <w:bookmarkStart w:id="1333" w:name="_Toc4425"/>
      <w:bookmarkStart w:id="1334" w:name="_Toc173866993"/>
      <w:r>
        <w:rPr>
          <w:rFonts w:hint="eastAsia"/>
          <w:sz w:val="24"/>
          <w:szCs w:val="24"/>
        </w:rPr>
        <w:t>2．图  纸</w:t>
      </w:r>
      <w:bookmarkEnd w:id="1332"/>
      <w:bookmarkEnd w:id="1333"/>
      <w:bookmarkEnd w:id="1334"/>
    </w:p>
    <w:p>
      <w:pPr>
        <w:rPr>
          <w:rFonts w:ascii="黑体"/>
          <w:sz w:val="24"/>
        </w:rPr>
      </w:pPr>
    </w:p>
    <w:p>
      <w:pPr>
        <w:jc w:val="center"/>
        <w:rPr>
          <w:sz w:val="36"/>
          <w:szCs w:val="44"/>
        </w:rPr>
        <w:sectPr>
          <w:pgSz w:w="11906" w:h="16838"/>
          <w:pgMar w:top="1440" w:right="1800" w:bottom="1440" w:left="1800" w:header="851" w:footer="992" w:gutter="0"/>
          <w:cols w:space="425" w:num="1"/>
          <w:docGrid w:type="lines" w:linePitch="312" w:charSpace="0"/>
        </w:sectPr>
      </w:pPr>
      <w:r>
        <w:rPr>
          <w:rFonts w:hint="eastAsia"/>
          <w:sz w:val="36"/>
          <w:szCs w:val="44"/>
        </w:rPr>
        <w:t>详见其他材料附件</w:t>
      </w: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szCs w:val="21"/>
        </w:rPr>
      </w:pPr>
    </w:p>
    <w:p>
      <w:pPr>
        <w:pStyle w:val="4"/>
        <w:spacing w:before="120" w:after="120" w:line="400" w:lineRule="exact"/>
        <w:jc w:val="center"/>
        <w:rPr>
          <w:rFonts w:hint="eastAsia" w:ascii="黑体" w:hAnsi="黑体" w:eastAsia="黑体"/>
          <w:b w:val="0"/>
          <w:bCs w:val="0"/>
          <w:sz w:val="48"/>
          <w:szCs w:val="48"/>
        </w:rPr>
      </w:pPr>
      <w:bookmarkStart w:id="1335" w:name="_Toc256000348"/>
      <w:bookmarkStart w:id="1336" w:name="_Toc122603041"/>
      <w:bookmarkStart w:id="1337" w:name="_Toc13322"/>
      <w:r>
        <w:rPr>
          <w:rFonts w:hint="eastAsia" w:ascii="黑体" w:hAnsi="黑体" w:eastAsia="黑体"/>
          <w:b w:val="0"/>
          <w:bCs w:val="0"/>
          <w:sz w:val="48"/>
          <w:szCs w:val="48"/>
        </w:rPr>
        <w:t>第三卷</w:t>
      </w:r>
      <w:bookmarkEnd w:id="1335"/>
      <w:bookmarkEnd w:id="1336"/>
      <w:bookmarkEnd w:id="1337"/>
    </w:p>
    <w:p>
      <w:pPr>
        <w:jc w:val="center"/>
        <w:rPr>
          <w:rFonts w:ascii="黑体" w:eastAsia="黑体"/>
          <w:sz w:val="32"/>
          <w:szCs w:val="32"/>
        </w:rPr>
      </w:pPr>
    </w:p>
    <w:p>
      <w:pPr>
        <w:sectPr>
          <w:pgSz w:w="11906" w:h="16838"/>
          <w:pgMar w:top="1440" w:right="1800" w:bottom="1440" w:left="1800" w:header="851" w:footer="992" w:gutter="0"/>
          <w:cols w:space="425" w:num="1"/>
          <w:docGrid w:type="lines" w:linePitch="312" w:charSpace="0"/>
        </w:sectPr>
      </w:pPr>
    </w:p>
    <w:p>
      <w:pPr>
        <w:spacing w:line="420" w:lineRule="exact"/>
        <w:jc w:val="center"/>
        <w:rPr>
          <w:rFonts w:ascii="楷体_GB2312" w:eastAsia="楷体_GB2312"/>
        </w:rPr>
      </w:pPr>
    </w:p>
    <w:p>
      <w:pPr>
        <w:spacing w:line="420" w:lineRule="exact"/>
        <w:jc w:val="center"/>
        <w:rPr>
          <w:rFonts w:ascii="楷体_GB2312" w:eastAsia="楷体_GB2312"/>
        </w:rPr>
      </w:pPr>
    </w:p>
    <w:p>
      <w:pPr>
        <w:spacing w:line="420" w:lineRule="exact"/>
        <w:jc w:val="center"/>
        <w:rPr>
          <w:rFonts w:ascii="楷体_GB2312" w:eastAsia="楷体_GB2312"/>
        </w:rPr>
      </w:pPr>
    </w:p>
    <w:p>
      <w:pPr>
        <w:spacing w:line="420" w:lineRule="exact"/>
        <w:jc w:val="center"/>
        <w:rPr>
          <w:rFonts w:ascii="楷体_GB2312" w:eastAsia="楷体_GB2312"/>
        </w:rPr>
      </w:pPr>
    </w:p>
    <w:p>
      <w:pPr>
        <w:spacing w:line="420" w:lineRule="exact"/>
        <w:jc w:val="center"/>
        <w:rPr>
          <w:rFonts w:ascii="楷体_GB2312" w:eastAsia="楷体_GB2312"/>
        </w:rPr>
      </w:pPr>
    </w:p>
    <w:p>
      <w:pPr>
        <w:spacing w:line="420" w:lineRule="exact"/>
        <w:jc w:val="center"/>
        <w:rPr>
          <w:rFonts w:ascii="楷体_GB2312" w:eastAsia="楷体_GB2312"/>
        </w:rPr>
      </w:pPr>
    </w:p>
    <w:p>
      <w:pPr>
        <w:spacing w:line="420" w:lineRule="exact"/>
        <w:jc w:val="center"/>
        <w:rPr>
          <w:rFonts w:ascii="楷体_GB2312" w:eastAsia="楷体_GB2312"/>
        </w:rPr>
      </w:pPr>
    </w:p>
    <w:p>
      <w:pPr>
        <w:spacing w:line="420" w:lineRule="exact"/>
        <w:jc w:val="center"/>
        <w:rPr>
          <w:rFonts w:ascii="楷体_GB2312" w:eastAsia="楷体_GB2312"/>
        </w:rPr>
      </w:pPr>
    </w:p>
    <w:p>
      <w:pPr>
        <w:pStyle w:val="4"/>
        <w:spacing w:before="120" w:after="120" w:line="400" w:lineRule="exact"/>
        <w:jc w:val="center"/>
        <w:rPr>
          <w:rFonts w:hint="eastAsia" w:ascii="黑体" w:hAnsi="黑体" w:eastAsia="黑体"/>
          <w:b w:val="0"/>
          <w:bCs w:val="0"/>
          <w:sz w:val="32"/>
        </w:rPr>
      </w:pPr>
      <w:bookmarkStart w:id="1338" w:name="_Toc256000349"/>
      <w:bookmarkStart w:id="1339" w:name="_Toc24619"/>
      <w:bookmarkStart w:id="1340" w:name="_Toc152264764"/>
      <w:r>
        <w:rPr>
          <w:rFonts w:hint="eastAsia" w:ascii="黑体" w:hAnsi="黑体" w:eastAsia="黑体"/>
          <w:b w:val="0"/>
          <w:bCs w:val="0"/>
          <w:sz w:val="32"/>
        </w:rPr>
        <w:t>第七章  技术标准和要求</w:t>
      </w:r>
      <w:bookmarkEnd w:id="1338"/>
      <w:bookmarkEnd w:id="1339"/>
      <w:bookmarkEnd w:id="1340"/>
    </w:p>
    <w:p>
      <w:pPr>
        <w:sectPr>
          <w:pgSz w:w="11906" w:h="16838"/>
          <w:pgMar w:top="1440" w:right="1800" w:bottom="1440" w:left="1800" w:header="851" w:footer="992" w:gutter="0"/>
          <w:cols w:space="425" w:num="1"/>
          <w:docGrid w:type="lines" w:linePitch="312" w:charSpace="0"/>
        </w:sectPr>
      </w:pPr>
    </w:p>
    <w:p>
      <w:pPr>
        <w:pStyle w:val="29"/>
        <w:jc w:val="center"/>
      </w:pPr>
      <w:bookmarkStart w:id="1341" w:name="_Toc29625"/>
      <w:bookmarkStart w:id="1342" w:name="_Toc29967"/>
      <w:bookmarkStart w:id="1343" w:name="_Toc152264765"/>
      <w:bookmarkStart w:id="1344" w:name="_Toc152264782"/>
      <w:bookmarkStart w:id="1345" w:name="_Toc256000367"/>
      <w:r>
        <w:rPr>
          <w:rFonts w:hint="eastAsia"/>
        </w:rPr>
        <w:t>第一节 一般要求</w:t>
      </w:r>
      <w:bookmarkEnd w:id="1341"/>
      <w:bookmarkEnd w:id="1342"/>
      <w:bookmarkEnd w:id="1343"/>
    </w:p>
    <w:p>
      <w:pPr>
        <w:pStyle w:val="31"/>
        <w:rPr>
          <w:sz w:val="28"/>
          <w:szCs w:val="28"/>
        </w:rPr>
      </w:pPr>
      <w:bookmarkStart w:id="1346" w:name="_Toc10043"/>
      <w:bookmarkStart w:id="1347" w:name="_Toc27289"/>
      <w:bookmarkStart w:id="1348" w:name="_Toc152264766"/>
      <w:r>
        <w:rPr>
          <w:rFonts w:hint="eastAsia"/>
          <w:sz w:val="28"/>
          <w:szCs w:val="28"/>
        </w:rPr>
        <w:t>1.工程说明</w:t>
      </w:r>
      <w:bookmarkEnd w:id="1346"/>
      <w:bookmarkEnd w:id="1347"/>
      <w:bookmarkEnd w:id="1348"/>
    </w:p>
    <w:p>
      <w:pPr>
        <w:spacing w:line="480" w:lineRule="exact"/>
        <w:ind w:left="420" w:hanging="420" w:hangingChars="200"/>
        <w:rPr>
          <w:rFonts w:hint="eastAsia" w:ascii="黑体" w:hAnsi="宋体" w:eastAsia="黑体"/>
          <w:szCs w:val="21"/>
        </w:rPr>
      </w:pPr>
      <w:r>
        <w:rPr>
          <w:rFonts w:hint="eastAsia" w:ascii="黑体" w:hAnsi="宋体" w:eastAsia="黑体"/>
          <w:szCs w:val="21"/>
        </w:rPr>
        <w:t>1.1  工程概况</w:t>
      </w:r>
    </w:p>
    <w:p>
      <w:pPr>
        <w:spacing w:line="480" w:lineRule="exact"/>
        <w:ind w:left="420" w:hanging="420" w:hangingChars="200"/>
        <w:rPr>
          <w:rFonts w:hint="eastAsia" w:ascii="宋体" w:hAnsi="宋体"/>
          <w:szCs w:val="21"/>
        </w:rPr>
      </w:pPr>
      <w:r>
        <w:rPr>
          <w:rFonts w:hint="eastAsia" w:ascii="宋体" w:hAnsi="宋体"/>
          <w:szCs w:val="21"/>
        </w:rPr>
        <w:t>l.1.1  本工程基本情况如下：</w:t>
      </w:r>
    </w:p>
    <w:p>
      <w:pPr>
        <w:pStyle w:val="10"/>
        <w:spacing w:after="0" w:line="360" w:lineRule="auto"/>
        <w:ind w:firstLine="420" w:firstLineChars="200"/>
        <w:rPr>
          <w:rFonts w:hint="eastAsia" w:ascii="宋体" w:hAnsi="宋体"/>
          <w:szCs w:val="21"/>
        </w:rPr>
      </w:pPr>
      <w:bookmarkStart w:id="1349" w:name="_Hlk198977527"/>
      <w:r>
        <w:rPr>
          <w:rFonts w:hint="eastAsia" w:ascii="宋体" w:hAnsi="宋体"/>
          <w:szCs w:val="21"/>
        </w:rPr>
        <w:t>本项目为营口建发盛海磷化工有限公司精制磷酸及磷酸铁前驱体项目全厂道路、管廊、地管、事故水池、防雷接地施工。</w:t>
      </w:r>
      <w:r>
        <w:rPr>
          <w:rFonts w:hint="eastAsia" w:ascii="宋体" w:hAnsi="宋体"/>
          <w:szCs w:val="21"/>
          <w:u w:val="single"/>
        </w:rPr>
        <w:t>（具体内容详见工程量清单）</w:t>
      </w:r>
      <w:bookmarkEnd w:id="1349"/>
      <w:r>
        <w:rPr>
          <w:rFonts w:hint="eastAsia" w:ascii="宋体" w:hAnsi="宋体"/>
          <w:szCs w:val="21"/>
        </w:rPr>
        <w:t>。</w:t>
      </w:r>
    </w:p>
    <w:p>
      <w:pPr>
        <w:spacing w:line="480" w:lineRule="exact"/>
        <w:ind w:left="420" w:hanging="420" w:hangingChars="200"/>
        <w:rPr>
          <w:rFonts w:hint="eastAsia" w:ascii="宋体" w:hAnsi="宋体"/>
          <w:szCs w:val="21"/>
        </w:rPr>
      </w:pPr>
      <w:r>
        <w:rPr>
          <w:rFonts w:hint="eastAsia" w:ascii="宋体" w:hAnsi="宋体"/>
          <w:szCs w:val="21"/>
        </w:rPr>
        <w:t>1.1.2  本工程施工场地（现场）具体地理位置如下：</w:t>
      </w:r>
    </w:p>
    <w:p>
      <w:pPr>
        <w:spacing w:line="480" w:lineRule="exact"/>
        <w:ind w:left="420" w:hanging="420" w:hangingChars="200"/>
        <w:rPr>
          <w:rFonts w:hint="eastAsia" w:ascii="宋体" w:hAnsi="宋体"/>
          <w:szCs w:val="21"/>
        </w:rPr>
      </w:pPr>
      <w:r>
        <w:rPr>
          <w:rFonts w:hint="eastAsia" w:ascii="宋体" w:hAnsi="宋体"/>
          <w:szCs w:val="21"/>
        </w:rPr>
        <w:t xml:space="preserve">       </w:t>
      </w:r>
      <w:r>
        <w:rPr>
          <w:rFonts w:hint="eastAsia" w:ascii="宋体" w:hAnsi="宋体"/>
          <w:szCs w:val="21"/>
          <w:u w:val="single"/>
        </w:rPr>
        <w:t>辽宁省营口市沿海产业基地冶金化工重装备区营口建发盛海磷化工有限公司院内</w:t>
      </w:r>
      <w:r>
        <w:rPr>
          <w:rFonts w:hint="eastAsia" w:ascii="宋体" w:hAnsi="宋体"/>
          <w:szCs w:val="21"/>
        </w:rPr>
        <w:t>。</w:t>
      </w:r>
    </w:p>
    <w:p>
      <w:pPr>
        <w:spacing w:line="480" w:lineRule="exact"/>
        <w:ind w:left="420" w:hanging="420" w:hangingChars="200"/>
        <w:rPr>
          <w:rFonts w:hint="eastAsia" w:ascii="黑体" w:hAnsi="宋体" w:eastAsia="黑体"/>
          <w:szCs w:val="21"/>
        </w:rPr>
      </w:pPr>
      <w:r>
        <w:rPr>
          <w:rFonts w:hint="eastAsia" w:ascii="黑体" w:hAnsi="宋体" w:eastAsia="黑体"/>
          <w:szCs w:val="21"/>
        </w:rPr>
        <w:t>1.2    现场条件和周围环境</w:t>
      </w:r>
    </w:p>
    <w:p>
      <w:pPr>
        <w:spacing w:line="480" w:lineRule="exact"/>
        <w:ind w:left="735" w:hanging="735" w:hangingChars="350"/>
        <w:rPr>
          <w:rFonts w:hint="eastAsia" w:ascii="宋体" w:hAnsi="宋体"/>
          <w:szCs w:val="21"/>
        </w:rPr>
      </w:pPr>
      <w:r>
        <w:rPr>
          <w:rFonts w:hint="eastAsia" w:ascii="宋体" w:hAnsi="宋体"/>
          <w:szCs w:val="21"/>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pPr>
        <w:spacing w:line="480" w:lineRule="exact"/>
        <w:ind w:left="1050" w:hanging="1050" w:hangingChars="500"/>
        <w:rPr>
          <w:rFonts w:hint="eastAsia" w:ascii="宋体" w:hAnsi="宋体"/>
          <w:szCs w:val="21"/>
        </w:rPr>
      </w:pPr>
      <w:r>
        <w:rPr>
          <w:rFonts w:hint="eastAsia" w:ascii="宋体" w:hAnsi="宋体"/>
          <w:szCs w:val="21"/>
        </w:rPr>
        <w:t>1.2.2  施工场地（现场）临时供水管径</w:t>
      </w:r>
      <w:r>
        <w:rPr>
          <w:rFonts w:hint="eastAsia" w:ascii="宋体" w:hAnsi="宋体"/>
          <w:szCs w:val="21"/>
          <w:u w:val="single"/>
        </w:rPr>
        <w:t xml:space="preserve">   </w:t>
      </w:r>
      <w:r>
        <w:rPr>
          <w:rFonts w:hint="eastAsia" w:ascii="宋体" w:hAnsi="宋体" w:cs="Arial"/>
          <w:bCs/>
          <w:szCs w:val="21"/>
          <w:u w:val="single"/>
        </w:rPr>
        <w:t xml:space="preserve">承包人根据施工现场情况自行解决  </w:t>
      </w:r>
      <w:r>
        <w:rPr>
          <w:rFonts w:hint="eastAsia" w:ascii="宋体" w:hAnsi="宋体"/>
          <w:szCs w:val="21"/>
          <w:u w:val="single"/>
        </w:rPr>
        <w:t xml:space="preserve">     </w:t>
      </w:r>
      <w:r>
        <w:rPr>
          <w:rFonts w:hint="eastAsia" w:ascii="宋体" w:hAnsi="宋体"/>
          <w:szCs w:val="21"/>
        </w:rPr>
        <w:t>。</w:t>
      </w:r>
    </w:p>
    <w:p>
      <w:pPr>
        <w:spacing w:line="480" w:lineRule="exact"/>
        <w:ind w:firstLine="735" w:firstLineChars="350"/>
        <w:rPr>
          <w:rFonts w:hint="eastAsia" w:ascii="宋体" w:hAnsi="宋体"/>
          <w:szCs w:val="21"/>
        </w:rPr>
      </w:pPr>
      <w:r>
        <w:rPr>
          <w:rFonts w:hint="eastAsia" w:ascii="宋体" w:hAnsi="宋体"/>
          <w:szCs w:val="21"/>
        </w:rPr>
        <w:t>施工场地（现场）临时排污管径</w:t>
      </w:r>
      <w:r>
        <w:rPr>
          <w:rFonts w:hint="eastAsia" w:ascii="宋体" w:hAnsi="宋体"/>
          <w:szCs w:val="21"/>
          <w:u w:val="single"/>
        </w:rPr>
        <w:t xml:space="preserve">   </w:t>
      </w:r>
      <w:r>
        <w:rPr>
          <w:rFonts w:hint="eastAsia" w:ascii="宋体" w:hAnsi="宋体" w:cs="Arial"/>
          <w:bCs/>
          <w:szCs w:val="21"/>
          <w:u w:val="single"/>
        </w:rPr>
        <w:t xml:space="preserve">承包人根据施工现场情况自行解决  </w:t>
      </w:r>
      <w:r>
        <w:rPr>
          <w:rFonts w:hint="eastAsia" w:ascii="宋体" w:hAnsi="宋体"/>
          <w:szCs w:val="21"/>
          <w:u w:val="single"/>
        </w:rPr>
        <w:t xml:space="preserve">  </w:t>
      </w:r>
      <w:r>
        <w:rPr>
          <w:rFonts w:hint="eastAsia" w:ascii="宋体" w:hAnsi="宋体"/>
          <w:szCs w:val="21"/>
        </w:rPr>
        <w:t>。</w:t>
      </w:r>
    </w:p>
    <w:p>
      <w:pPr>
        <w:spacing w:line="480" w:lineRule="exact"/>
        <w:ind w:left="798" w:leftChars="330" w:hanging="105" w:hangingChars="50"/>
        <w:rPr>
          <w:rFonts w:hint="eastAsia" w:ascii="宋体" w:hAnsi="宋体"/>
          <w:szCs w:val="21"/>
        </w:rPr>
      </w:pPr>
      <w:r>
        <w:rPr>
          <w:rFonts w:hint="eastAsia" w:ascii="宋体" w:hAnsi="宋体"/>
          <w:szCs w:val="21"/>
        </w:rPr>
        <w:t>施工场地（现场）临时雨水管径</w:t>
      </w:r>
      <w:r>
        <w:rPr>
          <w:rFonts w:hint="eastAsia" w:ascii="宋体" w:hAnsi="宋体"/>
          <w:szCs w:val="21"/>
          <w:u w:val="single"/>
        </w:rPr>
        <w:t xml:space="preserve">  </w:t>
      </w:r>
      <w:r>
        <w:rPr>
          <w:rFonts w:hint="eastAsia" w:ascii="宋体" w:hAnsi="宋体" w:cs="Arial"/>
          <w:bCs/>
          <w:szCs w:val="21"/>
          <w:u w:val="single"/>
        </w:rPr>
        <w:t>承包人根据施工现场情况自行解决</w:t>
      </w:r>
      <w:r>
        <w:rPr>
          <w:rFonts w:hint="eastAsia" w:ascii="宋体" w:hAnsi="宋体"/>
          <w:szCs w:val="21"/>
          <w:u w:val="single"/>
        </w:rPr>
        <w:t xml:space="preserve">    </w:t>
      </w:r>
      <w:r>
        <w:rPr>
          <w:rFonts w:hint="eastAsia" w:ascii="宋体" w:hAnsi="宋体"/>
          <w:szCs w:val="21"/>
        </w:rPr>
        <w:t>。</w:t>
      </w:r>
    </w:p>
    <w:p>
      <w:pPr>
        <w:spacing w:line="480" w:lineRule="exact"/>
        <w:ind w:firstLine="756" w:firstLineChars="360"/>
        <w:rPr>
          <w:rFonts w:hint="eastAsia" w:ascii="宋体" w:hAnsi="宋体"/>
          <w:szCs w:val="21"/>
        </w:rPr>
      </w:pPr>
      <w:r>
        <w:rPr>
          <w:rFonts w:hint="eastAsia" w:ascii="宋体" w:hAnsi="宋体"/>
          <w:szCs w:val="21"/>
        </w:rPr>
        <w:t>施工现场临时供电容量（变压器输出功率）</w:t>
      </w:r>
      <w:r>
        <w:rPr>
          <w:rFonts w:hint="eastAsia" w:ascii="宋体" w:hAnsi="宋体"/>
          <w:szCs w:val="21"/>
          <w:u w:val="single"/>
        </w:rPr>
        <w:t xml:space="preserve"> 2500kVA        </w:t>
      </w:r>
      <w:r>
        <w:rPr>
          <w:rFonts w:hint="eastAsia" w:ascii="宋体" w:hAnsi="宋体"/>
          <w:szCs w:val="21"/>
        </w:rPr>
        <w:t>。</w:t>
      </w:r>
    </w:p>
    <w:p>
      <w:pPr>
        <w:spacing w:line="480" w:lineRule="exact"/>
        <w:ind w:left="420" w:hanging="420" w:hangingChars="200"/>
        <w:rPr>
          <w:rFonts w:hint="eastAsia" w:ascii="宋体" w:hAnsi="宋体"/>
          <w:szCs w:val="21"/>
        </w:rPr>
      </w:pPr>
      <w:r>
        <w:rPr>
          <w:rFonts w:hint="eastAsia" w:ascii="宋体" w:hAnsi="宋体"/>
          <w:szCs w:val="21"/>
        </w:rPr>
        <w:t>1.2.3  现场条件和周围环境的其他资料和信息数据如下：</w:t>
      </w:r>
    </w:p>
    <w:p>
      <w:pPr>
        <w:spacing w:line="480" w:lineRule="exact"/>
        <w:ind w:left="420" w:hanging="420" w:hangingChars="200"/>
        <w:rPr>
          <w:rFonts w:hint="eastAsia" w:ascii="宋体" w:hAnsi="宋体"/>
          <w:b/>
          <w:bCs/>
          <w:szCs w:val="21"/>
        </w:rPr>
      </w:pPr>
      <w:r>
        <w:rPr>
          <w:rFonts w:hint="eastAsia" w:ascii="宋体" w:hAnsi="宋体"/>
          <w:szCs w:val="21"/>
        </w:rPr>
        <w:t xml:space="preserve">       </w:t>
      </w:r>
      <w:bookmarkStart w:id="1350" w:name="OLE_LINK45"/>
      <w:r>
        <w:rPr>
          <w:rFonts w:hint="eastAsia" w:ascii="宋体" w:hAnsi="宋体"/>
          <w:b/>
          <w:bCs/>
          <w:szCs w:val="21"/>
          <w:u w:val="single"/>
        </w:rPr>
        <w:t xml:space="preserve">现场场地标高按后附测绘高程附件为准，场地回填所需回填料从厂区北侧附近不超过1km范围内获取 </w:t>
      </w:r>
      <w:bookmarkEnd w:id="1350"/>
      <w:r>
        <w:rPr>
          <w:rFonts w:hint="eastAsia" w:ascii="宋体" w:hAnsi="宋体"/>
          <w:b/>
          <w:bCs/>
          <w:szCs w:val="21"/>
        </w:rPr>
        <w:t>。</w:t>
      </w:r>
    </w:p>
    <w:p>
      <w:pPr>
        <w:spacing w:line="480" w:lineRule="exact"/>
        <w:ind w:left="420" w:leftChars="200" w:firstLine="422" w:firstLineChars="200"/>
        <w:rPr>
          <w:b/>
          <w:bCs/>
        </w:rPr>
      </w:pPr>
      <w:r>
        <w:rPr>
          <w:rFonts w:hint="eastAsia"/>
          <w:b/>
          <w:bCs/>
        </w:rPr>
        <w:t>现场总包范围内单体建筑均已开始施工，存在交叉施工，具体施工难度由投标人自行踏勘确定。</w:t>
      </w:r>
    </w:p>
    <w:p>
      <w:pPr>
        <w:spacing w:line="480" w:lineRule="exact"/>
        <w:ind w:left="420" w:leftChars="200" w:firstLine="422" w:firstLineChars="200"/>
        <w:rPr>
          <w:b/>
          <w:bCs/>
        </w:rPr>
      </w:pPr>
      <w:r>
        <w:rPr>
          <w:rFonts w:hint="eastAsia"/>
          <w:b/>
          <w:bCs/>
        </w:rPr>
        <w:t>以上现场条件需投标人综合考虑，均包含在总价中，施工过程中不予调整。</w:t>
      </w:r>
    </w:p>
    <w:p>
      <w:pPr>
        <w:spacing w:line="480" w:lineRule="exact"/>
        <w:ind w:left="420" w:hanging="420" w:hangingChars="200"/>
        <w:rPr>
          <w:rFonts w:hint="eastAsia" w:ascii="宋体" w:hAnsi="宋体"/>
          <w:szCs w:val="21"/>
        </w:rPr>
      </w:pPr>
      <w:r>
        <w:rPr>
          <w:rFonts w:hint="eastAsia" w:ascii="宋体" w:hAnsi="宋体"/>
          <w:szCs w:val="21"/>
        </w:rPr>
        <w:t>1.2.4  承包人被认为已在本工程投标阶段踏勘现场时充分了解本工程现场条件和周围</w:t>
      </w:r>
    </w:p>
    <w:p>
      <w:pPr>
        <w:spacing w:line="480" w:lineRule="exact"/>
        <w:ind w:left="420" w:leftChars="200" w:firstLine="315" w:firstLineChars="150"/>
        <w:rPr>
          <w:rFonts w:hint="eastAsia" w:ascii="宋体" w:hAnsi="宋体"/>
          <w:szCs w:val="21"/>
        </w:rPr>
      </w:pPr>
      <w:r>
        <w:rPr>
          <w:rFonts w:hint="eastAsia" w:ascii="宋体" w:hAnsi="宋体"/>
          <w:szCs w:val="21"/>
        </w:rPr>
        <w:t>环境，并已在其投标时就此给予了充分的考虑。</w:t>
      </w:r>
    </w:p>
    <w:p>
      <w:pPr>
        <w:spacing w:line="480" w:lineRule="exact"/>
        <w:ind w:left="420" w:hanging="420" w:hangingChars="200"/>
        <w:rPr>
          <w:rFonts w:hint="eastAsia" w:ascii="黑体" w:hAnsi="宋体" w:eastAsia="黑体"/>
          <w:szCs w:val="21"/>
        </w:rPr>
      </w:pPr>
      <w:r>
        <w:rPr>
          <w:rFonts w:hint="eastAsia" w:ascii="黑体" w:hAnsi="宋体" w:eastAsia="黑体"/>
          <w:szCs w:val="21"/>
        </w:rPr>
        <w:t>1.3   地质及水文资料</w:t>
      </w:r>
    </w:p>
    <w:p>
      <w:pPr>
        <w:spacing w:line="480" w:lineRule="exact"/>
        <w:ind w:left="420" w:hanging="420" w:hangingChars="200"/>
        <w:rPr>
          <w:rFonts w:hint="eastAsia" w:ascii="宋体" w:hAnsi="宋体"/>
          <w:szCs w:val="21"/>
        </w:rPr>
      </w:pPr>
      <w:r>
        <w:rPr>
          <w:rFonts w:hint="eastAsia" w:ascii="宋体" w:hAnsi="宋体"/>
          <w:szCs w:val="21"/>
        </w:rPr>
        <w:t>1.3.1  现场地质及水文资料和信息数据如下：</w:t>
      </w:r>
    </w:p>
    <w:p>
      <w:pPr>
        <w:spacing w:line="480" w:lineRule="exact"/>
        <w:ind w:left="420" w:hanging="420" w:hangingChars="20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详见勘察报告    </w:t>
      </w:r>
      <w:r>
        <w:rPr>
          <w:rFonts w:hint="eastAsia" w:ascii="宋体" w:hAnsi="宋体"/>
          <w:szCs w:val="21"/>
        </w:rPr>
        <w:t>。</w:t>
      </w:r>
    </w:p>
    <w:p>
      <w:pPr>
        <w:spacing w:line="400" w:lineRule="exact"/>
        <w:ind w:left="1200" w:hanging="1200" w:hangingChars="500"/>
        <w:rPr>
          <w:rFonts w:hint="eastAsia" w:ascii="黑体" w:hAnsi="宋体" w:eastAsia="黑体"/>
          <w:sz w:val="24"/>
        </w:rPr>
      </w:pPr>
      <w:r>
        <w:rPr>
          <w:rFonts w:hint="eastAsia" w:ascii="黑体" w:hAnsi="宋体" w:eastAsia="黑体"/>
          <w:sz w:val="24"/>
        </w:rPr>
        <w:t>1.4    资料和信息的使用</w:t>
      </w:r>
    </w:p>
    <w:p>
      <w:pPr>
        <w:spacing w:line="400" w:lineRule="exact"/>
        <w:ind w:left="783" w:hanging="783" w:hangingChars="373"/>
        <w:rPr>
          <w:rFonts w:hint="eastAsia" w:ascii="宋体" w:hAnsi="宋体"/>
          <w:szCs w:val="21"/>
        </w:rPr>
      </w:pPr>
      <w:r>
        <w:rPr>
          <w:rFonts w:hint="eastAsia" w:ascii="宋体" w:hAnsi="宋体"/>
          <w:szCs w:val="21"/>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pStyle w:val="31"/>
        <w:rPr>
          <w:sz w:val="28"/>
          <w:szCs w:val="28"/>
        </w:rPr>
      </w:pPr>
      <w:bookmarkStart w:id="1351" w:name="_Toc152264767"/>
      <w:bookmarkStart w:id="1352" w:name="_Toc18458"/>
      <w:bookmarkStart w:id="1353" w:name="_Toc6240"/>
      <w:r>
        <w:rPr>
          <w:rFonts w:hint="eastAsia"/>
          <w:sz w:val="28"/>
          <w:szCs w:val="28"/>
        </w:rPr>
        <w:t>2.承包范围</w:t>
      </w:r>
      <w:bookmarkEnd w:id="1351"/>
      <w:bookmarkEnd w:id="1352"/>
      <w:bookmarkEnd w:id="1353"/>
    </w:p>
    <w:p>
      <w:pPr>
        <w:spacing w:line="400" w:lineRule="exact"/>
        <w:ind w:left="1200" w:hanging="1200" w:hangingChars="500"/>
        <w:rPr>
          <w:rFonts w:hint="eastAsia" w:ascii="黑体" w:hAnsi="宋体" w:eastAsia="黑体"/>
          <w:sz w:val="24"/>
        </w:rPr>
      </w:pPr>
      <w:r>
        <w:rPr>
          <w:rFonts w:hint="eastAsia" w:ascii="黑体" w:hAnsi="宋体" w:eastAsia="黑体"/>
          <w:sz w:val="24"/>
        </w:rPr>
        <w:t>2.1    承包范围</w:t>
      </w:r>
    </w:p>
    <w:p>
      <w:pPr>
        <w:spacing w:line="400" w:lineRule="exact"/>
        <w:ind w:left="263" w:leftChars="125" w:firstLine="420" w:firstLineChars="200"/>
        <w:rPr>
          <w:rFonts w:hint="eastAsia" w:ascii="宋体" w:hAnsi="宋体"/>
          <w:szCs w:val="21"/>
        </w:rPr>
      </w:pPr>
      <w:r>
        <w:rPr>
          <w:rFonts w:hint="eastAsia" w:ascii="宋体" w:hAnsi="宋体"/>
          <w:spacing w:val="0"/>
          <w:szCs w:val="21"/>
        </w:rPr>
        <w:t>全厂道路：总承包范围内的路面（沥青路面、人行道、引道）施工；总承包范围以外的重载道路、轻载道路、引道、重载地坪、轻载地坪、路缘石、人行道</w:t>
      </w:r>
      <w:r>
        <w:rPr>
          <w:rFonts w:hint="eastAsia" w:ascii="宋体" w:hAnsi="宋体"/>
          <w:szCs w:val="21"/>
        </w:rPr>
        <w:t>、路灯基础</w:t>
      </w:r>
      <w:r>
        <w:rPr>
          <w:rFonts w:hint="eastAsia" w:ascii="宋体" w:hAnsi="宋体"/>
          <w:spacing w:val="0"/>
          <w:szCs w:val="21"/>
        </w:rPr>
        <w:t>等，不含路面划线施工，具体范围及做法见施工图纸。</w:t>
      </w:r>
      <w:r>
        <w:rPr>
          <w:rFonts w:hint="eastAsia" w:ascii="宋体" w:hAnsi="宋体"/>
          <w:szCs w:val="21"/>
        </w:rPr>
        <w:t>道路与人行道相邻的部分，人行道路缘石与道路一侧路缘石共用。道路路基换填投标人自行考虑工程量，包含在总价中，施工过程中只做技术认可。</w:t>
      </w:r>
    </w:p>
    <w:p>
      <w:pPr>
        <w:spacing w:line="400" w:lineRule="exact"/>
        <w:ind w:left="263" w:leftChars="125" w:firstLine="420" w:firstLineChars="200"/>
        <w:rPr>
          <w:rFonts w:hint="eastAsia" w:ascii="宋体" w:hAnsi="宋体"/>
          <w:szCs w:val="21"/>
        </w:rPr>
      </w:pPr>
      <w:r>
        <w:rPr>
          <w:rFonts w:hint="eastAsia" w:ascii="宋体" w:hAnsi="宋体"/>
          <w:szCs w:val="21"/>
        </w:rPr>
        <w:t>管廊：现场管廊界区划分见后附说明，桩基图中F12-F33、G1-G10 段桩基采购及沉桩施工不在本次招标范围内，此部分的清理桩芯、灌桩芯、截桩头等包含在本次招标范围内。</w:t>
      </w:r>
    </w:p>
    <w:p>
      <w:pPr>
        <w:spacing w:line="400" w:lineRule="exact"/>
        <w:ind w:left="263" w:leftChars="125" w:firstLine="420" w:firstLineChars="200"/>
        <w:rPr>
          <w:rFonts w:hint="eastAsia" w:ascii="宋体" w:hAnsi="宋体"/>
          <w:szCs w:val="21"/>
        </w:rPr>
      </w:pPr>
      <w:r>
        <w:rPr>
          <w:rFonts w:hint="eastAsia" w:ascii="宋体" w:hAnsi="宋体"/>
          <w:szCs w:val="21"/>
        </w:rPr>
        <w:t>地管：包含地管设计图纸中全部内容，包含管道采购及施工，其中消防管道及附属设备需满足消防验收标准并配合进行消防验收。地管材料表中有品牌要求的，投标人需标明投标的品牌。</w:t>
      </w:r>
    </w:p>
    <w:p>
      <w:pPr>
        <w:spacing w:line="400" w:lineRule="exact"/>
        <w:ind w:left="263" w:leftChars="125" w:firstLine="420" w:firstLineChars="200"/>
        <w:rPr>
          <w:rFonts w:hint="eastAsia" w:ascii="宋体" w:hAnsi="宋体"/>
          <w:szCs w:val="21"/>
        </w:rPr>
      </w:pPr>
      <w:r>
        <w:rPr>
          <w:rFonts w:hint="eastAsia" w:ascii="宋体" w:hAnsi="宋体"/>
          <w:szCs w:val="21"/>
        </w:rPr>
        <w:t>雨水监控/事故水池：包含建筑图纸、结构图纸全部内容。包含给排水施工图中阀门井、埋地管道及预埋套管，不包含阀门等。</w:t>
      </w:r>
    </w:p>
    <w:p>
      <w:pPr>
        <w:spacing w:line="400" w:lineRule="exact"/>
        <w:ind w:left="263" w:leftChars="125" w:firstLine="420" w:firstLineChars="200"/>
        <w:rPr>
          <w:rFonts w:hint="eastAsia" w:ascii="宋体" w:hAnsi="宋体"/>
          <w:szCs w:val="21"/>
        </w:rPr>
      </w:pPr>
      <w:r>
        <w:rPr>
          <w:rFonts w:hint="eastAsia" w:ascii="宋体" w:hAnsi="宋体"/>
          <w:szCs w:val="21"/>
        </w:rPr>
        <w:t>防雷接地：本次招标仅包含长度1000m防雷接地的开挖及回填，防雷接地涉及的材料与施工不在本次招标范围内。</w:t>
      </w:r>
    </w:p>
    <w:p>
      <w:pPr>
        <w:spacing w:line="400" w:lineRule="exact"/>
        <w:ind w:firstLine="420" w:firstLineChars="200"/>
      </w:pPr>
      <w:r>
        <w:rPr>
          <w:rFonts w:hint="eastAsia" w:ascii="宋体" w:hAnsi="宋体"/>
          <w:szCs w:val="21"/>
        </w:rPr>
        <w:t>投标人需综合考虑以上施工内容的土方开挖回填。避免造成二次开挖。</w:t>
      </w:r>
    </w:p>
    <w:p>
      <w:pPr>
        <w:spacing w:line="400" w:lineRule="exact"/>
        <w:ind w:left="1050" w:hanging="1050" w:hangingChars="500"/>
        <w:jc w:val="left"/>
        <w:rPr>
          <w:rFonts w:hint="eastAsia" w:ascii="黑体" w:hAnsi="宋体" w:eastAsia="黑体"/>
          <w:szCs w:val="21"/>
        </w:rPr>
      </w:pPr>
      <w:r>
        <w:rPr>
          <w:rFonts w:hint="eastAsia" w:ascii="黑体" w:hAnsi="宋体" w:eastAsia="黑体"/>
          <w:szCs w:val="21"/>
        </w:rPr>
        <w:t xml:space="preserve">2.1.1   </w:t>
      </w:r>
      <w:bookmarkStart w:id="1354" w:name="_Hlk198977507"/>
      <w:r>
        <w:rPr>
          <w:rFonts w:hint="eastAsia" w:ascii="黑体" w:hAnsi="宋体" w:eastAsia="黑体"/>
          <w:szCs w:val="21"/>
        </w:rPr>
        <w:t>承包人自行施工范围</w:t>
      </w:r>
      <w:bookmarkEnd w:id="1354"/>
    </w:p>
    <w:p>
      <w:pPr>
        <w:spacing w:line="400" w:lineRule="exact"/>
        <w:ind w:left="1050" w:leftChars="250" w:hanging="525" w:hangingChars="250"/>
        <w:rPr>
          <w:rFonts w:hint="eastAsia" w:ascii="宋体" w:hAnsi="宋体"/>
          <w:szCs w:val="21"/>
        </w:rPr>
      </w:pPr>
      <w:bookmarkStart w:id="1355" w:name="_Hlk198977586"/>
      <w:r>
        <w:rPr>
          <w:rFonts w:hint="eastAsia" w:ascii="宋体" w:hAnsi="宋体"/>
          <w:szCs w:val="21"/>
        </w:rPr>
        <w:t>本工程承包人自行施工的工程范围如下：</w:t>
      </w:r>
    </w:p>
    <w:bookmarkEnd w:id="1355"/>
    <w:p>
      <w:pPr>
        <w:spacing w:line="400" w:lineRule="exact"/>
        <w:ind w:left="1050" w:hanging="1050" w:hangingChars="500"/>
        <w:rPr>
          <w:rFonts w:hint="eastAsia" w:ascii="黑体" w:hAnsi="宋体" w:eastAsia="黑体"/>
          <w:szCs w:val="21"/>
        </w:rPr>
      </w:pPr>
      <w:r>
        <w:rPr>
          <w:rFonts w:hint="eastAsia" w:ascii="黑体" w:hAnsi="宋体" w:eastAsia="黑体"/>
          <w:szCs w:val="21"/>
        </w:rPr>
        <w:t>2.1.2    承包范围内的暂估价项目</w:t>
      </w:r>
    </w:p>
    <w:p>
      <w:pPr>
        <w:spacing w:line="400" w:lineRule="exact"/>
        <w:ind w:left="945" w:hanging="945" w:hangingChars="450"/>
        <w:rPr>
          <w:rFonts w:hint="eastAsia" w:ascii="宋体" w:hAnsi="宋体"/>
          <w:szCs w:val="21"/>
        </w:rPr>
      </w:pPr>
      <w:r>
        <w:rPr>
          <w:rFonts w:hint="eastAsia" w:ascii="宋体" w:hAnsi="宋体"/>
          <w:szCs w:val="21"/>
        </w:rPr>
        <w:t>2.1.2.1  承包范围内以暂估价形式实施的专业工程见第五章“工程量清单”表4.11—3“专业工程暂估价表”。</w:t>
      </w:r>
    </w:p>
    <w:p>
      <w:pPr>
        <w:tabs>
          <w:tab w:val="left" w:pos="1260"/>
        </w:tabs>
        <w:spacing w:line="400" w:lineRule="exact"/>
        <w:ind w:left="945" w:hanging="945" w:hangingChars="450"/>
        <w:rPr>
          <w:rFonts w:hint="eastAsia" w:ascii="宋体" w:hAnsi="宋体"/>
          <w:szCs w:val="21"/>
        </w:rPr>
      </w:pPr>
      <w:r>
        <w:rPr>
          <w:rFonts w:hint="eastAsia" w:ascii="宋体" w:hAnsi="宋体"/>
          <w:szCs w:val="21"/>
        </w:rPr>
        <w:t>2.1.2.2  承包范围内以暂估价形式实施的材料和工程设备见第五章“工程量清单”表4.11—2“材料和工程设备暂估单价表”。</w:t>
      </w:r>
    </w:p>
    <w:p>
      <w:pPr>
        <w:spacing w:line="400" w:lineRule="exact"/>
        <w:ind w:left="735" w:hanging="735" w:hangingChars="350"/>
        <w:rPr>
          <w:rFonts w:hint="eastAsia" w:ascii="宋体" w:hAnsi="宋体"/>
          <w:szCs w:val="21"/>
        </w:rPr>
      </w:pPr>
      <w:r>
        <w:rPr>
          <w:rFonts w:hint="eastAsia" w:ascii="宋体" w:hAnsi="宋体"/>
          <w:szCs w:val="21"/>
        </w:rPr>
        <w:t>2.1.2.3  上述暂估价项目与本节第2.1.1项承包人自行施工范围的工作界面划分如下：</w:t>
      </w:r>
    </w:p>
    <w:p>
      <w:pPr>
        <w:spacing w:line="500" w:lineRule="exact"/>
        <w:ind w:left="735" w:hanging="735" w:hangingChars="350"/>
        <w:rPr>
          <w:rFonts w:hint="eastAsia"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pPr>
        <w:spacing w:line="4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p>
    <w:p>
      <w:pPr>
        <w:spacing w:line="4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w:t>
      </w:r>
    </w:p>
    <w:p>
      <w:pPr>
        <w:spacing w:line="400" w:lineRule="exact"/>
        <w:ind w:left="735" w:hanging="735" w:hangingChars="350"/>
        <w:rPr>
          <w:rFonts w:hint="eastAsia" w:ascii="黑体" w:hAnsi="宋体" w:eastAsia="黑体"/>
          <w:szCs w:val="21"/>
        </w:rPr>
      </w:pPr>
      <w:r>
        <w:rPr>
          <w:rFonts w:hint="eastAsia" w:ascii="黑体" w:hAnsi="宋体" w:eastAsia="黑体"/>
          <w:szCs w:val="21"/>
        </w:rPr>
        <w:t>2.1.3     承包范围内的暂列金额项目</w:t>
      </w:r>
    </w:p>
    <w:p>
      <w:pPr>
        <w:spacing w:line="400" w:lineRule="exact"/>
        <w:ind w:left="945" w:hanging="945" w:hangingChars="450"/>
        <w:rPr>
          <w:rFonts w:hint="eastAsia" w:ascii="宋体" w:hAnsi="宋体"/>
          <w:szCs w:val="21"/>
        </w:rPr>
      </w:pPr>
      <w:r>
        <w:rPr>
          <w:rFonts w:hint="eastAsia" w:ascii="宋体" w:hAnsi="宋体"/>
          <w:szCs w:val="21"/>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pPr>
        <w:spacing w:line="400" w:lineRule="exact"/>
        <w:ind w:left="945" w:hanging="945" w:hangingChars="450"/>
        <w:rPr>
          <w:rFonts w:hint="eastAsia" w:ascii="宋体" w:hAnsi="宋体"/>
          <w:szCs w:val="21"/>
        </w:rPr>
      </w:pPr>
      <w:r>
        <w:rPr>
          <w:rFonts w:hint="eastAsia" w:ascii="宋体" w:hAnsi="宋体"/>
          <w:szCs w:val="21"/>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pPr>
        <w:spacing w:line="400" w:lineRule="exact"/>
        <w:ind w:left="945" w:hanging="945" w:hangingChars="450"/>
        <w:rPr>
          <w:rFonts w:hint="eastAsia" w:ascii="宋体" w:hAnsi="宋体"/>
          <w:szCs w:val="21"/>
        </w:rPr>
      </w:pPr>
      <w:r>
        <w:rPr>
          <w:rFonts w:hint="eastAsia" w:ascii="宋体" w:hAnsi="宋体"/>
          <w:szCs w:val="21"/>
        </w:rPr>
        <w:t>2.1.3.3  暂列金额是否实际发生、其再分和合并等均不应成为承包人要求任何追加费用和（或）延长工期的理由。</w:t>
      </w:r>
    </w:p>
    <w:p>
      <w:pPr>
        <w:spacing w:line="400" w:lineRule="exact"/>
        <w:ind w:left="735" w:hanging="735" w:hangingChars="350"/>
        <w:rPr>
          <w:rFonts w:hint="eastAsia" w:ascii="宋体" w:hAnsi="宋体"/>
          <w:szCs w:val="21"/>
        </w:rPr>
      </w:pPr>
      <w:r>
        <w:rPr>
          <w:rFonts w:hint="eastAsia" w:ascii="宋体" w:hAnsi="宋体"/>
          <w:szCs w:val="21"/>
        </w:rPr>
        <w:t>2.1.3.4  关于暂列金额的其他说明：</w:t>
      </w:r>
    </w:p>
    <w:p>
      <w:pPr>
        <w:spacing w:line="4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p>
    <w:p>
      <w:pPr>
        <w:spacing w:line="4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w:t>
      </w:r>
    </w:p>
    <w:p>
      <w:pPr>
        <w:spacing w:line="400" w:lineRule="exact"/>
        <w:ind w:left="735" w:hanging="735" w:hangingChars="350"/>
        <w:rPr>
          <w:rFonts w:hint="eastAsia" w:ascii="黑体" w:hAnsi="宋体" w:eastAsia="黑体"/>
          <w:szCs w:val="21"/>
        </w:rPr>
      </w:pPr>
      <w:r>
        <w:rPr>
          <w:rFonts w:hint="eastAsia" w:ascii="黑体" w:hAnsi="宋体" w:eastAsia="黑体"/>
          <w:szCs w:val="21"/>
        </w:rPr>
        <w:t>2.2    发包人发包专业工程和发包人供应的材料和工程设备</w:t>
      </w:r>
    </w:p>
    <w:p>
      <w:pPr>
        <w:spacing w:line="400" w:lineRule="exact"/>
        <w:ind w:left="735" w:hanging="735" w:hangingChars="350"/>
        <w:rPr>
          <w:rFonts w:hint="eastAsia" w:ascii="宋体" w:hAnsi="宋体"/>
          <w:szCs w:val="21"/>
        </w:rPr>
      </w:pPr>
      <w:r>
        <w:rPr>
          <w:rFonts w:hint="eastAsia" w:ascii="宋体" w:hAnsi="宋体"/>
          <w:szCs w:val="21"/>
        </w:rPr>
        <w:t>2.2.1  由发包人发包的专业工程属于与本工程有关的其他工程，不属于承包人的承包范围。发包人发包的专业工程如下：</w:t>
      </w:r>
    </w:p>
    <w:p>
      <w:pPr>
        <w:spacing w:line="5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无          </w:t>
      </w:r>
      <w:r>
        <w:rPr>
          <w:rFonts w:hint="eastAsia" w:ascii="宋体" w:hAnsi="宋体"/>
          <w:szCs w:val="21"/>
        </w:rPr>
        <w:t>。</w:t>
      </w:r>
    </w:p>
    <w:p>
      <w:pPr>
        <w:spacing w:line="400" w:lineRule="exact"/>
        <w:ind w:left="735" w:hanging="735" w:hangingChars="350"/>
        <w:rPr>
          <w:rFonts w:hint="eastAsia" w:ascii="宋体" w:hAnsi="宋体"/>
          <w:szCs w:val="21"/>
        </w:rPr>
      </w:pPr>
      <w:r>
        <w:rPr>
          <w:rFonts w:hint="eastAsia" w:ascii="宋体" w:hAnsi="宋体"/>
          <w:szCs w:val="21"/>
        </w:rPr>
        <w:t>2.2.2  由发包人供应的材料和工程设备不属于承包人的承包范围。发包人供应的材料和工程设备见合同附件二“发包人供应的材料和工程设备一览表”。</w:t>
      </w:r>
    </w:p>
    <w:p>
      <w:pPr>
        <w:spacing w:line="400" w:lineRule="exact"/>
        <w:ind w:left="735" w:hanging="735" w:hangingChars="350"/>
        <w:rPr>
          <w:rFonts w:hint="eastAsia" w:ascii="黑体" w:hAnsi="宋体" w:eastAsia="黑体"/>
          <w:szCs w:val="21"/>
        </w:rPr>
      </w:pPr>
      <w:r>
        <w:rPr>
          <w:rFonts w:hint="eastAsia" w:ascii="黑体" w:hAnsi="宋体" w:eastAsia="黑体"/>
          <w:szCs w:val="21"/>
        </w:rPr>
        <w:t>2.3    承包人与发包人发包专业工程承包人的工作界面</w:t>
      </w:r>
    </w:p>
    <w:p>
      <w:pPr>
        <w:spacing w:line="400" w:lineRule="exact"/>
        <w:ind w:left="735" w:hanging="735" w:hangingChars="350"/>
        <w:rPr>
          <w:rFonts w:hint="eastAsia" w:ascii="宋体" w:hAnsi="宋体"/>
          <w:szCs w:val="21"/>
        </w:rPr>
      </w:pPr>
      <w:r>
        <w:rPr>
          <w:rFonts w:hint="eastAsia" w:ascii="宋体" w:hAnsi="宋体"/>
          <w:szCs w:val="21"/>
        </w:rPr>
        <w:t>2.3.1  承包人与发包人发包专业工程承包人以及与发包人供应的材料和设备的供应商之间的工作界面划分如下：</w:t>
      </w:r>
    </w:p>
    <w:p>
      <w:pPr>
        <w:spacing w:line="5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p>
    <w:p>
      <w:pPr>
        <w:spacing w:line="5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w:t>
      </w:r>
    </w:p>
    <w:p>
      <w:pPr>
        <w:spacing w:line="400" w:lineRule="exact"/>
        <w:ind w:left="735" w:hanging="735" w:hangingChars="350"/>
        <w:rPr>
          <w:rFonts w:hint="eastAsia" w:ascii="黑体" w:hAnsi="宋体" w:eastAsia="黑体"/>
          <w:szCs w:val="21"/>
        </w:rPr>
      </w:pPr>
      <w:r>
        <w:rPr>
          <w:rFonts w:hint="eastAsia" w:ascii="黑体" w:hAnsi="宋体" w:eastAsia="黑体"/>
          <w:szCs w:val="21"/>
        </w:rPr>
        <w:t>2.4    承包人需要为发包人和监理人提供的现场办公条件和设施</w:t>
      </w:r>
    </w:p>
    <w:p>
      <w:pPr>
        <w:spacing w:line="400" w:lineRule="exact"/>
        <w:ind w:left="735" w:hanging="735" w:hangingChars="350"/>
        <w:rPr>
          <w:rFonts w:hint="eastAsia" w:ascii="宋体" w:hAnsi="宋体"/>
          <w:szCs w:val="21"/>
        </w:rPr>
      </w:pPr>
      <w:r>
        <w:rPr>
          <w:rFonts w:hint="eastAsia" w:ascii="宋体" w:hAnsi="宋体"/>
          <w:szCs w:val="21"/>
        </w:rPr>
        <w:t>2.4.1  承包人需要为发包人和监理人提供的现场办公条件和设施及其详细要求如下：</w:t>
      </w:r>
    </w:p>
    <w:p>
      <w:pPr>
        <w:spacing w:line="4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w:t>
      </w:r>
    </w:p>
    <w:p>
      <w:pPr>
        <w:pStyle w:val="31"/>
        <w:rPr>
          <w:sz w:val="28"/>
          <w:szCs w:val="28"/>
        </w:rPr>
      </w:pPr>
      <w:bookmarkStart w:id="1356" w:name="_Toc24965"/>
      <w:bookmarkStart w:id="1357" w:name="_Toc152264768"/>
      <w:bookmarkStart w:id="1358" w:name="_Toc22601"/>
      <w:r>
        <w:rPr>
          <w:rFonts w:hint="eastAsia"/>
          <w:sz w:val="28"/>
          <w:szCs w:val="28"/>
        </w:rPr>
        <w:t>3.工期要求</w:t>
      </w:r>
      <w:bookmarkEnd w:id="1356"/>
      <w:bookmarkEnd w:id="1357"/>
      <w:bookmarkEnd w:id="1358"/>
    </w:p>
    <w:p>
      <w:pPr>
        <w:spacing w:line="400" w:lineRule="exact"/>
        <w:ind w:left="840" w:hanging="840" w:hangingChars="350"/>
        <w:rPr>
          <w:rFonts w:hint="eastAsia" w:ascii="黑体" w:hAnsi="宋体" w:eastAsia="黑体"/>
          <w:sz w:val="24"/>
        </w:rPr>
      </w:pPr>
      <w:r>
        <w:rPr>
          <w:rFonts w:hint="eastAsia" w:ascii="黑体" w:hAnsi="宋体" w:eastAsia="黑体"/>
          <w:sz w:val="24"/>
        </w:rPr>
        <w:t>3.1   合同工期</w:t>
      </w:r>
    </w:p>
    <w:p>
      <w:pPr>
        <w:spacing w:line="400" w:lineRule="exact"/>
        <w:ind w:left="711" w:leftChars="333" w:hanging="12" w:hangingChars="6"/>
        <w:rPr>
          <w:rFonts w:hint="eastAsia" w:ascii="宋体" w:hAnsi="宋体"/>
          <w:szCs w:val="21"/>
        </w:rPr>
      </w:pPr>
      <w:r>
        <w:rPr>
          <w:rFonts w:hint="eastAsia" w:ascii="宋体" w:hAnsi="宋体"/>
          <w:szCs w:val="21"/>
        </w:rPr>
        <w:t>本工程合同工期和计划开、竣工日期为承包人在投标函附录中承诺的工期和计划开、竣工日期，并在合同协议书中载明。</w:t>
      </w:r>
    </w:p>
    <w:p>
      <w:pPr>
        <w:spacing w:line="400" w:lineRule="exact"/>
        <w:ind w:left="840" w:hanging="840" w:hangingChars="350"/>
        <w:rPr>
          <w:rFonts w:hint="eastAsia" w:ascii="黑体" w:hAnsi="宋体" w:eastAsia="黑体"/>
          <w:sz w:val="24"/>
        </w:rPr>
      </w:pPr>
      <w:r>
        <w:rPr>
          <w:rFonts w:hint="eastAsia" w:ascii="黑体" w:hAnsi="宋体" w:eastAsia="黑体"/>
          <w:sz w:val="24"/>
        </w:rPr>
        <w:t>3.2   关于工期的一般规定</w:t>
      </w:r>
    </w:p>
    <w:p>
      <w:pPr>
        <w:spacing w:line="400" w:lineRule="exact"/>
        <w:ind w:left="735" w:hanging="735" w:hangingChars="350"/>
        <w:rPr>
          <w:rFonts w:hint="eastAsia" w:ascii="宋体" w:hAnsi="宋体"/>
          <w:szCs w:val="21"/>
        </w:rPr>
      </w:pPr>
      <w:r>
        <w:rPr>
          <w:rFonts w:hint="eastAsia" w:ascii="宋体" w:hAnsi="宋体"/>
          <w:szCs w:val="21"/>
        </w:rPr>
        <w:t>3.2.1  承包人在投标函中承诺的工期和计划开、竣工日期之间发生矛盾或者不一致时，以承包人承诺的工期为准。实际开工日期以通用合同条款第11.1款约定的监理人发出的开工通知中载明的开工日期为准。</w:t>
      </w:r>
    </w:p>
    <w:p>
      <w:pPr>
        <w:spacing w:line="400" w:lineRule="exact"/>
        <w:ind w:left="735" w:hanging="735" w:hangingChars="350"/>
        <w:rPr>
          <w:rFonts w:hint="eastAsia" w:ascii="宋体" w:hAnsi="宋体"/>
          <w:szCs w:val="21"/>
        </w:rPr>
      </w:pPr>
      <w:r>
        <w:rPr>
          <w:rFonts w:hint="eastAsia" w:ascii="宋体" w:hAnsi="宋体"/>
          <w:szCs w:val="21"/>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spacing w:line="400" w:lineRule="exact"/>
        <w:ind w:left="735" w:hanging="735" w:hangingChars="350"/>
        <w:rPr>
          <w:rFonts w:hint="eastAsia" w:ascii="宋体" w:hAnsi="宋体"/>
          <w:szCs w:val="21"/>
        </w:rPr>
      </w:pPr>
      <w:r>
        <w:rPr>
          <w:rFonts w:hint="eastAsia" w:ascii="宋体" w:hAnsi="宋体"/>
          <w:szCs w:val="21"/>
        </w:rPr>
        <w:t>3.2.3  承包人在投标函附录中所承诺的工期应当包括实施并完成本节上述2.1.2项规定的暂估价项目和上述2.1.3项规定的实际可能发生的暂列金额在内的所有工作的工期。</w:t>
      </w:r>
    </w:p>
    <w:p>
      <w:pPr>
        <w:pStyle w:val="31"/>
        <w:rPr>
          <w:sz w:val="28"/>
          <w:szCs w:val="28"/>
        </w:rPr>
      </w:pPr>
      <w:bookmarkStart w:id="1359" w:name="_Toc31389"/>
      <w:bookmarkStart w:id="1360" w:name="_Toc152264769"/>
      <w:bookmarkStart w:id="1361" w:name="_Toc31614"/>
      <w:r>
        <w:rPr>
          <w:rFonts w:hint="eastAsia"/>
          <w:sz w:val="28"/>
          <w:szCs w:val="28"/>
        </w:rPr>
        <w:t>4.质量要求</w:t>
      </w:r>
      <w:bookmarkEnd w:id="1359"/>
      <w:bookmarkEnd w:id="1360"/>
      <w:bookmarkEnd w:id="1361"/>
    </w:p>
    <w:p>
      <w:pPr>
        <w:spacing w:line="400" w:lineRule="exact"/>
        <w:ind w:left="840" w:hanging="840" w:hangingChars="350"/>
        <w:rPr>
          <w:rFonts w:hint="eastAsia" w:ascii="黑体" w:hAnsi="宋体" w:eastAsia="黑体"/>
          <w:sz w:val="24"/>
        </w:rPr>
      </w:pPr>
      <w:r>
        <w:rPr>
          <w:rFonts w:hint="eastAsia" w:ascii="黑体" w:hAnsi="宋体" w:eastAsia="黑体"/>
          <w:sz w:val="24"/>
        </w:rPr>
        <w:t>4.1   质量标准</w:t>
      </w:r>
    </w:p>
    <w:p>
      <w:pPr>
        <w:spacing w:line="400" w:lineRule="exact"/>
        <w:ind w:left="735" w:hanging="735" w:hangingChars="350"/>
        <w:rPr>
          <w:rFonts w:hint="eastAsia" w:ascii="宋体" w:hAnsi="宋体"/>
          <w:szCs w:val="21"/>
        </w:rPr>
      </w:pPr>
      <w:r>
        <w:rPr>
          <w:rFonts w:hint="eastAsia" w:ascii="宋体" w:hAnsi="宋体"/>
          <w:szCs w:val="21"/>
        </w:rPr>
        <w:t>4.1.1  本工程要求的质量标准为</w:t>
      </w:r>
      <w:r>
        <w:rPr>
          <w:rFonts w:hint="eastAsia" w:ascii="宋体" w:hAnsi="宋体" w:cs="Arial"/>
          <w:u w:val="single"/>
        </w:rPr>
        <w:t>符合现行国家有关工程施工验收规范和标准的要求（也称合格）</w:t>
      </w:r>
      <w:r>
        <w:rPr>
          <w:rFonts w:hint="eastAsia" w:ascii="宋体" w:hAnsi="宋体"/>
          <w:szCs w:val="21"/>
        </w:rPr>
        <w:t>。</w:t>
      </w:r>
    </w:p>
    <w:p>
      <w:pPr>
        <w:pStyle w:val="2"/>
        <w:ind w:firstLine="0" w:firstLineChars="0"/>
      </w:pPr>
      <w:r>
        <w:rPr>
          <w:rFonts w:hint="eastAsia" w:ascii="宋体" w:hAnsi="宋体"/>
          <w:szCs w:val="21"/>
        </w:rPr>
        <w:t>4.1.2承包人提供的材料供应商需经过发包人审核批准后方可实行。</w:t>
      </w:r>
    </w:p>
    <w:p>
      <w:pPr>
        <w:spacing w:before="31" w:beforeLines="10" w:after="31" w:afterLines="10" w:line="420" w:lineRule="exact"/>
        <w:ind w:left="840" w:hanging="840" w:hangingChars="350"/>
        <w:rPr>
          <w:rFonts w:hint="eastAsia" w:ascii="黑体" w:hAnsi="宋体" w:eastAsia="黑体"/>
          <w:sz w:val="24"/>
        </w:rPr>
      </w:pPr>
      <w:r>
        <w:rPr>
          <w:rFonts w:hint="eastAsia" w:ascii="黑体" w:hAnsi="宋体" w:eastAsia="黑体"/>
          <w:sz w:val="24"/>
        </w:rPr>
        <w:t>4.2   特殊质量要求</w:t>
      </w:r>
    </w:p>
    <w:p>
      <w:pPr>
        <w:spacing w:line="400" w:lineRule="exact"/>
        <w:ind w:left="735" w:hanging="735" w:hangingChars="350"/>
        <w:rPr>
          <w:rFonts w:hint="eastAsia" w:ascii="宋体" w:hAnsi="宋体"/>
          <w:szCs w:val="21"/>
        </w:rPr>
      </w:pPr>
      <w:r>
        <w:rPr>
          <w:rFonts w:hint="eastAsia" w:ascii="宋体" w:hAnsi="宋体"/>
          <w:szCs w:val="21"/>
        </w:rPr>
        <w:t>4.2.1  有关本工程质量方面的特殊要求如下：</w:t>
      </w:r>
    </w:p>
    <w:p>
      <w:pPr>
        <w:spacing w:line="5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pStyle w:val="31"/>
        <w:rPr>
          <w:sz w:val="28"/>
          <w:szCs w:val="28"/>
        </w:rPr>
      </w:pPr>
      <w:bookmarkStart w:id="1362" w:name="_Toc152264770"/>
      <w:bookmarkStart w:id="1363" w:name="_Toc27903"/>
      <w:bookmarkStart w:id="1364" w:name="_Toc13051"/>
      <w:r>
        <w:rPr>
          <w:rFonts w:hint="eastAsia"/>
          <w:sz w:val="28"/>
          <w:szCs w:val="28"/>
        </w:rPr>
        <w:t>5.适用规范和标准</w:t>
      </w:r>
      <w:bookmarkEnd w:id="1362"/>
      <w:bookmarkEnd w:id="1363"/>
      <w:bookmarkEnd w:id="1364"/>
    </w:p>
    <w:p>
      <w:pPr>
        <w:spacing w:before="31" w:beforeLines="10" w:after="31" w:afterLines="10" w:line="420" w:lineRule="exact"/>
        <w:ind w:left="840" w:hanging="840" w:hangingChars="350"/>
        <w:rPr>
          <w:rFonts w:hint="eastAsia" w:ascii="黑体" w:hAnsi="宋体" w:eastAsia="黑体"/>
          <w:sz w:val="24"/>
        </w:rPr>
      </w:pPr>
      <w:r>
        <w:rPr>
          <w:rFonts w:hint="eastAsia" w:ascii="黑体" w:hAnsi="宋体" w:eastAsia="黑体"/>
          <w:sz w:val="24"/>
        </w:rPr>
        <w:t>5.1    适用的规范、标准和规程</w:t>
      </w:r>
    </w:p>
    <w:p>
      <w:pPr>
        <w:spacing w:line="420" w:lineRule="exact"/>
        <w:ind w:left="735" w:hanging="735" w:hangingChars="350"/>
        <w:rPr>
          <w:rFonts w:hint="eastAsia" w:ascii="宋体" w:hAnsi="宋体"/>
          <w:szCs w:val="21"/>
        </w:rPr>
      </w:pPr>
      <w:r>
        <w:rPr>
          <w:rFonts w:hint="eastAsia" w:ascii="宋体" w:hAnsi="宋体"/>
          <w:szCs w:val="21"/>
        </w:rPr>
        <w:t>5.1.1  除合同另有约定外，本工程适用现行国家、行业和地方规范、标准和规程。适用于本工程的国家、行业和地方的规范、标准和规范等的名录见本章第三节。</w:t>
      </w:r>
    </w:p>
    <w:p>
      <w:pPr>
        <w:spacing w:line="420" w:lineRule="exact"/>
        <w:ind w:left="737"/>
        <w:rPr>
          <w:rFonts w:hint="eastAsia" w:ascii="宋体" w:hAnsi="宋体"/>
          <w:szCs w:val="21"/>
        </w:rPr>
      </w:pPr>
      <w:r>
        <w:rPr>
          <w:rFonts w:hint="eastAsia" w:ascii="宋体" w:hAnsi="宋体"/>
          <w:szCs w:val="21"/>
        </w:rPr>
        <w:t>构成合同文件的任何内容与适用的规范、标准和规程之间出现矛盾，承包人应书面要求监理人予以澄清，除监理人有特别指示外，承包人应按照其中要求最严格的标准执行。</w:t>
      </w:r>
    </w:p>
    <w:p>
      <w:pPr>
        <w:spacing w:line="420" w:lineRule="exact"/>
        <w:ind w:left="735" w:hanging="735" w:hangingChars="350"/>
        <w:rPr>
          <w:rFonts w:hint="eastAsia" w:ascii="宋体" w:hAnsi="宋体"/>
          <w:szCs w:val="21"/>
        </w:rPr>
      </w:pPr>
      <w:r>
        <w:rPr>
          <w:rFonts w:hint="eastAsia" w:ascii="宋体" w:hAnsi="宋体"/>
          <w:szCs w:val="21"/>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pPr>
        <w:spacing w:before="31" w:beforeLines="10" w:after="31" w:afterLines="10" w:line="420" w:lineRule="exact"/>
        <w:ind w:left="840" w:hanging="840" w:hangingChars="350"/>
        <w:rPr>
          <w:rFonts w:hint="eastAsia" w:ascii="黑体" w:hAnsi="宋体" w:eastAsia="黑体"/>
          <w:sz w:val="24"/>
        </w:rPr>
      </w:pPr>
      <w:r>
        <w:rPr>
          <w:rFonts w:hint="eastAsia" w:ascii="黑体" w:hAnsi="宋体" w:eastAsia="黑体"/>
          <w:sz w:val="24"/>
        </w:rPr>
        <w:t>5.2    特殊技术标准和要求</w:t>
      </w:r>
    </w:p>
    <w:p>
      <w:pPr>
        <w:spacing w:line="430" w:lineRule="exact"/>
        <w:ind w:left="735" w:hanging="735" w:hangingChars="350"/>
        <w:rPr>
          <w:rFonts w:hint="eastAsia" w:ascii="宋体" w:hAnsi="宋体"/>
          <w:szCs w:val="21"/>
        </w:rPr>
      </w:pPr>
      <w:r>
        <w:rPr>
          <w:rFonts w:hint="eastAsia" w:ascii="宋体" w:hAnsi="宋体"/>
          <w:szCs w:val="21"/>
        </w:rPr>
        <w:t>5.2.1  适用本工程的特殊技术标准和要求见本章第二节。</w:t>
      </w:r>
    </w:p>
    <w:p>
      <w:pPr>
        <w:spacing w:line="430" w:lineRule="exact"/>
        <w:ind w:left="735" w:hanging="735" w:hangingChars="350"/>
        <w:rPr>
          <w:rFonts w:hint="eastAsia" w:ascii="宋体" w:hAnsi="宋体"/>
          <w:szCs w:val="21"/>
        </w:rPr>
      </w:pPr>
      <w:r>
        <w:rPr>
          <w:rFonts w:hint="eastAsia" w:ascii="宋体" w:hAnsi="宋体"/>
          <w:szCs w:val="21"/>
        </w:rPr>
        <w:t>5.2.2  有合同约束力的图纸和其他设计文件中的有关文字说明是本节的组成内容。</w:t>
      </w:r>
    </w:p>
    <w:p>
      <w:pPr>
        <w:pStyle w:val="31"/>
        <w:rPr>
          <w:sz w:val="28"/>
          <w:szCs w:val="28"/>
        </w:rPr>
      </w:pPr>
      <w:bookmarkStart w:id="1365" w:name="_Toc152264771"/>
      <w:bookmarkStart w:id="1366" w:name="_Toc15182"/>
      <w:bookmarkStart w:id="1367" w:name="_Toc9186"/>
      <w:r>
        <w:rPr>
          <w:rFonts w:hint="eastAsia"/>
          <w:sz w:val="28"/>
          <w:szCs w:val="28"/>
        </w:rPr>
        <w:t>6.安全文明施工</w:t>
      </w:r>
      <w:bookmarkEnd w:id="1365"/>
      <w:bookmarkEnd w:id="1366"/>
      <w:bookmarkEnd w:id="1367"/>
    </w:p>
    <w:p>
      <w:pPr>
        <w:spacing w:line="400" w:lineRule="exact"/>
        <w:ind w:left="840" w:hanging="840" w:hangingChars="350"/>
        <w:rPr>
          <w:rFonts w:hint="eastAsia" w:ascii="黑体" w:hAnsi="宋体" w:eastAsia="黑体"/>
          <w:sz w:val="24"/>
        </w:rPr>
      </w:pPr>
      <w:r>
        <w:rPr>
          <w:rFonts w:hint="eastAsia" w:ascii="黑体" w:hAnsi="宋体" w:eastAsia="黑体"/>
          <w:sz w:val="24"/>
        </w:rPr>
        <w:t>6.1   安全防护</w:t>
      </w:r>
    </w:p>
    <w:p>
      <w:pPr>
        <w:spacing w:line="430" w:lineRule="exact"/>
        <w:ind w:left="735" w:hanging="735" w:hangingChars="350"/>
        <w:rPr>
          <w:rFonts w:hint="eastAsia" w:ascii="宋体" w:hAnsi="宋体"/>
          <w:szCs w:val="21"/>
        </w:rPr>
      </w:pPr>
      <w:r>
        <w:rPr>
          <w:rFonts w:hint="eastAsia" w:ascii="宋体" w:hAnsi="宋体"/>
          <w:szCs w:val="21"/>
        </w:rPr>
        <w:t>6.1.1  在工程施工、竣工、交付及修补任何缺陷的过程中，承包人应当始终遵守国家和地方有关安全生产的法律、法规、规范、标准和规程等，按照通用合同条款第9.2款的约定履行其安全施工职责。</w:t>
      </w:r>
    </w:p>
    <w:p>
      <w:pPr>
        <w:spacing w:line="430" w:lineRule="exact"/>
        <w:ind w:left="735" w:hanging="735" w:hangingChars="350"/>
        <w:rPr>
          <w:rFonts w:hint="eastAsia" w:ascii="宋体" w:hAnsi="宋体"/>
          <w:szCs w:val="21"/>
        </w:rPr>
      </w:pPr>
      <w:r>
        <w:rPr>
          <w:rFonts w:hint="eastAsia" w:ascii="宋体" w:hAnsi="宋体"/>
          <w:szCs w:val="21"/>
        </w:rPr>
        <w:t>6.1.2  承包人应坚持“安全第一，预防为主”的方针，建立、健全安全生产责任制度和安全生产教育培训制度。在整个工程施工期间，承包人应在施工场地（现场）设立、提供和维护并在有关工作完成或竣工后撤除：</w:t>
      </w:r>
    </w:p>
    <w:p>
      <w:pPr>
        <w:spacing w:line="420" w:lineRule="exact"/>
        <w:ind w:left="1075" w:leftChars="249" w:hanging="552" w:hangingChars="263"/>
        <w:rPr>
          <w:rFonts w:hint="eastAsia" w:ascii="宋体" w:hAnsi="宋体"/>
          <w:szCs w:val="21"/>
        </w:rPr>
      </w:pPr>
      <w:r>
        <w:rPr>
          <w:rFonts w:hint="eastAsia" w:ascii="宋体" w:hAnsi="宋体"/>
          <w:szCs w:val="21"/>
        </w:rPr>
        <w:t>（1）设立在现场入口显著位置的现场施工总平面图、总平面管理、安全生产、文明施工、环境保护、质量控制、材料管理等的规章制度和主要参建单位名称和工程概况等说明的图板；</w:t>
      </w:r>
    </w:p>
    <w:p>
      <w:pPr>
        <w:spacing w:line="400" w:lineRule="exact"/>
        <w:ind w:left="1050" w:leftChars="250" w:hanging="525" w:hangingChars="250"/>
        <w:rPr>
          <w:rFonts w:hint="eastAsia" w:ascii="宋体" w:hAnsi="宋体"/>
          <w:szCs w:val="21"/>
        </w:rPr>
      </w:pPr>
      <w:r>
        <w:rPr>
          <w:rFonts w:hint="eastAsia" w:ascii="宋体" w:hAnsi="宋体"/>
          <w:szCs w:val="21"/>
        </w:rPr>
        <w:t>（2）为确保工程安全施工须设立的足够的标志、宣传画、标语、指示牌、警告牌、火警、匪警和急救电话提示牌等等；</w:t>
      </w:r>
    </w:p>
    <w:p>
      <w:pPr>
        <w:spacing w:line="400" w:lineRule="exact"/>
        <w:ind w:left="1155" w:leftChars="250" w:hanging="630" w:hangingChars="300"/>
        <w:rPr>
          <w:rFonts w:hint="eastAsia" w:ascii="宋体" w:hAnsi="宋体"/>
          <w:szCs w:val="21"/>
        </w:rPr>
      </w:pPr>
      <w:r>
        <w:rPr>
          <w:rFonts w:hint="eastAsia" w:ascii="宋体" w:hAnsi="宋体"/>
          <w:szCs w:val="21"/>
        </w:rPr>
        <w:t>（3）洞口和临边位置的安全防护设施，包括护身栏杆、脚手架、洞口盖板和加筋、竖井防护栏杆、防护棚、防护网、坡道等等；</w:t>
      </w:r>
    </w:p>
    <w:p>
      <w:pPr>
        <w:spacing w:line="400" w:lineRule="exact"/>
        <w:ind w:left="1155" w:leftChars="250" w:hanging="630" w:hangingChars="300"/>
        <w:rPr>
          <w:rFonts w:hint="eastAsia" w:ascii="宋体" w:hAnsi="宋体"/>
          <w:szCs w:val="21"/>
        </w:rPr>
      </w:pPr>
      <w:r>
        <w:rPr>
          <w:rFonts w:hint="eastAsia" w:ascii="宋体" w:hAnsi="宋体"/>
          <w:szCs w:val="21"/>
        </w:rPr>
        <w:t>（4）安全带、安全绳、安全帽、安全网、绝缘鞋、绝缘手套、防护口罩和防护衣等安全生产用品；</w:t>
      </w:r>
    </w:p>
    <w:p>
      <w:pPr>
        <w:spacing w:line="400" w:lineRule="exact"/>
        <w:ind w:firstLine="525" w:firstLineChars="250"/>
        <w:rPr>
          <w:rFonts w:hint="eastAsia" w:ascii="宋体" w:hAnsi="宋体"/>
          <w:szCs w:val="21"/>
        </w:rPr>
      </w:pPr>
      <w:r>
        <w:rPr>
          <w:rFonts w:hint="eastAsia" w:ascii="宋体" w:hAnsi="宋体"/>
          <w:szCs w:val="21"/>
        </w:rPr>
        <w:t>（5）所有机械设备包括各类电动工具的安全保护和接地装置和操作说明；</w:t>
      </w:r>
    </w:p>
    <w:p>
      <w:pPr>
        <w:spacing w:line="400" w:lineRule="exact"/>
        <w:ind w:firstLine="525" w:firstLineChars="250"/>
        <w:rPr>
          <w:rFonts w:hint="eastAsia" w:ascii="宋体" w:hAnsi="宋体"/>
          <w:szCs w:val="21"/>
        </w:rPr>
      </w:pPr>
      <w:r>
        <w:rPr>
          <w:rFonts w:hint="eastAsia" w:ascii="宋体" w:hAnsi="宋体"/>
          <w:szCs w:val="21"/>
        </w:rPr>
        <w:t>（6）装备良好的临时急救站和配备称职的医护人员；</w:t>
      </w:r>
    </w:p>
    <w:p>
      <w:pPr>
        <w:spacing w:line="400" w:lineRule="exact"/>
        <w:ind w:left="1050" w:leftChars="250" w:hanging="525" w:hangingChars="250"/>
        <w:rPr>
          <w:rFonts w:hint="eastAsia" w:ascii="宋体" w:hAnsi="宋体"/>
          <w:szCs w:val="21"/>
        </w:rPr>
      </w:pPr>
      <w:r>
        <w:rPr>
          <w:rFonts w:hint="eastAsia" w:ascii="宋体" w:hAnsi="宋体"/>
          <w:szCs w:val="21"/>
        </w:rPr>
        <w:t>（7）主要作业场所和临时安全疏散通道24小时36伏安全照明和必要的警示等以防止各种可能的事故；</w:t>
      </w:r>
    </w:p>
    <w:p>
      <w:pPr>
        <w:spacing w:line="400" w:lineRule="exact"/>
        <w:ind w:firstLine="525" w:firstLineChars="250"/>
        <w:rPr>
          <w:rFonts w:hint="eastAsia" w:ascii="宋体" w:hAnsi="宋体"/>
          <w:szCs w:val="21"/>
        </w:rPr>
      </w:pPr>
      <w:r>
        <w:rPr>
          <w:rFonts w:hint="eastAsia" w:ascii="宋体" w:hAnsi="宋体"/>
          <w:szCs w:val="21"/>
        </w:rPr>
        <w:t>（8）足够数量的和合格的手提灭火器；</w:t>
      </w:r>
    </w:p>
    <w:p>
      <w:pPr>
        <w:spacing w:line="400" w:lineRule="exact"/>
        <w:ind w:firstLine="525" w:firstLineChars="250"/>
        <w:rPr>
          <w:rFonts w:hint="eastAsia" w:ascii="宋体" w:hAnsi="宋体"/>
          <w:szCs w:val="21"/>
        </w:rPr>
      </w:pPr>
      <w:r>
        <w:rPr>
          <w:rFonts w:hint="eastAsia" w:ascii="宋体" w:hAnsi="宋体"/>
          <w:szCs w:val="21"/>
        </w:rPr>
        <w:t>（9）装备良好的易燃易爆物品仓库和相应的使用管理制度；</w:t>
      </w:r>
    </w:p>
    <w:p>
      <w:pPr>
        <w:spacing w:line="400" w:lineRule="exact"/>
        <w:ind w:firstLine="525" w:firstLineChars="250"/>
        <w:rPr>
          <w:rFonts w:hint="eastAsia" w:ascii="宋体" w:hAnsi="宋体"/>
          <w:szCs w:val="21"/>
        </w:rPr>
      </w:pPr>
      <w:r>
        <w:rPr>
          <w:rFonts w:hint="eastAsia" w:ascii="宋体" w:hAnsi="宋体"/>
          <w:szCs w:val="21"/>
        </w:rPr>
        <w:t>（10）对涉及明火施工的工作制定诸如用火证等的管理制度；</w:t>
      </w:r>
    </w:p>
    <w:p>
      <w:pPr>
        <w:spacing w:line="400" w:lineRule="exact"/>
        <w:ind w:firstLine="525" w:firstLineChars="250"/>
        <w:rPr>
          <w:rFonts w:hint="eastAsia" w:ascii="宋体" w:hAnsi="宋体"/>
          <w:szCs w:val="21"/>
        </w:rPr>
      </w:pPr>
      <w:r>
        <w:rPr>
          <w:rFonts w:hint="eastAsia" w:ascii="宋体" w:hAnsi="宋体"/>
          <w:szCs w:val="21"/>
        </w:rPr>
        <w:t>（11）其他：</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w:t>
      </w:r>
    </w:p>
    <w:p>
      <w:pPr>
        <w:spacing w:line="400" w:lineRule="exact"/>
        <w:ind w:left="945" w:hanging="945" w:hangingChars="450"/>
        <w:rPr>
          <w:rFonts w:hint="eastAsia" w:ascii="宋体" w:hAnsi="宋体"/>
          <w:szCs w:val="21"/>
        </w:rPr>
      </w:pPr>
      <w:r>
        <w:rPr>
          <w:rFonts w:hint="eastAsia" w:ascii="宋体" w:hAnsi="宋体"/>
          <w:szCs w:val="21"/>
        </w:rPr>
        <w:t>6.1.3    安全文明施工费用必须专款专用，承包人应对其由于安全文明施工费用和施工安全措施不到位而发生的安全事故承担全部责任。</w:t>
      </w:r>
    </w:p>
    <w:p>
      <w:pPr>
        <w:spacing w:line="400" w:lineRule="exact"/>
        <w:ind w:left="945" w:hanging="945" w:hangingChars="450"/>
        <w:rPr>
          <w:rFonts w:hint="eastAsia" w:ascii="宋体" w:hAnsi="宋体"/>
          <w:szCs w:val="21"/>
        </w:rPr>
      </w:pPr>
      <w:r>
        <w:rPr>
          <w:rFonts w:hint="eastAsia" w:ascii="宋体" w:hAnsi="宋体"/>
          <w:szCs w:val="21"/>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pPr>
        <w:spacing w:line="400" w:lineRule="exact"/>
        <w:ind w:left="945" w:hanging="945" w:hangingChars="450"/>
        <w:rPr>
          <w:rFonts w:hint="eastAsia" w:ascii="宋体" w:hAnsi="宋体"/>
          <w:szCs w:val="21"/>
        </w:rPr>
      </w:pPr>
      <w:r>
        <w:rPr>
          <w:rFonts w:hint="eastAsia" w:ascii="宋体" w:hAnsi="宋体"/>
          <w:szCs w:val="21"/>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spacing w:line="360" w:lineRule="exact"/>
        <w:ind w:left="945" w:hanging="945" w:hangingChars="450"/>
        <w:rPr>
          <w:rFonts w:hint="eastAsia" w:ascii="宋体" w:hAnsi="宋体"/>
          <w:szCs w:val="21"/>
        </w:rPr>
      </w:pPr>
      <w:r>
        <w:rPr>
          <w:rFonts w:hint="eastAsia" w:ascii="宋体" w:hAnsi="宋体"/>
          <w:szCs w:val="21"/>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pPr>
        <w:spacing w:line="360" w:lineRule="exact"/>
        <w:ind w:left="945" w:hanging="945" w:hangingChars="450"/>
        <w:rPr>
          <w:rFonts w:hint="eastAsia" w:ascii="宋体" w:hAnsi="宋体"/>
          <w:szCs w:val="21"/>
        </w:rPr>
      </w:pPr>
      <w:r>
        <w:rPr>
          <w:rFonts w:hint="eastAsia" w:ascii="宋体" w:hAnsi="宋体"/>
          <w:szCs w:val="21"/>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spacing w:line="360" w:lineRule="exact"/>
        <w:ind w:left="945" w:hanging="945" w:hangingChars="450"/>
        <w:rPr>
          <w:rFonts w:hint="eastAsia" w:ascii="宋体" w:hAnsi="宋体"/>
          <w:szCs w:val="21"/>
        </w:rPr>
      </w:pPr>
      <w:r>
        <w:rPr>
          <w:rFonts w:hint="eastAsia" w:ascii="宋体" w:hAnsi="宋体"/>
          <w:szCs w:val="21"/>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pPr>
        <w:spacing w:line="360" w:lineRule="exact"/>
        <w:ind w:left="945" w:hanging="945" w:hangingChars="450"/>
        <w:rPr>
          <w:rFonts w:hint="eastAsia" w:ascii="宋体" w:hAnsi="宋体"/>
          <w:szCs w:val="21"/>
        </w:rPr>
      </w:pPr>
      <w:r>
        <w:rPr>
          <w:rFonts w:hint="eastAsia" w:ascii="宋体" w:hAnsi="宋体"/>
          <w:szCs w:val="21"/>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spacing w:line="360" w:lineRule="exact"/>
        <w:ind w:left="945" w:hanging="945" w:hangingChars="450"/>
        <w:rPr>
          <w:rFonts w:hint="eastAsia" w:ascii="宋体" w:hAnsi="宋体"/>
          <w:szCs w:val="21"/>
        </w:rPr>
      </w:pPr>
      <w:r>
        <w:rPr>
          <w:rFonts w:hint="eastAsia" w:ascii="宋体" w:hAnsi="宋体"/>
          <w:szCs w:val="21"/>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spacing w:line="360" w:lineRule="exact"/>
        <w:ind w:left="945" w:hanging="945" w:hangingChars="450"/>
        <w:rPr>
          <w:rFonts w:hint="eastAsia" w:ascii="宋体" w:hAnsi="宋体"/>
          <w:szCs w:val="21"/>
        </w:rPr>
      </w:pPr>
      <w:r>
        <w:rPr>
          <w:rFonts w:hint="eastAsia" w:ascii="宋体" w:hAnsi="宋体"/>
          <w:szCs w:val="21"/>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pPr>
        <w:spacing w:line="360" w:lineRule="exact"/>
        <w:ind w:left="945" w:hanging="945" w:hangingChars="450"/>
        <w:rPr>
          <w:rFonts w:hint="eastAsia" w:ascii="宋体" w:hAnsi="宋体"/>
          <w:szCs w:val="21"/>
        </w:rPr>
      </w:pPr>
      <w:r>
        <w:rPr>
          <w:rFonts w:hint="eastAsia" w:ascii="宋体" w:hAnsi="宋体"/>
          <w:szCs w:val="21"/>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spacing w:line="360" w:lineRule="exact"/>
        <w:ind w:left="945" w:hanging="945" w:hangingChars="450"/>
        <w:rPr>
          <w:rFonts w:hint="eastAsia" w:ascii="宋体" w:hAnsi="宋体"/>
          <w:szCs w:val="21"/>
        </w:rPr>
      </w:pPr>
      <w:r>
        <w:rPr>
          <w:rFonts w:hint="eastAsia" w:ascii="宋体" w:hAnsi="宋体"/>
          <w:szCs w:val="21"/>
        </w:rPr>
        <w:t>6.1.13   承包人应成立应急救援小组，配备必要的应急救援器材和设备，制定灾害和生产安全事故的应急救援预案，并将应急救援预案报送监理人。应急救援预案应能随时组织应救专职人员、并定期组织演练。</w:t>
      </w:r>
    </w:p>
    <w:p>
      <w:pPr>
        <w:spacing w:line="360" w:lineRule="exact"/>
        <w:ind w:left="945" w:hanging="945" w:hangingChars="450"/>
        <w:rPr>
          <w:rFonts w:hint="eastAsia" w:ascii="宋体" w:hAnsi="宋体"/>
          <w:szCs w:val="21"/>
        </w:rPr>
      </w:pPr>
      <w:r>
        <w:rPr>
          <w:rFonts w:hint="eastAsia" w:ascii="宋体" w:hAnsi="宋体"/>
          <w:szCs w:val="21"/>
        </w:rPr>
        <w:t>6.1.14   施工过程中需要使用爆破或带炸药的工具等危险性施工方法时，承包人应提前通</w:t>
      </w:r>
    </w:p>
    <w:p>
      <w:pPr>
        <w:spacing w:line="360" w:lineRule="exact"/>
        <w:ind w:left="945" w:leftChars="450"/>
        <w:rPr>
          <w:rFonts w:hint="eastAsia" w:ascii="宋体" w:hAnsi="宋体"/>
          <w:szCs w:val="21"/>
        </w:rPr>
      </w:pPr>
      <w:r>
        <w:rPr>
          <w:rFonts w:hint="eastAsia" w:ascii="宋体" w:hAnsi="宋体"/>
          <w:szCs w:val="21"/>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spacing w:line="360" w:lineRule="exact"/>
        <w:ind w:left="945" w:hanging="945" w:hangingChars="450"/>
        <w:rPr>
          <w:rFonts w:hint="eastAsia" w:ascii="宋体" w:hAnsi="宋体"/>
          <w:szCs w:val="21"/>
        </w:rPr>
      </w:pPr>
      <w:r>
        <w:rPr>
          <w:rFonts w:hint="eastAsia" w:ascii="宋体" w:hAnsi="宋体"/>
          <w:szCs w:val="21"/>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spacing w:line="360" w:lineRule="exact"/>
        <w:ind w:left="945" w:hanging="945" w:hangingChars="450"/>
        <w:rPr>
          <w:rFonts w:hint="eastAsia" w:ascii="宋体" w:hAnsi="宋体"/>
          <w:szCs w:val="21"/>
        </w:rPr>
      </w:pPr>
      <w:r>
        <w:rPr>
          <w:rFonts w:hint="eastAsia" w:ascii="宋体" w:hAnsi="宋体"/>
          <w:szCs w:val="21"/>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spacing w:line="360" w:lineRule="exact"/>
        <w:ind w:left="945" w:hanging="945" w:hangingChars="450"/>
        <w:rPr>
          <w:rFonts w:hint="eastAsia" w:ascii="宋体" w:hAnsi="宋体"/>
          <w:szCs w:val="21"/>
        </w:rPr>
      </w:pPr>
      <w:r>
        <w:rPr>
          <w:rFonts w:hint="eastAsia" w:ascii="宋体" w:hAnsi="宋体"/>
          <w:szCs w:val="21"/>
        </w:rPr>
        <w:t>6.1.17   承包人还应根据有关法律、法规、规定和条例等的要求，制定一套安全生产应急措施和程序，保证一旦出现任何安全事故，能立即保护好现场，抢救伤员和财产，保证施工生产的正常进行，防止损失扩大。</w:t>
      </w:r>
    </w:p>
    <w:p>
      <w:pPr>
        <w:spacing w:line="360" w:lineRule="exact"/>
        <w:ind w:left="945" w:hanging="945" w:hangingChars="450"/>
        <w:rPr>
          <w:rFonts w:hint="eastAsia" w:ascii="宋体" w:hAnsi="宋体"/>
          <w:szCs w:val="21"/>
        </w:rPr>
      </w:pPr>
      <w:r>
        <w:rPr>
          <w:rFonts w:hint="eastAsia" w:ascii="宋体" w:hAnsi="宋体"/>
          <w:szCs w:val="21"/>
        </w:rPr>
        <w:t>6.1.18   安全防护方面的其他要求如下：</w:t>
      </w:r>
    </w:p>
    <w:p>
      <w:pPr>
        <w:spacing w:line="5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before="93" w:beforeLines="30" w:after="93" w:afterLines="30" w:line="360" w:lineRule="exact"/>
        <w:ind w:left="1080" w:hanging="1080" w:hangingChars="450"/>
        <w:rPr>
          <w:rFonts w:hint="eastAsia" w:ascii="黑体" w:hAnsi="宋体" w:eastAsia="黑体"/>
          <w:sz w:val="24"/>
        </w:rPr>
      </w:pPr>
      <w:r>
        <w:rPr>
          <w:rFonts w:hint="eastAsia" w:ascii="黑体" w:hAnsi="宋体" w:eastAsia="黑体"/>
          <w:sz w:val="24"/>
        </w:rPr>
        <w:t>6.2     临时消防</w:t>
      </w:r>
    </w:p>
    <w:p>
      <w:pPr>
        <w:spacing w:line="400" w:lineRule="exact"/>
        <w:ind w:left="945" w:hanging="945" w:hangingChars="450"/>
        <w:rPr>
          <w:rFonts w:hint="eastAsia" w:ascii="宋体" w:hAnsi="宋体"/>
          <w:szCs w:val="21"/>
        </w:rPr>
      </w:pPr>
      <w:r>
        <w:rPr>
          <w:rFonts w:hint="eastAsia" w:ascii="宋体" w:hAnsi="宋体"/>
          <w:szCs w:val="21"/>
        </w:rPr>
        <w:t>6.2.1    承包人应建立消防安全责任制度，制定用火、用电和使用易燃易爆等危险品的消防安全管理制度和操作规程。各项制度和规程等应满足相关法律法规和政府消防管理部门的要求。</w:t>
      </w:r>
    </w:p>
    <w:p>
      <w:pPr>
        <w:spacing w:line="400" w:lineRule="exact"/>
        <w:ind w:left="945" w:hanging="945" w:hangingChars="450"/>
        <w:rPr>
          <w:rFonts w:hint="eastAsia" w:ascii="宋体" w:hAnsi="宋体"/>
          <w:szCs w:val="21"/>
        </w:rPr>
      </w:pPr>
      <w:r>
        <w:rPr>
          <w:rFonts w:hint="eastAsia" w:ascii="宋体" w:hAnsi="宋体"/>
          <w:szCs w:val="21"/>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spacing w:line="400" w:lineRule="exact"/>
        <w:ind w:left="945" w:hanging="945" w:hangingChars="450"/>
        <w:rPr>
          <w:rFonts w:hint="eastAsia" w:ascii="宋体" w:hAnsi="宋体"/>
          <w:szCs w:val="21"/>
        </w:rPr>
      </w:pPr>
      <w:r>
        <w:rPr>
          <w:rFonts w:hint="eastAsia" w:ascii="宋体" w:hAnsi="宋体"/>
          <w:szCs w:val="21"/>
        </w:rPr>
        <w:t>6.2.3    承包人应当成立由项目主要负责人担任组长的临时消防组或消防队，宣传消防基本知识和基本操作培训，组织消防演练，保证一旦发生火灾，能够组织有效的自救，保护生命和财产安全。</w:t>
      </w:r>
    </w:p>
    <w:p>
      <w:pPr>
        <w:spacing w:line="400" w:lineRule="exact"/>
        <w:ind w:left="945" w:hanging="945" w:hangingChars="450"/>
        <w:rPr>
          <w:rFonts w:hint="eastAsia" w:ascii="宋体" w:hAnsi="宋体"/>
          <w:szCs w:val="21"/>
        </w:rPr>
      </w:pPr>
      <w:r>
        <w:rPr>
          <w:rFonts w:hint="eastAsia" w:ascii="宋体" w:hAnsi="宋体"/>
          <w:szCs w:val="21"/>
        </w:rPr>
        <w:t>6.2.4    施工场地（现场）内的易燃、易爆物品应单独和安全地存放，设专人进行存放和领用管理。施工场地（现场）储有或正在使用易燃、易爆或可燃材料时或有明火施工的工序，应当实行严格的“用火证”管理制度。</w:t>
      </w:r>
    </w:p>
    <w:p>
      <w:pPr>
        <w:spacing w:line="400" w:lineRule="exact"/>
        <w:ind w:left="945" w:hanging="945" w:hangingChars="450"/>
        <w:rPr>
          <w:rFonts w:hint="eastAsia" w:ascii="宋体" w:hAnsi="宋体"/>
          <w:szCs w:val="21"/>
        </w:rPr>
      </w:pPr>
      <w:r>
        <w:rPr>
          <w:rFonts w:hint="eastAsia" w:ascii="宋体" w:hAnsi="宋体"/>
          <w:szCs w:val="21"/>
        </w:rPr>
        <w:t>6.2.5    临时消防方面的其他要求如下：</w:t>
      </w:r>
    </w:p>
    <w:p>
      <w:pPr>
        <w:spacing w:line="5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before="93" w:beforeLines="30" w:after="93" w:afterLines="30" w:line="360" w:lineRule="exact"/>
        <w:ind w:left="1080" w:hanging="1080" w:hangingChars="450"/>
        <w:rPr>
          <w:rFonts w:hint="eastAsia" w:ascii="黑体" w:hAnsi="宋体" w:eastAsia="黑体"/>
          <w:sz w:val="24"/>
        </w:rPr>
      </w:pPr>
      <w:r>
        <w:rPr>
          <w:rFonts w:hint="eastAsia" w:ascii="黑体" w:hAnsi="宋体" w:eastAsia="黑体"/>
          <w:sz w:val="24"/>
        </w:rPr>
        <w:t>6.3      临时供电</w:t>
      </w:r>
    </w:p>
    <w:p>
      <w:pPr>
        <w:spacing w:line="390" w:lineRule="exact"/>
        <w:ind w:left="945" w:hanging="945" w:hangingChars="450"/>
        <w:rPr>
          <w:rFonts w:hint="eastAsia" w:ascii="宋体" w:hAnsi="宋体"/>
          <w:szCs w:val="21"/>
        </w:rPr>
      </w:pPr>
      <w:r>
        <w:rPr>
          <w:rFonts w:hint="eastAsia" w:ascii="宋体" w:hAnsi="宋体"/>
          <w:szCs w:val="21"/>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390" w:lineRule="exact"/>
        <w:ind w:left="945" w:hanging="945" w:hangingChars="450"/>
        <w:rPr>
          <w:rFonts w:hint="eastAsia" w:ascii="宋体" w:hAnsi="宋体"/>
          <w:szCs w:val="21"/>
        </w:rPr>
      </w:pPr>
      <w:r>
        <w:rPr>
          <w:rFonts w:hint="eastAsia" w:ascii="宋体" w:hAnsi="宋体"/>
          <w:szCs w:val="21"/>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spacing w:line="390" w:lineRule="exact"/>
        <w:ind w:left="945" w:hanging="945" w:hangingChars="450"/>
        <w:rPr>
          <w:rFonts w:hint="eastAsia" w:ascii="宋体" w:hAnsi="宋体"/>
          <w:szCs w:val="21"/>
        </w:rPr>
      </w:pPr>
      <w:r>
        <w:rPr>
          <w:rFonts w:hint="eastAsia" w:ascii="宋体" w:hAnsi="宋体"/>
          <w:szCs w:val="21"/>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pPr>
        <w:spacing w:line="390" w:lineRule="exact"/>
        <w:ind w:left="945" w:hanging="945" w:hangingChars="450"/>
        <w:rPr>
          <w:rFonts w:hint="eastAsia" w:ascii="宋体" w:hAnsi="宋体"/>
          <w:szCs w:val="21"/>
        </w:rPr>
      </w:pPr>
      <w:r>
        <w:rPr>
          <w:rFonts w:hint="eastAsia" w:ascii="宋体" w:hAnsi="宋体"/>
          <w:szCs w:val="21"/>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spacing w:line="390" w:lineRule="exact"/>
        <w:ind w:left="945" w:hanging="945" w:hangingChars="450"/>
        <w:rPr>
          <w:rFonts w:hint="eastAsia" w:ascii="宋体" w:hAnsi="宋体"/>
          <w:szCs w:val="21"/>
        </w:rPr>
      </w:pPr>
      <w:r>
        <w:rPr>
          <w:rFonts w:hint="eastAsia" w:ascii="宋体" w:hAnsi="宋体"/>
          <w:szCs w:val="21"/>
        </w:rPr>
        <w:t>6.3.5    凡可能漏电伤人或易受雷击的电器及建筑物均应设置接地和避雷装置。承包人应负责避雷装置的采购、安装、管理和维修，并建立定期检查制度。</w:t>
      </w:r>
    </w:p>
    <w:p>
      <w:pPr>
        <w:spacing w:line="390" w:lineRule="exact"/>
        <w:ind w:left="945" w:hanging="945" w:hangingChars="450"/>
        <w:rPr>
          <w:rFonts w:hint="eastAsia" w:ascii="宋体" w:hAnsi="宋体"/>
          <w:szCs w:val="21"/>
        </w:rPr>
      </w:pPr>
      <w:r>
        <w:rPr>
          <w:rFonts w:hint="eastAsia" w:ascii="宋体" w:hAnsi="宋体"/>
          <w:szCs w:val="21"/>
        </w:rPr>
        <w:t>6.3.6    临时用电方面的其他要求如下：</w:t>
      </w:r>
    </w:p>
    <w:p>
      <w:pPr>
        <w:spacing w:line="39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390" w:lineRule="exact"/>
        <w:ind w:left="1080" w:hanging="1080" w:hangingChars="450"/>
        <w:rPr>
          <w:rFonts w:hint="eastAsia" w:ascii="黑体" w:hAnsi="宋体" w:eastAsia="黑体"/>
          <w:sz w:val="24"/>
        </w:rPr>
      </w:pPr>
      <w:r>
        <w:rPr>
          <w:rFonts w:hint="eastAsia" w:ascii="黑体" w:hAnsi="宋体" w:eastAsia="黑体"/>
          <w:sz w:val="24"/>
        </w:rPr>
        <w:t>6.4     劳动保护</w:t>
      </w:r>
    </w:p>
    <w:p>
      <w:pPr>
        <w:spacing w:line="390" w:lineRule="exact"/>
        <w:ind w:left="945" w:hanging="945" w:hangingChars="450"/>
        <w:rPr>
          <w:rFonts w:hint="eastAsia" w:ascii="宋体" w:hAnsi="宋体"/>
          <w:szCs w:val="21"/>
        </w:rPr>
      </w:pPr>
      <w:r>
        <w:rPr>
          <w:rFonts w:hint="eastAsia" w:ascii="宋体" w:hAnsi="宋体"/>
          <w:szCs w:val="21"/>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spacing w:line="390" w:lineRule="exact"/>
        <w:ind w:left="945" w:hanging="945" w:hangingChars="450"/>
        <w:rPr>
          <w:rFonts w:hint="eastAsia" w:ascii="宋体" w:hAnsi="宋体"/>
          <w:szCs w:val="21"/>
        </w:rPr>
      </w:pPr>
      <w:r>
        <w:rPr>
          <w:rFonts w:hint="eastAsia" w:ascii="宋体" w:hAnsi="宋体"/>
          <w:szCs w:val="21"/>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spacing w:line="390" w:lineRule="exact"/>
        <w:ind w:left="945" w:hanging="945" w:hangingChars="450"/>
        <w:rPr>
          <w:rFonts w:hint="eastAsia" w:ascii="宋体" w:hAnsi="宋体"/>
          <w:szCs w:val="21"/>
        </w:rPr>
      </w:pPr>
      <w:r>
        <w:rPr>
          <w:rFonts w:hint="eastAsia" w:ascii="宋体" w:hAnsi="宋体"/>
          <w:szCs w:val="21"/>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pPr>
        <w:spacing w:line="360" w:lineRule="exact"/>
        <w:ind w:left="945" w:hanging="945" w:hangingChars="450"/>
        <w:rPr>
          <w:rFonts w:hint="eastAsia" w:ascii="宋体" w:hAnsi="宋体"/>
          <w:szCs w:val="21"/>
        </w:rPr>
      </w:pPr>
      <w:r>
        <w:rPr>
          <w:rFonts w:hint="eastAsia" w:ascii="宋体" w:hAnsi="宋体"/>
          <w:szCs w:val="21"/>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pPr>
        <w:spacing w:line="360" w:lineRule="exact"/>
        <w:ind w:left="945" w:hanging="945" w:hangingChars="450"/>
        <w:rPr>
          <w:rFonts w:hint="eastAsia" w:ascii="宋体" w:hAnsi="宋体"/>
          <w:szCs w:val="21"/>
        </w:rPr>
      </w:pPr>
      <w:r>
        <w:rPr>
          <w:rFonts w:hint="eastAsia" w:ascii="宋体" w:hAnsi="宋体"/>
          <w:szCs w:val="21"/>
        </w:rPr>
        <w:t>6.4.5    承包人应在现场设立专门的临时医疗站，配备足够的设施、药物和称职的医务人员，承包人还应准备急救担架，用于一旦发生安全事故时对受伤人员的急救。</w:t>
      </w:r>
    </w:p>
    <w:p>
      <w:pPr>
        <w:spacing w:line="360" w:lineRule="exact"/>
        <w:ind w:left="945" w:hanging="945" w:hangingChars="450"/>
        <w:rPr>
          <w:rFonts w:hint="eastAsia" w:ascii="宋体" w:hAnsi="宋体"/>
          <w:szCs w:val="21"/>
        </w:rPr>
      </w:pPr>
      <w:r>
        <w:rPr>
          <w:rFonts w:hint="eastAsia" w:ascii="宋体" w:hAnsi="宋体"/>
          <w:szCs w:val="21"/>
        </w:rPr>
        <w:t>6.4.6    劳动保护方面的其他要求如下：</w:t>
      </w:r>
    </w:p>
    <w:p>
      <w:pPr>
        <w:spacing w:line="60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360" w:lineRule="exact"/>
        <w:ind w:left="1080" w:hanging="1080" w:hangingChars="450"/>
        <w:rPr>
          <w:rFonts w:hint="eastAsia" w:ascii="黑体" w:hAnsi="宋体" w:eastAsia="黑体"/>
          <w:sz w:val="24"/>
        </w:rPr>
      </w:pPr>
      <w:r>
        <w:rPr>
          <w:rFonts w:hint="eastAsia" w:ascii="黑体" w:hAnsi="宋体" w:eastAsia="黑体"/>
          <w:sz w:val="24"/>
        </w:rPr>
        <w:t>6.5     脚手架</w:t>
      </w:r>
    </w:p>
    <w:p>
      <w:pPr>
        <w:spacing w:line="380" w:lineRule="exact"/>
        <w:ind w:left="945" w:hanging="945" w:hangingChars="450"/>
        <w:rPr>
          <w:rFonts w:hint="eastAsia" w:ascii="宋体" w:hAnsi="宋体"/>
          <w:szCs w:val="21"/>
        </w:rPr>
      </w:pPr>
      <w:r>
        <w:rPr>
          <w:rFonts w:hint="eastAsia" w:ascii="宋体" w:hAnsi="宋体"/>
          <w:szCs w:val="21"/>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pPr>
        <w:spacing w:line="380" w:lineRule="exact"/>
        <w:ind w:left="945" w:hanging="945" w:hangingChars="450"/>
        <w:rPr>
          <w:rFonts w:hint="eastAsia" w:ascii="宋体" w:hAnsi="宋体"/>
          <w:szCs w:val="21"/>
        </w:rPr>
      </w:pPr>
      <w:r>
        <w:rPr>
          <w:rFonts w:hint="eastAsia" w:ascii="宋体" w:hAnsi="宋体"/>
          <w:szCs w:val="21"/>
        </w:rPr>
        <w:t>6.5.2    所有脚手架，尤其是大型、复杂、高耸和非常规脚手架，要编制专项施工方案，还应当经过安全验算，脚手架安全验算结果必须报送监理人核查后方可实施。</w:t>
      </w:r>
    </w:p>
    <w:p>
      <w:pPr>
        <w:spacing w:line="380" w:lineRule="exact"/>
        <w:ind w:left="945" w:hanging="945" w:hangingChars="450"/>
        <w:rPr>
          <w:rFonts w:hint="eastAsia" w:ascii="宋体" w:hAnsi="宋体"/>
          <w:szCs w:val="21"/>
        </w:rPr>
      </w:pPr>
      <w:r>
        <w:rPr>
          <w:rFonts w:hint="eastAsia" w:ascii="宋体" w:hAnsi="宋体"/>
          <w:szCs w:val="21"/>
        </w:rPr>
        <w:t>6.5.3    搭设爬架、挂架、超高脚手架等特种或新型脚手架时，承包人应确保此类脚手架的安全性和保证此类脚手架已经过有关行政管理部门允许使用的批准，并承担与此有关的一切费用。</w:t>
      </w:r>
    </w:p>
    <w:p>
      <w:pPr>
        <w:spacing w:line="380" w:lineRule="exact"/>
        <w:ind w:left="945" w:hanging="945" w:hangingChars="450"/>
        <w:rPr>
          <w:rFonts w:hint="eastAsia" w:ascii="宋体" w:hAnsi="宋体"/>
          <w:szCs w:val="21"/>
        </w:rPr>
      </w:pPr>
      <w:r>
        <w:rPr>
          <w:rFonts w:hint="eastAsia" w:ascii="宋体" w:hAnsi="宋体"/>
          <w:szCs w:val="21"/>
        </w:rPr>
        <w:t>6.5.4    承包人应当加强脚手架的日常安全巡查，及时对其中的安全隐患进行整改，确保脚手架使用安全。雨、雪、雾、霜和大风等天气后，承包人必须对脚手架进行安全巡查，并及时消除安全隐患。</w:t>
      </w:r>
    </w:p>
    <w:p>
      <w:pPr>
        <w:spacing w:line="380" w:lineRule="exact"/>
        <w:ind w:left="945" w:hanging="945" w:hangingChars="450"/>
        <w:rPr>
          <w:rFonts w:hint="eastAsia" w:ascii="宋体" w:hAnsi="宋体"/>
          <w:szCs w:val="21"/>
        </w:rPr>
      </w:pPr>
      <w:r>
        <w:rPr>
          <w:rFonts w:hint="eastAsia" w:ascii="宋体" w:hAnsi="宋体"/>
          <w:szCs w:val="21"/>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pPr>
        <w:spacing w:line="380" w:lineRule="exact"/>
        <w:ind w:left="945" w:hanging="945" w:hangingChars="450"/>
        <w:rPr>
          <w:rFonts w:hint="eastAsia" w:ascii="宋体" w:hAnsi="宋体"/>
          <w:szCs w:val="21"/>
        </w:rPr>
      </w:pPr>
      <w:r>
        <w:rPr>
          <w:rFonts w:hint="eastAsia" w:ascii="宋体" w:hAnsi="宋体"/>
          <w:szCs w:val="21"/>
        </w:rPr>
        <w:t>6.5.6    脚手架的其他要求如下：</w:t>
      </w:r>
    </w:p>
    <w:p>
      <w:pPr>
        <w:spacing w:line="380" w:lineRule="exact"/>
        <w:ind w:left="735" w:hanging="735" w:hangingChars="3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before="62" w:beforeLines="20" w:after="62" w:afterLines="20" w:line="420" w:lineRule="exact"/>
        <w:ind w:left="1080" w:hanging="1080" w:hangingChars="450"/>
        <w:rPr>
          <w:rFonts w:hint="eastAsia" w:ascii="黑体" w:hAnsi="宋体" w:eastAsia="黑体"/>
          <w:sz w:val="24"/>
        </w:rPr>
      </w:pPr>
      <w:r>
        <w:rPr>
          <w:rFonts w:hint="eastAsia" w:ascii="黑体" w:hAnsi="宋体" w:eastAsia="黑体"/>
          <w:sz w:val="24"/>
        </w:rPr>
        <w:t>6.6     施工安全措施计划</w:t>
      </w:r>
    </w:p>
    <w:p>
      <w:pPr>
        <w:spacing w:line="400" w:lineRule="exact"/>
        <w:ind w:left="945" w:hanging="945" w:hangingChars="450"/>
        <w:rPr>
          <w:rFonts w:hint="eastAsia" w:ascii="宋体" w:hAnsi="宋体"/>
          <w:szCs w:val="21"/>
        </w:rPr>
      </w:pPr>
      <w:r>
        <w:rPr>
          <w:rFonts w:hint="eastAsia" w:ascii="宋体" w:hAnsi="宋体"/>
          <w:szCs w:val="21"/>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pPr>
        <w:spacing w:line="400" w:lineRule="exact"/>
        <w:ind w:left="945" w:hanging="945" w:hangingChars="450"/>
        <w:rPr>
          <w:rFonts w:hint="eastAsia" w:ascii="宋体" w:hAnsi="宋体"/>
          <w:szCs w:val="21"/>
        </w:rPr>
      </w:pPr>
      <w:r>
        <w:rPr>
          <w:rFonts w:hint="eastAsia" w:ascii="宋体" w:hAnsi="宋体"/>
          <w:szCs w:val="21"/>
        </w:rPr>
        <w:t>6.6.2    施工安全措施计划是承包人阐明其安全管理方针、管理体系、安全制度和安全措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w:t>
      </w:r>
    </w:p>
    <w:p>
      <w:pPr>
        <w:spacing w:line="400" w:lineRule="exact"/>
        <w:ind w:left="947" w:firstLine="21" w:firstLineChars="10"/>
        <w:rPr>
          <w:rFonts w:hint="eastAsia" w:ascii="宋体" w:hAnsi="宋体"/>
          <w:szCs w:val="21"/>
        </w:rPr>
      </w:pPr>
      <w:r>
        <w:rPr>
          <w:rFonts w:hint="eastAsia" w:ascii="宋体" w:hAnsi="宋体"/>
          <w:szCs w:val="21"/>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spacing w:line="400" w:lineRule="exact"/>
        <w:ind w:left="945" w:hanging="945" w:hangingChars="450"/>
        <w:rPr>
          <w:rFonts w:hint="eastAsia" w:ascii="宋体" w:hAnsi="宋体"/>
          <w:szCs w:val="21"/>
        </w:rPr>
      </w:pPr>
      <w:r>
        <w:rPr>
          <w:rFonts w:hint="eastAsia" w:ascii="宋体" w:hAnsi="宋体"/>
          <w:szCs w:val="21"/>
        </w:rPr>
        <w:t>6.6.3    施工安全措施计划应当在专用合同条款第9.2.1项约定的期限内报送监理人。承包人应当严格执行经监理人批准的施工安全措施计划，并及时补充、修订和完善施工安全措施计划，确保安全生产。</w:t>
      </w:r>
    </w:p>
    <w:p>
      <w:pPr>
        <w:spacing w:before="62" w:beforeLines="20" w:after="62" w:afterLines="20" w:line="420" w:lineRule="exact"/>
        <w:ind w:left="1080" w:hanging="1080" w:hangingChars="450"/>
        <w:rPr>
          <w:rFonts w:hint="eastAsia" w:ascii="黑体" w:hAnsi="宋体" w:eastAsia="黑体"/>
          <w:sz w:val="24"/>
        </w:rPr>
      </w:pPr>
      <w:r>
        <w:rPr>
          <w:rFonts w:hint="eastAsia" w:ascii="黑体" w:hAnsi="宋体" w:eastAsia="黑体"/>
          <w:sz w:val="24"/>
        </w:rPr>
        <w:t>6.7    文明施工</w:t>
      </w:r>
    </w:p>
    <w:p>
      <w:pPr>
        <w:spacing w:line="420" w:lineRule="exact"/>
        <w:ind w:left="945" w:hanging="945" w:hangingChars="450"/>
        <w:rPr>
          <w:rFonts w:hint="eastAsia" w:ascii="宋体" w:hAnsi="宋体"/>
          <w:szCs w:val="21"/>
        </w:rPr>
      </w:pPr>
      <w:r>
        <w:rPr>
          <w:rFonts w:hint="eastAsia" w:ascii="宋体" w:hAnsi="宋体"/>
          <w:szCs w:val="21"/>
        </w:rPr>
        <w:t>6.7.1    承包人应遵守国家和工程所在地有关法规、规范、规程和标准的规定，履行文明施工义务，确保文明施工专项费用专款专用。</w:t>
      </w:r>
    </w:p>
    <w:p>
      <w:pPr>
        <w:spacing w:line="420" w:lineRule="exact"/>
        <w:ind w:left="945" w:hanging="945" w:hangingChars="450"/>
        <w:rPr>
          <w:rFonts w:hint="eastAsia" w:ascii="宋体" w:hAnsi="宋体"/>
          <w:szCs w:val="21"/>
        </w:rPr>
      </w:pPr>
      <w:r>
        <w:rPr>
          <w:rFonts w:hint="eastAsia" w:ascii="宋体" w:hAnsi="宋体"/>
          <w:szCs w:val="21"/>
        </w:rPr>
        <w:t>6.7.2     承包人应当规范现场施工秩序，实行标准化管理：</w:t>
      </w:r>
    </w:p>
    <w:p>
      <w:pPr>
        <w:spacing w:line="420" w:lineRule="exact"/>
        <w:ind w:left="1365" w:leftChars="500" w:hanging="315" w:hangingChars="150"/>
        <w:rPr>
          <w:rFonts w:hint="eastAsia" w:ascii="宋体" w:hAnsi="宋体"/>
          <w:szCs w:val="21"/>
        </w:rPr>
      </w:pPr>
      <w:r>
        <w:rPr>
          <w:rFonts w:hint="eastAsia" w:ascii="宋体" w:hAnsi="宋体"/>
          <w:szCs w:val="21"/>
        </w:rPr>
        <w:t>（1）承包人的施工场地（现场）必须干净整治、做到无积水、无淤泥、无杂物，材料堆放整齐；</w:t>
      </w:r>
    </w:p>
    <w:p>
      <w:pPr>
        <w:spacing w:line="420" w:lineRule="exact"/>
        <w:ind w:left="945" w:leftChars="450" w:right="-174" w:rightChars="-83" w:firstLine="105" w:firstLineChars="50"/>
        <w:rPr>
          <w:rFonts w:hint="eastAsia" w:ascii="宋体" w:hAnsi="宋体"/>
          <w:szCs w:val="21"/>
        </w:rPr>
      </w:pPr>
      <w:r>
        <w:rPr>
          <w:rFonts w:hint="eastAsia" w:ascii="宋体" w:hAnsi="宋体"/>
          <w:szCs w:val="21"/>
        </w:rPr>
        <w:t>（2）施工场地（现场）应进行硬化处理，定期定时洒水，做好防治扬尘和大气污染工作；</w:t>
      </w:r>
    </w:p>
    <w:p>
      <w:pPr>
        <w:spacing w:line="420" w:lineRule="exact"/>
        <w:ind w:left="945" w:leftChars="450" w:firstLine="105" w:firstLineChars="50"/>
        <w:rPr>
          <w:rFonts w:hint="eastAsia" w:ascii="宋体" w:hAnsi="宋体"/>
          <w:szCs w:val="21"/>
        </w:rPr>
      </w:pPr>
      <w:r>
        <w:rPr>
          <w:rFonts w:hint="eastAsia" w:ascii="宋体" w:hAnsi="宋体"/>
          <w:szCs w:val="21"/>
        </w:rPr>
        <w:t>（3）严格遵守“工完、料尽、场地净”的原则，不留垃圾、不留剩余施工材料和施工机具，各种设备运转正常；</w:t>
      </w:r>
    </w:p>
    <w:p>
      <w:pPr>
        <w:spacing w:line="380" w:lineRule="exact"/>
        <w:ind w:left="1365" w:leftChars="500" w:hanging="315" w:hangingChars="150"/>
        <w:rPr>
          <w:rFonts w:hint="eastAsia" w:ascii="宋体" w:hAnsi="宋体"/>
          <w:szCs w:val="21"/>
        </w:rPr>
      </w:pPr>
      <w:r>
        <w:rPr>
          <w:rFonts w:hint="eastAsia" w:ascii="宋体" w:hAnsi="宋体"/>
          <w:szCs w:val="21"/>
        </w:rPr>
        <w:t>（4）承包人修建的施工临时设施应符合监理人批准的施工规划要求，并应满足本节规定的各项安全要求；</w:t>
      </w:r>
    </w:p>
    <w:p>
      <w:pPr>
        <w:spacing w:line="380" w:lineRule="exact"/>
        <w:ind w:left="1365" w:leftChars="500" w:hanging="315" w:hangingChars="150"/>
        <w:rPr>
          <w:rFonts w:hint="eastAsia" w:ascii="宋体" w:hAnsi="宋体"/>
          <w:szCs w:val="21"/>
        </w:rPr>
      </w:pPr>
      <w:r>
        <w:rPr>
          <w:rFonts w:hint="eastAsia" w:ascii="宋体" w:hAnsi="宋体"/>
          <w:szCs w:val="21"/>
        </w:rPr>
        <w:t>（5）监理人可要求承包人在施工场地（现场）设置各级承包人的安全文明施工责任牌等文明施工警示牌；</w:t>
      </w:r>
    </w:p>
    <w:p>
      <w:pPr>
        <w:spacing w:line="380" w:lineRule="exact"/>
        <w:ind w:left="1365" w:leftChars="500" w:hanging="315" w:hangingChars="150"/>
        <w:rPr>
          <w:rFonts w:hint="eastAsia" w:ascii="宋体" w:hAnsi="宋体"/>
          <w:szCs w:val="21"/>
        </w:rPr>
      </w:pPr>
      <w:r>
        <w:rPr>
          <w:rFonts w:hint="eastAsia" w:ascii="宋体" w:hAnsi="宋体"/>
          <w:szCs w:val="21"/>
        </w:rPr>
        <w:t>（6）材料进入现场应按指定位置堆放整齐，不得影响现场施工和堵塞施工、消防通道。材料堆放场地应有专职的管理人员；</w:t>
      </w:r>
    </w:p>
    <w:p>
      <w:pPr>
        <w:spacing w:line="380" w:lineRule="exact"/>
        <w:ind w:left="1365" w:leftChars="500" w:hanging="315" w:hangingChars="150"/>
        <w:rPr>
          <w:rFonts w:hint="eastAsia" w:ascii="宋体" w:hAnsi="宋体"/>
          <w:szCs w:val="21"/>
        </w:rPr>
      </w:pPr>
      <w:r>
        <w:rPr>
          <w:rFonts w:hint="eastAsia" w:ascii="宋体" w:hAnsi="宋体"/>
          <w:szCs w:val="21"/>
        </w:rPr>
        <w:t>（7）施工和安装用的各种扣件、紧固件、绳索具、小型配件、镙钉等应在专设的仓库内装箱放置；</w:t>
      </w:r>
    </w:p>
    <w:p>
      <w:pPr>
        <w:spacing w:line="380" w:lineRule="exact"/>
        <w:ind w:left="1365" w:leftChars="500" w:hanging="315" w:hangingChars="150"/>
        <w:rPr>
          <w:rFonts w:hint="eastAsia" w:ascii="宋体" w:hAnsi="宋体"/>
          <w:szCs w:val="21"/>
        </w:rPr>
      </w:pPr>
      <w:r>
        <w:rPr>
          <w:rFonts w:hint="eastAsia" w:ascii="宋体" w:hAnsi="宋体"/>
          <w:szCs w:val="21"/>
        </w:rPr>
        <w:t>（8）现场风、水管及照明电线的布置应安全、合理、规范、有序，做到整齐美观。不得随意架设和造成隐患或影响施工。</w:t>
      </w:r>
    </w:p>
    <w:p>
      <w:pPr>
        <w:spacing w:line="380" w:lineRule="exact"/>
        <w:ind w:left="945" w:right="42" w:rightChars="20" w:hanging="945" w:hangingChars="450"/>
        <w:rPr>
          <w:rFonts w:hint="eastAsia" w:ascii="宋体" w:hAnsi="宋体"/>
          <w:szCs w:val="21"/>
        </w:rPr>
      </w:pPr>
      <w:r>
        <w:rPr>
          <w:rFonts w:hint="eastAsia" w:ascii="宋体" w:hAnsi="宋体"/>
          <w:szCs w:val="21"/>
        </w:rPr>
        <w:t>6.7.3    承包人应为其雇佣的施工工人建立并维护相应的生活宿舍、食堂、浴室、厕所和文化活动室等，其标准应满足政府有关机构的生活标准和卫生标准等的要求。</w:t>
      </w:r>
    </w:p>
    <w:p>
      <w:pPr>
        <w:spacing w:line="380" w:lineRule="exact"/>
        <w:ind w:left="945" w:right="42" w:rightChars="20" w:hanging="945" w:hangingChars="450"/>
        <w:rPr>
          <w:rFonts w:hint="eastAsia" w:ascii="宋体" w:hAnsi="宋体"/>
          <w:szCs w:val="21"/>
        </w:rPr>
      </w:pPr>
      <w:r>
        <w:rPr>
          <w:rFonts w:hint="eastAsia" w:ascii="宋体" w:hAnsi="宋体"/>
          <w:szCs w:val="21"/>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pPr>
        <w:spacing w:line="380" w:lineRule="exact"/>
        <w:ind w:left="945" w:right="42" w:rightChars="20" w:hanging="945" w:hangingChars="450"/>
        <w:rPr>
          <w:rFonts w:hint="eastAsia" w:ascii="宋体" w:hAnsi="宋体"/>
          <w:szCs w:val="21"/>
        </w:rPr>
      </w:pPr>
      <w:r>
        <w:rPr>
          <w:rFonts w:hint="eastAsia" w:ascii="宋体" w:hAnsi="宋体"/>
          <w:szCs w:val="21"/>
        </w:rPr>
        <w:t>6.7.5    在工程施工期间，承包人应始终避免现场出现不必要的障碍物，妥当存放并处置施工设备和多余的材料，及时从现场清除运走任何废料、垃圾或不再需要的临时工程和设施。</w:t>
      </w:r>
    </w:p>
    <w:p>
      <w:pPr>
        <w:spacing w:line="380" w:lineRule="exact"/>
        <w:ind w:left="945" w:right="42" w:rightChars="20" w:hanging="945" w:hangingChars="450"/>
        <w:rPr>
          <w:rFonts w:hint="eastAsia" w:ascii="宋体" w:hAnsi="宋体"/>
          <w:szCs w:val="21"/>
        </w:rPr>
      </w:pPr>
      <w:r>
        <w:rPr>
          <w:rFonts w:hint="eastAsia" w:ascii="宋体" w:hAnsi="宋体"/>
          <w:szCs w:val="21"/>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spacing w:line="380" w:lineRule="exact"/>
        <w:ind w:left="945" w:right="42" w:rightChars="20" w:hanging="945" w:hangingChars="450"/>
        <w:rPr>
          <w:rFonts w:hint="eastAsia" w:ascii="宋体" w:hAnsi="宋体"/>
          <w:szCs w:val="21"/>
        </w:rPr>
      </w:pPr>
      <w:r>
        <w:rPr>
          <w:rFonts w:hint="eastAsia" w:ascii="宋体" w:hAnsi="宋体"/>
          <w:szCs w:val="21"/>
        </w:rPr>
        <w:t>6.7.7    承包人应在现场设立固定的垃圾临时存放点并在各楼层或区域设立必要的垃圾箱；所有垃圾必须在当天清除出现场，并按有关行政管理部门的规定，运送到指定的垃圾消纳场。</w:t>
      </w:r>
    </w:p>
    <w:p>
      <w:pPr>
        <w:spacing w:line="380" w:lineRule="exact"/>
        <w:ind w:left="945" w:right="42" w:rightChars="20" w:hanging="945" w:hangingChars="450"/>
        <w:rPr>
          <w:rFonts w:hint="eastAsia" w:ascii="宋体" w:hAnsi="宋体"/>
          <w:szCs w:val="21"/>
        </w:rPr>
      </w:pPr>
      <w:r>
        <w:rPr>
          <w:rFonts w:hint="eastAsia" w:ascii="宋体" w:hAnsi="宋体"/>
          <w:szCs w:val="21"/>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w:t>
      </w:r>
      <w:r>
        <w:rPr>
          <w:rFonts w:hint="eastAsia" w:ascii="宋体" w:hAnsi="宋体"/>
          <w:szCs w:val="21"/>
          <w:lang w:eastAsia="zh-CN"/>
        </w:rPr>
        <w:t>筑</w:t>
      </w:r>
      <w:r>
        <w:rPr>
          <w:rFonts w:hint="eastAsia" w:ascii="宋体" w:hAnsi="宋体"/>
          <w:szCs w:val="21"/>
        </w:rPr>
        <w:t>、材料运输、材料装卸、现场清理等工作中应采取一切必要的措施防止影响公共交通。</w:t>
      </w:r>
    </w:p>
    <w:p>
      <w:pPr>
        <w:spacing w:line="380" w:lineRule="exact"/>
        <w:ind w:left="945" w:right="42" w:rightChars="20" w:hanging="945" w:hangingChars="450"/>
        <w:rPr>
          <w:rFonts w:hint="eastAsia" w:ascii="宋体" w:hAnsi="宋体"/>
          <w:szCs w:val="21"/>
        </w:rPr>
      </w:pPr>
      <w:r>
        <w:rPr>
          <w:rFonts w:hint="eastAsia" w:ascii="宋体" w:hAnsi="宋体"/>
          <w:szCs w:val="21"/>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spacing w:line="378" w:lineRule="exact"/>
        <w:ind w:left="945" w:right="42" w:rightChars="20" w:hanging="945" w:hangingChars="450"/>
        <w:rPr>
          <w:rFonts w:hint="eastAsia" w:ascii="宋体" w:hAnsi="宋体"/>
          <w:szCs w:val="21"/>
        </w:rPr>
      </w:pPr>
      <w:r>
        <w:rPr>
          <w:rFonts w:hint="eastAsia" w:ascii="宋体" w:hAnsi="宋体"/>
          <w:szCs w:val="21"/>
        </w:rPr>
        <w:t>6.7.10   文明施工方面的其他要求如下：</w:t>
      </w:r>
    </w:p>
    <w:p>
      <w:pPr>
        <w:spacing w:line="378" w:lineRule="exact"/>
        <w:ind w:left="945" w:right="42" w:rightChars="20"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378" w:lineRule="exact"/>
        <w:ind w:left="949" w:right="42" w:rightChars="20" w:hanging="949" w:hangingChars="450"/>
        <w:rPr>
          <w:rFonts w:hint="eastAsia" w:ascii="宋体" w:hAnsi="宋体"/>
          <w:b/>
          <w:szCs w:val="21"/>
        </w:rPr>
      </w:pPr>
      <w:r>
        <w:rPr>
          <w:rFonts w:hint="eastAsia" w:ascii="宋体" w:hAnsi="宋体"/>
          <w:b/>
          <w:szCs w:val="21"/>
        </w:rPr>
        <w:t>6.8      环境保护</w:t>
      </w:r>
    </w:p>
    <w:p>
      <w:pPr>
        <w:spacing w:line="378" w:lineRule="exact"/>
        <w:ind w:left="945" w:right="42" w:rightChars="20" w:hanging="945" w:hangingChars="450"/>
        <w:rPr>
          <w:rFonts w:hint="eastAsia" w:ascii="宋体" w:hAnsi="宋体"/>
          <w:szCs w:val="21"/>
        </w:rPr>
      </w:pPr>
      <w:r>
        <w:rPr>
          <w:rFonts w:hint="eastAsia" w:ascii="宋体" w:hAnsi="宋体"/>
          <w:szCs w:val="21"/>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pPr>
        <w:spacing w:line="378" w:lineRule="exact"/>
        <w:ind w:left="945" w:right="42" w:rightChars="20" w:hanging="945" w:hangingChars="450"/>
        <w:rPr>
          <w:rFonts w:hint="eastAsia" w:ascii="宋体" w:hAnsi="宋体"/>
          <w:szCs w:val="21"/>
        </w:rPr>
      </w:pPr>
      <w:r>
        <w:rPr>
          <w:rFonts w:hint="eastAsia" w:ascii="宋体" w:hAnsi="宋体"/>
          <w:szCs w:val="21"/>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spacing w:line="378" w:lineRule="exact"/>
        <w:ind w:left="945" w:right="42" w:rightChars="20" w:hanging="945" w:hangingChars="450"/>
        <w:rPr>
          <w:rFonts w:hint="eastAsia" w:ascii="宋体" w:hAnsi="宋体"/>
          <w:szCs w:val="21"/>
        </w:rPr>
      </w:pPr>
      <w:r>
        <w:rPr>
          <w:rFonts w:hint="eastAsia" w:ascii="宋体" w:hAnsi="宋体"/>
          <w:szCs w:val="21"/>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spacing w:line="378" w:lineRule="exact"/>
        <w:ind w:left="945" w:right="42" w:rightChars="20" w:hanging="945" w:hangingChars="450"/>
        <w:rPr>
          <w:rFonts w:hint="eastAsia" w:ascii="宋体" w:hAnsi="宋体"/>
          <w:szCs w:val="21"/>
        </w:rPr>
      </w:pPr>
      <w:r>
        <w:rPr>
          <w:rFonts w:hint="eastAsia" w:ascii="宋体" w:hAnsi="宋体"/>
          <w:szCs w:val="21"/>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pPr>
        <w:spacing w:line="378" w:lineRule="exact"/>
        <w:ind w:left="945" w:right="42" w:rightChars="20" w:hanging="945" w:hangingChars="450"/>
        <w:rPr>
          <w:rFonts w:hint="eastAsia" w:ascii="宋体" w:hAnsi="宋体"/>
          <w:szCs w:val="21"/>
        </w:rPr>
      </w:pPr>
      <w:r>
        <w:rPr>
          <w:rFonts w:hint="eastAsia" w:ascii="宋体" w:hAnsi="宋体"/>
          <w:szCs w:val="21"/>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spacing w:line="378" w:lineRule="exact"/>
        <w:ind w:left="945" w:right="42" w:rightChars="20" w:hanging="945" w:hangingChars="450"/>
        <w:rPr>
          <w:rFonts w:hint="eastAsia" w:ascii="宋体" w:hAnsi="宋体"/>
          <w:szCs w:val="21"/>
        </w:rPr>
      </w:pPr>
      <w:r>
        <w:rPr>
          <w:rFonts w:hint="eastAsia" w:ascii="宋体" w:hAnsi="宋体"/>
          <w:szCs w:val="21"/>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pPr>
        <w:spacing w:line="378" w:lineRule="exact"/>
        <w:ind w:left="945" w:right="42" w:rightChars="20" w:hanging="945" w:hangingChars="450"/>
        <w:rPr>
          <w:rFonts w:hint="eastAsia" w:ascii="宋体" w:hAnsi="宋体"/>
          <w:szCs w:val="21"/>
        </w:rPr>
      </w:pPr>
      <w:r>
        <w:rPr>
          <w:rFonts w:hint="eastAsia" w:ascii="宋体" w:hAnsi="宋体"/>
          <w:szCs w:val="21"/>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spacing w:line="396" w:lineRule="exact"/>
        <w:ind w:left="945" w:right="42" w:rightChars="20" w:hanging="945" w:hangingChars="450"/>
        <w:rPr>
          <w:rFonts w:hint="eastAsia" w:ascii="宋体" w:hAnsi="宋体"/>
          <w:szCs w:val="21"/>
        </w:rPr>
      </w:pPr>
      <w:r>
        <w:rPr>
          <w:rFonts w:hint="eastAsia" w:ascii="宋体" w:hAnsi="宋体"/>
          <w:szCs w:val="21"/>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pPr>
        <w:spacing w:line="396" w:lineRule="exact"/>
        <w:ind w:left="945" w:right="42" w:rightChars="20" w:hanging="945" w:hangingChars="450"/>
        <w:rPr>
          <w:rFonts w:hint="eastAsia" w:ascii="宋体" w:hAnsi="宋体"/>
          <w:szCs w:val="21"/>
        </w:rPr>
      </w:pPr>
      <w:r>
        <w:rPr>
          <w:rFonts w:hint="eastAsia" w:ascii="宋体" w:hAnsi="宋体"/>
          <w:szCs w:val="21"/>
        </w:rPr>
        <w:t>6.8.9    环境保护方面的其他要求如下：</w:t>
      </w:r>
    </w:p>
    <w:p>
      <w:pPr>
        <w:spacing w:line="440" w:lineRule="exact"/>
        <w:ind w:left="945" w:right="42" w:rightChars="20"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before="93" w:beforeLines="30" w:after="93" w:afterLines="30" w:line="396" w:lineRule="exact"/>
        <w:ind w:left="1080" w:right="42" w:rightChars="20" w:hanging="1080" w:hangingChars="450"/>
        <w:rPr>
          <w:rFonts w:hint="eastAsia" w:ascii="黑体" w:hAnsi="宋体" w:eastAsia="黑体"/>
          <w:sz w:val="24"/>
        </w:rPr>
      </w:pPr>
      <w:r>
        <w:rPr>
          <w:rFonts w:hint="eastAsia" w:ascii="黑体" w:hAnsi="宋体" w:eastAsia="黑体"/>
          <w:sz w:val="24"/>
        </w:rPr>
        <w:t>6.9     施工环保措施计划</w:t>
      </w:r>
    </w:p>
    <w:p>
      <w:pPr>
        <w:spacing w:line="396" w:lineRule="exact"/>
        <w:ind w:left="945" w:right="42" w:rightChars="20" w:hanging="945" w:hangingChars="450"/>
        <w:rPr>
          <w:rFonts w:hint="eastAsia" w:ascii="宋体" w:hAnsi="宋体"/>
          <w:szCs w:val="21"/>
        </w:rPr>
      </w:pPr>
      <w:r>
        <w:rPr>
          <w:rFonts w:hint="eastAsia" w:ascii="宋体" w:hAnsi="宋体"/>
          <w:szCs w:val="21"/>
        </w:rPr>
        <w:t>6.9.1    通用合同条款第9.4.2项约定的施工环保措施计划是承包人阐明环保方针和拟采用的环保措施及方法等的文件，其内容应包括但不限于：</w:t>
      </w:r>
    </w:p>
    <w:p>
      <w:pPr>
        <w:spacing w:line="396" w:lineRule="exact"/>
        <w:ind w:left="945" w:leftChars="450" w:right="42" w:rightChars="20"/>
        <w:rPr>
          <w:rFonts w:hint="eastAsia" w:ascii="宋体" w:hAnsi="宋体"/>
          <w:szCs w:val="21"/>
        </w:rPr>
      </w:pPr>
      <w:r>
        <w:rPr>
          <w:rFonts w:hint="eastAsia" w:ascii="宋体" w:hAnsi="宋体"/>
          <w:szCs w:val="21"/>
        </w:rPr>
        <w:t>（1）承包人生活区（如果有）的生活用水和生活污水处理措施；</w:t>
      </w:r>
    </w:p>
    <w:p>
      <w:pPr>
        <w:spacing w:line="396" w:lineRule="exact"/>
        <w:ind w:left="945" w:leftChars="450" w:right="42" w:rightChars="20"/>
        <w:rPr>
          <w:rFonts w:hint="eastAsia" w:ascii="宋体" w:hAnsi="宋体"/>
          <w:szCs w:val="21"/>
        </w:rPr>
      </w:pPr>
      <w:r>
        <w:rPr>
          <w:rFonts w:hint="eastAsia" w:ascii="宋体" w:hAnsi="宋体"/>
          <w:szCs w:val="21"/>
        </w:rPr>
        <w:t>（2）施工生产废水处理措施；</w:t>
      </w:r>
    </w:p>
    <w:p>
      <w:pPr>
        <w:spacing w:line="396" w:lineRule="exact"/>
        <w:ind w:left="945" w:leftChars="450" w:right="42" w:rightChars="20"/>
        <w:rPr>
          <w:rFonts w:hint="eastAsia" w:ascii="宋体" w:hAnsi="宋体"/>
          <w:szCs w:val="21"/>
        </w:rPr>
      </w:pPr>
      <w:r>
        <w:rPr>
          <w:rFonts w:hint="eastAsia" w:ascii="宋体" w:hAnsi="宋体"/>
          <w:szCs w:val="21"/>
        </w:rPr>
        <w:t>（3）施工扬尘和废气的处理措施；</w:t>
      </w:r>
    </w:p>
    <w:p>
      <w:pPr>
        <w:spacing w:line="396" w:lineRule="exact"/>
        <w:ind w:left="945" w:leftChars="450" w:right="42" w:rightChars="20"/>
        <w:rPr>
          <w:rFonts w:hint="eastAsia" w:ascii="宋体" w:hAnsi="宋体"/>
          <w:szCs w:val="21"/>
        </w:rPr>
      </w:pPr>
      <w:r>
        <w:rPr>
          <w:rFonts w:hint="eastAsia" w:ascii="宋体" w:hAnsi="宋体"/>
          <w:szCs w:val="21"/>
        </w:rPr>
        <w:t>（4）施工噪声和光污染控制措施；</w:t>
      </w:r>
    </w:p>
    <w:p>
      <w:pPr>
        <w:spacing w:line="396" w:lineRule="exact"/>
        <w:ind w:left="945" w:leftChars="450" w:right="42" w:rightChars="20"/>
        <w:rPr>
          <w:rFonts w:hint="eastAsia" w:ascii="宋体" w:hAnsi="宋体"/>
          <w:szCs w:val="21"/>
        </w:rPr>
      </w:pPr>
      <w:r>
        <w:rPr>
          <w:rFonts w:hint="eastAsia" w:ascii="宋体" w:hAnsi="宋体"/>
          <w:szCs w:val="21"/>
        </w:rPr>
        <w:t>（5）节能减排措施；</w:t>
      </w:r>
    </w:p>
    <w:p>
      <w:pPr>
        <w:spacing w:line="396" w:lineRule="exact"/>
        <w:ind w:left="945" w:leftChars="450" w:right="42" w:rightChars="20"/>
        <w:rPr>
          <w:rFonts w:hint="eastAsia" w:ascii="宋体" w:hAnsi="宋体"/>
          <w:szCs w:val="21"/>
        </w:rPr>
      </w:pPr>
      <w:r>
        <w:rPr>
          <w:rFonts w:hint="eastAsia" w:ascii="宋体" w:hAnsi="宋体"/>
          <w:szCs w:val="21"/>
        </w:rPr>
        <w:t>（6）不可再生资源循环利用措施；</w:t>
      </w:r>
    </w:p>
    <w:p>
      <w:pPr>
        <w:spacing w:line="396" w:lineRule="exact"/>
        <w:ind w:left="945" w:leftChars="450" w:right="42" w:rightChars="20"/>
        <w:rPr>
          <w:rFonts w:hint="eastAsia" w:ascii="宋体" w:hAnsi="宋体"/>
          <w:szCs w:val="21"/>
        </w:rPr>
      </w:pPr>
      <w:r>
        <w:rPr>
          <w:rFonts w:hint="eastAsia" w:ascii="宋体" w:hAnsi="宋体"/>
          <w:szCs w:val="21"/>
        </w:rPr>
        <w:t>（7）固体废弃物处理措施；</w:t>
      </w:r>
    </w:p>
    <w:p>
      <w:pPr>
        <w:spacing w:line="396" w:lineRule="exact"/>
        <w:ind w:left="945" w:leftChars="450" w:right="42" w:rightChars="20"/>
        <w:rPr>
          <w:rFonts w:hint="eastAsia" w:ascii="宋体" w:hAnsi="宋体"/>
          <w:szCs w:val="21"/>
        </w:rPr>
      </w:pPr>
      <w:r>
        <w:rPr>
          <w:rFonts w:hint="eastAsia" w:ascii="宋体" w:hAnsi="宋体"/>
          <w:szCs w:val="21"/>
        </w:rPr>
        <w:t>（8）人群健康保护和卫生防疫措施；</w:t>
      </w:r>
    </w:p>
    <w:p>
      <w:pPr>
        <w:spacing w:line="396" w:lineRule="exact"/>
        <w:ind w:left="945" w:leftChars="450" w:right="42" w:rightChars="20"/>
        <w:rPr>
          <w:rFonts w:hint="eastAsia" w:ascii="宋体" w:hAnsi="宋体"/>
          <w:szCs w:val="21"/>
        </w:rPr>
      </w:pPr>
      <w:r>
        <w:rPr>
          <w:rFonts w:hint="eastAsia" w:ascii="宋体" w:hAnsi="宋体"/>
          <w:szCs w:val="21"/>
        </w:rPr>
        <w:t>（9）防止误用有害材料的保证措施；</w:t>
      </w:r>
    </w:p>
    <w:p>
      <w:pPr>
        <w:spacing w:line="396" w:lineRule="exact"/>
        <w:ind w:left="945" w:leftChars="450" w:right="42" w:rightChars="20"/>
        <w:rPr>
          <w:rFonts w:hint="eastAsia" w:ascii="宋体" w:hAnsi="宋体"/>
          <w:szCs w:val="21"/>
        </w:rPr>
      </w:pPr>
      <w:r>
        <w:rPr>
          <w:rFonts w:hint="eastAsia" w:ascii="宋体" w:hAnsi="宋体"/>
          <w:szCs w:val="21"/>
        </w:rPr>
        <w:t>（10）施工边坡工程的水土流失保护措施；</w:t>
      </w:r>
    </w:p>
    <w:p>
      <w:pPr>
        <w:spacing w:line="396" w:lineRule="exact"/>
        <w:ind w:left="945" w:leftChars="450" w:right="42" w:rightChars="20"/>
        <w:rPr>
          <w:rFonts w:hint="eastAsia" w:ascii="宋体" w:hAnsi="宋体"/>
          <w:szCs w:val="21"/>
        </w:rPr>
      </w:pPr>
      <w:r>
        <w:rPr>
          <w:rFonts w:hint="eastAsia" w:ascii="宋体" w:hAnsi="宋体"/>
          <w:szCs w:val="21"/>
        </w:rPr>
        <w:t>（11）道路污染防治措施；</w:t>
      </w:r>
    </w:p>
    <w:p>
      <w:pPr>
        <w:spacing w:line="396" w:lineRule="exact"/>
        <w:ind w:left="945" w:leftChars="450" w:right="42" w:rightChars="20"/>
        <w:rPr>
          <w:rFonts w:hint="eastAsia" w:ascii="宋体" w:hAnsi="宋体"/>
          <w:szCs w:val="21"/>
        </w:rPr>
      </w:pPr>
      <w:r>
        <w:rPr>
          <w:rFonts w:hint="eastAsia" w:ascii="宋体" w:hAnsi="宋体"/>
          <w:szCs w:val="21"/>
        </w:rPr>
        <w:t>（12）完工后场地清理及其植被（如果有）恢复的规划和措施；</w:t>
      </w:r>
    </w:p>
    <w:p>
      <w:pPr>
        <w:spacing w:line="396" w:lineRule="exact"/>
        <w:ind w:left="945" w:leftChars="450" w:right="42" w:rightChars="20"/>
        <w:rPr>
          <w:rFonts w:hint="eastAsia" w:ascii="宋体" w:hAnsi="宋体"/>
          <w:szCs w:val="21"/>
        </w:rPr>
      </w:pPr>
      <w:r>
        <w:rPr>
          <w:rFonts w:hint="eastAsia" w:ascii="宋体" w:hAnsi="宋体"/>
          <w:szCs w:val="21"/>
        </w:rPr>
        <w:t>（13）其他：</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hint="eastAsia" w:ascii="宋体" w:hAnsi="宋体"/>
          <w:szCs w:val="21"/>
        </w:rPr>
        <w:t>。</w:t>
      </w:r>
    </w:p>
    <w:p>
      <w:pPr>
        <w:spacing w:line="396" w:lineRule="exact"/>
        <w:ind w:left="945" w:right="42" w:rightChars="20" w:hanging="945" w:hangingChars="450"/>
        <w:rPr>
          <w:rFonts w:hint="eastAsia" w:ascii="宋体" w:hAnsi="宋体"/>
          <w:szCs w:val="21"/>
        </w:rPr>
      </w:pPr>
      <w:r>
        <w:rPr>
          <w:rFonts w:hint="eastAsia" w:ascii="宋体" w:hAnsi="宋体"/>
          <w:szCs w:val="21"/>
        </w:rPr>
        <w:t>6.9.2    施工环保措施计划应当在专用合同条款第9.4款约定的期限内报送监理人。承包人应当严格执行经监理人批准的施工环保措施计划，并及时补充、修订和完善施工环保措施计划。</w:t>
      </w:r>
    </w:p>
    <w:p>
      <w:pPr>
        <w:pStyle w:val="31"/>
        <w:rPr>
          <w:sz w:val="28"/>
          <w:szCs w:val="28"/>
        </w:rPr>
      </w:pPr>
      <w:bookmarkStart w:id="1368" w:name="_Toc152264772"/>
      <w:bookmarkStart w:id="1369" w:name="_Toc2906"/>
      <w:bookmarkStart w:id="1370" w:name="_Toc21590"/>
      <w:r>
        <w:rPr>
          <w:rFonts w:hint="eastAsia"/>
          <w:sz w:val="28"/>
          <w:szCs w:val="28"/>
        </w:rPr>
        <w:t>7.治安保卫</w:t>
      </w:r>
      <w:bookmarkEnd w:id="1368"/>
      <w:bookmarkEnd w:id="1369"/>
      <w:bookmarkEnd w:id="1370"/>
    </w:p>
    <w:p>
      <w:pPr>
        <w:spacing w:line="390" w:lineRule="exact"/>
        <w:ind w:left="945" w:hanging="945" w:hangingChars="450"/>
        <w:rPr>
          <w:rFonts w:hint="eastAsia" w:ascii="宋体" w:hAnsi="宋体"/>
          <w:szCs w:val="21"/>
        </w:rPr>
      </w:pPr>
      <w:r>
        <w:rPr>
          <w:rFonts w:hint="eastAsia" w:ascii="宋体" w:hAnsi="宋体"/>
          <w:szCs w:val="21"/>
        </w:rPr>
        <w:t xml:space="preserve">7.1      </w:t>
      </w:r>
      <w:r>
        <w:rPr>
          <w:rFonts w:hint="eastAsia" w:ascii="宋体" w:hAnsi="宋体"/>
          <w:spacing w:val="6"/>
          <w:szCs w:val="21"/>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pPr>
        <w:spacing w:line="390" w:lineRule="exact"/>
        <w:ind w:left="945" w:hanging="945" w:hangingChars="450"/>
        <w:rPr>
          <w:rFonts w:hint="eastAsia" w:ascii="宋体" w:hAnsi="宋体"/>
          <w:szCs w:val="21"/>
        </w:rPr>
      </w:pPr>
      <w:r>
        <w:rPr>
          <w:rFonts w:hint="eastAsia" w:ascii="宋体" w:hAnsi="宋体"/>
          <w:szCs w:val="21"/>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pPr>
        <w:spacing w:line="390" w:lineRule="exact"/>
        <w:ind w:left="945" w:hanging="945" w:hangingChars="450"/>
        <w:rPr>
          <w:rFonts w:hint="eastAsia" w:ascii="宋体" w:hAnsi="宋体"/>
          <w:szCs w:val="21"/>
        </w:rPr>
      </w:pPr>
      <w:r>
        <w:rPr>
          <w:rFonts w:hint="eastAsia" w:ascii="宋体" w:hAnsi="宋体"/>
          <w:szCs w:val="21"/>
        </w:rPr>
        <w:t>7.3      承包人应制定并实施严格的施工场地（现场）出入制度并报监理人审批；车辆的出入须有出入审批制度，并有指定的专人负责管理；人员进出现场应有出入证，出入证须以经过监理人批准的格式印制。</w:t>
      </w:r>
    </w:p>
    <w:p>
      <w:pPr>
        <w:spacing w:line="390" w:lineRule="exact"/>
        <w:ind w:left="945" w:hanging="945" w:hangingChars="450"/>
        <w:rPr>
          <w:rFonts w:hint="eastAsia" w:ascii="宋体" w:hAnsi="宋体"/>
          <w:szCs w:val="21"/>
        </w:rPr>
      </w:pPr>
      <w:r>
        <w:rPr>
          <w:rFonts w:hint="eastAsia" w:ascii="宋体" w:hAnsi="宋体"/>
          <w:szCs w:val="21"/>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pPr>
        <w:spacing w:line="390" w:lineRule="exact"/>
        <w:ind w:left="945" w:hanging="945" w:hangingChars="450"/>
        <w:rPr>
          <w:rFonts w:hint="eastAsia" w:ascii="宋体" w:hAnsi="宋体"/>
          <w:szCs w:val="21"/>
        </w:rPr>
      </w:pPr>
      <w:r>
        <w:rPr>
          <w:rFonts w:hint="eastAsia" w:ascii="宋体" w:hAnsi="宋体"/>
          <w:szCs w:val="21"/>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spacing w:line="390" w:lineRule="exact"/>
        <w:ind w:left="945" w:hanging="945" w:hangingChars="450"/>
        <w:rPr>
          <w:rFonts w:hint="eastAsia" w:ascii="宋体" w:hAnsi="宋体"/>
          <w:szCs w:val="21"/>
        </w:rPr>
      </w:pPr>
      <w:r>
        <w:rPr>
          <w:rFonts w:hint="eastAsia" w:ascii="宋体" w:hAnsi="宋体"/>
          <w:szCs w:val="21"/>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pPr>
        <w:spacing w:line="390" w:lineRule="exact"/>
        <w:ind w:left="945" w:hanging="945" w:hangingChars="450"/>
        <w:rPr>
          <w:rFonts w:hint="eastAsia" w:ascii="宋体" w:hAnsi="宋体"/>
          <w:szCs w:val="21"/>
        </w:rPr>
      </w:pPr>
      <w:r>
        <w:rPr>
          <w:rFonts w:hint="eastAsia" w:ascii="宋体" w:hAnsi="宋体"/>
          <w:szCs w:val="21"/>
        </w:rPr>
        <w:t>7.7      施工场地（现场）治安管理计划的要求：</w:t>
      </w:r>
    </w:p>
    <w:p>
      <w:pPr>
        <w:spacing w:line="39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390" w:lineRule="exact"/>
        <w:ind w:left="945" w:hanging="945" w:hangingChars="450"/>
        <w:rPr>
          <w:rFonts w:hint="eastAsia" w:ascii="宋体" w:hAnsi="宋体"/>
          <w:szCs w:val="21"/>
        </w:rPr>
      </w:pPr>
      <w:r>
        <w:rPr>
          <w:rFonts w:hint="eastAsia" w:ascii="宋体" w:hAnsi="宋体"/>
          <w:szCs w:val="21"/>
        </w:rPr>
        <w:t>7.8      突发治安事件紧急预案的要求：</w:t>
      </w:r>
    </w:p>
    <w:p>
      <w:pPr>
        <w:spacing w:line="39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390" w:lineRule="exact"/>
        <w:ind w:left="945" w:hanging="945" w:hangingChars="450"/>
        <w:rPr>
          <w:rFonts w:hint="eastAsia" w:ascii="宋体" w:hAnsi="宋体"/>
          <w:szCs w:val="21"/>
        </w:rPr>
      </w:pPr>
      <w:r>
        <w:rPr>
          <w:rFonts w:hint="eastAsia" w:ascii="宋体" w:hAnsi="宋体"/>
          <w:szCs w:val="21"/>
        </w:rPr>
        <w:t>7.9      治安保卫方面的其他要求如下：</w:t>
      </w:r>
    </w:p>
    <w:p>
      <w:pPr>
        <w:spacing w:line="39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pStyle w:val="31"/>
        <w:rPr>
          <w:sz w:val="28"/>
          <w:szCs w:val="28"/>
        </w:rPr>
      </w:pPr>
      <w:bookmarkStart w:id="1371" w:name="_Toc16377"/>
      <w:bookmarkStart w:id="1372" w:name="_Toc1520"/>
      <w:bookmarkStart w:id="1373" w:name="_Toc152264773"/>
      <w:r>
        <w:rPr>
          <w:rFonts w:hint="eastAsia"/>
          <w:sz w:val="28"/>
          <w:szCs w:val="28"/>
        </w:rPr>
        <w:t>8.地上、地下设施和周边建筑物的临时保护</w:t>
      </w:r>
      <w:bookmarkEnd w:id="1371"/>
      <w:bookmarkEnd w:id="1372"/>
      <w:bookmarkEnd w:id="1373"/>
    </w:p>
    <w:p>
      <w:pPr>
        <w:spacing w:line="390" w:lineRule="exact"/>
        <w:ind w:left="945" w:hanging="945" w:hangingChars="450"/>
        <w:rPr>
          <w:rFonts w:hint="eastAsia" w:ascii="宋体" w:hAnsi="宋体"/>
          <w:szCs w:val="21"/>
        </w:rPr>
      </w:pPr>
      <w:r>
        <w:rPr>
          <w:rFonts w:hint="eastAsia" w:ascii="宋体" w:hAnsi="宋体"/>
          <w:szCs w:val="21"/>
        </w:rPr>
        <w:t>8.1      承包人应为施工场地及其周边现有的地上、地下设施和建筑物提供足够的临时保护设施，确保施工过程中这些设施和建筑物不会受到干扰和破坏。</w:t>
      </w:r>
    </w:p>
    <w:p>
      <w:pPr>
        <w:spacing w:line="400" w:lineRule="exact"/>
        <w:ind w:left="945" w:hanging="945" w:hangingChars="450"/>
        <w:rPr>
          <w:rFonts w:hint="eastAsia" w:ascii="宋体" w:hAnsi="宋体"/>
          <w:szCs w:val="21"/>
        </w:rPr>
      </w:pPr>
      <w:r>
        <w:rPr>
          <w:rFonts w:hint="eastAsia" w:ascii="宋体" w:hAnsi="宋体"/>
          <w:szCs w:val="21"/>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spacing w:line="390" w:lineRule="exact"/>
        <w:ind w:left="945" w:hanging="945" w:hangingChars="450"/>
        <w:rPr>
          <w:rFonts w:hint="eastAsia" w:ascii="宋体" w:hAnsi="宋体"/>
          <w:szCs w:val="21"/>
        </w:rPr>
      </w:pPr>
      <w:r>
        <w:rPr>
          <w:rFonts w:hint="eastAsia" w:ascii="宋体" w:hAnsi="宋体"/>
          <w:szCs w:val="21"/>
        </w:rPr>
        <w:t>8.3      发包人特别提醒承包人注意以下地上、地下设施和周边建筑物的保护：</w:t>
      </w:r>
    </w:p>
    <w:p>
      <w:pPr>
        <w:spacing w:line="39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390" w:lineRule="exact"/>
        <w:ind w:left="945" w:hanging="945" w:hangingChars="450"/>
        <w:rPr>
          <w:rFonts w:hint="eastAsia" w:ascii="宋体" w:hAnsi="宋体"/>
          <w:szCs w:val="21"/>
        </w:rPr>
      </w:pPr>
      <w:r>
        <w:rPr>
          <w:rFonts w:hint="eastAsia" w:ascii="宋体" w:hAnsi="宋体"/>
          <w:szCs w:val="21"/>
        </w:rPr>
        <w:t>8.4     地上、地下设施和周边建筑物的临时保护的其他要求如下</w:t>
      </w:r>
    </w:p>
    <w:p>
      <w:pPr>
        <w:spacing w:line="39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pStyle w:val="31"/>
        <w:rPr>
          <w:sz w:val="28"/>
          <w:szCs w:val="28"/>
        </w:rPr>
      </w:pPr>
      <w:bookmarkStart w:id="1374" w:name="_Toc152264774"/>
      <w:bookmarkStart w:id="1375" w:name="_Toc29379"/>
      <w:bookmarkStart w:id="1376" w:name="_Toc751"/>
      <w:r>
        <w:rPr>
          <w:rFonts w:hint="eastAsia"/>
          <w:sz w:val="28"/>
          <w:szCs w:val="28"/>
        </w:rPr>
        <w:t>9.样品和材料代换</w:t>
      </w:r>
      <w:bookmarkEnd w:id="1374"/>
      <w:bookmarkEnd w:id="1375"/>
      <w:bookmarkEnd w:id="1376"/>
    </w:p>
    <w:p>
      <w:pPr>
        <w:spacing w:line="400" w:lineRule="exact"/>
        <w:ind w:left="945" w:hanging="945" w:hangingChars="450"/>
        <w:rPr>
          <w:rFonts w:hint="eastAsia" w:ascii="宋体" w:hAnsi="宋体"/>
          <w:szCs w:val="21"/>
        </w:rPr>
      </w:pPr>
      <w:r>
        <w:rPr>
          <w:rFonts w:hint="eastAsia" w:ascii="宋体" w:hAnsi="宋体"/>
          <w:szCs w:val="21"/>
        </w:rPr>
        <w:t>9.1      样品</w:t>
      </w:r>
    </w:p>
    <w:p>
      <w:pPr>
        <w:spacing w:line="400" w:lineRule="exact"/>
        <w:ind w:left="945" w:hanging="945" w:hangingChars="450"/>
        <w:rPr>
          <w:rFonts w:hint="eastAsia" w:ascii="宋体" w:hAnsi="宋体"/>
          <w:szCs w:val="21"/>
        </w:rPr>
      </w:pPr>
      <w:r>
        <w:rPr>
          <w:rFonts w:hint="eastAsia" w:ascii="宋体" w:hAnsi="宋体"/>
          <w:szCs w:val="21"/>
        </w:rPr>
        <w:t>9.1.1    本工程需要承包人提供样品的材料和工程设备如下：</w:t>
      </w:r>
    </w:p>
    <w:p>
      <w:pPr>
        <w:spacing w:line="5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cs="Arial"/>
          <w:bCs/>
          <w:szCs w:val="21"/>
          <w:u w:val="single"/>
        </w:rPr>
        <w:t>无。</w:t>
      </w:r>
    </w:p>
    <w:p>
      <w:pPr>
        <w:spacing w:line="390" w:lineRule="exact"/>
        <w:ind w:left="945" w:hanging="945" w:hangingChars="450"/>
        <w:rPr>
          <w:rFonts w:hint="eastAsia" w:ascii="宋体" w:hAnsi="宋体"/>
          <w:szCs w:val="21"/>
        </w:rPr>
      </w:pPr>
      <w:r>
        <w:rPr>
          <w:rFonts w:hint="eastAsia" w:ascii="宋体" w:hAnsi="宋体"/>
          <w:szCs w:val="21"/>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spacing w:line="390" w:lineRule="exact"/>
        <w:ind w:left="945" w:hanging="945" w:hangingChars="450"/>
        <w:rPr>
          <w:rFonts w:hint="eastAsia" w:ascii="宋体" w:hAnsi="宋体"/>
          <w:szCs w:val="21"/>
        </w:rPr>
      </w:pPr>
      <w:r>
        <w:rPr>
          <w:rFonts w:hint="eastAsia" w:ascii="宋体" w:hAnsi="宋体"/>
          <w:szCs w:val="21"/>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spacing w:line="390" w:lineRule="exact"/>
        <w:ind w:left="945" w:hanging="945" w:hangingChars="450"/>
        <w:rPr>
          <w:rFonts w:hint="eastAsia" w:ascii="宋体" w:hAnsi="宋体"/>
          <w:szCs w:val="21"/>
        </w:rPr>
      </w:pPr>
      <w:r>
        <w:rPr>
          <w:rFonts w:hint="eastAsia" w:ascii="宋体" w:hAnsi="宋体"/>
          <w:szCs w:val="21"/>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spacing w:line="406" w:lineRule="exact"/>
        <w:ind w:left="945" w:hanging="945" w:hangingChars="450"/>
        <w:rPr>
          <w:rFonts w:hint="eastAsia" w:ascii="宋体" w:hAnsi="宋体"/>
          <w:szCs w:val="21"/>
        </w:rPr>
      </w:pPr>
      <w:r>
        <w:rPr>
          <w:rFonts w:hint="eastAsia" w:ascii="宋体" w:hAnsi="宋体"/>
          <w:szCs w:val="21"/>
        </w:rPr>
        <w:t>9.1.5    得到批准后的样品由监理人负责存放。但承包人应为保存样品提供适当和固定的场所并保持适当和良好的环境条件。</w:t>
      </w:r>
    </w:p>
    <w:p>
      <w:pPr>
        <w:spacing w:line="406" w:lineRule="exact"/>
        <w:ind w:left="945" w:hanging="945" w:hangingChars="450"/>
        <w:rPr>
          <w:rFonts w:hint="eastAsia" w:ascii="宋体" w:hAnsi="宋体"/>
          <w:szCs w:val="21"/>
        </w:rPr>
      </w:pPr>
      <w:r>
        <w:rPr>
          <w:rFonts w:hint="eastAsia" w:ascii="宋体" w:hAnsi="宋体"/>
          <w:szCs w:val="21"/>
        </w:rPr>
        <w:t>9.1.6    提供样品和提供存放样品场所的费用由承包人承担。</w:t>
      </w:r>
    </w:p>
    <w:p>
      <w:pPr>
        <w:spacing w:before="156" w:beforeLines="50" w:after="156" w:afterLines="50" w:line="406" w:lineRule="exact"/>
        <w:ind w:left="1080" w:hanging="1080" w:hangingChars="450"/>
        <w:rPr>
          <w:rFonts w:hint="eastAsia" w:ascii="黑体" w:hAnsi="宋体" w:eastAsia="黑体"/>
          <w:sz w:val="24"/>
        </w:rPr>
      </w:pPr>
      <w:r>
        <w:rPr>
          <w:rFonts w:hint="eastAsia" w:ascii="黑体" w:hAnsi="宋体" w:eastAsia="黑体"/>
          <w:sz w:val="24"/>
        </w:rPr>
        <w:t>9.2     材料代换</w:t>
      </w:r>
    </w:p>
    <w:p>
      <w:pPr>
        <w:spacing w:line="406" w:lineRule="exact"/>
        <w:ind w:left="945" w:hanging="945" w:hangingChars="450"/>
        <w:rPr>
          <w:rFonts w:hint="eastAsia" w:ascii="宋体" w:hAnsi="宋体"/>
          <w:szCs w:val="21"/>
        </w:rPr>
      </w:pPr>
      <w:r>
        <w:rPr>
          <w:rFonts w:hint="eastAsia" w:ascii="宋体" w:hAnsi="宋体"/>
          <w:szCs w:val="21"/>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spacing w:line="406" w:lineRule="exact"/>
        <w:ind w:left="945" w:hanging="945" w:hangingChars="450"/>
        <w:rPr>
          <w:rFonts w:hint="eastAsia" w:ascii="宋体" w:hAnsi="宋体"/>
          <w:szCs w:val="21"/>
        </w:rPr>
      </w:pPr>
      <w:r>
        <w:rPr>
          <w:rFonts w:hint="eastAsia" w:ascii="宋体" w:hAnsi="宋体"/>
          <w:szCs w:val="21"/>
        </w:rPr>
        <w:t>9.2.2    如果使用替代品，承包人应至少在被替代品按批准的进度计划用于永久工程前56天以书面形式通知监理人并随此通知提交下列文件：</w:t>
      </w:r>
    </w:p>
    <w:p>
      <w:pPr>
        <w:spacing w:line="406" w:lineRule="exact"/>
        <w:ind w:left="1155" w:leftChars="400" w:hanging="315" w:hangingChars="150"/>
        <w:rPr>
          <w:rFonts w:hint="eastAsia" w:ascii="宋体" w:hAnsi="宋体"/>
          <w:szCs w:val="21"/>
        </w:rPr>
      </w:pPr>
      <w:r>
        <w:rPr>
          <w:rFonts w:hint="eastAsia" w:ascii="宋体" w:hAnsi="宋体"/>
          <w:szCs w:val="21"/>
        </w:rPr>
        <w:t>（1）拟被替代的合同约定的材料和工程设备的名称、数量、规格、型号、品牌、性能、价格及其他任何详细资料；</w:t>
      </w:r>
    </w:p>
    <w:p>
      <w:pPr>
        <w:spacing w:line="406" w:lineRule="exact"/>
        <w:ind w:left="1155" w:leftChars="400" w:hanging="315" w:hangingChars="150"/>
        <w:rPr>
          <w:rFonts w:hint="eastAsia" w:ascii="宋体" w:hAnsi="宋体"/>
          <w:szCs w:val="21"/>
        </w:rPr>
      </w:pPr>
      <w:r>
        <w:rPr>
          <w:rFonts w:hint="eastAsia" w:ascii="宋体" w:hAnsi="宋体"/>
          <w:szCs w:val="21"/>
        </w:rPr>
        <w:t>（2）拟采用的替代品的名称、数量、规格、型号、品牌、性能、价格及其他任何必要的详细资料；</w:t>
      </w:r>
    </w:p>
    <w:p>
      <w:pPr>
        <w:spacing w:line="406" w:lineRule="exact"/>
        <w:ind w:left="1155" w:leftChars="400" w:hanging="315" w:hangingChars="150"/>
        <w:rPr>
          <w:rFonts w:hint="eastAsia" w:ascii="宋体" w:hAnsi="宋体"/>
          <w:szCs w:val="21"/>
        </w:rPr>
      </w:pPr>
      <w:r>
        <w:rPr>
          <w:rFonts w:hint="eastAsia" w:ascii="宋体" w:hAnsi="宋体"/>
          <w:szCs w:val="21"/>
        </w:rPr>
        <w:t>（3）替代品使用的工程部位；</w:t>
      </w:r>
    </w:p>
    <w:p>
      <w:pPr>
        <w:spacing w:line="406" w:lineRule="exact"/>
        <w:ind w:left="1155" w:leftChars="400" w:hanging="315" w:hangingChars="150"/>
        <w:rPr>
          <w:rFonts w:hint="eastAsia" w:ascii="宋体" w:hAnsi="宋体"/>
          <w:szCs w:val="21"/>
        </w:rPr>
      </w:pPr>
      <w:r>
        <w:rPr>
          <w:rFonts w:hint="eastAsia" w:ascii="宋体" w:hAnsi="宋体"/>
          <w:szCs w:val="21"/>
        </w:rPr>
        <w:t>（4）采用替代品的理由和原因说明；</w:t>
      </w:r>
    </w:p>
    <w:p>
      <w:pPr>
        <w:spacing w:line="406" w:lineRule="exact"/>
        <w:ind w:left="1155" w:leftChars="400" w:hanging="315" w:hangingChars="150"/>
        <w:rPr>
          <w:rFonts w:hint="eastAsia" w:ascii="宋体" w:hAnsi="宋体"/>
          <w:szCs w:val="21"/>
        </w:rPr>
      </w:pPr>
      <w:r>
        <w:rPr>
          <w:rFonts w:hint="eastAsia" w:ascii="宋体" w:hAnsi="宋体"/>
          <w:szCs w:val="21"/>
        </w:rPr>
        <w:t>（5）替代品与合同中约定的产品之间的差异以及使用替代品后可能对工程产生的任何影响；</w:t>
      </w:r>
    </w:p>
    <w:p>
      <w:pPr>
        <w:spacing w:line="406" w:lineRule="exact"/>
        <w:ind w:left="1155" w:leftChars="400" w:hanging="315" w:hangingChars="150"/>
        <w:rPr>
          <w:rFonts w:hint="eastAsia" w:ascii="宋体" w:hAnsi="宋体"/>
          <w:szCs w:val="21"/>
        </w:rPr>
      </w:pPr>
      <w:r>
        <w:rPr>
          <w:rFonts w:hint="eastAsia" w:ascii="宋体" w:hAnsi="宋体"/>
          <w:szCs w:val="21"/>
        </w:rPr>
        <w:t>（6）价格上的差异；</w:t>
      </w:r>
    </w:p>
    <w:p>
      <w:pPr>
        <w:spacing w:line="406" w:lineRule="exact"/>
        <w:ind w:left="1155" w:leftChars="400" w:hanging="315" w:hangingChars="150"/>
        <w:rPr>
          <w:rFonts w:hint="eastAsia" w:ascii="宋体" w:hAnsi="宋体"/>
          <w:szCs w:val="21"/>
        </w:rPr>
      </w:pPr>
      <w:r>
        <w:rPr>
          <w:rFonts w:hint="eastAsia" w:ascii="宋体" w:hAnsi="宋体"/>
          <w:szCs w:val="21"/>
        </w:rPr>
        <w:t>（7）监理人为做出适当的决定而随时要求承包人提供的任何其他文件。</w:t>
      </w:r>
    </w:p>
    <w:p>
      <w:pPr>
        <w:spacing w:line="406" w:lineRule="exact"/>
        <w:ind w:left="798" w:leftChars="380" w:firstLine="462" w:firstLineChars="220"/>
        <w:rPr>
          <w:rFonts w:hint="eastAsia" w:ascii="宋体" w:hAnsi="宋体"/>
          <w:szCs w:val="21"/>
        </w:rPr>
      </w:pPr>
      <w:r>
        <w:rPr>
          <w:rFonts w:hint="eastAsia" w:ascii="宋体" w:hAnsi="宋体"/>
          <w:szCs w:val="21"/>
        </w:rPr>
        <w:t>监理人在收到此类通知及上述文件后，应在28天内向承包人给出书面指示。如果28天内监理人未给出书面指示，应视为监理人和发包人已经批准使用上述替代品，承包人可以据此使用替代品。</w:t>
      </w:r>
    </w:p>
    <w:p>
      <w:pPr>
        <w:spacing w:line="406" w:lineRule="exact"/>
        <w:ind w:left="945" w:hanging="945" w:hangingChars="450"/>
        <w:rPr>
          <w:rFonts w:hint="eastAsia" w:ascii="宋体" w:hAnsi="宋体"/>
          <w:szCs w:val="21"/>
        </w:rPr>
      </w:pPr>
      <w:r>
        <w:rPr>
          <w:rFonts w:hint="eastAsia" w:ascii="宋体" w:hAnsi="宋体"/>
          <w:szCs w:val="21"/>
        </w:rPr>
        <w:t>9.2.3    任何情况下，替代品都应遵守本合同中对相关材料和工程设备的要求。</w:t>
      </w:r>
    </w:p>
    <w:p>
      <w:pPr>
        <w:spacing w:line="406" w:lineRule="exact"/>
        <w:ind w:left="945" w:hanging="945" w:hangingChars="450"/>
        <w:rPr>
          <w:rFonts w:hint="eastAsia" w:ascii="宋体" w:hAnsi="宋体"/>
          <w:szCs w:val="21"/>
        </w:rPr>
      </w:pPr>
      <w:r>
        <w:rPr>
          <w:rFonts w:hint="eastAsia" w:ascii="宋体" w:hAnsi="宋体"/>
          <w:szCs w:val="21"/>
        </w:rPr>
        <w:t xml:space="preserve">9.2.4 </w:t>
      </w:r>
      <w:r>
        <w:rPr>
          <w:rFonts w:ascii="宋体" w:hAnsi="宋体"/>
          <w:szCs w:val="21"/>
        </w:rPr>
        <w:t xml:space="preserve">  </w:t>
      </w:r>
      <w:r>
        <w:rPr>
          <w:rFonts w:hint="eastAsia" w:ascii="宋体" w:hAnsi="宋体"/>
          <w:szCs w:val="21"/>
        </w:rPr>
        <w:t xml:space="preserve"> 如果承包人根据本条约定使用了替代品，监理人应与承包人适当协商之后并在合理的期限内确定替代材料和工程设备与合同中约定的材料和工程设备之间的价值差值，并决定：</w:t>
      </w:r>
    </w:p>
    <w:p>
      <w:pPr>
        <w:spacing w:line="406" w:lineRule="exact"/>
        <w:ind w:left="1155" w:leftChars="400" w:hanging="315" w:hangingChars="150"/>
        <w:rPr>
          <w:rFonts w:hint="eastAsia" w:ascii="宋体" w:hAnsi="宋体"/>
          <w:szCs w:val="21"/>
        </w:rPr>
      </w:pPr>
      <w:r>
        <w:rPr>
          <w:rFonts w:hint="eastAsia" w:ascii="宋体" w:hAnsi="宋体"/>
          <w:szCs w:val="21"/>
        </w:rPr>
        <w:t>（1）如果替代材料和工程设备的价值高于合同中约定的材料和工程设备的价值，则将高出部分的价值追加到合同价格中并相应地通知承包人；</w:t>
      </w:r>
    </w:p>
    <w:p>
      <w:pPr>
        <w:spacing w:line="406" w:lineRule="exact"/>
        <w:ind w:left="1155" w:leftChars="400" w:hanging="315" w:hangingChars="150"/>
        <w:rPr>
          <w:rFonts w:hint="eastAsia" w:ascii="宋体" w:hAnsi="宋体"/>
          <w:szCs w:val="21"/>
        </w:rPr>
      </w:pPr>
      <w:r>
        <w:rPr>
          <w:rFonts w:hint="eastAsia" w:ascii="宋体" w:hAnsi="宋体"/>
          <w:szCs w:val="21"/>
        </w:rPr>
        <w:t>（2）如果替代材料和工程设备的价值低于合同中约定的材料和工程设备的价值，则将节余部分的价值从合同价格中扣除并相应地通知承包人。</w:t>
      </w:r>
    </w:p>
    <w:p>
      <w:pPr>
        <w:pStyle w:val="31"/>
        <w:rPr>
          <w:sz w:val="28"/>
          <w:szCs w:val="28"/>
        </w:rPr>
      </w:pPr>
      <w:bookmarkStart w:id="1377" w:name="_Toc27552"/>
      <w:bookmarkStart w:id="1378" w:name="_Toc1662"/>
      <w:bookmarkStart w:id="1379" w:name="_Toc152264775"/>
      <w:r>
        <w:rPr>
          <w:rFonts w:hint="eastAsia"/>
          <w:sz w:val="28"/>
          <w:szCs w:val="28"/>
        </w:rPr>
        <w:t>10.进口材料和工程设备</w:t>
      </w:r>
      <w:bookmarkEnd w:id="1377"/>
      <w:bookmarkEnd w:id="1378"/>
      <w:bookmarkEnd w:id="1379"/>
    </w:p>
    <w:p>
      <w:pPr>
        <w:spacing w:line="500" w:lineRule="exact"/>
        <w:rPr>
          <w:rFonts w:hint="eastAsia" w:ascii="宋体" w:hAnsi="宋体"/>
          <w:szCs w:val="21"/>
        </w:rPr>
      </w:pPr>
      <w:r>
        <w:rPr>
          <w:rFonts w:hint="eastAsia" w:ascii="宋体" w:hAnsi="宋体"/>
          <w:szCs w:val="21"/>
        </w:rPr>
        <w:t>10.1    本工程需要进口的材料和工程设备如下：</w:t>
      </w:r>
    </w:p>
    <w:p>
      <w:pPr>
        <w:spacing w:line="5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不采用</w:t>
      </w:r>
      <w:r>
        <w:rPr>
          <w:rFonts w:hint="eastAsia" w:ascii="宋体" w:hAnsi="宋体"/>
          <w:szCs w:val="21"/>
          <w:u w:val="single"/>
        </w:rPr>
        <w:t xml:space="preserve">      </w:t>
      </w:r>
      <w:r>
        <w:rPr>
          <w:rFonts w:hint="eastAsia" w:ascii="宋体" w:hAnsi="宋体"/>
          <w:szCs w:val="21"/>
        </w:rPr>
        <w:t>。</w:t>
      </w:r>
    </w:p>
    <w:p>
      <w:pPr>
        <w:spacing w:line="500" w:lineRule="exact"/>
        <w:ind w:left="945" w:hanging="945" w:hangingChars="450"/>
        <w:rPr>
          <w:rFonts w:hint="eastAsia" w:ascii="宋体" w:hAnsi="宋体"/>
          <w:szCs w:val="21"/>
        </w:rPr>
      </w:pPr>
      <w:r>
        <w:rPr>
          <w:rFonts w:hint="eastAsia" w:ascii="宋体" w:hAnsi="宋体"/>
          <w:szCs w:val="21"/>
        </w:rPr>
        <w:t>10.2    上述进口材料和工程设备采购、进口、报关、清关、商检、境内运输（包括保险）、保管的责任以及费用承担方式划分如下：</w:t>
      </w:r>
    </w:p>
    <w:p>
      <w:pPr>
        <w:spacing w:line="5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不采用</w:t>
      </w:r>
      <w:r>
        <w:rPr>
          <w:rFonts w:hint="eastAsia" w:ascii="宋体" w:hAnsi="宋体"/>
          <w:szCs w:val="21"/>
          <w:u w:val="single"/>
        </w:rPr>
        <w:t xml:space="preserve">   </w:t>
      </w:r>
      <w:r>
        <w:rPr>
          <w:rFonts w:hint="eastAsia" w:ascii="宋体" w:hAnsi="宋体"/>
          <w:szCs w:val="21"/>
        </w:rPr>
        <w:t>。</w:t>
      </w:r>
    </w:p>
    <w:p>
      <w:pPr>
        <w:pStyle w:val="31"/>
        <w:rPr>
          <w:sz w:val="28"/>
          <w:szCs w:val="28"/>
        </w:rPr>
      </w:pPr>
      <w:bookmarkStart w:id="1380" w:name="_Toc15447"/>
      <w:bookmarkStart w:id="1381" w:name="_Toc969"/>
      <w:bookmarkStart w:id="1382" w:name="_Toc152264776"/>
      <w:r>
        <w:rPr>
          <w:rFonts w:hint="eastAsia"/>
          <w:sz w:val="28"/>
          <w:szCs w:val="28"/>
        </w:rPr>
        <w:t>11.进度报告和进度例会</w:t>
      </w:r>
      <w:bookmarkEnd w:id="1380"/>
      <w:bookmarkEnd w:id="1381"/>
      <w:bookmarkEnd w:id="1382"/>
    </w:p>
    <w:p>
      <w:pPr>
        <w:spacing w:line="406" w:lineRule="exact"/>
        <w:ind w:left="945" w:hanging="945" w:hangingChars="450"/>
        <w:jc w:val="left"/>
        <w:rPr>
          <w:rFonts w:hint="eastAsia" w:ascii="宋体" w:hAnsi="宋体"/>
          <w:szCs w:val="21"/>
        </w:rPr>
      </w:pPr>
      <w:r>
        <w:rPr>
          <w:rFonts w:hint="eastAsia" w:ascii="宋体" w:hAnsi="宋体"/>
          <w:szCs w:val="21"/>
        </w:rPr>
        <w:t>11.1     进度报告</w:t>
      </w:r>
    </w:p>
    <w:p>
      <w:pPr>
        <w:spacing w:line="406" w:lineRule="exact"/>
        <w:ind w:left="945" w:hanging="945" w:hangingChars="450"/>
        <w:jc w:val="left"/>
        <w:rPr>
          <w:rFonts w:hint="eastAsia" w:ascii="宋体" w:hAnsi="宋体"/>
          <w:szCs w:val="21"/>
        </w:rPr>
      </w:pPr>
      <w:r>
        <w:rPr>
          <w:rFonts w:hint="eastAsia" w:ascii="宋体" w:hAnsi="宋体"/>
          <w:szCs w:val="21"/>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spacing w:line="406" w:lineRule="exact"/>
        <w:ind w:left="945" w:hanging="945" w:hangingChars="450"/>
        <w:jc w:val="left"/>
        <w:rPr>
          <w:rFonts w:hint="eastAsia" w:ascii="宋体" w:hAnsi="宋体"/>
          <w:szCs w:val="21"/>
        </w:rPr>
      </w:pPr>
      <w:r>
        <w:rPr>
          <w:rFonts w:hint="eastAsia" w:ascii="宋体" w:hAnsi="宋体"/>
          <w:szCs w:val="21"/>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spacing w:line="406" w:lineRule="exact"/>
        <w:ind w:left="945" w:hanging="945" w:hangingChars="450"/>
        <w:jc w:val="left"/>
        <w:rPr>
          <w:rFonts w:hint="eastAsia" w:ascii="宋体" w:hAnsi="宋体"/>
          <w:szCs w:val="21"/>
        </w:rPr>
      </w:pPr>
      <w:r>
        <w:rPr>
          <w:rFonts w:hint="eastAsia" w:ascii="宋体" w:hAnsi="宋体"/>
          <w:szCs w:val="21"/>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pPr>
        <w:spacing w:line="406" w:lineRule="exact"/>
        <w:ind w:left="924" w:leftChars="-10" w:hanging="945" w:hangingChars="450"/>
        <w:jc w:val="left"/>
        <w:rPr>
          <w:rFonts w:hint="eastAsia" w:ascii="宋体" w:hAnsi="宋体"/>
          <w:szCs w:val="21"/>
        </w:rPr>
      </w:pPr>
      <w:r>
        <w:rPr>
          <w:rFonts w:hint="eastAsia" w:ascii="宋体" w:hAnsi="宋体"/>
          <w:szCs w:val="21"/>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spacing w:line="406" w:lineRule="exact"/>
        <w:ind w:left="945" w:hanging="945" w:hangingChars="450"/>
        <w:jc w:val="left"/>
        <w:rPr>
          <w:rFonts w:hint="eastAsia" w:ascii="宋体" w:hAnsi="宋体"/>
          <w:szCs w:val="21"/>
        </w:rPr>
      </w:pPr>
      <w:r>
        <w:rPr>
          <w:rFonts w:hint="eastAsia" w:ascii="宋体" w:hAnsi="宋体"/>
          <w:szCs w:val="21"/>
        </w:rPr>
        <w:t>11.1.5   各个进度报表的格式和内容应经过监理人的审批。进度报表应如实填写，由承包人授权代表签名，并报监理人的指定代表签名确认后再行分发。</w:t>
      </w:r>
    </w:p>
    <w:p>
      <w:pPr>
        <w:spacing w:line="406" w:lineRule="exact"/>
        <w:ind w:left="945" w:hanging="945" w:hangingChars="450"/>
        <w:jc w:val="left"/>
        <w:rPr>
          <w:rFonts w:hint="eastAsia" w:ascii="宋体" w:hAnsi="宋体"/>
          <w:szCs w:val="21"/>
        </w:rPr>
      </w:pPr>
      <w:r>
        <w:rPr>
          <w:rFonts w:hint="eastAsia" w:ascii="宋体" w:hAnsi="宋体"/>
          <w:szCs w:val="21"/>
        </w:rPr>
        <w:t>11.1.6   如果监理人认为必要，进度报告和进度照片应同时以存储在磁盘或光盘中的数据文件的形式递交给发包人和监理人。数据文件采用的应用软件及其版本应经过监理人的审批。</w:t>
      </w:r>
    </w:p>
    <w:p>
      <w:pPr>
        <w:spacing w:line="406" w:lineRule="exact"/>
        <w:ind w:left="945" w:hanging="945" w:hangingChars="450"/>
        <w:jc w:val="left"/>
        <w:rPr>
          <w:rFonts w:hint="eastAsia" w:ascii="宋体" w:hAnsi="宋体"/>
          <w:szCs w:val="21"/>
        </w:rPr>
      </w:pPr>
      <w:r>
        <w:rPr>
          <w:rFonts w:hint="eastAsia" w:ascii="宋体" w:hAnsi="宋体"/>
          <w:szCs w:val="21"/>
        </w:rPr>
        <w:t>11.1.7   有关进度报告的其他要求：</w:t>
      </w:r>
    </w:p>
    <w:p>
      <w:pPr>
        <w:spacing w:line="4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不采用</w:t>
      </w:r>
      <w:r>
        <w:rPr>
          <w:rFonts w:hint="eastAsia" w:ascii="宋体" w:hAnsi="宋体"/>
          <w:szCs w:val="21"/>
          <w:u w:val="single"/>
        </w:rPr>
        <w:t xml:space="preserve">            </w:t>
      </w:r>
      <w:r>
        <w:rPr>
          <w:rFonts w:hint="eastAsia" w:ascii="宋体" w:hAnsi="宋体"/>
          <w:szCs w:val="21"/>
        </w:rPr>
        <w:t>。</w:t>
      </w:r>
    </w:p>
    <w:p>
      <w:pPr>
        <w:spacing w:line="406" w:lineRule="exact"/>
        <w:ind w:left="1080" w:hanging="1080" w:hangingChars="450"/>
        <w:jc w:val="left"/>
        <w:rPr>
          <w:rFonts w:hint="eastAsia" w:ascii="黑体" w:hAnsi="宋体" w:eastAsia="黑体"/>
          <w:sz w:val="24"/>
        </w:rPr>
      </w:pPr>
      <w:r>
        <w:rPr>
          <w:rFonts w:hint="eastAsia" w:ascii="黑体" w:hAnsi="宋体" w:eastAsia="黑体"/>
          <w:sz w:val="24"/>
        </w:rPr>
        <w:t>11.2     进度例会</w:t>
      </w:r>
    </w:p>
    <w:p>
      <w:pPr>
        <w:spacing w:line="406" w:lineRule="exact"/>
        <w:ind w:left="945" w:hanging="945" w:hangingChars="450"/>
        <w:jc w:val="left"/>
        <w:rPr>
          <w:rFonts w:hint="eastAsia" w:ascii="宋体" w:hAnsi="宋体"/>
          <w:szCs w:val="21"/>
        </w:rPr>
      </w:pPr>
      <w:r>
        <w:rPr>
          <w:rFonts w:hint="eastAsia" w:ascii="宋体" w:hAnsi="宋体"/>
          <w:szCs w:val="21"/>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spacing w:line="406" w:lineRule="exact"/>
        <w:ind w:left="945" w:hanging="945" w:hangingChars="450"/>
        <w:jc w:val="left"/>
        <w:rPr>
          <w:rFonts w:hint="eastAsia" w:ascii="宋体" w:hAnsi="宋体"/>
          <w:szCs w:val="21"/>
        </w:rPr>
      </w:pPr>
      <w:r>
        <w:rPr>
          <w:rFonts w:hint="eastAsia" w:ascii="宋体" w:hAnsi="宋体"/>
          <w:szCs w:val="21"/>
        </w:rPr>
        <w:t>11.2.2   进度例会的内容将涉及合同管理、进度协调和工程管理的各个方面，由监理人准备的会议议题将随会议通知在会议召开前至少24小时发给各参会方。</w:t>
      </w:r>
    </w:p>
    <w:p>
      <w:pPr>
        <w:spacing w:line="406" w:lineRule="exact"/>
        <w:ind w:left="945" w:hanging="945" w:hangingChars="450"/>
        <w:jc w:val="left"/>
        <w:rPr>
          <w:rFonts w:hint="eastAsia" w:ascii="宋体" w:hAnsi="宋体"/>
          <w:szCs w:val="21"/>
        </w:rPr>
      </w:pPr>
      <w:r>
        <w:rPr>
          <w:rFonts w:hint="eastAsia" w:ascii="宋体" w:hAnsi="宋体"/>
          <w:szCs w:val="21"/>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spacing w:line="406" w:lineRule="exact"/>
        <w:ind w:left="945" w:hanging="945" w:hangingChars="450"/>
        <w:jc w:val="left"/>
        <w:rPr>
          <w:rFonts w:hint="eastAsia" w:ascii="宋体" w:hAnsi="宋体"/>
          <w:szCs w:val="21"/>
        </w:rPr>
      </w:pPr>
      <w:r>
        <w:rPr>
          <w:rFonts w:hint="eastAsia" w:ascii="宋体" w:hAnsi="宋体"/>
          <w:szCs w:val="21"/>
        </w:rPr>
        <w:t>11.2.4   有关进度例会的其他要求：</w:t>
      </w:r>
    </w:p>
    <w:p>
      <w:pPr>
        <w:spacing w:line="4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不采用</w:t>
      </w:r>
      <w:r>
        <w:rPr>
          <w:rFonts w:hint="eastAsia" w:ascii="宋体" w:hAnsi="宋体"/>
          <w:szCs w:val="21"/>
          <w:u w:val="single"/>
        </w:rPr>
        <w:t xml:space="preserve">         </w:t>
      </w:r>
      <w:r>
        <w:rPr>
          <w:rFonts w:hint="eastAsia" w:ascii="宋体" w:hAnsi="宋体"/>
          <w:szCs w:val="21"/>
        </w:rPr>
        <w:t>。</w:t>
      </w:r>
    </w:p>
    <w:p>
      <w:pPr>
        <w:pStyle w:val="31"/>
        <w:rPr>
          <w:sz w:val="28"/>
          <w:szCs w:val="28"/>
        </w:rPr>
      </w:pPr>
      <w:bookmarkStart w:id="1383" w:name="_Toc152264777"/>
      <w:bookmarkStart w:id="1384" w:name="_Toc2221"/>
      <w:bookmarkStart w:id="1385" w:name="_Toc20417"/>
      <w:r>
        <w:rPr>
          <w:rFonts w:hint="eastAsia"/>
          <w:sz w:val="28"/>
          <w:szCs w:val="28"/>
        </w:rPr>
        <w:t>12.试验和检验</w:t>
      </w:r>
      <w:bookmarkEnd w:id="1383"/>
      <w:bookmarkEnd w:id="1384"/>
      <w:bookmarkEnd w:id="1385"/>
    </w:p>
    <w:p>
      <w:pPr>
        <w:spacing w:line="406" w:lineRule="exact"/>
        <w:ind w:left="945" w:hanging="945" w:hangingChars="450"/>
        <w:jc w:val="left"/>
        <w:rPr>
          <w:rFonts w:hint="eastAsia" w:ascii="宋体" w:hAnsi="宋体"/>
          <w:szCs w:val="21"/>
        </w:rPr>
      </w:pPr>
      <w:r>
        <w:rPr>
          <w:rFonts w:hint="eastAsia" w:ascii="宋体" w:hAnsi="宋体"/>
          <w:szCs w:val="21"/>
        </w:rPr>
        <w:t xml:space="preserve">12.1     </w:t>
      </w:r>
      <w:r>
        <w:rPr>
          <w:rFonts w:hint="eastAsia" w:ascii="宋体" w:hAnsi="宋体"/>
          <w:color w:val="FF0000"/>
          <w:szCs w:val="21"/>
        </w:rPr>
        <w:t>承包人应当按照工程施工验收规范和标准的规定，对用于永久工程的主要材料、半成品、成品、建筑构配件、工程设备等进行试验和检验，费用由发包人承担。</w:t>
      </w:r>
    </w:p>
    <w:p>
      <w:pPr>
        <w:spacing w:line="406" w:lineRule="exact"/>
        <w:ind w:left="945" w:hanging="945" w:hangingChars="450"/>
        <w:jc w:val="left"/>
        <w:rPr>
          <w:rFonts w:hint="eastAsia" w:ascii="宋体" w:hAnsi="宋体"/>
          <w:szCs w:val="21"/>
        </w:rPr>
      </w:pPr>
      <w:r>
        <w:rPr>
          <w:rFonts w:hint="eastAsia" w:ascii="宋体" w:hAnsi="宋体"/>
          <w:szCs w:val="21"/>
        </w:rPr>
        <w:t>12.2     本工程需要承包人进行试验和检验的材料、工程设备和工艺如下：</w:t>
      </w:r>
    </w:p>
    <w:p>
      <w:pPr>
        <w:spacing w:line="4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详见投标人须知说明 </w:t>
      </w:r>
      <w:r>
        <w:rPr>
          <w:rFonts w:hint="eastAsia" w:ascii="宋体" w:hAnsi="宋体"/>
          <w:szCs w:val="21"/>
          <w:u w:val="single"/>
        </w:rPr>
        <w:t xml:space="preserve">                       </w:t>
      </w:r>
      <w:r>
        <w:rPr>
          <w:rFonts w:hint="eastAsia" w:ascii="宋体" w:hAnsi="宋体"/>
          <w:szCs w:val="21"/>
        </w:rPr>
        <w:t>。监理人可以根据工程需要，指示承包人进行其他现场材料和工艺的试验和检验。</w:t>
      </w:r>
    </w:p>
    <w:p>
      <w:pPr>
        <w:spacing w:line="406" w:lineRule="exact"/>
        <w:ind w:left="945" w:hanging="945" w:hangingChars="450"/>
        <w:jc w:val="left"/>
        <w:rPr>
          <w:rFonts w:hint="eastAsia" w:ascii="宋体" w:hAnsi="宋体"/>
          <w:spacing w:val="4"/>
          <w:szCs w:val="21"/>
        </w:rPr>
      </w:pPr>
      <w:r>
        <w:rPr>
          <w:rFonts w:hint="eastAsia" w:ascii="宋体" w:hAnsi="宋体"/>
          <w:szCs w:val="21"/>
        </w:rPr>
        <w:t xml:space="preserve">12.3     </w:t>
      </w:r>
      <w:r>
        <w:rPr>
          <w:rFonts w:hint="eastAsia" w:ascii="宋体" w:hAnsi="宋体"/>
          <w:spacing w:val="4"/>
          <w:szCs w:val="21"/>
        </w:rPr>
        <w:t>本工程需要由监理人和承包人共同进行试验和检验的材料、工程设备和工艺如下：</w:t>
      </w:r>
    </w:p>
    <w:p>
      <w:pPr>
        <w:spacing w:line="400" w:lineRule="exact"/>
        <w:ind w:left="945" w:hanging="945" w:hangingChars="45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pPr>
        <w:spacing w:line="406" w:lineRule="exact"/>
        <w:ind w:left="945" w:hanging="945" w:hangingChars="450"/>
        <w:jc w:val="left"/>
        <w:rPr>
          <w:rFonts w:hint="eastAsia" w:ascii="宋体" w:hAnsi="宋体"/>
          <w:szCs w:val="21"/>
        </w:rPr>
      </w:pPr>
      <w:r>
        <w:rPr>
          <w:rFonts w:hint="eastAsia" w:ascii="宋体" w:hAnsi="宋体"/>
          <w:szCs w:val="21"/>
        </w:rPr>
        <w:t>12.4     本条上述约定需要进行检验的材料、工程设备和工艺在经过检验并获得监理人批准以前，不得用于任何永久工程。</w:t>
      </w:r>
    </w:p>
    <w:p>
      <w:pPr>
        <w:spacing w:line="406" w:lineRule="exact"/>
        <w:ind w:left="945" w:hanging="945" w:hangingChars="450"/>
        <w:jc w:val="left"/>
        <w:rPr>
          <w:rFonts w:hint="eastAsia" w:ascii="宋体" w:hAnsi="宋体"/>
          <w:szCs w:val="21"/>
        </w:rPr>
      </w:pPr>
      <w:r>
        <w:rPr>
          <w:rFonts w:hint="eastAsia" w:ascii="宋体" w:hAnsi="宋体"/>
          <w:szCs w:val="21"/>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pPr>
        <w:spacing w:line="406" w:lineRule="exact"/>
        <w:ind w:left="945" w:hanging="945" w:hangingChars="450"/>
        <w:jc w:val="left"/>
        <w:rPr>
          <w:rFonts w:hint="eastAsia" w:ascii="宋体" w:hAnsi="宋体"/>
          <w:szCs w:val="21"/>
        </w:rPr>
      </w:pPr>
      <w:r>
        <w:rPr>
          <w:rFonts w:hint="eastAsia" w:ascii="宋体" w:hAnsi="宋体"/>
          <w:szCs w:val="21"/>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spacing w:line="406" w:lineRule="exact"/>
        <w:ind w:left="945" w:hanging="945" w:hangingChars="450"/>
        <w:jc w:val="left"/>
        <w:rPr>
          <w:rFonts w:hint="eastAsia" w:ascii="宋体" w:hAnsi="宋体"/>
          <w:szCs w:val="21"/>
        </w:rPr>
      </w:pPr>
      <w:r>
        <w:rPr>
          <w:rFonts w:hint="eastAsia" w:ascii="宋体" w:hAnsi="宋体"/>
          <w:szCs w:val="21"/>
        </w:rPr>
        <w:t>12.7     承包人应在监理人的监督下，对涉及结构安全的试块、试件以及有关材料进行现场取样，并送</w:t>
      </w:r>
      <w:r>
        <w:rPr>
          <w:rFonts w:hint="eastAsia" w:ascii="宋体" w:hAnsi="宋体"/>
          <w:szCs w:val="21"/>
          <w:u w:val="single"/>
        </w:rPr>
        <w:t xml:space="preserve"> </w:t>
      </w:r>
      <w:r>
        <w:rPr>
          <w:rFonts w:hint="eastAsia" w:ascii="宋体" w:hAnsi="宋体"/>
          <w:color w:val="FF0000"/>
          <w:szCs w:val="21"/>
          <w:u w:val="single"/>
        </w:rPr>
        <w:t>辽宁沿海建设工程质量检测有限公司</w:t>
      </w:r>
      <w:r>
        <w:rPr>
          <w:rFonts w:hint="eastAsia" w:ascii="宋体" w:hAnsi="宋体"/>
          <w:szCs w:val="21"/>
          <w:u w:val="single"/>
        </w:rPr>
        <w:t xml:space="preserve"> </w:t>
      </w:r>
      <w:r>
        <w:rPr>
          <w:rFonts w:hint="eastAsia" w:ascii="宋体" w:hAnsi="宋体"/>
          <w:szCs w:val="21"/>
        </w:rPr>
        <w:t>质量检测单位进行检测。</w:t>
      </w:r>
    </w:p>
    <w:p>
      <w:pPr>
        <w:spacing w:line="406" w:lineRule="exact"/>
        <w:ind w:left="945" w:hanging="945" w:hangingChars="450"/>
        <w:jc w:val="left"/>
        <w:rPr>
          <w:rFonts w:hint="eastAsia" w:ascii="宋体" w:hAnsi="宋体"/>
          <w:szCs w:val="21"/>
        </w:rPr>
      </w:pPr>
      <w:r>
        <w:rPr>
          <w:rFonts w:hint="eastAsia" w:ascii="宋体" w:hAnsi="宋体"/>
          <w:szCs w:val="21"/>
        </w:rPr>
        <w:t>12.8     除合同另有约定外，承包人应负担本合同项下的所有材料、工程设备和工艺检验的费用。</w:t>
      </w:r>
    </w:p>
    <w:p>
      <w:pPr>
        <w:pStyle w:val="31"/>
        <w:rPr>
          <w:sz w:val="28"/>
          <w:szCs w:val="28"/>
        </w:rPr>
      </w:pPr>
      <w:bookmarkStart w:id="1386" w:name="_Toc152264778"/>
      <w:bookmarkStart w:id="1387" w:name="_Toc6260"/>
      <w:bookmarkStart w:id="1388" w:name="_Toc3000"/>
      <w:r>
        <w:rPr>
          <w:rFonts w:hint="eastAsia"/>
          <w:sz w:val="28"/>
          <w:szCs w:val="28"/>
        </w:rPr>
        <w:t>13.计日工</w:t>
      </w:r>
      <w:bookmarkEnd w:id="1386"/>
      <w:bookmarkEnd w:id="1387"/>
      <w:bookmarkEnd w:id="1388"/>
    </w:p>
    <w:p>
      <w:pPr>
        <w:spacing w:line="402" w:lineRule="exact"/>
        <w:ind w:left="945" w:hanging="945" w:hangingChars="450"/>
        <w:jc w:val="left"/>
        <w:rPr>
          <w:rFonts w:hint="eastAsia" w:ascii="宋体" w:hAnsi="宋体"/>
          <w:color w:val="FF0000"/>
          <w:szCs w:val="21"/>
        </w:rPr>
      </w:pPr>
      <w:r>
        <w:rPr>
          <w:rFonts w:hint="eastAsia" w:ascii="宋体" w:hAnsi="宋体"/>
          <w:color w:val="FF0000"/>
          <w:szCs w:val="21"/>
        </w:rPr>
        <w:t>按合同约定执行。</w:t>
      </w:r>
    </w:p>
    <w:p>
      <w:pPr>
        <w:pStyle w:val="31"/>
        <w:rPr>
          <w:sz w:val="28"/>
          <w:szCs w:val="28"/>
        </w:rPr>
      </w:pPr>
      <w:bookmarkStart w:id="1389" w:name="_Toc152264779"/>
      <w:bookmarkStart w:id="1390" w:name="_Toc30045"/>
      <w:bookmarkStart w:id="1391" w:name="_Toc15034"/>
      <w:r>
        <w:rPr>
          <w:rFonts w:hint="eastAsia"/>
          <w:sz w:val="28"/>
          <w:szCs w:val="28"/>
        </w:rPr>
        <w:t>14.计量与支付</w:t>
      </w:r>
      <w:bookmarkEnd w:id="1389"/>
      <w:bookmarkEnd w:id="1390"/>
      <w:bookmarkEnd w:id="1391"/>
    </w:p>
    <w:p>
      <w:pPr>
        <w:spacing w:line="402" w:lineRule="exact"/>
        <w:ind w:left="945" w:hanging="945" w:hangingChars="450"/>
        <w:jc w:val="left"/>
        <w:rPr>
          <w:rFonts w:hint="eastAsia" w:ascii="宋体" w:hAnsi="宋体"/>
          <w:color w:val="FF0000"/>
          <w:szCs w:val="21"/>
        </w:rPr>
      </w:pPr>
      <w:r>
        <w:rPr>
          <w:rFonts w:hint="eastAsia" w:ascii="宋体" w:hAnsi="宋体"/>
          <w:color w:val="FF0000"/>
          <w:szCs w:val="21"/>
        </w:rPr>
        <w:t>按照合同约定执行。</w:t>
      </w:r>
    </w:p>
    <w:p>
      <w:pPr>
        <w:pStyle w:val="31"/>
        <w:rPr>
          <w:sz w:val="28"/>
          <w:szCs w:val="28"/>
        </w:rPr>
      </w:pPr>
      <w:bookmarkStart w:id="1392" w:name="_Toc6200"/>
      <w:bookmarkStart w:id="1393" w:name="_Toc8012"/>
      <w:bookmarkStart w:id="1394" w:name="_Toc152264780"/>
      <w:r>
        <w:rPr>
          <w:rFonts w:hint="eastAsia"/>
          <w:sz w:val="28"/>
          <w:szCs w:val="28"/>
        </w:rPr>
        <w:t>15.竣工验收和工程移交</w:t>
      </w:r>
      <w:bookmarkEnd w:id="1392"/>
      <w:bookmarkEnd w:id="1393"/>
      <w:bookmarkEnd w:id="1394"/>
    </w:p>
    <w:p>
      <w:pPr>
        <w:spacing w:line="436" w:lineRule="exact"/>
        <w:jc w:val="left"/>
        <w:rPr>
          <w:rFonts w:hint="eastAsia" w:ascii="黑体" w:hAnsi="宋体" w:eastAsia="黑体"/>
          <w:sz w:val="24"/>
        </w:rPr>
      </w:pPr>
      <w:r>
        <w:rPr>
          <w:rFonts w:hint="eastAsia" w:ascii="黑体" w:hAnsi="宋体" w:eastAsia="黑体"/>
          <w:sz w:val="24"/>
        </w:rPr>
        <w:t>15.1   竣工验收前的清理</w:t>
      </w:r>
    </w:p>
    <w:p>
      <w:pPr>
        <w:spacing w:line="420" w:lineRule="exact"/>
        <w:ind w:left="945" w:hanging="945" w:hangingChars="450"/>
        <w:jc w:val="left"/>
        <w:rPr>
          <w:rFonts w:hint="eastAsia" w:ascii="宋体" w:hAnsi="宋体"/>
          <w:szCs w:val="21"/>
        </w:rPr>
      </w:pPr>
      <w:r>
        <w:rPr>
          <w:rFonts w:hint="eastAsia" w:ascii="宋体" w:hAnsi="宋体"/>
          <w:szCs w:val="21"/>
        </w:rPr>
        <w:t>15.1.1   在向监理人提交竣工验收申请报告前，承包人应当完成竣工验收前的清理工作，包括但不限于：</w:t>
      </w:r>
    </w:p>
    <w:p>
      <w:pPr>
        <w:spacing w:line="420" w:lineRule="exact"/>
        <w:ind w:left="945" w:leftChars="450"/>
        <w:jc w:val="left"/>
        <w:rPr>
          <w:rFonts w:hint="eastAsia" w:ascii="宋体" w:hAnsi="宋体"/>
          <w:szCs w:val="21"/>
        </w:rPr>
      </w:pPr>
      <w:r>
        <w:rPr>
          <w:rFonts w:hint="eastAsia" w:ascii="宋体" w:hAnsi="宋体"/>
          <w:szCs w:val="21"/>
        </w:rPr>
        <w:t>（1）从永久工程内清除所有剩余材料、杂物、垃圾等等；</w:t>
      </w:r>
    </w:p>
    <w:p>
      <w:pPr>
        <w:spacing w:line="420" w:lineRule="exact"/>
        <w:ind w:left="945" w:leftChars="450"/>
        <w:jc w:val="left"/>
        <w:rPr>
          <w:rFonts w:hint="eastAsia" w:ascii="宋体" w:hAnsi="宋体"/>
          <w:szCs w:val="21"/>
        </w:rPr>
      </w:pPr>
      <w:r>
        <w:rPr>
          <w:rFonts w:hint="eastAsia" w:ascii="宋体" w:hAnsi="宋体"/>
          <w:szCs w:val="21"/>
        </w:rPr>
        <w:t>（2）清洗工程的所有地面、墙面、楼面、路面等表面；</w:t>
      </w:r>
    </w:p>
    <w:p>
      <w:pPr>
        <w:spacing w:line="420" w:lineRule="exact"/>
        <w:ind w:left="945" w:leftChars="450"/>
        <w:jc w:val="left"/>
        <w:rPr>
          <w:rFonts w:hint="eastAsia" w:ascii="宋体" w:hAnsi="宋体"/>
          <w:szCs w:val="21"/>
        </w:rPr>
      </w:pPr>
      <w:r>
        <w:rPr>
          <w:rFonts w:hint="eastAsia" w:ascii="宋体" w:hAnsi="宋体"/>
          <w:szCs w:val="21"/>
        </w:rPr>
        <w:t>（3）清洗和擦洗所有玻璃、磁砖、石材和所有金属面；</w:t>
      </w:r>
    </w:p>
    <w:p>
      <w:pPr>
        <w:spacing w:line="420" w:lineRule="exact"/>
        <w:ind w:left="945" w:leftChars="450"/>
        <w:jc w:val="left"/>
        <w:rPr>
          <w:rFonts w:hint="eastAsia" w:ascii="宋体" w:hAnsi="宋体"/>
          <w:szCs w:val="21"/>
        </w:rPr>
      </w:pPr>
      <w:r>
        <w:rPr>
          <w:rFonts w:hint="eastAsia" w:ascii="宋体" w:hAnsi="宋体"/>
          <w:szCs w:val="21"/>
        </w:rPr>
        <w:t>（4）修缮所有损坏、清除所有污迹、替换所有需更换的材料；</w:t>
      </w:r>
    </w:p>
    <w:p>
      <w:pPr>
        <w:spacing w:line="420" w:lineRule="exact"/>
        <w:ind w:left="945" w:leftChars="450"/>
        <w:jc w:val="left"/>
        <w:rPr>
          <w:rFonts w:hint="eastAsia" w:ascii="宋体" w:hAnsi="宋体"/>
          <w:szCs w:val="21"/>
        </w:rPr>
      </w:pPr>
      <w:r>
        <w:rPr>
          <w:rFonts w:hint="eastAsia" w:ascii="宋体" w:hAnsi="宋体"/>
          <w:szCs w:val="21"/>
        </w:rPr>
        <w:t>（5）所有表面完成约定的装修和装饰；</w:t>
      </w:r>
    </w:p>
    <w:p>
      <w:pPr>
        <w:spacing w:line="420" w:lineRule="exact"/>
        <w:ind w:left="945" w:leftChars="450"/>
        <w:jc w:val="left"/>
        <w:rPr>
          <w:rFonts w:hint="eastAsia" w:ascii="宋体" w:hAnsi="宋体"/>
          <w:szCs w:val="21"/>
        </w:rPr>
      </w:pPr>
      <w:r>
        <w:rPr>
          <w:rFonts w:hint="eastAsia" w:ascii="宋体" w:hAnsi="宋体"/>
          <w:szCs w:val="21"/>
        </w:rPr>
        <w:t>（6）检查和调试所有的门、窗、抽屉等以确保他们开启的顺畅；</w:t>
      </w:r>
    </w:p>
    <w:p>
      <w:pPr>
        <w:spacing w:line="420" w:lineRule="exact"/>
        <w:ind w:left="945" w:leftChars="450"/>
        <w:jc w:val="left"/>
        <w:rPr>
          <w:rFonts w:hint="eastAsia" w:ascii="宋体" w:hAnsi="宋体"/>
          <w:szCs w:val="21"/>
        </w:rPr>
      </w:pPr>
      <w:r>
        <w:rPr>
          <w:rFonts w:hint="eastAsia" w:ascii="宋体" w:hAnsi="宋体"/>
          <w:szCs w:val="21"/>
        </w:rPr>
        <w:t>（7）检查和调试所有的五金件并上油；</w:t>
      </w:r>
    </w:p>
    <w:p>
      <w:pPr>
        <w:spacing w:line="420" w:lineRule="exact"/>
        <w:ind w:left="945" w:leftChars="450"/>
        <w:jc w:val="left"/>
        <w:rPr>
          <w:rFonts w:hint="eastAsia" w:ascii="宋体" w:hAnsi="宋体"/>
          <w:szCs w:val="21"/>
        </w:rPr>
      </w:pPr>
      <w:r>
        <w:rPr>
          <w:rFonts w:hint="eastAsia" w:ascii="宋体" w:hAnsi="宋体"/>
          <w:szCs w:val="21"/>
        </w:rPr>
        <w:t>（8）检查、测试和确保所有服务系统、设施和设备达到良好的运行状态和效果；</w:t>
      </w:r>
    </w:p>
    <w:p>
      <w:pPr>
        <w:spacing w:line="420" w:lineRule="exact"/>
        <w:ind w:left="945" w:leftChars="450"/>
        <w:jc w:val="left"/>
        <w:rPr>
          <w:rFonts w:hint="eastAsia" w:ascii="宋体" w:hAnsi="宋体"/>
          <w:szCs w:val="21"/>
        </w:rPr>
      </w:pPr>
      <w:r>
        <w:rPr>
          <w:rFonts w:hint="eastAsia" w:ascii="宋体" w:hAnsi="宋体"/>
          <w:szCs w:val="21"/>
        </w:rPr>
        <w:t>（9）所有钥匙（如果有）贴上标签并固定到钥匙排上随时可以交给监理人。</w:t>
      </w:r>
    </w:p>
    <w:p>
      <w:pPr>
        <w:spacing w:line="420" w:lineRule="exact"/>
        <w:jc w:val="left"/>
        <w:rPr>
          <w:rFonts w:hint="eastAsia" w:ascii="宋体" w:hAnsi="宋体"/>
          <w:szCs w:val="21"/>
        </w:rPr>
      </w:pPr>
      <w:r>
        <w:rPr>
          <w:rFonts w:hint="eastAsia" w:ascii="宋体" w:hAnsi="宋体"/>
          <w:szCs w:val="21"/>
        </w:rPr>
        <w:t>15.1.2   清理工作所需费用由承包人承担。</w:t>
      </w:r>
    </w:p>
    <w:p>
      <w:pPr>
        <w:spacing w:before="78" w:beforeLines="25" w:after="62" w:afterLines="20" w:line="436" w:lineRule="exact"/>
        <w:jc w:val="left"/>
        <w:rPr>
          <w:rFonts w:hint="eastAsia" w:ascii="黑体" w:hAnsi="宋体" w:eastAsia="黑体"/>
          <w:sz w:val="24"/>
        </w:rPr>
      </w:pPr>
      <w:r>
        <w:rPr>
          <w:rFonts w:hint="eastAsia" w:ascii="黑体" w:hAnsi="宋体" w:eastAsia="黑体"/>
          <w:sz w:val="24"/>
        </w:rPr>
        <w:t>15.2     竣工验收申请报告</w:t>
      </w:r>
    </w:p>
    <w:p>
      <w:pPr>
        <w:spacing w:line="420" w:lineRule="exact"/>
        <w:ind w:left="945" w:hanging="945" w:hangingChars="450"/>
        <w:jc w:val="left"/>
        <w:rPr>
          <w:rFonts w:hint="eastAsia" w:ascii="宋体" w:hAnsi="宋体"/>
          <w:szCs w:val="21"/>
        </w:rPr>
      </w:pPr>
      <w:r>
        <w:rPr>
          <w:rFonts w:hint="eastAsia" w:ascii="宋体" w:hAnsi="宋体"/>
          <w:szCs w:val="21"/>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spacing w:line="420" w:lineRule="exact"/>
        <w:ind w:left="945" w:hanging="945" w:hangingChars="450"/>
        <w:jc w:val="left"/>
        <w:rPr>
          <w:rFonts w:hint="eastAsia" w:ascii="宋体" w:hAnsi="宋体"/>
          <w:szCs w:val="21"/>
        </w:rPr>
      </w:pPr>
      <w:r>
        <w:rPr>
          <w:rFonts w:hint="eastAsia" w:ascii="宋体" w:hAnsi="宋体"/>
          <w:szCs w:val="21"/>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spacing w:line="420" w:lineRule="exact"/>
        <w:ind w:left="945" w:hanging="945" w:hangingChars="450"/>
        <w:jc w:val="left"/>
        <w:rPr>
          <w:rFonts w:hint="eastAsia" w:ascii="宋体" w:hAnsi="宋体"/>
          <w:color w:val="FF0000"/>
          <w:szCs w:val="21"/>
        </w:rPr>
      </w:pPr>
      <w:r>
        <w:rPr>
          <w:rFonts w:hint="eastAsia" w:ascii="宋体" w:hAnsi="宋体"/>
          <w:color w:val="FF0000"/>
          <w:szCs w:val="21"/>
        </w:rPr>
        <w:t>15.2.3   竣工验收申请报告应当按合同条款执行。</w:t>
      </w:r>
    </w:p>
    <w:p>
      <w:pPr>
        <w:spacing w:line="436" w:lineRule="exact"/>
        <w:jc w:val="left"/>
        <w:rPr>
          <w:rFonts w:hint="eastAsia" w:ascii="黑体" w:hAnsi="宋体" w:eastAsia="黑体"/>
          <w:sz w:val="24"/>
        </w:rPr>
      </w:pPr>
      <w:r>
        <w:rPr>
          <w:rFonts w:hint="eastAsia" w:ascii="黑体" w:hAnsi="宋体" w:eastAsia="黑体"/>
          <w:sz w:val="24"/>
        </w:rPr>
        <w:t>15.3    竣工清场</w:t>
      </w:r>
    </w:p>
    <w:p>
      <w:pPr>
        <w:spacing w:line="436" w:lineRule="exact"/>
        <w:ind w:left="945" w:hanging="945" w:hangingChars="450"/>
        <w:jc w:val="left"/>
        <w:rPr>
          <w:rFonts w:hint="eastAsia" w:ascii="宋体" w:hAnsi="宋体"/>
          <w:szCs w:val="21"/>
        </w:rPr>
      </w:pPr>
      <w:r>
        <w:rPr>
          <w:rFonts w:hint="eastAsia" w:ascii="宋体" w:hAnsi="宋体"/>
          <w:szCs w:val="21"/>
        </w:rPr>
        <w:t>15.3.1   监理人颁发（出具）工程接收证书后，承包人应在56天内按以下要求对施工场地（现场）进行清理：</w:t>
      </w:r>
    </w:p>
    <w:p>
      <w:pPr>
        <w:spacing w:line="436" w:lineRule="exact"/>
        <w:ind w:firstLine="945" w:firstLineChars="450"/>
        <w:jc w:val="left"/>
        <w:rPr>
          <w:rFonts w:hint="eastAsia" w:ascii="宋体" w:hAnsi="宋体"/>
          <w:szCs w:val="21"/>
        </w:rPr>
      </w:pPr>
      <w:r>
        <w:rPr>
          <w:rFonts w:hint="eastAsia" w:ascii="宋体" w:hAnsi="宋体"/>
          <w:szCs w:val="21"/>
        </w:rPr>
        <w:t>（1）从施工场地（现场）清除所有杂物和垃圾等；</w:t>
      </w:r>
    </w:p>
    <w:p>
      <w:pPr>
        <w:spacing w:line="436" w:lineRule="exact"/>
        <w:ind w:left="1260" w:leftChars="450" w:hanging="315" w:hangingChars="150"/>
        <w:jc w:val="left"/>
        <w:rPr>
          <w:rFonts w:hint="eastAsia" w:ascii="宋体" w:hAnsi="宋体"/>
          <w:szCs w:val="21"/>
        </w:rPr>
      </w:pPr>
      <w:r>
        <w:rPr>
          <w:rFonts w:hint="eastAsia" w:ascii="宋体" w:hAnsi="宋体"/>
          <w:szCs w:val="21"/>
        </w:rPr>
        <w:t>（2）从施工场地现场拆除所有的临时工程和临时设施并恢复地面原状，但经监理人批准的护坡桩、锚杆、塔吊基础和无法拆除的埋入式模板等无法拆除的临时设施除外；</w:t>
      </w:r>
    </w:p>
    <w:p>
      <w:pPr>
        <w:spacing w:line="436" w:lineRule="exact"/>
        <w:ind w:left="1395" w:leftChars="450" w:hanging="450"/>
        <w:jc w:val="left"/>
        <w:rPr>
          <w:rFonts w:hint="eastAsia" w:ascii="宋体" w:hAnsi="宋体"/>
          <w:szCs w:val="21"/>
        </w:rPr>
      </w:pPr>
      <w:r>
        <w:rPr>
          <w:rFonts w:hint="eastAsia" w:ascii="宋体" w:hAnsi="宋体"/>
          <w:szCs w:val="21"/>
        </w:rPr>
        <w:t>（3）撤离所有承包人施工设备和剩余材料（经监理人同意需在缺陷责任期内继续使用的除外）；</w:t>
      </w:r>
    </w:p>
    <w:p>
      <w:pPr>
        <w:spacing w:line="436" w:lineRule="exact"/>
        <w:ind w:left="1395" w:leftChars="450" w:hanging="450"/>
        <w:jc w:val="left"/>
        <w:rPr>
          <w:rFonts w:hint="eastAsia" w:ascii="宋体" w:hAnsi="宋体"/>
          <w:szCs w:val="21"/>
        </w:rPr>
      </w:pPr>
      <w:r>
        <w:rPr>
          <w:rFonts w:hint="eastAsia" w:ascii="宋体" w:hAnsi="宋体"/>
          <w:szCs w:val="21"/>
        </w:rPr>
        <w:t>（4）监理人指示的其他清场工作。</w:t>
      </w:r>
    </w:p>
    <w:p>
      <w:pPr>
        <w:pStyle w:val="31"/>
        <w:rPr>
          <w:sz w:val="28"/>
          <w:szCs w:val="28"/>
        </w:rPr>
      </w:pPr>
      <w:bookmarkStart w:id="1395" w:name="_Toc152264781"/>
      <w:bookmarkStart w:id="1396" w:name="_Toc18045"/>
      <w:bookmarkStart w:id="1397" w:name="_Toc28502"/>
      <w:r>
        <w:rPr>
          <w:rFonts w:hint="eastAsia"/>
          <w:sz w:val="28"/>
          <w:szCs w:val="28"/>
        </w:rPr>
        <w:t>16.其他要求</w:t>
      </w:r>
      <w:bookmarkEnd w:id="1395"/>
      <w:bookmarkEnd w:id="1396"/>
      <w:bookmarkEnd w:id="1397"/>
    </w:p>
    <w:p>
      <w:pPr>
        <w:spacing w:before="240" w:line="500" w:lineRule="exact"/>
        <w:jc w:val="left"/>
      </w:pPr>
      <w:r>
        <w:rPr>
          <w:rFonts w:hint="eastAsia" w:ascii="宋体" w:hAnsi="宋体"/>
          <w:szCs w:val="21"/>
        </w:rPr>
        <w:t xml:space="preserve">         </w:t>
      </w:r>
      <w:r>
        <w:rPr>
          <w:rFonts w:hint="eastAsia" w:ascii="宋体" w:hAnsi="宋体"/>
          <w:szCs w:val="21"/>
          <w:u w:val="single"/>
        </w:rPr>
        <w:t xml:space="preserve">    </w:t>
      </w:r>
      <w:r>
        <w:rPr>
          <w:rFonts w:hint="eastAsia" w:ascii="宋体" w:hAnsi="宋体" w:cs="Arial"/>
          <w:bCs/>
          <w:szCs w:val="21"/>
          <w:u w:val="single"/>
        </w:rPr>
        <w:t xml:space="preserve">不采用 </w:t>
      </w:r>
      <w:r>
        <w:rPr>
          <w:rFonts w:hint="eastAsia" w:ascii="宋体" w:hAnsi="宋体"/>
          <w:szCs w:val="21"/>
          <w:u w:val="single"/>
        </w:rPr>
        <w:t xml:space="preserve">           </w:t>
      </w:r>
      <w:r>
        <w:rPr>
          <w:rFonts w:hint="eastAsia" w:ascii="宋体" w:hAnsi="宋体"/>
          <w:szCs w:val="21"/>
        </w:rPr>
        <w:t>。</w:t>
      </w:r>
    </w:p>
    <w:p>
      <w:r>
        <w:br w:type="page"/>
      </w:r>
    </w:p>
    <w:p>
      <w:pPr>
        <w:pStyle w:val="29"/>
        <w:jc w:val="center"/>
      </w:pPr>
      <w:bookmarkStart w:id="1398" w:name="_Toc20069"/>
      <w:bookmarkStart w:id="1399" w:name="_Toc27752"/>
      <w:r>
        <w:rPr>
          <w:rFonts w:hint="eastAsia"/>
        </w:rPr>
        <w:t>第二节  特殊技术标准和要求</w:t>
      </w:r>
      <w:bookmarkEnd w:id="1398"/>
      <w:bookmarkEnd w:id="1399"/>
    </w:p>
    <w:p>
      <w:pPr>
        <w:spacing w:line="500" w:lineRule="exact"/>
        <w:jc w:val="left"/>
        <w:rPr>
          <w:rFonts w:hint="eastAsia" w:ascii="宋体" w:hAnsi="宋体"/>
          <w:szCs w:val="21"/>
        </w:rPr>
      </w:pPr>
    </w:p>
    <w:p>
      <w:pPr>
        <w:pStyle w:val="31"/>
        <w:rPr>
          <w:sz w:val="28"/>
          <w:szCs w:val="28"/>
        </w:rPr>
      </w:pPr>
      <w:bookmarkStart w:id="1400" w:name="_Toc22947"/>
      <w:bookmarkStart w:id="1401" w:name="_Toc6566"/>
      <w:r>
        <w:rPr>
          <w:rFonts w:hint="eastAsia"/>
          <w:sz w:val="28"/>
          <w:szCs w:val="28"/>
        </w:rPr>
        <w:t>1．材料和工程设备技术要求</w:t>
      </w:r>
      <w:bookmarkEnd w:id="1400"/>
      <w:bookmarkEnd w:id="1401"/>
    </w:p>
    <w:p>
      <w:pPr>
        <w:spacing w:line="500" w:lineRule="exact"/>
        <w:jc w:val="left"/>
        <w:rPr>
          <w:rFonts w:hint="eastAsia" w:ascii="宋体" w:hAnsi="宋体"/>
          <w:szCs w:val="21"/>
        </w:rPr>
      </w:pPr>
      <w:r>
        <w:rPr>
          <w:rFonts w:hint="eastAsia" w:ascii="宋体" w:hAnsi="宋体"/>
          <w:szCs w:val="21"/>
        </w:rPr>
        <w:t>1.1承包人自行施工范围内的部分材料和工程设备技术要求如下：</w:t>
      </w:r>
    </w:p>
    <w:p>
      <w:pPr>
        <w:spacing w:line="500" w:lineRule="exact"/>
        <w:ind w:firstLine="420" w:firstLineChars="200"/>
        <w:jc w:val="left"/>
        <w:rPr>
          <w:rFonts w:hint="eastAsia" w:ascii="宋体" w:hAnsi="宋体"/>
          <w:color w:val="FF0000"/>
          <w:szCs w:val="21"/>
          <w:u w:val="single"/>
        </w:rPr>
      </w:pPr>
      <w:r>
        <w:rPr>
          <w:rFonts w:hint="eastAsia" w:ascii="宋体" w:hAnsi="宋体"/>
          <w:color w:val="FF0000"/>
          <w:szCs w:val="21"/>
          <w:u w:val="single"/>
        </w:rPr>
        <w:t xml:space="preserve">无     </w:t>
      </w:r>
      <w:r>
        <w:rPr>
          <w:rFonts w:hint="eastAsia" w:ascii="宋体" w:hAnsi="宋体"/>
          <w:color w:val="FF0000"/>
          <w:szCs w:val="21"/>
        </w:rPr>
        <w:t>。</w:t>
      </w:r>
    </w:p>
    <w:p>
      <w:pPr>
        <w:spacing w:line="500" w:lineRule="exact"/>
        <w:ind w:firstLine="420" w:firstLineChars="200"/>
        <w:jc w:val="left"/>
        <w:rPr>
          <w:rFonts w:hint="eastAsia" w:ascii="宋体" w:hAnsi="宋体"/>
          <w:szCs w:val="21"/>
        </w:rPr>
      </w:pPr>
      <w:r>
        <w:rPr>
          <w:rFonts w:hint="eastAsia" w:ascii="宋体" w:hAnsi="宋体"/>
          <w:szCs w:val="21"/>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pPr>
        <w:spacing w:line="500" w:lineRule="exact"/>
        <w:jc w:val="left"/>
        <w:rPr>
          <w:rFonts w:hint="eastAsia" w:ascii="宋体" w:hAnsi="宋体"/>
          <w:szCs w:val="21"/>
        </w:rPr>
      </w:pPr>
      <w:r>
        <w:rPr>
          <w:rFonts w:hint="eastAsia" w:ascii="宋体" w:hAnsi="宋体"/>
          <w:szCs w:val="21"/>
        </w:rPr>
        <w:t>1.2承包人自行施工范围内的材料和工程设备选型允许的偏离如下：</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67"/>
        <w:gridCol w:w="1703"/>
        <w:gridCol w:w="170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vAlign w:val="center"/>
          </w:tcPr>
          <w:p>
            <w:pPr>
              <w:jc w:val="center"/>
              <w:rPr>
                <w:rFonts w:hint="eastAsia" w:ascii="宋体" w:hAnsi="宋体"/>
                <w:szCs w:val="21"/>
              </w:rPr>
            </w:pPr>
            <w:r>
              <w:rPr>
                <w:rFonts w:hint="eastAsia" w:ascii="宋体" w:hAnsi="宋体"/>
                <w:szCs w:val="21"/>
              </w:rPr>
              <w:t>序号</w:t>
            </w:r>
          </w:p>
        </w:tc>
        <w:tc>
          <w:tcPr>
            <w:tcW w:w="2120" w:type="dxa"/>
            <w:vAlign w:val="center"/>
          </w:tcPr>
          <w:p>
            <w:pPr>
              <w:jc w:val="center"/>
              <w:rPr>
                <w:rFonts w:hint="eastAsia" w:ascii="宋体" w:hAnsi="宋体"/>
                <w:szCs w:val="21"/>
              </w:rPr>
            </w:pPr>
            <w:r>
              <w:rPr>
                <w:rFonts w:hint="eastAsia" w:ascii="宋体" w:hAnsi="宋体"/>
                <w:szCs w:val="21"/>
              </w:rPr>
              <w:t>材料和工程设备</w:t>
            </w:r>
          </w:p>
          <w:p>
            <w:pPr>
              <w:jc w:val="center"/>
              <w:rPr>
                <w:rFonts w:hint="eastAsia" w:ascii="宋体" w:hAnsi="宋体"/>
                <w:szCs w:val="21"/>
              </w:rPr>
            </w:pPr>
            <w:r>
              <w:rPr>
                <w:rFonts w:hint="eastAsia" w:ascii="宋体" w:hAnsi="宋体"/>
                <w:szCs w:val="21"/>
              </w:rPr>
              <w:t>名称</w:t>
            </w:r>
          </w:p>
        </w:tc>
        <w:tc>
          <w:tcPr>
            <w:tcW w:w="1744" w:type="dxa"/>
            <w:vAlign w:val="center"/>
          </w:tcPr>
          <w:p>
            <w:pPr>
              <w:jc w:val="center"/>
              <w:rPr>
                <w:rFonts w:hint="eastAsia" w:ascii="宋体" w:hAnsi="宋体"/>
                <w:szCs w:val="21"/>
              </w:rPr>
            </w:pPr>
            <w:r>
              <w:rPr>
                <w:rFonts w:hint="eastAsia" w:ascii="宋体" w:hAnsi="宋体"/>
                <w:szCs w:val="21"/>
              </w:rPr>
              <w:t>技术指标</w:t>
            </w:r>
          </w:p>
        </w:tc>
        <w:tc>
          <w:tcPr>
            <w:tcW w:w="1744" w:type="dxa"/>
            <w:vAlign w:val="center"/>
          </w:tcPr>
          <w:p>
            <w:pPr>
              <w:jc w:val="center"/>
              <w:rPr>
                <w:rFonts w:hint="eastAsia" w:ascii="宋体" w:hAnsi="宋体"/>
                <w:szCs w:val="21"/>
              </w:rPr>
            </w:pPr>
            <w:r>
              <w:rPr>
                <w:rFonts w:hint="eastAsia" w:ascii="宋体" w:hAnsi="宋体"/>
                <w:szCs w:val="21"/>
              </w:rPr>
              <w:t>允许偏离范围</w:t>
            </w:r>
          </w:p>
        </w:tc>
        <w:tc>
          <w:tcPr>
            <w:tcW w:w="1744" w:type="dxa"/>
            <w:vAlign w:val="center"/>
          </w:tcPr>
          <w:p>
            <w:pPr>
              <w:jc w:val="center"/>
              <w:rPr>
                <w:rFonts w:hint="eastAsia" w:ascii="宋体" w:hAnsi="宋体"/>
                <w:szCs w:val="21"/>
              </w:rPr>
            </w:pPr>
            <w:r>
              <w:rPr>
                <w:rFonts w:hint="eastAsia" w:ascii="宋体" w:hAnsi="宋体"/>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szCs w:val="21"/>
              </w:rPr>
            </w:pPr>
            <w:r>
              <w:rPr>
                <w:rFonts w:hint="eastAsia" w:ascii="宋体" w:hAnsi="宋体"/>
                <w:szCs w:val="21"/>
              </w:rPr>
              <w:t>1</w:t>
            </w:r>
          </w:p>
        </w:tc>
        <w:tc>
          <w:tcPr>
            <w:tcW w:w="2120"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szCs w:val="21"/>
              </w:rPr>
            </w:pPr>
            <w:r>
              <w:rPr>
                <w:rFonts w:hint="eastAsia" w:ascii="宋体" w:hAnsi="宋体"/>
                <w:szCs w:val="21"/>
              </w:rPr>
              <w:t>2</w:t>
            </w:r>
          </w:p>
        </w:tc>
        <w:tc>
          <w:tcPr>
            <w:tcW w:w="2120"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szCs w:val="21"/>
              </w:rPr>
            </w:pPr>
            <w:r>
              <w:rPr>
                <w:rFonts w:hint="eastAsia" w:ascii="宋体" w:hAnsi="宋体"/>
                <w:szCs w:val="21"/>
              </w:rPr>
              <w:t>……</w:t>
            </w:r>
          </w:p>
        </w:tc>
        <w:tc>
          <w:tcPr>
            <w:tcW w:w="2120"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szCs w:val="21"/>
              </w:rPr>
            </w:pPr>
          </w:p>
        </w:tc>
        <w:tc>
          <w:tcPr>
            <w:tcW w:w="2120"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c>
          <w:tcPr>
            <w:tcW w:w="1744" w:type="dxa"/>
            <w:vAlign w:val="center"/>
          </w:tcPr>
          <w:p>
            <w:pPr>
              <w:jc w:val="center"/>
              <w:rPr>
                <w:rFonts w:hint="eastAsia" w:ascii="宋体" w:hAnsi="宋体"/>
                <w:szCs w:val="21"/>
              </w:rPr>
            </w:pPr>
          </w:p>
        </w:tc>
      </w:tr>
    </w:tbl>
    <w:p>
      <w:pPr>
        <w:spacing w:line="500" w:lineRule="exact"/>
        <w:jc w:val="left"/>
        <w:rPr>
          <w:rFonts w:hint="eastAsia" w:ascii="宋体" w:hAnsi="宋体"/>
          <w:szCs w:val="21"/>
        </w:rPr>
      </w:pPr>
      <w:r>
        <w:rPr>
          <w:rFonts w:hint="eastAsia" w:ascii="宋体" w:hAnsi="宋体"/>
          <w:szCs w:val="21"/>
        </w:rPr>
        <w:t>1.3本工程施工现场所用混凝土或砂浆的供应方式为</w:t>
      </w:r>
      <w:r>
        <w:rPr>
          <w:rFonts w:hint="eastAsia" w:ascii="宋体" w:hAnsi="宋体"/>
          <w:szCs w:val="21"/>
          <w:u w:val="single"/>
        </w:rPr>
        <w:t xml:space="preserve">  </w:t>
      </w:r>
      <w:r>
        <w:rPr>
          <w:rFonts w:hint="eastAsia" w:ascii="宋体" w:hAnsi="宋体"/>
          <w:color w:val="FF0000"/>
          <w:szCs w:val="21"/>
          <w:u w:val="single"/>
        </w:rPr>
        <w:t xml:space="preserve">商品混凝土 </w:t>
      </w:r>
      <w:r>
        <w:rPr>
          <w:rFonts w:hint="eastAsia" w:ascii="宋体" w:hAnsi="宋体"/>
          <w:szCs w:val="21"/>
          <w:u w:val="single"/>
        </w:rPr>
        <w:t xml:space="preserve"> </w:t>
      </w:r>
      <w:r>
        <w:rPr>
          <w:rFonts w:hint="eastAsia" w:ascii="宋体" w:hAnsi="宋体"/>
          <w:szCs w:val="21"/>
        </w:rPr>
        <w:t>。</w:t>
      </w:r>
    </w:p>
    <w:p>
      <w:pPr>
        <w:spacing w:line="500" w:lineRule="exact"/>
        <w:jc w:val="left"/>
        <w:rPr>
          <w:rFonts w:hint="eastAsia" w:ascii="宋体" w:hAnsi="宋体"/>
          <w:szCs w:val="21"/>
        </w:rPr>
      </w:pPr>
    </w:p>
    <w:p>
      <w:pPr>
        <w:pStyle w:val="31"/>
        <w:rPr>
          <w:sz w:val="28"/>
          <w:szCs w:val="28"/>
        </w:rPr>
      </w:pPr>
      <w:bookmarkStart w:id="1402" w:name="_Toc24924"/>
      <w:bookmarkStart w:id="1403" w:name="_Toc15579"/>
      <w:r>
        <w:rPr>
          <w:rFonts w:hint="eastAsia"/>
          <w:sz w:val="28"/>
          <w:szCs w:val="28"/>
        </w:rPr>
        <w:t>2．特殊技术要求</w:t>
      </w:r>
      <w:bookmarkEnd w:id="1402"/>
      <w:bookmarkEnd w:id="1403"/>
    </w:p>
    <w:p>
      <w:pPr>
        <w:spacing w:line="500" w:lineRule="exact"/>
        <w:jc w:val="left"/>
        <w:rPr>
          <w:rFonts w:hint="eastAsia" w:ascii="宋体" w:hAnsi="宋体"/>
          <w:szCs w:val="21"/>
        </w:rPr>
      </w:pPr>
      <w:r>
        <w:rPr>
          <w:rFonts w:hint="eastAsia" w:ascii="宋体" w:hAnsi="宋体"/>
          <w:szCs w:val="21"/>
        </w:rPr>
        <w:t>2.1除合同约定的技术要求外，本工程的特殊技术要求如下：</w:t>
      </w:r>
    </w:p>
    <w:p>
      <w:pPr>
        <w:spacing w:line="500" w:lineRule="exact"/>
        <w:ind w:firstLine="420" w:firstLineChars="200"/>
        <w:jc w:val="left"/>
        <w:rPr>
          <w:rFonts w:hint="eastAsia" w:ascii="宋体" w:hAnsi="宋体"/>
          <w:color w:val="auto"/>
          <w:szCs w:val="21"/>
          <w:u w:val="none"/>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color w:val="auto"/>
          <w:szCs w:val="21"/>
          <w:u w:val="none"/>
        </w:rPr>
        <w:t>2.1.1 重载道路水稳层增加一层20cm，水稳层总厚度为60cm；</w:t>
      </w:r>
    </w:p>
    <w:p>
      <w:pPr>
        <w:spacing w:line="500" w:lineRule="exact"/>
        <w:ind w:firstLine="420" w:firstLineChars="200"/>
        <w:jc w:val="left"/>
        <w:rPr>
          <w:rFonts w:ascii="宋体" w:hAnsi="宋体"/>
          <w:szCs w:val="21"/>
        </w:rPr>
      </w:pPr>
      <w:r>
        <w:rPr>
          <w:rFonts w:ascii="宋体" w:hAnsi="宋体"/>
          <w:szCs w:val="21"/>
        </w:rPr>
        <w:t xml:space="preserve">2.1.2 </w:t>
      </w:r>
      <w:r>
        <w:rPr>
          <w:rFonts w:hint="eastAsia" w:ascii="宋体" w:hAnsi="宋体"/>
          <w:szCs w:val="21"/>
        </w:rPr>
        <w:t>道路横断面坡度由</w:t>
      </w:r>
      <w:r>
        <w:rPr>
          <w:rFonts w:ascii="宋体" w:hAnsi="宋体"/>
          <w:szCs w:val="21"/>
        </w:rPr>
        <w:t>1.5%</w:t>
      </w:r>
      <w:r>
        <w:rPr>
          <w:rFonts w:hint="eastAsia" w:ascii="宋体" w:hAnsi="宋体"/>
          <w:szCs w:val="21"/>
        </w:rPr>
        <w:t>变为</w:t>
      </w:r>
      <w:r>
        <w:rPr>
          <w:rFonts w:ascii="宋体" w:hAnsi="宋体"/>
          <w:szCs w:val="21"/>
        </w:rPr>
        <w:t>2%</w:t>
      </w:r>
      <w:r>
        <w:rPr>
          <w:rFonts w:hint="eastAsia" w:ascii="宋体" w:hAnsi="宋体"/>
          <w:szCs w:val="21"/>
        </w:rPr>
        <w:t>；</w:t>
      </w:r>
    </w:p>
    <w:p>
      <w:pPr>
        <w:spacing w:line="500" w:lineRule="exact"/>
        <w:ind w:firstLine="420" w:firstLineChars="200"/>
        <w:jc w:val="left"/>
        <w:rPr>
          <w:rFonts w:hint="eastAsia" w:ascii="宋体" w:hAnsi="宋体"/>
          <w:szCs w:val="21"/>
        </w:rPr>
      </w:pPr>
      <w:r>
        <w:rPr>
          <w:rFonts w:ascii="宋体" w:hAnsi="宋体"/>
          <w:szCs w:val="21"/>
        </w:rPr>
        <w:t xml:space="preserve">2.1.3 </w:t>
      </w:r>
      <w:r>
        <w:rPr>
          <w:rFonts w:hint="eastAsia" w:ascii="宋体" w:hAnsi="宋体"/>
          <w:szCs w:val="21"/>
        </w:rPr>
        <w:t>路基碾压前，需保障路基基层含水率符合规范要求，路基施工完成后，弯沉试验满足规范要求后方可进行水稳层施工。</w:t>
      </w:r>
    </w:p>
    <w:p>
      <w:pPr>
        <w:spacing w:line="500" w:lineRule="exact"/>
        <w:ind w:firstLine="420" w:firstLineChars="200"/>
        <w:jc w:val="left"/>
        <w:rPr>
          <w:rFonts w:hint="eastAsia" w:ascii="宋体" w:hAnsi="宋体"/>
          <w:szCs w:val="21"/>
        </w:rPr>
      </w:pPr>
      <w:r>
        <w:rPr>
          <w:rFonts w:ascii="宋体" w:hAnsi="宋体"/>
          <w:szCs w:val="21"/>
        </w:rPr>
        <w:t xml:space="preserve">2.1.4 </w:t>
      </w:r>
      <w:r>
        <w:rPr>
          <w:rFonts w:hint="eastAsia" w:ascii="宋体" w:hAnsi="宋体"/>
          <w:szCs w:val="21"/>
        </w:rPr>
        <w:t>道路沥青标号变更为</w:t>
      </w:r>
      <w:r>
        <w:rPr>
          <w:rFonts w:ascii="宋体" w:hAnsi="宋体"/>
          <w:szCs w:val="21"/>
        </w:rPr>
        <w:t>90</w:t>
      </w:r>
      <w:r>
        <w:rPr>
          <w:rFonts w:hint="eastAsia" w:ascii="宋体" w:hAnsi="宋体"/>
          <w:szCs w:val="21"/>
        </w:rPr>
        <w:t>号。</w:t>
      </w:r>
    </w:p>
    <w:p>
      <w:pPr>
        <w:pStyle w:val="31"/>
        <w:rPr>
          <w:sz w:val="28"/>
          <w:szCs w:val="28"/>
        </w:rPr>
      </w:pPr>
      <w:bookmarkStart w:id="1404" w:name="_Toc18890"/>
      <w:bookmarkStart w:id="1405" w:name="_Toc22171"/>
      <w:r>
        <w:rPr>
          <w:rFonts w:hint="eastAsia"/>
          <w:sz w:val="28"/>
          <w:szCs w:val="28"/>
        </w:rPr>
        <w:t>3．新技术、新工艺和新材料</w:t>
      </w:r>
      <w:bookmarkEnd w:id="1404"/>
      <w:bookmarkEnd w:id="1405"/>
    </w:p>
    <w:p>
      <w:pPr>
        <w:spacing w:line="500" w:lineRule="exact"/>
        <w:jc w:val="left"/>
        <w:rPr>
          <w:rFonts w:hint="eastAsia" w:ascii="黑体" w:hAnsi="宋体" w:eastAsia="黑体"/>
          <w:sz w:val="24"/>
        </w:rPr>
      </w:pPr>
      <w:r>
        <w:rPr>
          <w:rFonts w:hint="eastAsia" w:ascii="黑体" w:hAnsi="宋体" w:eastAsia="黑体"/>
          <w:sz w:val="24"/>
        </w:rPr>
        <w:t>3.1 本工程涉及的新技术、新工艺和新材料及相应使用和操作说明如下：</w:t>
      </w:r>
    </w:p>
    <w:p>
      <w:pPr>
        <w:spacing w:line="500" w:lineRule="exact"/>
        <w:jc w:val="left"/>
        <w:rPr>
          <w:rFonts w:hint="eastAsia"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color w:val="FF0000"/>
          <w:szCs w:val="21"/>
          <w:u w:val="single"/>
        </w:rPr>
        <w:t xml:space="preserve">无 </w:t>
      </w:r>
      <w:r>
        <w:rPr>
          <w:rFonts w:hint="eastAsia" w:ascii="宋体" w:hAnsi="宋体"/>
          <w:color w:val="FF0000"/>
          <w:szCs w:val="21"/>
        </w:rPr>
        <w:t>。</w:t>
      </w:r>
    </w:p>
    <w:p>
      <w:pPr>
        <w:spacing w:line="500" w:lineRule="exact"/>
        <w:jc w:val="left"/>
        <w:rPr>
          <w:rFonts w:hint="eastAsia" w:ascii="宋体" w:hAnsi="宋体"/>
          <w:b/>
          <w:szCs w:val="21"/>
        </w:rPr>
      </w:pPr>
    </w:p>
    <w:p>
      <w:pPr>
        <w:pStyle w:val="31"/>
        <w:rPr>
          <w:sz w:val="28"/>
          <w:szCs w:val="28"/>
        </w:rPr>
      </w:pPr>
      <w:bookmarkStart w:id="1406" w:name="_Toc28390"/>
      <w:bookmarkStart w:id="1407" w:name="_Toc8614"/>
      <w:r>
        <w:rPr>
          <w:rFonts w:hint="eastAsia"/>
          <w:sz w:val="28"/>
          <w:szCs w:val="28"/>
        </w:rPr>
        <w:t>4．其他特殊技术标准和要求</w:t>
      </w:r>
      <w:bookmarkEnd w:id="1406"/>
      <w:bookmarkEnd w:id="1407"/>
    </w:p>
    <w:p>
      <w:pPr>
        <w:spacing w:line="500" w:lineRule="exact"/>
        <w:ind w:firstLine="420" w:firstLineChars="200"/>
        <w:jc w:val="left"/>
      </w:pPr>
      <w:r>
        <w:rPr>
          <w:rFonts w:hint="eastAsia" w:ascii="宋体" w:hAnsi="宋体"/>
          <w:szCs w:val="21"/>
          <w:u w:val="single"/>
        </w:rPr>
        <w:t xml:space="preserve">无       </w:t>
      </w:r>
      <w:r>
        <w:rPr>
          <w:rFonts w:hint="eastAsia" w:ascii="宋体" w:hAnsi="宋体"/>
          <w:szCs w:val="21"/>
        </w:rPr>
        <w:t>。</w:t>
      </w:r>
    </w:p>
    <w:p>
      <w:r>
        <w:br w:type="page"/>
      </w:r>
    </w:p>
    <w:bookmarkEnd w:id="1344"/>
    <w:bookmarkEnd w:id="1345"/>
    <w:p>
      <w:pPr>
        <w:spacing w:line="500" w:lineRule="exact"/>
        <w:jc w:val="left"/>
        <w:rPr>
          <w:rFonts w:hint="eastAsia" w:ascii="宋体" w:hAnsi="宋体"/>
          <w:szCs w:val="21"/>
        </w:rPr>
      </w:pPr>
    </w:p>
    <w:p>
      <w:pPr>
        <w:spacing w:line="500" w:lineRule="exact"/>
        <w:jc w:val="left"/>
        <w:rPr>
          <w:rFonts w:hint="eastAsia" w:ascii="宋体" w:hAnsi="宋体"/>
          <w:szCs w:val="21"/>
        </w:rPr>
      </w:pPr>
    </w:p>
    <w:p>
      <w:pPr>
        <w:spacing w:line="500" w:lineRule="exact"/>
        <w:jc w:val="left"/>
        <w:rPr>
          <w:rFonts w:hint="eastAsia" w:ascii="宋体" w:hAnsi="宋体"/>
          <w:szCs w:val="21"/>
        </w:rPr>
      </w:pPr>
    </w:p>
    <w:p>
      <w:pPr>
        <w:spacing w:line="500" w:lineRule="exact"/>
        <w:jc w:val="left"/>
        <w:rPr>
          <w:rFonts w:hint="eastAsia" w:ascii="宋体" w:hAnsi="宋体"/>
          <w:szCs w:val="21"/>
        </w:rPr>
      </w:pPr>
    </w:p>
    <w:p>
      <w:pPr>
        <w:spacing w:line="500" w:lineRule="exact"/>
        <w:jc w:val="left"/>
        <w:rPr>
          <w:rFonts w:hint="eastAsia" w:ascii="宋体" w:hAnsi="宋体"/>
          <w:szCs w:val="21"/>
        </w:rPr>
      </w:pPr>
    </w:p>
    <w:p>
      <w:pPr>
        <w:spacing w:line="500" w:lineRule="exact"/>
        <w:jc w:val="left"/>
        <w:rPr>
          <w:rFonts w:hint="eastAsia" w:ascii="宋体" w:hAnsi="宋体"/>
          <w:szCs w:val="21"/>
        </w:rPr>
      </w:pPr>
    </w:p>
    <w:p>
      <w:pPr>
        <w:spacing w:line="500" w:lineRule="exact"/>
        <w:jc w:val="left"/>
        <w:rPr>
          <w:rFonts w:hint="eastAsia" w:ascii="宋体" w:hAnsi="宋体"/>
          <w:szCs w:val="21"/>
        </w:rPr>
      </w:pPr>
    </w:p>
    <w:p>
      <w:pPr>
        <w:spacing w:line="500" w:lineRule="exact"/>
        <w:jc w:val="left"/>
        <w:rPr>
          <w:rFonts w:hint="eastAsia" w:ascii="宋体" w:hAnsi="宋体"/>
          <w:szCs w:val="21"/>
        </w:rPr>
      </w:pPr>
    </w:p>
    <w:p>
      <w:pPr>
        <w:pStyle w:val="29"/>
        <w:jc w:val="center"/>
        <w:rPr>
          <w:rFonts w:hint="eastAsia" w:ascii="黑体" w:hAnsi="宋体"/>
          <w:sz w:val="24"/>
        </w:rPr>
      </w:pPr>
      <w:bookmarkStart w:id="1408" w:name="_Toc256000372"/>
      <w:bookmarkStart w:id="1409" w:name="_Toc3275"/>
      <w:bookmarkStart w:id="1410" w:name="_Toc152264787"/>
      <w:r>
        <w:rPr>
          <w:rFonts w:hint="eastAsia"/>
        </w:rPr>
        <w:t>第三节  适用的国家、行业以及地方规范、标准和规程</w:t>
      </w:r>
      <w:bookmarkEnd w:id="1408"/>
      <w:bookmarkEnd w:id="1409"/>
      <w:bookmarkEnd w:id="1410"/>
    </w:p>
    <w:p>
      <w:pPr>
        <w:spacing w:line="500" w:lineRule="exact"/>
        <w:jc w:val="left"/>
        <w:rPr>
          <w:rFonts w:hint="eastAsia" w:ascii="黑体" w:hAnsi="宋体" w:eastAsia="黑体"/>
          <w:b/>
          <w:szCs w:val="21"/>
        </w:rPr>
      </w:pPr>
    </w:p>
    <w:p>
      <w:pPr>
        <w:spacing w:line="500" w:lineRule="exact"/>
        <w:jc w:val="left"/>
        <w:rPr>
          <w:rFonts w:hint="eastAsia" w:ascii="黑体" w:hAnsi="宋体" w:eastAsia="黑体"/>
          <w:b/>
          <w:szCs w:val="21"/>
        </w:rPr>
      </w:pPr>
    </w:p>
    <w:p>
      <w:pPr>
        <w:spacing w:line="500" w:lineRule="exact"/>
        <w:ind w:firstLine="422" w:firstLineChars="200"/>
        <w:jc w:val="left"/>
        <w:rPr>
          <w:rFonts w:hint="eastAsia" w:ascii="宋体" w:hAnsi="宋体"/>
          <w:szCs w:val="21"/>
        </w:rPr>
      </w:pPr>
      <w:r>
        <w:rPr>
          <w:rFonts w:hint="eastAsia" w:ascii="黑体" w:hAnsi="宋体" w:eastAsia="黑体"/>
          <w:b/>
          <w:szCs w:val="21"/>
        </w:rPr>
        <w:t>说明：</w:t>
      </w:r>
      <w:r>
        <w:rPr>
          <w:rFonts w:hint="eastAsia" w:ascii="宋体" w:hAnsi="宋体"/>
          <w:szCs w:val="21"/>
        </w:rPr>
        <w:t>本节内容只需列出规范、标准、规程等的名称、编号等内容。本节由招标人根据国家、行业和地方现行标准、规范和规程等，以及项目具体情况摘录。</w:t>
      </w:r>
    </w:p>
    <w:p>
      <w:pPr>
        <w:spacing w:after="624" w:afterLines="200" w:line="500" w:lineRule="exact"/>
        <w:jc w:val="left"/>
        <w:rPr>
          <w:rFonts w:hint="eastAsia" w:ascii="黑体" w:hAnsi="宋体" w:eastAsia="黑体"/>
          <w:sz w:val="24"/>
        </w:rPr>
      </w:pPr>
      <w:r>
        <w:rPr>
          <w:rFonts w:hint="eastAsia" w:ascii="黑体" w:hAnsi="宋体" w:eastAsia="黑体"/>
          <w:b/>
          <w:sz w:val="24"/>
        </w:rPr>
        <w:br w:type="page"/>
      </w:r>
      <w:r>
        <w:rPr>
          <w:rFonts w:hint="eastAsia" w:ascii="黑体" w:hAnsi="宋体" w:eastAsia="黑体"/>
          <w:sz w:val="24"/>
        </w:rPr>
        <w:t>附件A：施工现场现状平面图</w:t>
      </w:r>
    </w:p>
    <w:p>
      <w:pPr>
        <w:spacing w:line="500" w:lineRule="exact"/>
        <w:jc w:val="left"/>
        <w:rPr>
          <w:rFonts w:hint="eastAsia" w:ascii="宋体" w:hAnsi="宋体"/>
          <w:szCs w:val="21"/>
        </w:rPr>
      </w:pPr>
      <w:r>
        <w:rPr>
          <w:rFonts w:hint="eastAsia" w:ascii="黑体" w:hAnsi="宋体" w:eastAsia="黑体"/>
          <w:szCs w:val="21"/>
        </w:rPr>
        <w:t>说明：</w:t>
      </w:r>
      <w:r>
        <w:rPr>
          <w:rFonts w:hint="eastAsia" w:ascii="宋体" w:hAnsi="宋体"/>
          <w:szCs w:val="21"/>
        </w:rPr>
        <w:t>该图由招标人准备，并作为招标文件本章的组成内容提供给投标人。图中应当标示本章第一节第1.2.1项规定的内容，并做必要的文字说明。</w:t>
      </w:r>
    </w:p>
    <w:p/>
    <w:p>
      <w:pPr>
        <w:sectPr>
          <w:pgSz w:w="11906" w:h="16838"/>
          <w:pgMar w:top="1440" w:right="1800" w:bottom="1440" w:left="1800" w:header="851" w:footer="992" w:gutter="0"/>
          <w:cols w:space="425" w:num="1"/>
          <w:docGrid w:type="lines" w:linePitch="312" w:charSpace="0"/>
        </w:sect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pStyle w:val="4"/>
        <w:spacing w:before="120" w:after="120" w:line="400" w:lineRule="exact"/>
        <w:jc w:val="center"/>
        <w:rPr>
          <w:rFonts w:hint="eastAsia" w:ascii="黑体" w:hAnsi="黑体" w:eastAsia="黑体"/>
          <w:b w:val="0"/>
          <w:bCs w:val="0"/>
          <w:sz w:val="48"/>
          <w:szCs w:val="48"/>
        </w:rPr>
      </w:pPr>
      <w:bookmarkStart w:id="1411" w:name="_Toc122603066"/>
      <w:bookmarkStart w:id="1412" w:name="_Toc30878"/>
      <w:bookmarkStart w:id="1413" w:name="_Toc256000373"/>
      <w:r>
        <w:rPr>
          <w:rFonts w:hint="eastAsia" w:ascii="黑体" w:hAnsi="黑体" w:eastAsia="黑体"/>
          <w:b w:val="0"/>
          <w:bCs w:val="0"/>
          <w:sz w:val="48"/>
          <w:szCs w:val="48"/>
        </w:rPr>
        <w:t>第四卷</w:t>
      </w:r>
      <w:bookmarkEnd w:id="1411"/>
      <w:bookmarkEnd w:id="1412"/>
      <w:bookmarkEnd w:id="1413"/>
    </w:p>
    <w:p>
      <w:pPr>
        <w:spacing w:line="420" w:lineRule="exact"/>
        <w:rPr>
          <w:rFonts w:ascii="黑体" w:eastAsia="黑体"/>
          <w:sz w:val="36"/>
          <w:szCs w:val="36"/>
        </w:rPr>
      </w:pPr>
    </w:p>
    <w:p>
      <w:pPr>
        <w:spacing w:line="420" w:lineRule="exact"/>
        <w:rPr>
          <w:rFonts w:ascii="黑体" w:eastAsia="黑体"/>
          <w:sz w:val="36"/>
          <w:szCs w:val="36"/>
        </w:rPr>
      </w:pPr>
    </w:p>
    <w:p>
      <w:pPr>
        <w:spacing w:line="420" w:lineRule="exact"/>
        <w:rPr>
          <w:rFonts w:ascii="黑体" w:eastAsia="黑体"/>
          <w:sz w:val="36"/>
          <w:szCs w:val="36"/>
        </w:rPr>
      </w:pPr>
    </w:p>
    <w:p>
      <w:pPr>
        <w:spacing w:line="420" w:lineRule="exact"/>
        <w:rPr>
          <w:rFonts w:ascii="黑体" w:eastAsia="黑体"/>
          <w:sz w:val="36"/>
          <w:szCs w:val="36"/>
        </w:rPr>
      </w:pPr>
    </w:p>
    <w:p>
      <w:pPr>
        <w:spacing w:line="420" w:lineRule="exact"/>
        <w:rPr>
          <w:rFonts w:ascii="黑体" w:eastAsia="黑体"/>
          <w:sz w:val="36"/>
          <w:szCs w:val="36"/>
        </w:rPr>
      </w:pPr>
    </w:p>
    <w:p>
      <w:pPr>
        <w:spacing w:line="420" w:lineRule="exact"/>
        <w:rPr>
          <w:rFonts w:ascii="黑体" w:eastAsia="黑体"/>
          <w:sz w:val="36"/>
          <w:szCs w:val="36"/>
        </w:rPr>
      </w:pPr>
    </w:p>
    <w:p>
      <w:pPr>
        <w:sectPr>
          <w:pgSz w:w="11906" w:h="16838"/>
          <w:pgMar w:top="1440" w:right="1800" w:bottom="1440" w:left="1800" w:header="851" w:footer="992" w:gutter="0"/>
          <w:cols w:space="425" w:num="1"/>
          <w:docGrid w:type="lines" w:linePitch="312" w:charSpace="0"/>
        </w:sectPr>
      </w:pPr>
    </w:p>
    <w:p>
      <w:pPr>
        <w:spacing w:before="120" w:after="120" w:line="400" w:lineRule="exact"/>
        <w:jc w:val="center"/>
        <w:rPr>
          <w:rFonts w:hint="eastAsia" w:ascii="黑体" w:hAnsi="黑体" w:eastAsia="黑体"/>
          <w:sz w:val="32"/>
        </w:rPr>
      </w:pPr>
      <w:bookmarkStart w:id="1414" w:name="_Toc122603042"/>
    </w:p>
    <w:p>
      <w:pPr>
        <w:spacing w:before="120" w:after="120" w:line="400" w:lineRule="exact"/>
        <w:jc w:val="center"/>
        <w:rPr>
          <w:rFonts w:hint="eastAsia" w:ascii="黑体" w:hAnsi="黑体" w:eastAsia="黑体"/>
          <w:sz w:val="32"/>
        </w:rPr>
      </w:pPr>
    </w:p>
    <w:p>
      <w:pPr>
        <w:spacing w:before="120" w:after="120" w:line="400" w:lineRule="exact"/>
        <w:jc w:val="center"/>
        <w:rPr>
          <w:rFonts w:hint="eastAsia" w:ascii="黑体" w:hAnsi="黑体" w:eastAsia="黑体"/>
          <w:sz w:val="32"/>
        </w:rPr>
      </w:pPr>
    </w:p>
    <w:p>
      <w:pPr>
        <w:spacing w:before="120" w:after="120" w:line="400" w:lineRule="exact"/>
        <w:jc w:val="center"/>
        <w:rPr>
          <w:rFonts w:hint="eastAsia" w:ascii="黑体" w:hAnsi="黑体" w:eastAsia="黑体"/>
          <w:sz w:val="32"/>
        </w:rPr>
      </w:pPr>
    </w:p>
    <w:p>
      <w:pPr>
        <w:spacing w:before="120" w:after="120" w:line="400" w:lineRule="exact"/>
        <w:jc w:val="center"/>
        <w:rPr>
          <w:rFonts w:hint="eastAsia" w:ascii="黑体" w:hAnsi="黑体" w:eastAsia="黑体"/>
          <w:sz w:val="32"/>
        </w:rPr>
      </w:pPr>
    </w:p>
    <w:p>
      <w:pPr>
        <w:spacing w:before="120" w:after="120" w:line="400" w:lineRule="exact"/>
        <w:jc w:val="center"/>
        <w:rPr>
          <w:rFonts w:hint="eastAsia" w:ascii="黑体" w:hAnsi="黑体" w:eastAsia="黑体"/>
          <w:sz w:val="32"/>
        </w:rPr>
      </w:pPr>
    </w:p>
    <w:p>
      <w:pPr>
        <w:spacing w:before="120" w:after="120" w:line="400" w:lineRule="exact"/>
        <w:jc w:val="center"/>
        <w:rPr>
          <w:rFonts w:hint="eastAsia" w:ascii="黑体" w:hAnsi="黑体" w:eastAsia="黑体"/>
          <w:sz w:val="32"/>
        </w:rPr>
      </w:pPr>
    </w:p>
    <w:p>
      <w:pPr>
        <w:spacing w:before="120" w:after="120" w:line="400" w:lineRule="exact"/>
        <w:jc w:val="center"/>
        <w:rPr>
          <w:rFonts w:hint="eastAsia" w:ascii="黑体" w:hAnsi="黑体" w:eastAsia="黑体"/>
          <w:sz w:val="32"/>
        </w:rPr>
      </w:pPr>
    </w:p>
    <w:bookmarkEnd w:id="1414"/>
    <w:p>
      <w:pPr>
        <w:spacing w:before="120" w:after="120" w:line="400" w:lineRule="exact"/>
        <w:jc w:val="center"/>
        <w:rPr>
          <w:rFonts w:hint="eastAsia" w:ascii="黑体" w:hAnsi="黑体" w:eastAsia="黑体"/>
          <w:sz w:val="32"/>
        </w:rPr>
      </w:pPr>
    </w:p>
    <w:p>
      <w:pPr>
        <w:pStyle w:val="4"/>
        <w:widowControl/>
        <w:spacing w:before="120" w:after="120" w:line="400" w:lineRule="exact"/>
        <w:jc w:val="center"/>
        <w:sectPr>
          <w:footerReference r:id="rId22" w:type="default"/>
          <w:pgSz w:w="11906" w:h="16838"/>
          <w:pgMar w:top="1440" w:right="1800" w:bottom="1440" w:left="1800" w:header="851" w:footer="992" w:gutter="0"/>
          <w:cols w:space="425" w:num="1"/>
          <w:docGrid w:type="lines" w:linePitch="312" w:charSpace="0"/>
        </w:sectPr>
      </w:pPr>
      <w:bookmarkStart w:id="1415" w:name="_Toc256000374"/>
      <w:bookmarkStart w:id="1416" w:name="_Toc23819"/>
      <w:r>
        <w:rPr>
          <w:rFonts w:ascii="黑体" w:hAnsi="宋体" w:eastAsia="黑体" w:cs="黑体"/>
          <w:b w:val="0"/>
          <w:bCs w:val="0"/>
          <w:sz w:val="32"/>
          <w:szCs w:val="32"/>
        </w:rPr>
        <w:t>第八章  投标文件格式</w:t>
      </w:r>
      <w:bookmarkEnd w:id="1415"/>
      <w:bookmarkEnd w:id="1416"/>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jc w:val="center"/>
        <w:rPr>
          <w:rFonts w:ascii="黑体" w:eastAsia="黑体"/>
          <w:sz w:val="28"/>
          <w:szCs w:val="28"/>
        </w:rPr>
      </w:pPr>
      <w:r>
        <w:rPr>
          <w:rFonts w:hint="eastAsia" w:ascii="黑体" w:eastAsia="黑体"/>
          <w:sz w:val="32"/>
          <w:szCs w:val="32"/>
          <w:u w:val="single"/>
        </w:rPr>
        <w:t xml:space="preserve">        </w:t>
      </w:r>
      <w:r>
        <w:rPr>
          <w:rFonts w:hint="eastAsia" w:ascii="宋体" w:hAnsi="宋体"/>
          <w:sz w:val="28"/>
          <w:szCs w:val="28"/>
          <w:u w:val="single"/>
        </w:rPr>
        <w:t xml:space="preserve"> </w:t>
      </w:r>
      <w:r>
        <w:rPr>
          <w:rFonts w:ascii="宋体" w:hAnsi="宋体"/>
          <w:sz w:val="28"/>
          <w:szCs w:val="28"/>
          <w:u w:val="single"/>
        </w:rPr>
        <w:t xml:space="preserve">     </w:t>
      </w:r>
      <w:r>
        <w:rPr>
          <w:rFonts w:hint="eastAsia" w:ascii="黑体" w:eastAsia="黑体"/>
          <w:sz w:val="28"/>
          <w:szCs w:val="28"/>
          <w:u w:val="single"/>
        </w:rPr>
        <w:t xml:space="preserve">   </w:t>
      </w:r>
      <w:r>
        <w:rPr>
          <w:rFonts w:hint="eastAsia" w:ascii="宋体" w:hAnsi="宋体"/>
          <w:sz w:val="28"/>
          <w:szCs w:val="28"/>
        </w:rPr>
        <w:t>（标段名称）</w:t>
      </w:r>
      <w:r>
        <w:rPr>
          <w:rFonts w:hint="eastAsia" w:ascii="黑体" w:eastAsia="黑体"/>
          <w:sz w:val="28"/>
          <w:szCs w:val="28"/>
        </w:rPr>
        <w:t>项目招标</w:t>
      </w:r>
    </w:p>
    <w:p>
      <w:pPr>
        <w:spacing w:before="312" w:beforeLines="100"/>
        <w:jc w:val="center"/>
        <w:rPr>
          <w:rFonts w:ascii="黑体" w:eastAsia="黑体"/>
          <w:sz w:val="44"/>
          <w:szCs w:val="44"/>
        </w:rPr>
      </w:pPr>
      <w:r>
        <w:rPr>
          <w:rFonts w:hint="eastAsia" w:ascii="黑体" w:eastAsia="黑体"/>
          <w:sz w:val="44"/>
          <w:szCs w:val="44"/>
        </w:rPr>
        <w:t>投  标  文  件</w:t>
      </w:r>
    </w:p>
    <w:p>
      <w:pPr>
        <w:jc w:val="center"/>
        <w:rPr>
          <w:rFonts w:ascii="黑体" w:eastAsia="黑体"/>
          <w:sz w:val="32"/>
          <w:szCs w:val="32"/>
        </w:rPr>
      </w:pPr>
    </w:p>
    <w:p>
      <w:pPr>
        <w:jc w:val="center"/>
        <w:rPr>
          <w:rFonts w:ascii="黑体" w:eastAsia="黑体"/>
          <w:sz w:val="32"/>
          <w:szCs w:val="32"/>
        </w:rPr>
      </w:pPr>
    </w:p>
    <w:p>
      <w:pPr>
        <w:jc w:val="center"/>
        <w:rPr>
          <w:rFonts w:ascii="楷体_GB2312" w:eastAsia="楷体_GB2312"/>
          <w:sz w:val="28"/>
          <w:szCs w:val="28"/>
        </w:rPr>
      </w:pPr>
      <w:r>
        <w:rPr>
          <w:rFonts w:hint="eastAsia" w:ascii="楷体_GB2312" w:eastAsia="楷体_GB2312"/>
          <w:sz w:val="28"/>
          <w:szCs w:val="28"/>
        </w:rPr>
        <w:t>（标段唯一标识码：</w:t>
      </w:r>
      <w:r>
        <w:rPr>
          <w:rFonts w:hint="eastAsia" w:ascii="楷体_GB2312" w:eastAsia="楷体_GB2312"/>
          <w:sz w:val="28"/>
          <w:szCs w:val="28"/>
          <w:u w:val="single"/>
        </w:rPr>
        <w:t xml:space="preserve"> </w:t>
      </w:r>
      <w:r>
        <w:rPr>
          <w:rFonts w:ascii="楷体_GB2312" w:eastAsia="楷体_GB2312"/>
          <w:sz w:val="28"/>
          <w:szCs w:val="28"/>
          <w:u w:val="single"/>
        </w:rPr>
        <w:t xml:space="preserve">                 </w:t>
      </w:r>
      <w:r>
        <w:rPr>
          <w:rFonts w:hint="eastAsia" w:ascii="楷体_GB2312" w:eastAsia="楷体_GB2312"/>
          <w:sz w:val="28"/>
          <w:szCs w:val="28"/>
        </w:rPr>
        <w:t>）</w:t>
      </w:r>
    </w:p>
    <w:p>
      <w:pPr>
        <w:jc w:val="center"/>
        <w:rPr>
          <w:rFonts w:ascii="黑体" w:eastAsia="黑体"/>
          <w:sz w:val="32"/>
          <w:szCs w:val="32"/>
        </w:rPr>
      </w:pPr>
      <w:r>
        <w:rPr>
          <w:rFonts w:hint="eastAsia" w:ascii="楷体_GB2312" w:eastAsia="楷体_GB2312"/>
          <w:sz w:val="28"/>
          <w:szCs w:val="28"/>
        </w:rPr>
        <w:t>（标段编号:</w:t>
      </w:r>
      <w:r>
        <w:rPr>
          <w:rFonts w:hint="eastAsia" w:ascii="楷体_GB2312" w:eastAsia="楷体_GB2312"/>
          <w:sz w:val="28"/>
          <w:szCs w:val="28"/>
          <w:u w:val="single"/>
        </w:rPr>
        <w:t xml:space="preserve"> </w:t>
      </w:r>
      <w:r>
        <w:rPr>
          <w:rFonts w:ascii="楷体_GB2312" w:eastAsia="楷体_GB2312"/>
          <w:sz w:val="28"/>
          <w:szCs w:val="28"/>
          <w:u w:val="single"/>
        </w:rPr>
        <w:t xml:space="preserve">  </w:t>
      </w:r>
      <w:r>
        <w:rPr>
          <w:rFonts w:hint="eastAsia" w:ascii="楷体_GB2312" w:eastAsia="楷体_GB2312"/>
          <w:sz w:val="28"/>
          <w:szCs w:val="28"/>
          <w:u w:val="single"/>
        </w:rPr>
        <w:t xml:space="preserve">       </w:t>
      </w:r>
      <w:r>
        <w:rPr>
          <w:rFonts w:ascii="楷体_GB2312" w:eastAsia="楷体_GB2312"/>
          <w:sz w:val="28"/>
          <w:szCs w:val="28"/>
          <w:u w:val="single"/>
        </w:rPr>
        <w:t xml:space="preserve">               </w:t>
      </w:r>
      <w:r>
        <w:rPr>
          <w:rFonts w:hint="eastAsia" w:ascii="楷体_GB2312" w:eastAsia="楷体_GB2312"/>
          <w:sz w:val="28"/>
          <w:szCs w:val="28"/>
        </w:rPr>
        <w:t>）</w:t>
      </w:r>
    </w:p>
    <w:p>
      <w:pPr>
        <w:jc w:val="center"/>
        <w:rPr>
          <w:rFonts w:ascii="黑体" w:eastAsia="黑体"/>
          <w:sz w:val="32"/>
          <w:szCs w:val="32"/>
        </w:rPr>
      </w:pPr>
    </w:p>
    <w:p>
      <w:pPr>
        <w:jc w:val="center"/>
        <w:rPr>
          <w:rFonts w:ascii="黑体" w:eastAsia="黑体"/>
          <w:sz w:val="32"/>
          <w:szCs w:val="32"/>
        </w:rPr>
      </w:pPr>
    </w:p>
    <w:p>
      <w:pPr>
        <w:rPr>
          <w:rFonts w:ascii="黑体" w:eastAsia="黑体"/>
          <w:sz w:val="32"/>
          <w:szCs w:val="32"/>
        </w:rPr>
      </w:pPr>
    </w:p>
    <w:p>
      <w:pPr>
        <w:jc w:val="center"/>
        <w:rPr>
          <w:rFonts w:ascii="黑体" w:eastAsia="黑体"/>
          <w:sz w:val="32"/>
          <w:szCs w:val="32"/>
        </w:rPr>
      </w:pPr>
    </w:p>
    <w:p>
      <w:pPr>
        <w:rPr>
          <w:rFonts w:ascii="黑体" w:eastAsia="黑体"/>
          <w:sz w:val="32"/>
          <w:szCs w:val="32"/>
        </w:rPr>
      </w:pPr>
    </w:p>
    <w:p>
      <w:pPr>
        <w:jc w:val="center"/>
        <w:rPr>
          <w:rFonts w:ascii="黑体" w:eastAsia="黑体"/>
          <w:sz w:val="32"/>
          <w:szCs w:val="32"/>
        </w:rPr>
      </w:pPr>
    </w:p>
    <w:p>
      <w:pPr>
        <w:spacing w:line="360" w:lineRule="auto"/>
        <w:jc w:val="center"/>
        <w:rPr>
          <w:rFonts w:ascii="黑体" w:eastAsia="黑体"/>
          <w:sz w:val="28"/>
          <w:szCs w:val="28"/>
        </w:rPr>
      </w:pPr>
      <w:r>
        <w:rPr>
          <w:rFonts w:hint="eastAsia" w:ascii="黑体" w:eastAsia="黑体"/>
          <w:sz w:val="28"/>
          <w:szCs w:val="28"/>
        </w:rPr>
        <w:t>投标人：</w:t>
      </w:r>
      <w:r>
        <w:rPr>
          <w:rFonts w:hint="eastAsia" w:ascii="黑体" w:eastAsia="黑体"/>
          <w:sz w:val="28"/>
          <w:szCs w:val="28"/>
          <w:u w:val="single"/>
        </w:rPr>
        <w:t xml:space="preserve">                           </w:t>
      </w:r>
      <w:r>
        <w:rPr>
          <w:rFonts w:hint="eastAsia" w:ascii="黑体" w:eastAsia="黑体"/>
          <w:sz w:val="28"/>
          <w:szCs w:val="28"/>
        </w:rPr>
        <w:t>（盖单位章）</w:t>
      </w:r>
    </w:p>
    <w:p>
      <w:pPr>
        <w:spacing w:line="360" w:lineRule="auto"/>
        <w:jc w:val="center"/>
        <w:rPr>
          <w:rFonts w:ascii="黑体" w:eastAsia="黑体"/>
          <w:sz w:val="28"/>
          <w:szCs w:val="28"/>
        </w:rPr>
      </w:pPr>
      <w:r>
        <w:rPr>
          <w:rFonts w:hint="eastAsia" w:ascii="黑体" w:eastAsia="黑体"/>
          <w:sz w:val="28"/>
          <w:szCs w:val="28"/>
        </w:rPr>
        <w:t>法定代表人或授权委托人：</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r>
        <w:rPr>
          <w:rFonts w:hint="eastAsia" w:ascii="黑体" w:eastAsia="黑体"/>
          <w:sz w:val="28"/>
          <w:szCs w:val="28"/>
        </w:rPr>
        <w:t>（签章）</w:t>
      </w:r>
    </w:p>
    <w:p>
      <w:pPr>
        <w:jc w:val="center"/>
        <w:rPr>
          <w:rFonts w:ascii="黑体" w:eastAsia="黑体"/>
          <w:sz w:val="28"/>
          <w:szCs w:val="28"/>
        </w:rPr>
      </w:pPr>
    </w:p>
    <w:p>
      <w:pPr>
        <w:jc w:val="center"/>
        <w:sectPr>
          <w:pgSz w:w="11906" w:h="16838"/>
          <w:pgMar w:top="1440" w:right="1800" w:bottom="1440" w:left="1800" w:header="851" w:footer="992" w:gutter="0"/>
          <w:cols w:space="425" w:num="1"/>
          <w:docGrid w:type="lines" w:linePitch="312" w:charSpace="0"/>
        </w:sectPr>
      </w:pPr>
      <w:r>
        <w:rPr>
          <w:rFonts w:hint="eastAsia" w:ascii="黑体" w:eastAsia="黑体"/>
          <w:sz w:val="28"/>
          <w:szCs w:val="28"/>
          <w:u w:val="single"/>
        </w:rPr>
        <w:t xml:space="preserve">      </w:t>
      </w:r>
      <w:r>
        <w:rPr>
          <w:rFonts w:hint="eastAsia" w:ascii="黑体" w:eastAsia="黑体"/>
          <w:sz w:val="28"/>
          <w:szCs w:val="28"/>
        </w:rPr>
        <w:t>年</w:t>
      </w:r>
      <w:r>
        <w:rPr>
          <w:rFonts w:hint="eastAsia" w:ascii="黑体" w:eastAsia="黑体"/>
          <w:sz w:val="28"/>
          <w:szCs w:val="28"/>
          <w:u w:val="single"/>
        </w:rPr>
        <w:t xml:space="preserve">      </w:t>
      </w:r>
      <w:r>
        <w:rPr>
          <w:rFonts w:hint="eastAsia" w:ascii="黑体" w:eastAsia="黑体"/>
          <w:sz w:val="28"/>
          <w:szCs w:val="28"/>
        </w:rPr>
        <w:t>月</w:t>
      </w:r>
      <w:r>
        <w:rPr>
          <w:rFonts w:hint="eastAsia" w:ascii="黑体" w:eastAsia="黑体"/>
          <w:sz w:val="28"/>
          <w:szCs w:val="28"/>
          <w:u w:val="single"/>
        </w:rPr>
        <w:t xml:space="preserve">     </w:t>
      </w:r>
      <w:r>
        <w:rPr>
          <w:rFonts w:hint="eastAsia" w:ascii="黑体" w:eastAsia="黑体"/>
          <w:sz w:val="28"/>
          <w:szCs w:val="28"/>
        </w:rPr>
        <w:t>日</w:t>
      </w:r>
    </w:p>
    <w:p>
      <w:pPr>
        <w:pStyle w:val="29"/>
        <w:jc w:val="center"/>
        <w:rPr>
          <w:rFonts w:ascii="黑体"/>
          <w:szCs w:val="28"/>
        </w:rPr>
      </w:pPr>
      <w:bookmarkStart w:id="1417" w:name="_Toc122603068"/>
      <w:bookmarkStart w:id="1418" w:name="_Toc256000375"/>
      <w:bookmarkStart w:id="1419" w:name="_Toc3779"/>
      <w:r>
        <w:rPr>
          <w:rFonts w:hint="eastAsia"/>
        </w:rPr>
        <w:t>目    录</w:t>
      </w:r>
      <w:bookmarkEnd w:id="1417"/>
      <w:bookmarkEnd w:id="1418"/>
      <w:bookmarkEnd w:id="1419"/>
    </w:p>
    <w:p>
      <w:pPr>
        <w:spacing w:line="600" w:lineRule="exact"/>
        <w:rPr>
          <w:rFonts w:hint="eastAsia" w:ascii="宋体" w:hAnsi="宋体"/>
          <w:szCs w:val="21"/>
        </w:rPr>
      </w:pPr>
    </w:p>
    <w:p>
      <w:pPr>
        <w:rPr>
          <w:rFonts w:hint="eastAsia" w:ascii="宋体" w:hAnsi="宋体" w:cs="宋体"/>
        </w:rPr>
        <w:sectPr>
          <w:pgSz w:w="11906" w:h="16838"/>
          <w:pgMar w:top="1440" w:right="1800" w:bottom="1440" w:left="1800" w:header="851" w:footer="992" w:gutter="0"/>
          <w:cols w:space="425" w:num="1"/>
          <w:docGrid w:type="lines" w:linePitch="312" w:charSpace="0"/>
        </w:sectPr>
      </w:pPr>
      <w:r>
        <w:rPr>
          <w:rFonts w:hint="eastAsia" w:ascii="宋体" w:hAnsi="宋体" w:cs="宋体"/>
        </w:rPr>
        <w:t>一、投标函及投标函附录等</w:t>
      </w:r>
      <w:r>
        <w:rPr>
          <w:rFonts w:hint="eastAsia" w:ascii="宋体" w:hAnsi="宋体" w:cs="宋体"/>
        </w:rPr>
        <w:br w:type="textWrapping"/>
      </w:r>
      <w:r>
        <w:rPr>
          <w:rFonts w:hint="eastAsia" w:ascii="宋体" w:hAnsi="宋体" w:cs="宋体"/>
        </w:rPr>
        <w:t>二、法定代表人身份证明或授权委托书</w:t>
      </w:r>
      <w:r>
        <w:rPr>
          <w:rFonts w:hint="eastAsia" w:ascii="宋体" w:hAnsi="宋体" w:cs="宋体"/>
        </w:rPr>
        <w:br w:type="textWrapping"/>
      </w:r>
      <w:r>
        <w:rPr>
          <w:rFonts w:hint="eastAsia" w:ascii="宋体" w:hAnsi="宋体" w:cs="宋体"/>
        </w:rPr>
        <w:t>三、投标保证金</w:t>
      </w:r>
      <w:r>
        <w:rPr>
          <w:rFonts w:hint="eastAsia" w:ascii="宋体" w:hAnsi="宋体" w:cs="宋体"/>
        </w:rPr>
        <w:br w:type="textWrapping"/>
      </w:r>
      <w:r>
        <w:rPr>
          <w:rFonts w:hint="eastAsia" w:ascii="宋体" w:hAnsi="宋体" w:cs="宋体"/>
        </w:rPr>
        <w:t>四、联合体协议书</w:t>
      </w:r>
      <w:r>
        <w:rPr>
          <w:rFonts w:hint="eastAsia" w:ascii="宋体" w:hAnsi="宋体" w:cs="宋体"/>
        </w:rPr>
        <w:br w:type="textWrapping"/>
      </w:r>
      <w:r>
        <w:rPr>
          <w:rFonts w:hint="eastAsia" w:ascii="宋体" w:hAnsi="宋体" w:cs="宋体"/>
        </w:rPr>
        <w:t>五、拟分包计划表</w:t>
      </w:r>
      <w:r>
        <w:rPr>
          <w:rFonts w:hint="eastAsia" w:ascii="宋体" w:hAnsi="宋体" w:cs="宋体"/>
        </w:rPr>
        <w:br w:type="textWrapping"/>
      </w:r>
      <w:r>
        <w:rPr>
          <w:rFonts w:hint="eastAsia" w:ascii="宋体" w:hAnsi="宋体" w:cs="宋体"/>
        </w:rPr>
        <w:t>六、项目管理机构</w:t>
      </w:r>
      <w:r>
        <w:rPr>
          <w:rFonts w:hint="eastAsia" w:ascii="宋体" w:hAnsi="宋体" w:cs="宋体"/>
        </w:rPr>
        <w:br w:type="textWrapping"/>
      </w:r>
      <w:r>
        <w:rPr>
          <w:rFonts w:hint="eastAsia" w:ascii="宋体" w:hAnsi="宋体" w:cs="宋体"/>
        </w:rPr>
        <w:t>七、资格审查资料</w:t>
      </w:r>
      <w:r>
        <w:rPr>
          <w:rFonts w:hint="eastAsia" w:ascii="宋体" w:hAnsi="宋体" w:cs="宋体"/>
        </w:rPr>
        <w:br w:type="textWrapping"/>
      </w:r>
      <w:r>
        <w:rPr>
          <w:rFonts w:hint="eastAsia" w:ascii="宋体" w:hAnsi="宋体" w:cs="宋体"/>
        </w:rPr>
        <w:t>八、已标价工程量清单</w:t>
      </w:r>
      <w:r>
        <w:rPr>
          <w:rFonts w:hint="eastAsia" w:ascii="宋体" w:hAnsi="宋体" w:cs="宋体"/>
        </w:rPr>
        <w:br w:type="textWrapping"/>
      </w:r>
      <w:r>
        <w:rPr>
          <w:rFonts w:hint="eastAsia" w:ascii="宋体" w:hAnsi="宋体" w:cs="宋体"/>
        </w:rPr>
        <w:t>九、施工组织设计</w:t>
      </w:r>
      <w:r>
        <w:rPr>
          <w:rFonts w:hint="eastAsia" w:ascii="宋体" w:hAnsi="宋体" w:cs="宋体"/>
        </w:rPr>
        <w:br w:type="textWrapping"/>
      </w:r>
      <w:r>
        <w:rPr>
          <w:rFonts w:hint="eastAsia" w:ascii="宋体" w:hAnsi="宋体" w:cs="宋体"/>
        </w:rPr>
        <w:t>十、其他材料</w:t>
      </w:r>
    </w:p>
    <w:p/>
    <w:p/>
    <w:p/>
    <w:p/>
    <w:p/>
    <w:p/>
    <w:p/>
    <w:p/>
    <w:p/>
    <w:p/>
    <w:p/>
    <w:p/>
    <w:p/>
    <w:p/>
    <w:p>
      <w:pPr>
        <w:pStyle w:val="29"/>
        <w:widowControl/>
        <w:jc w:val="center"/>
        <w:sectPr>
          <w:footerReference r:id="rId23" w:type="default"/>
          <w:pgSz w:w="11906" w:h="16838"/>
          <w:pgMar w:top="1440" w:right="1800" w:bottom="1440" w:left="1800" w:header="851" w:footer="992" w:gutter="0"/>
          <w:cols w:space="425" w:num="1"/>
          <w:docGrid w:type="lines" w:linePitch="312" w:charSpace="0"/>
        </w:sectPr>
      </w:pPr>
      <w:bookmarkStart w:id="1420" w:name="_Toc256000376"/>
      <w:bookmarkStart w:id="1421" w:name="_Toc6289"/>
      <w:r>
        <w:rPr>
          <w:rFonts w:ascii="黑体" w:hAnsi="宋体" w:cs="黑体"/>
          <w:szCs w:val="28"/>
        </w:rPr>
        <w:t>一</w:t>
      </w:r>
      <w:r>
        <w:rPr>
          <w:rFonts w:hint="eastAsia" w:ascii="黑体" w:hAnsi="宋体" w:cs="黑体"/>
          <w:szCs w:val="28"/>
        </w:rPr>
        <w:t>、投标函及投标函附录等</w:t>
      </w:r>
      <w:bookmarkEnd w:id="1420"/>
      <w:bookmarkEnd w:id="1421"/>
    </w:p>
    <w:p>
      <w:pPr>
        <w:pStyle w:val="31"/>
        <w:spacing w:before="312" w:beforeLines="100" w:after="312" w:afterLines="100"/>
        <w:jc w:val="center"/>
        <w:rPr>
          <w:sz w:val="28"/>
          <w:szCs w:val="28"/>
        </w:rPr>
      </w:pPr>
      <w:bookmarkStart w:id="1422" w:name="_Toc122603070"/>
      <w:bookmarkStart w:id="1423" w:name="_Toc10871"/>
      <w:bookmarkStart w:id="1424" w:name="_Toc256000377"/>
      <w:r>
        <w:rPr>
          <w:rFonts w:hint="eastAsia"/>
          <w:sz w:val="28"/>
          <w:szCs w:val="28"/>
        </w:rPr>
        <w:t>（</w:t>
      </w:r>
      <w:r>
        <w:rPr>
          <w:sz w:val="28"/>
          <w:szCs w:val="28"/>
        </w:rPr>
        <w:t>一</w:t>
      </w:r>
      <w:r>
        <w:rPr>
          <w:rFonts w:hint="eastAsia"/>
          <w:sz w:val="28"/>
          <w:szCs w:val="28"/>
        </w:rPr>
        <w:t>）投标函</w:t>
      </w:r>
      <w:bookmarkEnd w:id="1422"/>
      <w:bookmarkEnd w:id="1423"/>
      <w:bookmarkEnd w:id="1424"/>
    </w:p>
    <w:p>
      <w:pPr>
        <w:spacing w:line="440" w:lineRule="exact"/>
        <w:jc w:val="left"/>
        <w:rPr>
          <w:szCs w:val="21"/>
        </w:rPr>
      </w:pPr>
      <w:r>
        <w:rPr>
          <w:color w:val="000000"/>
          <w:szCs w:val="21"/>
          <w:u w:val="single"/>
          <w:lang w:bidi="ar"/>
        </w:rPr>
        <w:t xml:space="preserve"> </w:t>
      </w:r>
      <w:r>
        <w:rPr>
          <w:szCs w:val="21"/>
          <w:u w:val="single"/>
          <w:lang w:bidi="ar"/>
        </w:rPr>
        <w:t xml:space="preserve">                        </w:t>
      </w:r>
      <w:r>
        <w:rPr>
          <w:rFonts w:hint="eastAsia" w:ascii="宋体" w:hAnsi="宋体" w:cs="宋体"/>
          <w:szCs w:val="21"/>
          <w:lang w:bidi="ar"/>
        </w:rPr>
        <w:t>（招标人名称）：</w:t>
      </w:r>
    </w:p>
    <w:p>
      <w:pPr>
        <w:spacing w:line="440" w:lineRule="exact"/>
        <w:ind w:firstLine="420" w:firstLineChars="200"/>
        <w:rPr>
          <w:szCs w:val="21"/>
        </w:rPr>
      </w:pPr>
      <w:r>
        <w:rPr>
          <w:szCs w:val="21"/>
          <w:lang w:bidi="ar"/>
        </w:rPr>
        <w:t>1.</w:t>
      </w:r>
      <w:r>
        <w:rPr>
          <w:szCs w:val="21"/>
        </w:rPr>
        <w:t>我方已仔细研究了</w:t>
      </w:r>
      <w:r>
        <w:rPr>
          <w:szCs w:val="21"/>
          <w:u w:val="single"/>
        </w:rPr>
        <w:t xml:space="preserve">            </w:t>
      </w:r>
      <w:r>
        <w:rPr>
          <w:u w:val="single"/>
        </w:rPr>
        <w:t xml:space="preserve">  </w:t>
      </w:r>
      <w:r>
        <w:rPr>
          <w:rFonts w:hint="eastAsia"/>
        </w:rPr>
        <w:t>（标段名称）</w:t>
      </w:r>
      <w:r>
        <w:rPr>
          <w:rFonts w:hint="eastAsia"/>
          <w:szCs w:val="21"/>
        </w:rPr>
        <w:t>项目</w:t>
      </w:r>
      <w:r>
        <w:rPr>
          <w:szCs w:val="21"/>
        </w:rPr>
        <w:t>招标文件的全部内容，</w:t>
      </w:r>
      <w:r>
        <w:rPr>
          <w:rFonts w:hint="eastAsia" w:ascii="宋体" w:hAnsi="宋体" w:cs="宋体"/>
          <w:szCs w:val="21"/>
          <w:lang w:bidi="ar"/>
        </w:rPr>
        <w:t>愿意以</w:t>
      </w:r>
      <w:r>
        <w:rPr>
          <w:rFonts w:hint="eastAsia"/>
          <w:szCs w:val="21"/>
        </w:rPr>
        <w:t>【</w:t>
      </w:r>
      <w:r>
        <w:rPr>
          <w:szCs w:val="21"/>
        </w:rPr>
        <w:t>人民币（大写）</w:t>
      </w:r>
      <w:r>
        <w:rPr>
          <w:szCs w:val="21"/>
          <w:u w:val="single"/>
        </w:rPr>
        <w:t xml:space="preserve">        </w:t>
      </w:r>
      <w:r>
        <w:rPr>
          <w:szCs w:val="21"/>
        </w:rPr>
        <w:t>元（¥</w:t>
      </w:r>
      <w:r>
        <w:rPr>
          <w:szCs w:val="21"/>
          <w:u w:val="single"/>
        </w:rPr>
        <w:t xml:space="preserve">      </w:t>
      </w:r>
      <w:r>
        <w:rPr>
          <w:szCs w:val="21"/>
        </w:rPr>
        <w:t>元）</w:t>
      </w:r>
      <w:r>
        <w:rPr>
          <w:rFonts w:hint="eastAsia"/>
          <w:szCs w:val="21"/>
        </w:rPr>
        <w:t>】</w:t>
      </w:r>
      <w:r>
        <w:rPr>
          <w:rFonts w:hint="eastAsia" w:ascii="宋体" w:hAnsi="宋体" w:cs="宋体"/>
          <w:szCs w:val="21"/>
          <w:lang w:bidi="ar"/>
        </w:rPr>
        <w:t>的投标报价，</w:t>
      </w:r>
      <w:r>
        <w:rPr>
          <w:rFonts w:hint="eastAsia"/>
          <w:szCs w:val="21"/>
        </w:rPr>
        <w:t>工期</w:t>
      </w:r>
      <w:r>
        <w:rPr>
          <w:rFonts w:hint="eastAsia"/>
          <w:szCs w:val="21"/>
          <w:u w:val="single"/>
        </w:rPr>
        <w:t xml:space="preserve">          </w:t>
      </w:r>
      <w:r>
        <w:rPr>
          <w:rFonts w:hint="eastAsia"/>
          <w:szCs w:val="21"/>
        </w:rPr>
        <w:t>日历天，</w:t>
      </w:r>
      <w:r>
        <w:rPr>
          <w:szCs w:val="21"/>
        </w:rPr>
        <w:t>按合同约定实施和完成承包工程，修补工程中的任何缺陷，工程质量达到</w:t>
      </w:r>
      <w:r>
        <w:rPr>
          <w:szCs w:val="21"/>
          <w:u w:val="single"/>
        </w:rPr>
        <w:t xml:space="preserve">               </w:t>
      </w:r>
      <w:r>
        <w:rPr>
          <w:szCs w:val="21"/>
        </w:rPr>
        <w:t>。</w:t>
      </w:r>
    </w:p>
    <w:p>
      <w:pPr>
        <w:spacing w:line="480" w:lineRule="exact"/>
        <w:ind w:firstLine="420" w:firstLineChars="200"/>
        <w:rPr>
          <w:rFonts w:hint="eastAsia" w:ascii="宋体" w:hAnsi="宋体"/>
          <w:szCs w:val="21"/>
        </w:rPr>
      </w:pPr>
      <w:r>
        <w:rPr>
          <w:rFonts w:hint="eastAsia" w:ascii="宋体" w:hAnsi="宋体"/>
          <w:szCs w:val="21"/>
        </w:rPr>
        <w:t>在我方的上述投标</w:t>
      </w:r>
      <w:r>
        <w:rPr>
          <w:szCs w:val="21"/>
        </w:rPr>
        <w:t>总</w:t>
      </w:r>
      <w:r>
        <w:rPr>
          <w:rFonts w:hint="eastAsia" w:ascii="宋体" w:hAnsi="宋体"/>
          <w:szCs w:val="21"/>
        </w:rPr>
        <w:t xml:space="preserve">报价中，包括：安全文明施工费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元；暂列金额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元；专业工程暂估价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p>
    <w:p>
      <w:pPr>
        <w:spacing w:line="480" w:lineRule="exact"/>
        <w:ind w:firstLine="420" w:firstLineChars="200"/>
        <w:rPr>
          <w:rFonts w:hint="eastAsia" w:ascii="宋体" w:hAnsi="宋体"/>
          <w:szCs w:val="21"/>
        </w:rPr>
      </w:pPr>
      <w:r>
        <w:rPr>
          <w:rFonts w:hint="eastAsia"/>
          <w:szCs w:val="21"/>
        </w:rPr>
        <w:t>2.我方拟派的项目经理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w:t>
      </w:r>
    </w:p>
    <w:p>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szCs w:val="21"/>
          <w:u w:val="single"/>
        </w:rPr>
        <w:t xml:space="preserve"> </w:t>
      </w:r>
      <w:r>
        <w:rPr>
          <w:rFonts w:hint="eastAsia"/>
          <w:szCs w:val="21"/>
        </w:rPr>
        <w:t>天</w:t>
      </w:r>
      <w:r>
        <w:rPr>
          <w:szCs w:val="21"/>
        </w:rPr>
        <w:t>内不修改、撤销投标文件。</w:t>
      </w:r>
    </w:p>
    <w:p>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440" w:lineRule="exact"/>
        <w:ind w:firstLine="420" w:firstLineChars="200"/>
        <w:rPr>
          <w:szCs w:val="21"/>
        </w:rPr>
      </w:pPr>
      <w:r>
        <w:rPr>
          <w:rFonts w:hint="eastAsia"/>
          <w:szCs w:val="21"/>
        </w:rPr>
        <w:t>5.</w:t>
      </w:r>
      <w:r>
        <w:rPr>
          <w:szCs w:val="21"/>
        </w:rPr>
        <w:t>如我方中标：</w:t>
      </w:r>
    </w:p>
    <w:p>
      <w:pPr>
        <w:spacing w:line="440" w:lineRule="exact"/>
        <w:ind w:firstLine="420" w:firstLineChars="200"/>
        <w:rPr>
          <w:szCs w:val="21"/>
        </w:rPr>
      </w:pPr>
      <w:r>
        <w:rPr>
          <w:szCs w:val="21"/>
        </w:rPr>
        <w:t>（1）我方承诺在收到中标通知书后，在中标通知书规定的期限内与你方签订合同。</w:t>
      </w:r>
    </w:p>
    <w:p>
      <w:pPr>
        <w:spacing w:line="440" w:lineRule="exact"/>
        <w:ind w:firstLine="420" w:firstLineChars="200"/>
        <w:rPr>
          <w:szCs w:val="21"/>
        </w:rPr>
      </w:pPr>
      <w:r>
        <w:rPr>
          <w:szCs w:val="21"/>
        </w:rPr>
        <w:t>（2）随同本投标函递交的投标函附录属于合同文件的组成部分。</w:t>
      </w:r>
    </w:p>
    <w:p>
      <w:pPr>
        <w:spacing w:line="440" w:lineRule="exact"/>
        <w:ind w:firstLine="420" w:firstLineChars="200"/>
        <w:rPr>
          <w:szCs w:val="21"/>
        </w:rPr>
      </w:pPr>
      <w:r>
        <w:rPr>
          <w:szCs w:val="21"/>
        </w:rPr>
        <w:t>（3）我方承诺按照招标文件规定向你方递交履约</w:t>
      </w:r>
      <w:r>
        <w:rPr>
          <w:rFonts w:hint="eastAsia"/>
          <w:szCs w:val="21"/>
        </w:rPr>
        <w:t>保证金</w:t>
      </w:r>
      <w:r>
        <w:rPr>
          <w:szCs w:val="21"/>
        </w:rPr>
        <w:t>。</w:t>
      </w:r>
    </w:p>
    <w:p>
      <w:pPr>
        <w:spacing w:line="380" w:lineRule="exact"/>
        <w:ind w:firstLine="420"/>
        <w:jc w:val="left"/>
        <w:rPr>
          <w:szCs w:val="21"/>
        </w:rPr>
      </w:pPr>
      <w:r>
        <w:rPr>
          <w:szCs w:val="21"/>
        </w:rPr>
        <w:t>（4）我方承诺在合同约定的期限内完成并移交全部合同工程。</w:t>
      </w:r>
    </w:p>
    <w:p>
      <w:pPr>
        <w:spacing w:line="380" w:lineRule="exact"/>
        <w:ind w:firstLine="420"/>
        <w:jc w:val="left"/>
        <w:rPr>
          <w:szCs w:val="21"/>
        </w:rPr>
      </w:pPr>
      <w:bookmarkStart w:id="1425" w:name="_Hlk152146515"/>
      <w:r>
        <w:rPr>
          <w:rFonts w:hint="eastAsia"/>
          <w:szCs w:val="21"/>
        </w:rPr>
        <w:t>（5）</w:t>
      </w:r>
      <w:r>
        <w:rPr>
          <w:rFonts w:hint="eastAsia"/>
          <w:szCs w:val="21"/>
          <w:u w:val="single"/>
        </w:rPr>
        <w:t xml:space="preserve">    </w:t>
      </w:r>
      <w:r>
        <w:rPr>
          <w:rFonts w:hint="eastAsia"/>
          <w:szCs w:val="21"/>
        </w:rPr>
        <w:t>。</w:t>
      </w:r>
    </w:p>
    <w:bookmarkEnd w:id="1425"/>
    <w:p>
      <w:pPr>
        <w:spacing w:line="440" w:lineRule="exact"/>
        <w:ind w:firstLine="420" w:firstLineChars="200"/>
        <w:rPr>
          <w:szCs w:val="21"/>
        </w:rPr>
      </w:pPr>
      <w:r>
        <w:rPr>
          <w:rFonts w:hint="eastAsia"/>
          <w:szCs w:val="21"/>
        </w:rPr>
        <w:t>6.</w:t>
      </w:r>
      <w:r>
        <w:rPr>
          <w:rFonts w:hint="eastAsia"/>
        </w:rPr>
        <w:t>我方在此声明，所递交的投标文件及有关资料内容完整、真实和准确，且不存在第二章“投标人须知”第1.4.3项规定的任何一种情形。</w:t>
      </w:r>
    </w:p>
    <w:p>
      <w:pPr>
        <w:spacing w:line="380" w:lineRule="exact"/>
        <w:ind w:firstLine="420" w:firstLineChars="200"/>
        <w:jc w:val="left"/>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pPr>
        <w:spacing w:line="440" w:lineRule="exact"/>
        <w:ind w:firstLine="420" w:firstLineChars="200"/>
        <w:rPr>
          <w:szCs w:val="21"/>
        </w:rPr>
      </w:pPr>
    </w:p>
    <w:p>
      <w:pPr>
        <w:spacing w:line="440" w:lineRule="exact"/>
        <w:ind w:firstLine="3675" w:firstLineChars="1750"/>
        <w:rPr>
          <w:szCs w:val="21"/>
        </w:rPr>
      </w:pPr>
      <w:r>
        <w:rPr>
          <w:rFonts w:hint="eastAsia" w:ascii="宋体" w:hAnsi="宋体" w:cs="宋体"/>
          <w:szCs w:val="21"/>
          <w:lang w:bidi="ar"/>
        </w:rPr>
        <w:t>投</w:t>
      </w:r>
      <w:r>
        <w:rPr>
          <w:szCs w:val="21"/>
          <w:lang w:bidi="ar"/>
        </w:rPr>
        <w:t xml:space="preserve"> </w:t>
      </w:r>
      <w:r>
        <w:rPr>
          <w:rFonts w:hint="eastAsia" w:ascii="宋体" w:hAnsi="宋体" w:cs="宋体"/>
          <w:szCs w:val="21"/>
          <w:lang w:bidi="ar"/>
        </w:rPr>
        <w:t>标</w:t>
      </w:r>
      <w:r>
        <w:rPr>
          <w:szCs w:val="21"/>
          <w:lang w:bidi="ar"/>
        </w:rPr>
        <w:t xml:space="preserve"> </w:t>
      </w:r>
      <w:r>
        <w:rPr>
          <w:rFonts w:hint="eastAsia" w:ascii="宋体" w:hAnsi="宋体" w:cs="宋体"/>
          <w:szCs w:val="21"/>
          <w:lang w:bidi="ar"/>
        </w:rPr>
        <w:t>人：</w:t>
      </w:r>
      <w:r>
        <w:rPr>
          <w:szCs w:val="21"/>
          <w:u w:val="single"/>
          <w:lang w:bidi="ar"/>
        </w:rPr>
        <w:t xml:space="preserve">                    </w:t>
      </w:r>
      <w:r>
        <w:rPr>
          <w:rFonts w:hint="eastAsia" w:ascii="宋体" w:hAnsi="宋体" w:cs="宋体"/>
          <w:szCs w:val="21"/>
          <w:lang w:bidi="ar"/>
        </w:rPr>
        <w:t>（盖单位章）</w:t>
      </w:r>
    </w:p>
    <w:p>
      <w:pPr>
        <w:spacing w:line="440" w:lineRule="exact"/>
        <w:ind w:firstLine="3675" w:firstLineChars="1750"/>
        <w:rPr>
          <w:szCs w:val="21"/>
        </w:rPr>
      </w:pPr>
      <w:r>
        <w:rPr>
          <w:rFonts w:hint="eastAsia" w:ascii="宋体" w:hAnsi="宋体" w:cs="宋体"/>
          <w:szCs w:val="21"/>
          <w:lang w:bidi="ar"/>
        </w:rPr>
        <w:t>法定代表人或授权委托人：</w:t>
      </w:r>
      <w:r>
        <w:rPr>
          <w:szCs w:val="21"/>
          <w:u w:val="single"/>
          <w:lang w:bidi="ar"/>
        </w:rPr>
        <w:t xml:space="preserve">      </w:t>
      </w:r>
      <w:r>
        <w:rPr>
          <w:rFonts w:hint="eastAsia"/>
          <w:szCs w:val="21"/>
          <w:u w:val="single"/>
          <w:lang w:bidi="ar"/>
        </w:rPr>
        <w:t xml:space="preserve">   </w:t>
      </w:r>
      <w:r>
        <w:rPr>
          <w:szCs w:val="21"/>
          <w:u w:val="single"/>
          <w:lang w:bidi="ar"/>
        </w:rPr>
        <w:t xml:space="preserve"> </w:t>
      </w:r>
      <w:r>
        <w:rPr>
          <w:rFonts w:hint="eastAsia" w:ascii="宋体" w:hAnsi="宋体" w:cs="宋体"/>
          <w:szCs w:val="21"/>
          <w:lang w:bidi="ar"/>
        </w:rPr>
        <w:t>（签章）</w:t>
      </w:r>
    </w:p>
    <w:p>
      <w:pPr>
        <w:spacing w:line="440" w:lineRule="exact"/>
        <w:ind w:firstLine="3675" w:firstLineChars="1750"/>
        <w:rPr>
          <w:szCs w:val="21"/>
        </w:rPr>
      </w:pPr>
      <w:r>
        <w:rPr>
          <w:rFonts w:hint="eastAsia" w:ascii="宋体" w:hAnsi="宋体" w:cs="宋体"/>
          <w:szCs w:val="21"/>
          <w:lang w:bidi="ar"/>
        </w:rPr>
        <w:t>地址：</w:t>
      </w:r>
      <w:r>
        <w:rPr>
          <w:szCs w:val="21"/>
          <w:u w:val="single"/>
          <w:lang w:bidi="ar"/>
        </w:rPr>
        <w:t xml:space="preserve">                                   </w:t>
      </w:r>
    </w:p>
    <w:p>
      <w:pPr>
        <w:spacing w:line="440" w:lineRule="exact"/>
        <w:ind w:firstLine="3675" w:firstLineChars="1750"/>
        <w:rPr>
          <w:szCs w:val="21"/>
        </w:rPr>
      </w:pPr>
      <w:r>
        <w:rPr>
          <w:rFonts w:hint="eastAsia" w:ascii="宋体" w:hAnsi="宋体" w:cs="宋体"/>
          <w:szCs w:val="21"/>
          <w:lang w:bidi="ar"/>
        </w:rPr>
        <w:t>网址：</w:t>
      </w:r>
      <w:r>
        <w:rPr>
          <w:szCs w:val="21"/>
          <w:u w:val="single"/>
          <w:lang w:bidi="ar"/>
        </w:rPr>
        <w:t xml:space="preserve">                                   </w:t>
      </w:r>
    </w:p>
    <w:p>
      <w:pPr>
        <w:spacing w:line="440" w:lineRule="exact"/>
        <w:ind w:firstLine="3675" w:firstLineChars="1750"/>
        <w:rPr>
          <w:szCs w:val="21"/>
        </w:rPr>
      </w:pPr>
      <w:r>
        <w:rPr>
          <w:rFonts w:hint="eastAsia" w:ascii="宋体" w:hAnsi="宋体" w:cs="宋体"/>
          <w:szCs w:val="21"/>
          <w:lang w:bidi="ar"/>
        </w:rPr>
        <w:t>电话：</w:t>
      </w:r>
      <w:r>
        <w:rPr>
          <w:szCs w:val="21"/>
          <w:u w:val="single"/>
          <w:lang w:bidi="ar"/>
        </w:rPr>
        <w:t xml:space="preserve">                                   </w:t>
      </w:r>
    </w:p>
    <w:p>
      <w:pPr>
        <w:spacing w:line="440" w:lineRule="exact"/>
        <w:ind w:firstLine="3675" w:firstLineChars="1750"/>
        <w:rPr>
          <w:szCs w:val="21"/>
        </w:rPr>
      </w:pPr>
      <w:r>
        <w:rPr>
          <w:rFonts w:hint="eastAsia" w:ascii="宋体" w:hAnsi="宋体" w:cs="宋体"/>
          <w:szCs w:val="21"/>
          <w:lang w:bidi="ar"/>
        </w:rPr>
        <w:t>传真：</w:t>
      </w:r>
      <w:r>
        <w:rPr>
          <w:szCs w:val="21"/>
          <w:u w:val="single"/>
          <w:lang w:bidi="ar"/>
        </w:rPr>
        <w:t xml:space="preserve">                                   </w:t>
      </w:r>
    </w:p>
    <w:p>
      <w:pPr>
        <w:spacing w:line="440" w:lineRule="exact"/>
        <w:ind w:firstLine="3675" w:firstLineChars="1750"/>
        <w:rPr>
          <w:szCs w:val="21"/>
        </w:rPr>
      </w:pPr>
      <w:r>
        <w:rPr>
          <w:rFonts w:hint="eastAsia" w:ascii="宋体" w:hAnsi="宋体" w:cs="宋体"/>
          <w:szCs w:val="21"/>
          <w:lang w:bidi="ar"/>
        </w:rPr>
        <w:t>邮政编码：</w:t>
      </w:r>
      <w:r>
        <w:rPr>
          <w:szCs w:val="21"/>
          <w:u w:val="single"/>
          <w:lang w:bidi="ar"/>
        </w:rPr>
        <w:t xml:space="preserve">                               </w:t>
      </w:r>
    </w:p>
    <w:p>
      <w:pPr>
        <w:ind w:left="5040" w:firstLine="420"/>
        <w:sectPr>
          <w:footerReference r:id="rId24" w:type="default"/>
          <w:pgSz w:w="11906" w:h="16838"/>
          <w:pgMar w:top="1440" w:right="1800" w:bottom="1440" w:left="1800" w:header="851" w:footer="992" w:gutter="0"/>
          <w:cols w:space="425" w:num="1"/>
          <w:docGrid w:type="lines" w:linePitch="312" w:charSpace="0"/>
        </w:sectPr>
      </w:pPr>
      <w:r>
        <w:rPr>
          <w:szCs w:val="21"/>
          <w:u w:val="single"/>
          <w:lang w:bidi="ar"/>
        </w:rPr>
        <w:t xml:space="preserve">      </w:t>
      </w:r>
      <w:r>
        <w:rPr>
          <w:rFonts w:hint="eastAsia" w:ascii="宋体" w:hAnsi="宋体" w:cs="宋体"/>
          <w:szCs w:val="21"/>
          <w:lang w:bidi="ar"/>
        </w:rPr>
        <w:t>年</w:t>
      </w:r>
      <w:r>
        <w:rPr>
          <w:szCs w:val="21"/>
          <w:u w:val="single"/>
          <w:lang w:bidi="ar"/>
        </w:rPr>
        <w:t xml:space="preserve">      </w:t>
      </w:r>
      <w:r>
        <w:rPr>
          <w:rFonts w:hint="eastAsia" w:ascii="宋体" w:hAnsi="宋体" w:cs="宋体"/>
          <w:szCs w:val="21"/>
          <w:lang w:bidi="ar"/>
        </w:rPr>
        <w:t>月</w:t>
      </w:r>
      <w:r>
        <w:rPr>
          <w:szCs w:val="21"/>
          <w:u w:val="single"/>
          <w:lang w:bidi="ar"/>
        </w:rPr>
        <w:t xml:space="preserve">      </w:t>
      </w:r>
      <w:r>
        <w:rPr>
          <w:rFonts w:hint="eastAsia" w:ascii="宋体" w:hAnsi="宋体" w:cs="宋体"/>
          <w:szCs w:val="21"/>
          <w:lang w:bidi="ar"/>
        </w:rPr>
        <w:t>日</w:t>
      </w:r>
    </w:p>
    <w:p>
      <w:pPr>
        <w:pStyle w:val="31"/>
        <w:spacing w:before="312" w:beforeLines="100" w:after="312" w:afterLines="100"/>
        <w:jc w:val="center"/>
        <w:rPr>
          <w:sz w:val="28"/>
          <w:szCs w:val="28"/>
        </w:rPr>
      </w:pPr>
      <w:bookmarkStart w:id="1426" w:name="_Toc256000378"/>
      <w:bookmarkStart w:id="1427" w:name="_Toc580"/>
      <w:bookmarkStart w:id="1428" w:name="_Toc122603071"/>
      <w:r>
        <w:rPr>
          <w:rFonts w:hint="eastAsia"/>
          <w:sz w:val="28"/>
          <w:szCs w:val="28"/>
        </w:rPr>
        <w:t>（</w:t>
      </w:r>
      <w:r>
        <w:rPr>
          <w:sz w:val="28"/>
          <w:szCs w:val="28"/>
        </w:rPr>
        <w:t>二</w:t>
      </w:r>
      <w:r>
        <w:rPr>
          <w:rFonts w:hint="eastAsia"/>
          <w:sz w:val="28"/>
          <w:szCs w:val="28"/>
        </w:rPr>
        <w:t>）投标函附录</w:t>
      </w:r>
      <w:bookmarkEnd w:id="1426"/>
      <w:bookmarkEnd w:id="1427"/>
      <w:bookmarkEnd w:id="1428"/>
    </w:p>
    <w:p>
      <w:pPr>
        <w:rPr>
          <w:rFonts w:hint="eastAsia" w:ascii="宋体" w:hAnsi="宋体"/>
          <w:b/>
          <w:szCs w:val="21"/>
        </w:rPr>
      </w:pPr>
    </w:p>
    <w:p>
      <w:pPr>
        <w:rPr>
          <w:rFonts w:hint="eastAsia" w:ascii="宋体" w:hAnsi="宋体"/>
          <w:szCs w:val="21"/>
        </w:rPr>
      </w:pPr>
      <w:r>
        <w:rPr>
          <w:rFonts w:hint="eastAsia" w:ascii="宋体" w:hAnsi="宋体"/>
          <w:b/>
          <w:szCs w:val="21"/>
        </w:rPr>
        <w:t>标段名称：</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rPr>
          <w:rFonts w:hint="eastAsia" w:ascii="宋体" w:hAnsi="宋体"/>
          <w:szCs w:val="21"/>
        </w:rPr>
      </w:pPr>
    </w:p>
    <w:tbl>
      <w:tblPr>
        <w:tblStyle w:val="22"/>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399"/>
        <w:gridCol w:w="1314"/>
        <w:gridCol w:w="3789"/>
        <w:gridCol w:w="720"/>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szCs w:val="21"/>
              </w:rPr>
            </w:pPr>
            <w:r>
              <w:rPr>
                <w:rFonts w:hint="eastAsia" w:ascii="宋体" w:hAnsi="宋体"/>
                <w:szCs w:val="21"/>
              </w:rPr>
              <w:t>序号</w:t>
            </w:r>
          </w:p>
        </w:tc>
        <w:tc>
          <w:tcPr>
            <w:tcW w:w="2399" w:type="dxa"/>
            <w:vAlign w:val="center"/>
          </w:tcPr>
          <w:p>
            <w:pPr>
              <w:jc w:val="center"/>
              <w:rPr>
                <w:rFonts w:hint="eastAsia" w:ascii="宋体" w:hAnsi="宋体"/>
                <w:szCs w:val="21"/>
              </w:rPr>
            </w:pPr>
            <w:r>
              <w:rPr>
                <w:rFonts w:hint="eastAsia" w:ascii="宋体" w:hAnsi="宋体"/>
                <w:szCs w:val="21"/>
              </w:rPr>
              <w:t>条款内容</w:t>
            </w:r>
          </w:p>
        </w:tc>
        <w:tc>
          <w:tcPr>
            <w:tcW w:w="1314" w:type="dxa"/>
            <w:vAlign w:val="center"/>
          </w:tcPr>
          <w:p>
            <w:pPr>
              <w:jc w:val="center"/>
              <w:rPr>
                <w:rFonts w:hint="eastAsia" w:ascii="宋体" w:hAnsi="宋体"/>
                <w:szCs w:val="21"/>
              </w:rPr>
            </w:pPr>
            <w:r>
              <w:rPr>
                <w:rFonts w:hint="eastAsia" w:ascii="宋体" w:hAnsi="宋体"/>
                <w:szCs w:val="21"/>
              </w:rPr>
              <w:t>合同条款号</w:t>
            </w:r>
          </w:p>
        </w:tc>
        <w:tc>
          <w:tcPr>
            <w:tcW w:w="3789" w:type="dxa"/>
            <w:vAlign w:val="center"/>
          </w:tcPr>
          <w:p>
            <w:pPr>
              <w:jc w:val="center"/>
              <w:rPr>
                <w:rFonts w:hint="eastAsia" w:ascii="宋体" w:hAnsi="宋体"/>
                <w:szCs w:val="21"/>
              </w:rPr>
            </w:pPr>
            <w:r>
              <w:rPr>
                <w:rFonts w:hint="eastAsia" w:ascii="宋体" w:hAnsi="宋体"/>
                <w:szCs w:val="21"/>
              </w:rPr>
              <w:t>约定内容</w:t>
            </w:r>
          </w:p>
        </w:tc>
        <w:tc>
          <w:tcPr>
            <w:tcW w:w="720" w:type="dxa"/>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20" w:type="dxa"/>
            <w:vAlign w:val="center"/>
          </w:tcPr>
          <w:p>
            <w:pPr>
              <w:jc w:val="center"/>
              <w:rPr>
                <w:rFonts w:hint="eastAsia" w:ascii="宋体" w:hAnsi="宋体"/>
                <w:szCs w:val="21"/>
              </w:rPr>
            </w:pPr>
            <w:r>
              <w:rPr>
                <w:rFonts w:hint="eastAsia" w:ascii="宋体" w:hAnsi="宋体"/>
                <w:szCs w:val="21"/>
              </w:rPr>
              <w:t>1</w:t>
            </w:r>
          </w:p>
        </w:tc>
        <w:tc>
          <w:tcPr>
            <w:tcW w:w="2399" w:type="dxa"/>
            <w:vAlign w:val="center"/>
          </w:tcPr>
          <w:p>
            <w:pPr>
              <w:rPr>
                <w:rFonts w:hint="eastAsia" w:ascii="宋体" w:hAnsi="宋体"/>
                <w:szCs w:val="21"/>
              </w:rPr>
            </w:pPr>
            <w:r>
              <w:rPr>
                <w:rFonts w:ascii="宋体" w:hAnsi="宋体"/>
                <w:szCs w:val="21"/>
              </w:rPr>
              <w:t>项目经理</w:t>
            </w:r>
          </w:p>
        </w:tc>
        <w:tc>
          <w:tcPr>
            <w:tcW w:w="1314" w:type="dxa"/>
            <w:vAlign w:val="center"/>
          </w:tcPr>
          <w:p>
            <w:pPr>
              <w:autoSpaceDE w:val="0"/>
              <w:autoSpaceDN w:val="0"/>
              <w:adjustRightInd w:val="0"/>
              <w:spacing w:before="50"/>
              <w:jc w:val="center"/>
              <w:rPr>
                <w:rFonts w:hint="eastAsia" w:ascii="宋体" w:hAnsi="宋体"/>
                <w:szCs w:val="21"/>
              </w:rPr>
            </w:pPr>
            <w:r>
              <w:rPr>
                <w:rFonts w:ascii="宋体" w:hAnsi="宋体"/>
                <w:szCs w:val="21"/>
              </w:rPr>
              <w:t>1.1.2.</w:t>
            </w:r>
            <w:r>
              <w:rPr>
                <w:rFonts w:hint="eastAsia" w:ascii="宋体" w:hAnsi="宋体"/>
                <w:szCs w:val="21"/>
              </w:rPr>
              <w:t>8</w:t>
            </w:r>
          </w:p>
        </w:tc>
        <w:tc>
          <w:tcPr>
            <w:tcW w:w="3789" w:type="dxa"/>
            <w:vAlign w:val="center"/>
          </w:tcPr>
          <w:p>
            <w:pPr>
              <w:rPr>
                <w:rFonts w:hint="eastAsia" w:ascii="宋体" w:hAnsi="宋体"/>
                <w:szCs w:val="21"/>
              </w:rPr>
            </w:pPr>
            <w:r>
              <w:rPr>
                <w:rFonts w:hint="eastAsia" w:ascii="宋体" w:hAnsi="宋体"/>
                <w:szCs w:val="21"/>
              </w:rPr>
              <w:t>（见投标函）</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jc w:val="center"/>
        </w:trPr>
        <w:tc>
          <w:tcPr>
            <w:tcW w:w="720" w:type="dxa"/>
            <w:vAlign w:val="center"/>
          </w:tcPr>
          <w:p>
            <w:pPr>
              <w:jc w:val="center"/>
              <w:rPr>
                <w:rFonts w:hint="eastAsia" w:ascii="宋体" w:hAnsi="宋体"/>
                <w:szCs w:val="21"/>
              </w:rPr>
            </w:pPr>
            <w:r>
              <w:rPr>
                <w:rFonts w:hint="eastAsia" w:ascii="宋体" w:hAnsi="宋体"/>
                <w:szCs w:val="21"/>
              </w:rPr>
              <w:t>2</w:t>
            </w:r>
          </w:p>
        </w:tc>
        <w:tc>
          <w:tcPr>
            <w:tcW w:w="2399" w:type="dxa"/>
            <w:vAlign w:val="center"/>
          </w:tcPr>
          <w:p>
            <w:pPr>
              <w:rPr>
                <w:rFonts w:hint="eastAsia" w:ascii="宋体" w:hAnsi="宋体"/>
                <w:szCs w:val="21"/>
              </w:rPr>
            </w:pPr>
            <w:r>
              <w:rPr>
                <w:rFonts w:hint="eastAsia" w:ascii="宋体" w:hAnsi="宋体" w:cs="Arial"/>
                <w:kern w:val="0"/>
                <w:szCs w:val="21"/>
              </w:rPr>
              <w:t>工期</w:t>
            </w:r>
          </w:p>
        </w:tc>
        <w:tc>
          <w:tcPr>
            <w:tcW w:w="1314" w:type="dxa"/>
            <w:vAlign w:val="center"/>
          </w:tcPr>
          <w:p>
            <w:pPr>
              <w:autoSpaceDE w:val="0"/>
              <w:autoSpaceDN w:val="0"/>
              <w:adjustRightInd w:val="0"/>
              <w:spacing w:before="50"/>
              <w:jc w:val="center"/>
              <w:rPr>
                <w:rFonts w:hint="eastAsia" w:ascii="宋体" w:hAnsi="宋体"/>
                <w:szCs w:val="21"/>
              </w:rPr>
            </w:pPr>
            <w:r>
              <w:rPr>
                <w:rFonts w:hint="eastAsia" w:ascii="宋体" w:hAnsi="宋体"/>
                <w:szCs w:val="21"/>
              </w:rPr>
              <w:t>1.1.4.3</w:t>
            </w:r>
          </w:p>
        </w:tc>
        <w:tc>
          <w:tcPr>
            <w:tcW w:w="3789" w:type="dxa"/>
            <w:vAlign w:val="center"/>
          </w:tcPr>
          <w:p>
            <w:pPr>
              <w:rPr>
                <w:rFonts w:hint="eastAsia" w:ascii="宋体" w:hAnsi="宋体"/>
                <w:szCs w:val="21"/>
              </w:rPr>
            </w:pPr>
            <w:r>
              <w:rPr>
                <w:rFonts w:hint="eastAsia" w:ascii="宋体" w:hAnsi="宋体"/>
                <w:szCs w:val="21"/>
              </w:rPr>
              <w:t>（见投标函）</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20" w:type="dxa"/>
            <w:vAlign w:val="center"/>
          </w:tcPr>
          <w:p>
            <w:pPr>
              <w:jc w:val="center"/>
              <w:rPr>
                <w:rFonts w:hint="eastAsia" w:ascii="宋体" w:hAnsi="宋体"/>
                <w:szCs w:val="21"/>
              </w:rPr>
            </w:pPr>
            <w:r>
              <w:rPr>
                <w:rFonts w:hint="eastAsia" w:ascii="宋体" w:hAnsi="宋体"/>
                <w:szCs w:val="21"/>
              </w:rPr>
              <w:t>3</w:t>
            </w:r>
          </w:p>
        </w:tc>
        <w:tc>
          <w:tcPr>
            <w:tcW w:w="2399" w:type="dxa"/>
            <w:vAlign w:val="center"/>
          </w:tcPr>
          <w:p>
            <w:pPr>
              <w:rPr>
                <w:rFonts w:hint="eastAsia" w:ascii="宋体" w:hAnsi="宋体"/>
                <w:szCs w:val="21"/>
              </w:rPr>
            </w:pPr>
            <w:r>
              <w:rPr>
                <w:rFonts w:hint="eastAsia" w:ascii="宋体" w:hAnsi="宋体"/>
                <w:szCs w:val="21"/>
              </w:rPr>
              <w:t>缺陷责任期</w:t>
            </w:r>
          </w:p>
        </w:tc>
        <w:tc>
          <w:tcPr>
            <w:tcW w:w="1314" w:type="dxa"/>
            <w:tcMar>
              <w:left w:w="170" w:type="dxa"/>
            </w:tcMar>
            <w:vAlign w:val="center"/>
          </w:tcPr>
          <w:p>
            <w:pPr>
              <w:autoSpaceDE w:val="0"/>
              <w:autoSpaceDN w:val="0"/>
              <w:adjustRightInd w:val="0"/>
              <w:spacing w:before="50"/>
              <w:jc w:val="center"/>
              <w:rPr>
                <w:rFonts w:hint="eastAsia" w:ascii="宋体" w:hAnsi="宋体"/>
                <w:szCs w:val="21"/>
              </w:rPr>
            </w:pPr>
            <w:r>
              <w:rPr>
                <w:rFonts w:hint="eastAsia" w:ascii="宋体" w:hAnsi="宋体"/>
                <w:szCs w:val="21"/>
              </w:rPr>
              <w:t>1.1.4.4</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szCs w:val="21"/>
              </w:rPr>
            </w:pPr>
            <w:r>
              <w:rPr>
                <w:rFonts w:hint="eastAsia" w:ascii="宋体" w:hAnsi="宋体"/>
                <w:szCs w:val="21"/>
              </w:rPr>
              <w:t>4</w:t>
            </w:r>
          </w:p>
        </w:tc>
        <w:tc>
          <w:tcPr>
            <w:tcW w:w="2399" w:type="dxa"/>
            <w:vAlign w:val="center"/>
          </w:tcPr>
          <w:p>
            <w:pPr>
              <w:rPr>
                <w:rFonts w:hint="eastAsia" w:ascii="宋体" w:hAnsi="宋体"/>
                <w:szCs w:val="21"/>
              </w:rPr>
            </w:pPr>
            <w:r>
              <w:t>项目经理每月在施工现场的时间</w:t>
            </w:r>
          </w:p>
        </w:tc>
        <w:tc>
          <w:tcPr>
            <w:tcW w:w="1314" w:type="dxa"/>
            <w:tcMar>
              <w:left w:w="170" w:type="dxa"/>
            </w:tcMar>
            <w:vAlign w:val="center"/>
          </w:tcPr>
          <w:p>
            <w:pPr>
              <w:autoSpaceDE w:val="0"/>
              <w:autoSpaceDN w:val="0"/>
              <w:adjustRightInd w:val="0"/>
              <w:spacing w:before="50"/>
              <w:jc w:val="center"/>
              <w:rPr>
                <w:rFonts w:hint="eastAsia" w:ascii="宋体" w:hAnsi="宋体"/>
                <w:szCs w:val="21"/>
              </w:rPr>
            </w:pPr>
            <w:r>
              <w:rPr>
                <w:rFonts w:ascii="宋体" w:hAnsi="宋体"/>
                <w:szCs w:val="21"/>
              </w:rPr>
              <w:t>3.2.1</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szCs w:val="21"/>
              </w:rPr>
            </w:pPr>
            <w:r>
              <w:rPr>
                <w:rFonts w:hint="eastAsia" w:ascii="宋体" w:hAnsi="宋体"/>
                <w:szCs w:val="21"/>
              </w:rPr>
              <w:t>5</w:t>
            </w:r>
          </w:p>
        </w:tc>
        <w:tc>
          <w:tcPr>
            <w:tcW w:w="2399" w:type="dxa"/>
            <w:vAlign w:val="center"/>
          </w:tcPr>
          <w:p>
            <w:r>
              <w:t>项目经理擅自离开施工现场的违约责任</w:t>
            </w:r>
          </w:p>
        </w:tc>
        <w:tc>
          <w:tcPr>
            <w:tcW w:w="1314" w:type="dxa"/>
            <w:tcMar>
              <w:left w:w="170" w:type="dxa"/>
            </w:tcMar>
            <w:vAlign w:val="center"/>
          </w:tcPr>
          <w:p>
            <w:pPr>
              <w:autoSpaceDE w:val="0"/>
              <w:autoSpaceDN w:val="0"/>
              <w:adjustRightInd w:val="0"/>
              <w:spacing w:before="50"/>
              <w:jc w:val="center"/>
              <w:rPr>
                <w:rFonts w:hint="eastAsia" w:ascii="宋体" w:hAnsi="宋体"/>
                <w:szCs w:val="21"/>
              </w:rPr>
            </w:pPr>
            <w:r>
              <w:rPr>
                <w:rFonts w:ascii="宋体" w:hAnsi="宋体"/>
                <w:szCs w:val="21"/>
              </w:rPr>
              <w:t>3.2.1</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szCs w:val="21"/>
              </w:rPr>
            </w:pPr>
            <w:r>
              <w:rPr>
                <w:rFonts w:hint="eastAsia" w:ascii="宋体" w:hAnsi="宋体"/>
                <w:szCs w:val="21"/>
              </w:rPr>
              <w:t>6</w:t>
            </w:r>
          </w:p>
        </w:tc>
        <w:tc>
          <w:tcPr>
            <w:tcW w:w="2399" w:type="dxa"/>
            <w:vAlign w:val="center"/>
          </w:tcPr>
          <w:p>
            <w:r>
              <w:t>擅自更换项目经理的违约责任</w:t>
            </w:r>
          </w:p>
        </w:tc>
        <w:tc>
          <w:tcPr>
            <w:tcW w:w="1314" w:type="dxa"/>
            <w:tcMar>
              <w:left w:w="170" w:type="dxa"/>
            </w:tcMar>
            <w:vAlign w:val="center"/>
          </w:tcPr>
          <w:p>
            <w:pPr>
              <w:autoSpaceDE w:val="0"/>
              <w:autoSpaceDN w:val="0"/>
              <w:adjustRightInd w:val="0"/>
              <w:spacing w:before="50"/>
              <w:jc w:val="center"/>
              <w:rPr>
                <w:rFonts w:hint="eastAsia" w:ascii="宋体" w:hAnsi="宋体"/>
                <w:szCs w:val="21"/>
              </w:rPr>
            </w:pPr>
            <w:r>
              <w:rPr>
                <w:rFonts w:ascii="宋体" w:hAnsi="宋体"/>
                <w:szCs w:val="21"/>
              </w:rPr>
              <w:t>3.2.3</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szCs w:val="21"/>
              </w:rPr>
            </w:pPr>
            <w:r>
              <w:rPr>
                <w:rFonts w:hint="eastAsia" w:ascii="宋体" w:hAnsi="宋体"/>
                <w:szCs w:val="21"/>
              </w:rPr>
              <w:t>7</w:t>
            </w:r>
          </w:p>
        </w:tc>
        <w:tc>
          <w:tcPr>
            <w:tcW w:w="2399" w:type="dxa"/>
            <w:vAlign w:val="center"/>
          </w:tcPr>
          <w:p>
            <w:r>
              <w:t>无正当理由拒绝更换项目经理的违约责任</w:t>
            </w:r>
          </w:p>
        </w:tc>
        <w:tc>
          <w:tcPr>
            <w:tcW w:w="1314" w:type="dxa"/>
            <w:tcMar>
              <w:left w:w="170" w:type="dxa"/>
            </w:tcMar>
            <w:vAlign w:val="center"/>
          </w:tcPr>
          <w:p>
            <w:pPr>
              <w:autoSpaceDE w:val="0"/>
              <w:autoSpaceDN w:val="0"/>
              <w:adjustRightInd w:val="0"/>
              <w:spacing w:before="50"/>
              <w:jc w:val="center"/>
              <w:rPr>
                <w:rFonts w:hint="eastAsia" w:ascii="宋体" w:hAnsi="宋体"/>
                <w:szCs w:val="21"/>
              </w:rPr>
            </w:pPr>
            <w:r>
              <w:rPr>
                <w:rFonts w:ascii="宋体" w:hAnsi="宋体"/>
                <w:szCs w:val="21"/>
              </w:rPr>
              <w:t>3.2.4</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3" w:hRule="atLeast"/>
          <w:jc w:val="center"/>
        </w:trPr>
        <w:tc>
          <w:tcPr>
            <w:tcW w:w="720" w:type="dxa"/>
            <w:vAlign w:val="center"/>
          </w:tcPr>
          <w:p>
            <w:pPr>
              <w:jc w:val="center"/>
              <w:rPr>
                <w:rFonts w:hint="eastAsia" w:ascii="宋体" w:hAnsi="宋体"/>
                <w:szCs w:val="21"/>
              </w:rPr>
            </w:pPr>
            <w:r>
              <w:rPr>
                <w:rFonts w:hint="eastAsia" w:ascii="宋体" w:hAnsi="宋体"/>
                <w:szCs w:val="21"/>
              </w:rPr>
              <w:t>8</w:t>
            </w:r>
          </w:p>
        </w:tc>
        <w:tc>
          <w:tcPr>
            <w:tcW w:w="2399" w:type="dxa"/>
            <w:vAlign w:val="center"/>
          </w:tcPr>
          <w:p>
            <w:pPr>
              <w:rPr>
                <w:rFonts w:hint="eastAsia" w:ascii="宋体" w:hAnsi="宋体"/>
                <w:szCs w:val="21"/>
              </w:rPr>
            </w:pPr>
            <w:r>
              <w:rPr>
                <w:rFonts w:hint="eastAsia" w:ascii="宋体" w:hAnsi="宋体"/>
                <w:szCs w:val="21"/>
              </w:rPr>
              <w:t>承包人履约担保金额</w:t>
            </w:r>
          </w:p>
        </w:tc>
        <w:tc>
          <w:tcPr>
            <w:tcW w:w="1314" w:type="dxa"/>
            <w:tcMar>
              <w:left w:w="170" w:type="dxa"/>
            </w:tcMar>
            <w:vAlign w:val="center"/>
          </w:tcPr>
          <w:p>
            <w:pPr>
              <w:jc w:val="center"/>
              <w:rPr>
                <w:rFonts w:hint="eastAsia" w:ascii="宋体" w:hAnsi="宋体"/>
                <w:szCs w:val="21"/>
              </w:rPr>
            </w:pPr>
            <w:r>
              <w:rPr>
                <w:rFonts w:hint="eastAsia" w:ascii="宋体" w:hAnsi="宋体"/>
                <w:szCs w:val="21"/>
              </w:rPr>
              <w:t>3.7</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1" w:hRule="atLeast"/>
          <w:jc w:val="center"/>
        </w:trPr>
        <w:tc>
          <w:tcPr>
            <w:tcW w:w="720" w:type="dxa"/>
            <w:vAlign w:val="center"/>
          </w:tcPr>
          <w:p>
            <w:pPr>
              <w:jc w:val="center"/>
              <w:rPr>
                <w:rFonts w:hint="eastAsia" w:ascii="宋体" w:hAnsi="宋体"/>
                <w:szCs w:val="21"/>
              </w:rPr>
            </w:pPr>
            <w:r>
              <w:rPr>
                <w:rFonts w:hint="eastAsia" w:ascii="宋体" w:hAnsi="宋体"/>
                <w:szCs w:val="21"/>
              </w:rPr>
              <w:t>9</w:t>
            </w:r>
          </w:p>
        </w:tc>
        <w:tc>
          <w:tcPr>
            <w:tcW w:w="2399" w:type="dxa"/>
            <w:vAlign w:val="center"/>
          </w:tcPr>
          <w:p>
            <w:pPr>
              <w:rPr>
                <w:rFonts w:hint="eastAsia" w:ascii="宋体" w:hAnsi="宋体"/>
                <w:szCs w:val="21"/>
              </w:rPr>
            </w:pPr>
            <w:r>
              <w:rPr>
                <w:rFonts w:hint="eastAsia" w:ascii="宋体" w:hAnsi="宋体"/>
                <w:szCs w:val="21"/>
              </w:rPr>
              <w:t>分包</w:t>
            </w:r>
          </w:p>
        </w:tc>
        <w:tc>
          <w:tcPr>
            <w:tcW w:w="1314" w:type="dxa"/>
            <w:tcMar>
              <w:left w:w="170" w:type="dxa"/>
            </w:tcMar>
            <w:vAlign w:val="center"/>
          </w:tcPr>
          <w:p>
            <w:pPr>
              <w:jc w:val="center"/>
              <w:rPr>
                <w:rFonts w:hint="eastAsia" w:ascii="宋体" w:hAnsi="宋体"/>
                <w:szCs w:val="21"/>
              </w:rPr>
            </w:pPr>
            <w:r>
              <w:rPr>
                <w:rFonts w:hint="eastAsia" w:ascii="宋体" w:hAnsi="宋体"/>
                <w:szCs w:val="21"/>
              </w:rPr>
              <w:t>3.5.2</w:t>
            </w:r>
          </w:p>
        </w:tc>
        <w:tc>
          <w:tcPr>
            <w:tcW w:w="3789" w:type="dxa"/>
            <w:vAlign w:val="center"/>
          </w:tcPr>
          <w:p>
            <w:pPr>
              <w:rPr>
                <w:rFonts w:hint="eastAsia" w:ascii="宋体" w:hAnsi="宋体"/>
                <w:szCs w:val="21"/>
              </w:rPr>
            </w:pPr>
            <w:r>
              <w:rPr>
                <w:rFonts w:hint="eastAsia" w:ascii="宋体" w:hAnsi="宋体"/>
                <w:szCs w:val="21"/>
              </w:rPr>
              <w:t>见</w:t>
            </w:r>
            <w:r>
              <w:rPr>
                <w:rFonts w:hint="eastAsia"/>
              </w:rPr>
              <w:t>拟分包计划表</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720" w:type="dxa"/>
            <w:vAlign w:val="center"/>
          </w:tcPr>
          <w:p>
            <w:pPr>
              <w:jc w:val="center"/>
              <w:rPr>
                <w:rFonts w:hint="eastAsia" w:ascii="宋体" w:hAnsi="宋体"/>
                <w:szCs w:val="21"/>
              </w:rPr>
            </w:pPr>
            <w:r>
              <w:rPr>
                <w:rFonts w:hint="eastAsia" w:ascii="宋体" w:hAnsi="宋体"/>
                <w:szCs w:val="21"/>
              </w:rPr>
              <w:t>10</w:t>
            </w:r>
          </w:p>
        </w:tc>
        <w:tc>
          <w:tcPr>
            <w:tcW w:w="2399" w:type="dxa"/>
            <w:vAlign w:val="center"/>
          </w:tcPr>
          <w:p>
            <w:pPr>
              <w:rPr>
                <w:rFonts w:hint="eastAsia" w:ascii="宋体" w:hAnsi="宋体"/>
                <w:szCs w:val="21"/>
              </w:rPr>
            </w:pPr>
            <w:r>
              <w:rPr>
                <w:rFonts w:hint="eastAsia" w:ascii="宋体" w:hAnsi="宋体"/>
                <w:szCs w:val="21"/>
              </w:rPr>
              <w:t>逾期竣工违约金</w:t>
            </w:r>
          </w:p>
        </w:tc>
        <w:tc>
          <w:tcPr>
            <w:tcW w:w="1314" w:type="dxa"/>
            <w:tcMar>
              <w:left w:w="170" w:type="dxa"/>
            </w:tcMar>
            <w:vAlign w:val="center"/>
          </w:tcPr>
          <w:p>
            <w:pPr>
              <w:jc w:val="center"/>
              <w:rPr>
                <w:rFonts w:hint="eastAsia" w:ascii="宋体" w:hAnsi="宋体"/>
                <w:szCs w:val="21"/>
              </w:rPr>
            </w:pPr>
            <w:r>
              <w:rPr>
                <w:rFonts w:hint="eastAsia" w:ascii="宋体" w:hAnsi="宋体"/>
                <w:szCs w:val="21"/>
              </w:rPr>
              <w:t>7.5.2</w:t>
            </w:r>
          </w:p>
        </w:tc>
        <w:tc>
          <w:tcPr>
            <w:tcW w:w="3789" w:type="dxa"/>
            <w:vAlign w:val="center"/>
          </w:tcPr>
          <w:p>
            <w:pPr>
              <w:rPr>
                <w:rFonts w:hint="eastAsia"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8" w:hRule="atLeast"/>
          <w:jc w:val="center"/>
        </w:trPr>
        <w:tc>
          <w:tcPr>
            <w:tcW w:w="720" w:type="dxa"/>
            <w:vAlign w:val="center"/>
          </w:tcPr>
          <w:p>
            <w:pPr>
              <w:jc w:val="center"/>
              <w:rPr>
                <w:rFonts w:hint="eastAsia" w:ascii="宋体" w:hAnsi="宋体"/>
                <w:szCs w:val="21"/>
              </w:rPr>
            </w:pPr>
            <w:r>
              <w:rPr>
                <w:rFonts w:hint="eastAsia" w:ascii="宋体" w:hAnsi="宋体"/>
                <w:szCs w:val="21"/>
              </w:rPr>
              <w:t>11</w:t>
            </w:r>
          </w:p>
        </w:tc>
        <w:tc>
          <w:tcPr>
            <w:tcW w:w="2399" w:type="dxa"/>
            <w:vAlign w:val="center"/>
          </w:tcPr>
          <w:p>
            <w:pPr>
              <w:rPr>
                <w:rFonts w:hint="eastAsia" w:ascii="宋体" w:hAnsi="宋体"/>
                <w:szCs w:val="21"/>
              </w:rPr>
            </w:pPr>
            <w:r>
              <w:rPr>
                <w:rFonts w:hint="eastAsia" w:ascii="宋体" w:hAnsi="宋体"/>
                <w:szCs w:val="21"/>
              </w:rPr>
              <w:t>逾期竣工违约金的上限</w:t>
            </w:r>
          </w:p>
        </w:tc>
        <w:tc>
          <w:tcPr>
            <w:tcW w:w="1314" w:type="dxa"/>
            <w:tcMar>
              <w:left w:w="170" w:type="dxa"/>
            </w:tcMar>
            <w:vAlign w:val="center"/>
          </w:tcPr>
          <w:p>
            <w:pPr>
              <w:jc w:val="center"/>
              <w:rPr>
                <w:rFonts w:hint="eastAsia" w:ascii="宋体" w:hAnsi="宋体"/>
                <w:szCs w:val="21"/>
              </w:rPr>
            </w:pPr>
            <w:r>
              <w:rPr>
                <w:rFonts w:hint="eastAsia" w:ascii="宋体" w:hAnsi="宋体"/>
                <w:szCs w:val="21"/>
              </w:rPr>
              <w:t>7.5.2</w:t>
            </w:r>
          </w:p>
        </w:tc>
        <w:tc>
          <w:tcPr>
            <w:tcW w:w="3789" w:type="dxa"/>
            <w:vAlign w:val="center"/>
          </w:tcPr>
          <w:p>
            <w:pPr>
              <w:rPr>
                <w:rFonts w:hint="eastAsia" w:ascii="宋体" w:hAnsi="宋体"/>
                <w:szCs w:val="21"/>
              </w:rPr>
            </w:pPr>
            <w:r>
              <w:rPr>
                <w:rFonts w:hint="eastAsia" w:ascii="宋体" w:hAnsi="宋体"/>
                <w:szCs w:val="21"/>
                <w:u w:val="single"/>
              </w:rPr>
              <w:t xml:space="preserve">             </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vAlign w:val="center"/>
          </w:tcPr>
          <w:p>
            <w:pPr>
              <w:jc w:val="center"/>
              <w:rPr>
                <w:rFonts w:hint="eastAsia" w:ascii="宋体" w:hAnsi="宋体"/>
                <w:szCs w:val="21"/>
              </w:rPr>
            </w:pPr>
            <w:r>
              <w:rPr>
                <w:rFonts w:hint="eastAsia" w:ascii="宋体" w:hAnsi="宋体"/>
                <w:szCs w:val="21"/>
              </w:rPr>
              <w:t>12</w:t>
            </w:r>
          </w:p>
        </w:tc>
        <w:tc>
          <w:tcPr>
            <w:tcW w:w="2399" w:type="dxa"/>
            <w:vAlign w:val="center"/>
          </w:tcPr>
          <w:p>
            <w:pPr>
              <w:rPr>
                <w:rFonts w:hint="eastAsia" w:ascii="宋体" w:hAnsi="宋体"/>
                <w:szCs w:val="21"/>
              </w:rPr>
            </w:pPr>
            <w:r>
              <w:rPr>
                <w:rFonts w:hint="eastAsia" w:ascii="宋体" w:hAnsi="宋体"/>
                <w:szCs w:val="21"/>
              </w:rPr>
              <w:t>价格调整的差额计算</w:t>
            </w:r>
          </w:p>
        </w:tc>
        <w:tc>
          <w:tcPr>
            <w:tcW w:w="1314" w:type="dxa"/>
            <w:tcMar>
              <w:left w:w="170" w:type="dxa"/>
            </w:tcMar>
            <w:vAlign w:val="center"/>
          </w:tcPr>
          <w:p>
            <w:pPr>
              <w:jc w:val="center"/>
              <w:rPr>
                <w:rFonts w:hint="eastAsia" w:ascii="宋体" w:hAnsi="宋体"/>
                <w:szCs w:val="21"/>
              </w:rPr>
            </w:pPr>
            <w:r>
              <w:rPr>
                <w:rFonts w:hint="eastAsia" w:ascii="宋体" w:hAnsi="宋体"/>
                <w:szCs w:val="21"/>
              </w:rPr>
              <w:t>11.1</w:t>
            </w:r>
          </w:p>
        </w:tc>
        <w:tc>
          <w:tcPr>
            <w:tcW w:w="3789" w:type="dxa"/>
            <w:vAlign w:val="center"/>
          </w:tcPr>
          <w:p>
            <w:pPr>
              <w:rPr>
                <w:rFonts w:hint="eastAsia"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3" w:hRule="atLeast"/>
          <w:jc w:val="center"/>
        </w:trPr>
        <w:tc>
          <w:tcPr>
            <w:tcW w:w="720" w:type="dxa"/>
            <w:vAlign w:val="center"/>
          </w:tcPr>
          <w:p>
            <w:pPr>
              <w:jc w:val="center"/>
              <w:rPr>
                <w:rFonts w:hint="eastAsia" w:ascii="宋体" w:hAnsi="宋体"/>
                <w:szCs w:val="21"/>
              </w:rPr>
            </w:pPr>
            <w:r>
              <w:rPr>
                <w:rFonts w:hint="eastAsia" w:ascii="宋体" w:hAnsi="宋体"/>
                <w:szCs w:val="21"/>
              </w:rPr>
              <w:t>13</w:t>
            </w:r>
          </w:p>
        </w:tc>
        <w:tc>
          <w:tcPr>
            <w:tcW w:w="2399" w:type="dxa"/>
            <w:vAlign w:val="center"/>
          </w:tcPr>
          <w:p>
            <w:pPr>
              <w:rPr>
                <w:rFonts w:hint="eastAsia" w:ascii="宋体" w:hAnsi="宋体"/>
                <w:szCs w:val="21"/>
              </w:rPr>
            </w:pPr>
            <w:r>
              <w:rPr>
                <w:rFonts w:hint="eastAsia" w:ascii="宋体" w:hAnsi="宋体"/>
                <w:szCs w:val="21"/>
              </w:rPr>
              <w:t>预付款</w:t>
            </w:r>
            <w:r>
              <w:t>支付比例或金额</w:t>
            </w:r>
          </w:p>
        </w:tc>
        <w:tc>
          <w:tcPr>
            <w:tcW w:w="1314" w:type="dxa"/>
            <w:tcMar>
              <w:left w:w="170" w:type="dxa"/>
            </w:tcMar>
            <w:vAlign w:val="center"/>
          </w:tcPr>
          <w:p>
            <w:pPr>
              <w:jc w:val="center"/>
              <w:rPr>
                <w:rFonts w:hint="eastAsia" w:ascii="宋体" w:hAnsi="宋体"/>
                <w:szCs w:val="21"/>
              </w:rPr>
            </w:pPr>
            <w:r>
              <w:rPr>
                <w:rFonts w:hint="eastAsia" w:ascii="宋体" w:hAnsi="宋体"/>
                <w:szCs w:val="21"/>
              </w:rPr>
              <w:t>12.2.1</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7" w:hRule="atLeast"/>
          <w:jc w:val="center"/>
        </w:trPr>
        <w:tc>
          <w:tcPr>
            <w:tcW w:w="720" w:type="dxa"/>
            <w:vAlign w:val="center"/>
          </w:tcPr>
          <w:p>
            <w:pPr>
              <w:autoSpaceDE w:val="0"/>
              <w:autoSpaceDN w:val="0"/>
              <w:adjustRightInd w:val="0"/>
              <w:spacing w:before="93" w:beforeLines="30"/>
              <w:jc w:val="center"/>
              <w:rPr>
                <w:rFonts w:hint="eastAsia" w:ascii="宋体" w:hAnsi="宋体" w:cs="Arial"/>
                <w:kern w:val="0"/>
                <w:szCs w:val="21"/>
              </w:rPr>
            </w:pPr>
            <w:r>
              <w:rPr>
                <w:rFonts w:hint="eastAsia" w:ascii="宋体" w:hAnsi="宋体" w:cs="Arial"/>
                <w:kern w:val="0"/>
                <w:szCs w:val="21"/>
              </w:rPr>
              <w:t>14</w:t>
            </w:r>
          </w:p>
        </w:tc>
        <w:tc>
          <w:tcPr>
            <w:tcW w:w="2399" w:type="dxa"/>
            <w:vAlign w:val="center"/>
          </w:tcPr>
          <w:p>
            <w:pPr>
              <w:rPr>
                <w:rFonts w:hint="eastAsia" w:ascii="宋体" w:hAnsi="宋体"/>
                <w:szCs w:val="21"/>
              </w:rPr>
            </w:pPr>
            <w:r>
              <w:rPr>
                <w:rFonts w:hint="eastAsia" w:ascii="宋体" w:hAnsi="宋体"/>
                <w:szCs w:val="21"/>
              </w:rPr>
              <w:t>质量保证金额度</w:t>
            </w:r>
          </w:p>
        </w:tc>
        <w:tc>
          <w:tcPr>
            <w:tcW w:w="1314" w:type="dxa"/>
            <w:tcMar>
              <w:left w:w="170" w:type="dxa"/>
            </w:tcMar>
            <w:vAlign w:val="center"/>
          </w:tcPr>
          <w:p>
            <w:pPr>
              <w:jc w:val="center"/>
              <w:rPr>
                <w:rFonts w:hint="eastAsia" w:ascii="宋体" w:hAnsi="宋体"/>
                <w:szCs w:val="21"/>
              </w:rPr>
            </w:pPr>
            <w:r>
              <w:rPr>
                <w:rFonts w:hint="eastAsia" w:ascii="宋体" w:hAnsi="宋体"/>
                <w:szCs w:val="21"/>
              </w:rPr>
              <w:t>15.3.1</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20" w:type="dxa"/>
            <w:vAlign w:val="center"/>
          </w:tcPr>
          <w:p>
            <w:pPr>
              <w:jc w:val="center"/>
              <w:rPr>
                <w:rFonts w:hint="eastAsia" w:ascii="宋体" w:hAnsi="宋体"/>
                <w:szCs w:val="21"/>
              </w:rPr>
            </w:pPr>
            <w:r>
              <w:rPr>
                <w:rFonts w:hint="eastAsia" w:ascii="宋体" w:hAnsi="宋体"/>
                <w:szCs w:val="21"/>
              </w:rPr>
              <w:t>15</w:t>
            </w:r>
          </w:p>
        </w:tc>
        <w:tc>
          <w:tcPr>
            <w:tcW w:w="2399" w:type="dxa"/>
            <w:vAlign w:val="center"/>
          </w:tcPr>
          <w:p>
            <w:pPr>
              <w:rPr>
                <w:rFonts w:hint="eastAsia" w:ascii="宋体" w:hAnsi="宋体"/>
                <w:szCs w:val="21"/>
              </w:rPr>
            </w:pPr>
            <w:r>
              <w:t>质量保证金</w:t>
            </w:r>
            <w:r>
              <w:rPr>
                <w:rFonts w:hint="eastAsia"/>
              </w:rPr>
              <w:t>的</w:t>
            </w:r>
            <w:r>
              <w:t>扣留</w:t>
            </w:r>
            <w:r>
              <w:rPr>
                <w:rFonts w:hint="eastAsia"/>
              </w:rPr>
              <w:t>方式</w:t>
            </w:r>
          </w:p>
        </w:tc>
        <w:tc>
          <w:tcPr>
            <w:tcW w:w="1314" w:type="dxa"/>
            <w:tcMar>
              <w:left w:w="170" w:type="dxa"/>
            </w:tcMar>
            <w:vAlign w:val="center"/>
          </w:tcPr>
          <w:p>
            <w:pPr>
              <w:jc w:val="center"/>
              <w:rPr>
                <w:rFonts w:hint="eastAsia" w:ascii="宋体" w:hAnsi="宋体"/>
                <w:szCs w:val="21"/>
              </w:rPr>
            </w:pPr>
            <w:r>
              <w:rPr>
                <w:rFonts w:ascii="宋体" w:hAnsi="宋体"/>
                <w:szCs w:val="21"/>
              </w:rPr>
              <w:t>15.3.2</w:t>
            </w:r>
          </w:p>
        </w:tc>
        <w:tc>
          <w:tcPr>
            <w:tcW w:w="3789" w:type="dxa"/>
            <w:vAlign w:val="center"/>
          </w:tcPr>
          <w:p>
            <w:pPr>
              <w:rPr>
                <w:rFonts w:hint="eastAsia" w:ascii="宋体" w:hAnsi="宋体"/>
                <w:szCs w:val="21"/>
              </w:rPr>
            </w:pP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33" w:hRule="atLeast"/>
          <w:jc w:val="center"/>
        </w:trPr>
        <w:tc>
          <w:tcPr>
            <w:tcW w:w="720" w:type="dxa"/>
            <w:vAlign w:val="center"/>
          </w:tcPr>
          <w:p>
            <w:pPr>
              <w:autoSpaceDE w:val="0"/>
              <w:autoSpaceDN w:val="0"/>
              <w:adjustRightInd w:val="0"/>
              <w:spacing w:before="93" w:beforeLines="30"/>
              <w:jc w:val="center"/>
              <w:rPr>
                <w:rFonts w:hint="eastAsia" w:ascii="宋体" w:hAnsi="宋体" w:cs="Arial"/>
                <w:kern w:val="0"/>
                <w:szCs w:val="21"/>
              </w:rPr>
            </w:pPr>
            <w:r>
              <w:rPr>
                <w:rFonts w:hint="eastAsia" w:ascii="宋体" w:hAnsi="宋体" w:cs="Arial"/>
                <w:kern w:val="0"/>
                <w:szCs w:val="21"/>
              </w:rPr>
              <w:t>16</w:t>
            </w:r>
          </w:p>
        </w:tc>
        <w:tc>
          <w:tcPr>
            <w:tcW w:w="2399" w:type="dxa"/>
            <w:vAlign w:val="center"/>
          </w:tcPr>
          <w:p>
            <w:pPr>
              <w:autoSpaceDE w:val="0"/>
              <w:autoSpaceDN w:val="0"/>
              <w:adjustRightInd w:val="0"/>
              <w:spacing w:before="93" w:beforeLines="30"/>
              <w:rPr>
                <w:rFonts w:hint="eastAsia" w:ascii="宋体" w:hAnsi="宋体" w:cs="Arial"/>
                <w:kern w:val="0"/>
                <w:szCs w:val="21"/>
              </w:rPr>
            </w:pPr>
            <w:r>
              <w:rPr>
                <w:rFonts w:hint="eastAsia" w:ascii="宋体" w:hAnsi="宋体" w:cs="Arial"/>
                <w:kern w:val="0"/>
                <w:szCs w:val="21"/>
              </w:rPr>
              <w:t>技术标准和要求</w:t>
            </w:r>
          </w:p>
        </w:tc>
        <w:tc>
          <w:tcPr>
            <w:tcW w:w="1314" w:type="dxa"/>
            <w:tcMar>
              <w:left w:w="170" w:type="dxa"/>
            </w:tcMar>
            <w:vAlign w:val="center"/>
          </w:tcPr>
          <w:p>
            <w:pPr>
              <w:autoSpaceDE w:val="0"/>
              <w:autoSpaceDN w:val="0"/>
              <w:adjustRightInd w:val="0"/>
              <w:spacing w:before="93" w:beforeLines="30"/>
              <w:rPr>
                <w:rFonts w:hint="eastAsia" w:ascii="宋体" w:hAnsi="宋体" w:cs="Arial"/>
                <w:bCs/>
                <w:kern w:val="0"/>
                <w:szCs w:val="21"/>
              </w:rPr>
            </w:pPr>
          </w:p>
        </w:tc>
        <w:tc>
          <w:tcPr>
            <w:tcW w:w="3789" w:type="dxa"/>
            <w:vAlign w:val="center"/>
          </w:tcPr>
          <w:p>
            <w:pPr>
              <w:autoSpaceDE w:val="0"/>
              <w:autoSpaceDN w:val="0"/>
              <w:adjustRightInd w:val="0"/>
              <w:spacing w:before="93" w:beforeLines="30"/>
              <w:rPr>
                <w:rFonts w:hint="eastAsia" w:ascii="宋体" w:hAnsi="宋体" w:cs="Arial"/>
                <w:kern w:val="0"/>
                <w:szCs w:val="21"/>
              </w:rPr>
            </w:pPr>
            <w:r>
              <w:rPr>
                <w:rFonts w:hint="eastAsia" w:ascii="宋体" w:hAnsi="宋体"/>
                <w:szCs w:val="21"/>
              </w:rPr>
              <w:t>符合第七章“技术标准和要求”规定</w:t>
            </w:r>
          </w:p>
        </w:tc>
        <w:tc>
          <w:tcPr>
            <w:tcW w:w="72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vAlign w:val="center"/>
          </w:tcPr>
          <w:p>
            <w:pPr>
              <w:rPr>
                <w:rFonts w:hint="eastAsia" w:ascii="宋体" w:hAnsi="宋体"/>
                <w:szCs w:val="21"/>
              </w:rPr>
            </w:pPr>
            <w:r>
              <w:rPr>
                <w:rFonts w:hint="eastAsia" w:ascii="宋体" w:hAnsi="宋体"/>
                <w:szCs w:val="21"/>
              </w:rPr>
              <w:t>备注：投标人在响应招标文件中规定的实质性要求和条件的基础上，可做出其他有利于招标人的承诺。此类承诺可在本表中予以补充填写。</w:t>
            </w:r>
          </w:p>
        </w:tc>
      </w:tr>
    </w:tbl>
    <w:p>
      <w:pPr>
        <w:spacing w:line="440" w:lineRule="exact"/>
        <w:ind w:firstLine="3675" w:firstLineChars="1750"/>
        <w:rPr>
          <w:szCs w:val="21"/>
        </w:rPr>
      </w:pPr>
    </w:p>
    <w:p>
      <w:pPr>
        <w:spacing w:line="440" w:lineRule="exact"/>
        <w:ind w:firstLine="3675" w:firstLineChars="1750"/>
        <w:rPr>
          <w:szCs w:val="21"/>
        </w:rPr>
      </w:pPr>
      <w:r>
        <w:rPr>
          <w:szCs w:val="21"/>
        </w:rPr>
        <w:t>投 标 人：</w:t>
      </w:r>
      <w:r>
        <w:rPr>
          <w:szCs w:val="21"/>
          <w:u w:val="single"/>
        </w:rPr>
        <w:t xml:space="preserve">                      </w:t>
      </w:r>
      <w:r>
        <w:rPr>
          <w:szCs w:val="21"/>
        </w:rPr>
        <w:t>（盖单位章）</w:t>
      </w:r>
    </w:p>
    <w:p>
      <w:pPr>
        <w:spacing w:line="440" w:lineRule="exact"/>
        <w:ind w:firstLine="2415" w:firstLineChars="1150"/>
        <w:rPr>
          <w:szCs w:val="21"/>
        </w:rPr>
      </w:pPr>
      <w:r>
        <w:rPr>
          <w:szCs w:val="21"/>
        </w:rPr>
        <w:t>法定代表人</w:t>
      </w:r>
      <w:r>
        <w:rPr>
          <w:rFonts w:hint="eastAsia"/>
          <w:szCs w:val="21"/>
        </w:rPr>
        <w:t>或授权委托人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（签章）</w:t>
      </w:r>
    </w:p>
    <w:p>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pPr>
        <w:sectPr>
          <w:footerReference r:id="rId25"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rPr>
          <w:sz w:val="28"/>
          <w:szCs w:val="28"/>
        </w:rPr>
      </w:pPr>
      <w:bookmarkStart w:id="1429" w:name="_Toc256000379"/>
      <w:bookmarkStart w:id="1430" w:name="_Toc16398"/>
      <w:bookmarkStart w:id="1431" w:name="_Toc122603072"/>
      <w:r>
        <w:rPr>
          <w:rFonts w:hint="eastAsia"/>
          <w:sz w:val="28"/>
          <w:szCs w:val="28"/>
        </w:rPr>
        <w:t>（</w:t>
      </w:r>
      <w:r>
        <w:rPr>
          <w:sz w:val="28"/>
          <w:szCs w:val="28"/>
        </w:rPr>
        <w:t>三</w:t>
      </w:r>
      <w:r>
        <w:rPr>
          <w:rFonts w:hint="eastAsia"/>
          <w:sz w:val="28"/>
          <w:szCs w:val="28"/>
        </w:rPr>
        <w:t>）告知承诺函</w:t>
      </w:r>
      <w:bookmarkEnd w:id="1429"/>
      <w:bookmarkEnd w:id="1430"/>
      <w:bookmarkEnd w:id="1431"/>
    </w:p>
    <w:p>
      <w:pPr>
        <w:spacing w:line="440" w:lineRule="exact"/>
        <w:ind w:firstLine="420" w:firstLineChars="200"/>
      </w:pPr>
      <w:r>
        <w:rPr>
          <w:rFonts w:hint="eastAsia"/>
        </w:rPr>
        <w:t>我单位参与</w:t>
      </w:r>
      <w:r>
        <w:rPr>
          <w:rFonts w:hint="eastAsia"/>
          <w:u w:val="single"/>
        </w:rPr>
        <w:t xml:space="preserve">    （标段名称 ） </w:t>
      </w:r>
      <w:r>
        <w:rPr>
          <w:u w:val="single"/>
        </w:rPr>
        <w:t xml:space="preserve">  </w:t>
      </w:r>
      <w:r>
        <w:rPr>
          <w:rFonts w:hint="eastAsia"/>
          <w:u w:val="single"/>
        </w:rPr>
        <w:t xml:space="preserve"> </w:t>
      </w:r>
      <w:r>
        <w:rPr>
          <w:rFonts w:hint="eastAsia"/>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440" w:lineRule="exact"/>
        <w:ind w:firstLine="420" w:firstLineChars="200"/>
      </w:pPr>
      <w:r>
        <w:rPr>
          <w:rFonts w:hint="eastAsia"/>
        </w:rPr>
        <w:t>一、我单位和我本人遵循公开、公平、公正、诚实守信的原则，依法依规参与本项目投标。</w:t>
      </w:r>
    </w:p>
    <w:p>
      <w:pPr>
        <w:spacing w:line="440" w:lineRule="exact"/>
        <w:ind w:firstLine="420" w:firstLineChars="200"/>
      </w:pPr>
      <w:r>
        <w:rPr>
          <w:rFonts w:hint="eastAsia"/>
        </w:rPr>
        <w:t>二、我单位具有参与本次投标的资质和能力，公司运营状况良好，不存在挂靠投标、不受让、租借、出租、出借资格或资质证书，无处罚期内的不良行为。</w:t>
      </w:r>
    </w:p>
    <w:p>
      <w:pPr>
        <w:spacing w:line="440" w:lineRule="exact"/>
        <w:ind w:firstLine="420" w:firstLineChars="200"/>
      </w:pPr>
      <w:r>
        <w:rPr>
          <w:rFonts w:hint="eastAsia"/>
        </w:rPr>
        <w:t>三、我单位在本项目投标过程中从招标公告/投标邀请书列明的渠道获取招标文件，没有通过其他不正当渠道获取招标文件。</w:t>
      </w:r>
    </w:p>
    <w:p>
      <w:pPr>
        <w:spacing w:line="440" w:lineRule="exact"/>
        <w:ind w:firstLine="420" w:firstLineChars="200"/>
      </w:pPr>
      <w:r>
        <w:rPr>
          <w:rFonts w:hint="eastAsia"/>
        </w:rPr>
        <w:t>四、我单位承诺投标文件由本单位员工独立编制，严格遵守保密义务。所提供的一切投标相关材料都是真实、有效、合法的。</w:t>
      </w:r>
    </w:p>
    <w:p>
      <w:pPr>
        <w:spacing w:line="440" w:lineRule="exact"/>
        <w:ind w:firstLine="420" w:firstLineChars="200"/>
      </w:pPr>
      <w:r>
        <w:rPr>
          <w:rFonts w:hint="eastAsia"/>
        </w:rPr>
        <w:t>五、我单位不与其他投标人相互串通投标报价，不恶意压低或抬高投标报价，不排挤其他投标人的公平竞争，不损害招标人或其他投标人的合法权益。</w:t>
      </w:r>
    </w:p>
    <w:p>
      <w:pPr>
        <w:spacing w:line="440" w:lineRule="exact"/>
        <w:ind w:firstLine="420" w:firstLineChars="200"/>
      </w:pPr>
      <w:r>
        <w:rPr>
          <w:rFonts w:hint="eastAsia"/>
        </w:rPr>
        <w:t>六、我单位不与招标人或招标代理机构串通投标，损害国家利益、社会公共利益或者他人的合法权益。</w:t>
      </w:r>
    </w:p>
    <w:p>
      <w:pPr>
        <w:spacing w:line="440" w:lineRule="exact"/>
        <w:ind w:firstLine="420" w:firstLineChars="200"/>
      </w:pPr>
      <w:r>
        <w:rPr>
          <w:rFonts w:hint="eastAsia"/>
        </w:rPr>
        <w:t>七、我单位不向招标人或者评标委员会成员行贿以牟取中标，不在开标后进行虚假恶意投诉。</w:t>
      </w:r>
    </w:p>
    <w:p>
      <w:pPr>
        <w:spacing w:line="440" w:lineRule="exact"/>
        <w:ind w:firstLine="420" w:firstLineChars="200"/>
      </w:pPr>
      <w:r>
        <w:rPr>
          <w:rFonts w:hint="eastAsia"/>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pPr>
        <w:spacing w:line="440" w:lineRule="exact"/>
        <w:ind w:firstLine="420" w:firstLineChars="200"/>
      </w:pPr>
      <w:r>
        <w:rPr>
          <w:rFonts w:hint="eastAsia"/>
        </w:rPr>
        <w:t>九、我单位如在本项目招标投标活动评标工作中存在串通投标、弄虚作假等行为的，本单位及本人自愿承担法律责任，接受相应刑事、纪律和行政处罚以及失信惩戒。</w:t>
      </w:r>
    </w:p>
    <w:p>
      <w:pPr>
        <w:spacing w:line="440" w:lineRule="exact"/>
        <w:ind w:firstLine="420" w:firstLineChars="200"/>
      </w:pPr>
      <w:r>
        <w:rPr>
          <w:rFonts w:hint="eastAsia"/>
        </w:rPr>
        <w:t>十、本承诺函由我单位盖章及法定代表人（授权委托人）本人亲自盖章或签字确认</w:t>
      </w:r>
      <w:r>
        <w:rPr>
          <w:rFonts w:hint="eastAsia" w:ascii="宋体" w:hAnsi="宋体" w:cs="宋体"/>
          <w:szCs w:val="21"/>
          <w:lang w:bidi="ar"/>
        </w:rPr>
        <w:t>。</w:t>
      </w:r>
    </w:p>
    <w:p>
      <w:pPr>
        <w:spacing w:line="440" w:lineRule="exact"/>
        <w:ind w:firstLine="420" w:firstLineChars="200"/>
      </w:pPr>
    </w:p>
    <w:p>
      <w:pPr>
        <w:spacing w:line="440" w:lineRule="exact"/>
        <w:ind w:firstLine="5145" w:firstLineChars="2450"/>
      </w:pPr>
      <w:r>
        <w:rPr>
          <w:rFonts w:hint="eastAsia"/>
        </w:rPr>
        <w:t>承诺单位：（盖单位章）</w:t>
      </w:r>
    </w:p>
    <w:p>
      <w:pPr>
        <w:spacing w:line="440" w:lineRule="exact"/>
        <w:ind w:firstLine="4095" w:firstLineChars="1950"/>
      </w:pPr>
      <w:r>
        <w:rPr>
          <w:rFonts w:hint="eastAsia"/>
        </w:rPr>
        <w:t>法定代表人或授权委托人：（签章）</w:t>
      </w:r>
    </w:p>
    <w:p>
      <w:pPr>
        <w:spacing w:line="440" w:lineRule="exact"/>
        <w:ind w:right="420" w:firstLine="420" w:firstLineChars="200"/>
        <w:jc w:val="center"/>
        <w:sectPr>
          <w:footerReference r:id="rId26" w:type="default"/>
          <w:pgSz w:w="11906" w:h="16838"/>
          <w:pgMar w:top="1440" w:right="1800" w:bottom="1440" w:left="1800" w:header="851" w:footer="992" w:gutter="0"/>
          <w:cols w:space="425" w:num="1"/>
          <w:docGrid w:type="lines" w:linePitch="312" w:charSpace="0"/>
        </w:sectPr>
      </w:pPr>
      <w:r>
        <w:t xml:space="preserve">                               </w:t>
      </w:r>
      <w:r>
        <w:rPr>
          <w:rFonts w:hint="eastAsia"/>
        </w:rPr>
        <w:t>承诺时间：</w:t>
      </w:r>
      <w:r>
        <w:rPr>
          <w:rFonts w:hint="eastAsia"/>
        </w:rPr>
        <w:tab/>
      </w:r>
      <w:r>
        <w:t xml:space="preserve">  </w:t>
      </w:r>
      <w:r>
        <w:rPr>
          <w:rFonts w:hint="eastAsia"/>
        </w:rPr>
        <w:t xml:space="preserve">年 </w:t>
      </w:r>
      <w:r>
        <w:t xml:space="preserve"> </w:t>
      </w:r>
      <w:r>
        <w:rPr>
          <w:rFonts w:hint="eastAsia"/>
        </w:rPr>
        <w:t>月  日</w:t>
      </w:r>
    </w:p>
    <w:p>
      <w:pPr>
        <w:pStyle w:val="31"/>
        <w:spacing w:before="312" w:beforeLines="100"/>
        <w:jc w:val="center"/>
        <w:rPr>
          <w:sz w:val="28"/>
          <w:szCs w:val="28"/>
        </w:rPr>
      </w:pPr>
      <w:bookmarkStart w:id="1432" w:name="_Toc122603073"/>
      <w:bookmarkStart w:id="1433" w:name="_Toc256000380"/>
      <w:bookmarkStart w:id="1434" w:name="_Toc11791"/>
      <w:r>
        <w:rPr>
          <w:rFonts w:hint="eastAsia"/>
          <w:sz w:val="28"/>
          <w:szCs w:val="28"/>
        </w:rPr>
        <w:t>（四）声明函</w:t>
      </w:r>
      <w:bookmarkEnd w:id="1432"/>
      <w:bookmarkEnd w:id="1433"/>
      <w:bookmarkEnd w:id="1434"/>
    </w:p>
    <w:p>
      <w:pPr>
        <w:spacing w:line="440" w:lineRule="exact"/>
        <w:ind w:firstLine="420" w:firstLineChars="200"/>
      </w:pPr>
    </w:p>
    <w:p>
      <w:pPr>
        <w:spacing w:line="440" w:lineRule="exact"/>
        <w:ind w:right="420" w:firstLine="420" w:firstLineChars="200"/>
      </w:pPr>
      <w:r>
        <w:rPr>
          <w:rFonts w:hint="eastAsia"/>
        </w:rPr>
        <w:t>在本项目编制投标文件过程中，我单位声明如下：</w:t>
      </w:r>
    </w:p>
    <w:p>
      <w:pPr>
        <w:spacing w:line="440" w:lineRule="exact"/>
        <w:ind w:right="420" w:firstLine="420" w:firstLineChars="200"/>
      </w:pPr>
      <w:r>
        <w:rPr>
          <w:rFonts w:hint="eastAsia"/>
        </w:rPr>
        <w:t>一、未与本标段其他投标人委托同一单位或同一人编制投标文件；</w:t>
      </w:r>
    </w:p>
    <w:p>
      <w:pPr>
        <w:spacing w:line="440" w:lineRule="exact"/>
        <w:ind w:right="420" w:firstLine="420" w:firstLineChars="200"/>
      </w:pPr>
      <w:r>
        <w:rPr>
          <w:rFonts w:hint="eastAsia"/>
        </w:rPr>
        <w:t>二、未与本标段其他投标人协商投标报价；</w:t>
      </w:r>
    </w:p>
    <w:p>
      <w:pPr>
        <w:spacing w:line="440" w:lineRule="exact"/>
        <w:ind w:right="420" w:firstLine="420" w:firstLineChars="200"/>
      </w:pPr>
      <w:r>
        <w:rPr>
          <w:rFonts w:hint="eastAsia"/>
        </w:rPr>
        <w:t>三、未与本标段其他投标人使用同一电脑等电子设备编制投标文件；</w:t>
      </w:r>
    </w:p>
    <w:p>
      <w:pPr>
        <w:spacing w:line="440" w:lineRule="exact"/>
        <w:ind w:right="420" w:firstLine="420" w:firstLineChars="200"/>
      </w:pPr>
      <w:r>
        <w:rPr>
          <w:rFonts w:hint="eastAsia"/>
        </w:rPr>
        <w:t>四、未使用“网络虚拟设备”等无法识别电子设备归属的电脑编制投标文件；</w:t>
      </w:r>
    </w:p>
    <w:p>
      <w:pPr>
        <w:spacing w:line="440" w:lineRule="exact"/>
        <w:ind w:right="420" w:firstLine="420" w:firstLineChars="200"/>
      </w:pPr>
      <w:r>
        <w:rPr>
          <w:rFonts w:hint="eastAsia"/>
        </w:rPr>
        <w:t>五、本项目技术标（施工组织设计）是针对本项目现场实际、技术特点以及施工图纸而编制的相应的技术方案，在编制过程中未抄袭、摘抄网络或其他项目相关技术资料，对文件内容具有独立自主知识产权；</w:t>
      </w:r>
    </w:p>
    <w:p>
      <w:pPr>
        <w:spacing w:line="440" w:lineRule="exact"/>
        <w:ind w:right="420" w:firstLine="420" w:firstLineChars="200"/>
      </w:pPr>
      <w:r>
        <w:rPr>
          <w:rFonts w:hint="eastAsia"/>
        </w:rPr>
        <w:t>六、本项目经济标（投标报价）是依据本项目给定的图纸、工程量清单、最高投标限价以及现场实际独立编制的，对投标报价编制的完整性、准确性负责；</w:t>
      </w:r>
    </w:p>
    <w:p>
      <w:pPr>
        <w:spacing w:line="440" w:lineRule="exact"/>
        <w:ind w:right="420" w:firstLine="420" w:firstLineChars="200"/>
      </w:pPr>
      <w:r>
        <w:rPr>
          <w:rFonts w:hint="eastAsia"/>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pPr>
        <w:spacing w:line="440" w:lineRule="exact"/>
        <w:ind w:right="420" w:firstLine="420" w:firstLineChars="200"/>
      </w:pPr>
      <w:r>
        <w:rPr>
          <w:rFonts w:hint="eastAsia"/>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pPr>
        <w:spacing w:line="440" w:lineRule="exact"/>
        <w:ind w:right="420" w:firstLine="420" w:firstLineChars="200"/>
      </w:pPr>
      <w:r>
        <w:rPr>
          <w:rFonts w:hint="eastAsia"/>
        </w:rPr>
        <w:t>特此声明！</w:t>
      </w:r>
    </w:p>
    <w:p>
      <w:pPr>
        <w:spacing w:line="440" w:lineRule="exact"/>
        <w:ind w:right="420" w:firstLine="420" w:firstLineChars="200"/>
        <w:jc w:val="center"/>
      </w:pPr>
    </w:p>
    <w:p>
      <w:pPr>
        <w:spacing w:line="440" w:lineRule="exact"/>
        <w:ind w:right="420" w:firstLine="420" w:firstLineChars="200"/>
        <w:jc w:val="center"/>
        <w:rPr>
          <w:rFonts w:hint="eastAsia" w:ascii="宋体" w:hAnsi="宋体"/>
          <w:szCs w:val="21"/>
        </w:rPr>
      </w:pPr>
    </w:p>
    <w:p>
      <w:pPr>
        <w:spacing w:line="440" w:lineRule="exact"/>
        <w:ind w:right="420" w:firstLine="420" w:firstLineChars="200"/>
        <w:jc w:val="center"/>
        <w:rPr>
          <w:rFonts w:hint="eastAsia" w:ascii="宋体" w:hAnsi="宋体"/>
          <w:szCs w:val="21"/>
        </w:rPr>
      </w:pPr>
    </w:p>
    <w:p>
      <w:pPr>
        <w:spacing w:line="440" w:lineRule="exact"/>
        <w:ind w:firstLine="4095" w:firstLineChars="1950"/>
      </w:pPr>
      <w:r>
        <w:rPr>
          <w:rFonts w:hint="eastAsia"/>
        </w:rPr>
        <w:t>声明单位：（盖单位章）</w:t>
      </w:r>
    </w:p>
    <w:p>
      <w:pPr>
        <w:spacing w:line="440" w:lineRule="exact"/>
        <w:ind w:firstLine="4095" w:firstLineChars="1950"/>
      </w:pPr>
      <w:r>
        <w:rPr>
          <w:rFonts w:hint="eastAsia"/>
        </w:rPr>
        <w:t>法定代表人或授权委托人：（签章）</w:t>
      </w:r>
    </w:p>
    <w:p>
      <w:pPr>
        <w:spacing w:line="440" w:lineRule="exact"/>
        <w:ind w:right="420" w:firstLine="420" w:firstLineChars="200"/>
        <w:jc w:val="center"/>
      </w:pPr>
      <w:r>
        <w:t xml:space="preserve">                                   </w:t>
      </w:r>
      <w:r>
        <w:rPr>
          <w:rFonts w:hint="eastAsia"/>
        </w:rPr>
        <w:t>声明时间：</w:t>
      </w:r>
      <w:r>
        <w:rPr>
          <w:rFonts w:hint="eastAsia"/>
        </w:rPr>
        <w:tab/>
      </w:r>
      <w:r>
        <w:t xml:space="preserve">  </w:t>
      </w:r>
      <w:r>
        <w:rPr>
          <w:rFonts w:hint="eastAsia"/>
        </w:rPr>
        <w:t xml:space="preserve">年 </w:t>
      </w:r>
      <w:r>
        <w:rPr>
          <w:rFonts w:hint="eastAsia"/>
        </w:rPr>
        <w:tab/>
      </w:r>
      <w:r>
        <w:t xml:space="preserve">    </w:t>
      </w:r>
      <w:r>
        <w:rPr>
          <w:rFonts w:hint="eastAsia"/>
        </w:rPr>
        <w:t xml:space="preserve">月  </w:t>
      </w:r>
      <w:r>
        <w:rPr>
          <w:rFonts w:hint="eastAsia"/>
        </w:rPr>
        <w:tab/>
      </w:r>
      <w:r>
        <w:rPr>
          <w:rFonts w:hint="eastAsia"/>
        </w:rPr>
        <w:t>日</w:t>
      </w:r>
    </w:p>
    <w:p/>
    <w:p>
      <w:pPr>
        <w:pStyle w:val="2"/>
      </w:pPr>
    </w:p>
    <w:p>
      <w:pPr>
        <w:pStyle w:val="3"/>
      </w:pPr>
    </w:p>
    <w:p/>
    <w:p>
      <w:pPr>
        <w:pStyle w:val="2"/>
      </w:pPr>
    </w:p>
    <w:p>
      <w:pPr>
        <w:pStyle w:val="3"/>
      </w:pPr>
    </w:p>
    <w:p/>
    <w:p>
      <w:pPr>
        <w:pStyle w:val="2"/>
      </w:pPr>
    </w:p>
    <w:p>
      <w:pPr>
        <w:pStyle w:val="31"/>
        <w:spacing w:before="312" w:beforeLines="100"/>
        <w:jc w:val="center"/>
        <w:rPr>
          <w:rFonts w:hint="eastAsia" w:ascii="宋体" w:hAnsi="宋体" w:eastAsia="宋体" w:cs="Times New Roman"/>
          <w:color w:val="000000" w:themeColor="text1"/>
          <w:sz w:val="28"/>
          <w:szCs w:val="28"/>
          <w14:textFill>
            <w14:solidFill>
              <w14:schemeClr w14:val="tx1"/>
            </w14:solidFill>
          </w14:textFill>
        </w:rPr>
      </w:pPr>
      <w:bookmarkStart w:id="1435" w:name="_Toc18724"/>
      <w:r>
        <w:rPr>
          <w:rFonts w:hint="eastAsia" w:ascii="宋体" w:hAnsi="宋体" w:eastAsia="宋体" w:cs="Times New Roman"/>
          <w:sz w:val="28"/>
          <w:szCs w:val="28"/>
        </w:rPr>
        <w:t>（五）诚信守法承诺书</w:t>
      </w:r>
      <w:bookmarkEnd w:id="1435"/>
    </w:p>
    <w:p>
      <w:pPr>
        <w:spacing w:line="420" w:lineRule="exac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w:t>
      </w:r>
    </w:p>
    <w:p>
      <w:pPr>
        <w:spacing w:line="440" w:lineRule="exact"/>
        <w:ind w:right="420" w:firstLine="420" w:firstLineChars="200"/>
        <w:jc w:val="left"/>
        <w:rPr>
          <w:rFonts w:hint="eastAsia" w:ascii="宋体" w:hAnsi="宋体" w:cs="宋体"/>
        </w:rPr>
      </w:pPr>
      <w:r>
        <w:rPr>
          <w:rFonts w:hint="eastAsia" w:ascii="宋体" w:hAnsi="宋体" w:cs="宋体"/>
        </w:rPr>
        <w:t>□本单位参加贵公司建设（代建）的项目（项目名称）投标，</w:t>
      </w:r>
    </w:p>
    <w:p>
      <w:pPr>
        <w:spacing w:line="440" w:lineRule="exact"/>
        <w:ind w:right="420" w:firstLine="420" w:firstLineChars="200"/>
        <w:jc w:val="left"/>
        <w:rPr>
          <w:rFonts w:hint="eastAsia" w:ascii="宋体" w:hAnsi="宋体" w:cs="宋体"/>
        </w:rPr>
      </w:pPr>
      <w:r>
        <w:rPr>
          <w:rFonts w:hint="eastAsia" w:ascii="宋体" w:hAnsi="宋体" w:cs="宋体"/>
        </w:rPr>
        <w:t>□本单位承接贵公司建设（代建）的项目（项目名称），</w:t>
      </w:r>
    </w:p>
    <w:p>
      <w:pPr>
        <w:spacing w:line="440" w:lineRule="exact"/>
        <w:ind w:right="420" w:firstLine="420" w:firstLineChars="200"/>
        <w:jc w:val="left"/>
        <w:rPr>
          <w:rFonts w:hint="eastAsia" w:ascii="宋体" w:hAnsi="宋体" w:cs="宋体"/>
        </w:rPr>
      </w:pPr>
      <w:r>
        <w:rPr>
          <w:rFonts w:hint="eastAsia" w:ascii="宋体" w:hAnsi="宋体" w:cs="宋体"/>
        </w:rPr>
        <w:t>在此郑重承诺：</w:t>
      </w:r>
    </w:p>
    <w:p>
      <w:pPr>
        <w:spacing w:line="440" w:lineRule="exact"/>
        <w:ind w:right="420" w:firstLine="420" w:firstLineChars="200"/>
        <w:rPr>
          <w:rFonts w:hint="eastAsia" w:ascii="宋体" w:hAnsi="宋体" w:cs="宋体"/>
        </w:rPr>
      </w:pPr>
      <w:r>
        <w:rPr>
          <w:rFonts w:hint="eastAsia" w:ascii="宋体" w:hAnsi="宋体" w:cs="宋体"/>
        </w:rPr>
        <w:t>一、本单位及单位的工作人员都将坚持诚实信用守法原则，严格按照有关法律法规和程序开展业务工作，严格执行工程建设的有关方针、政策、强制性标准和规范。</w:t>
      </w:r>
    </w:p>
    <w:p>
      <w:pPr>
        <w:spacing w:line="440" w:lineRule="exact"/>
        <w:ind w:right="420"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二、决不索取或者收受与上述工程项目有关联的建设、代建、招标代理机构、评标委员会、勘察、设计、施工、监理、材料设备供应商等任何一家单位及其工作人员的财物或者各种名义的回扣、手续费。</w:t>
      </w:r>
    </w:p>
    <w:p>
      <w:pPr>
        <w:spacing w:line="440" w:lineRule="exact"/>
        <w:ind w:right="420" w:firstLine="420" w:firstLineChars="200"/>
        <w:rPr>
          <w:rFonts w:hint="eastAsia" w:ascii="宋体" w:hAnsi="宋体" w:cs="宋体"/>
        </w:rPr>
      </w:pPr>
      <w:r>
        <w:rPr>
          <w:rFonts w:hint="eastAsia" w:ascii="宋体" w:hAnsi="宋体" w:cs="宋体"/>
        </w:rPr>
        <w:t>三、决不给予与上述工程项目有关联的建设、代建、招标代理机构、评标委员会、勘察、设计、施工、监理、材料设备供应商等任何一家单位及其工作人员财物或者各种名义的回扣、手续费。</w:t>
      </w:r>
    </w:p>
    <w:p>
      <w:pPr>
        <w:spacing w:line="440" w:lineRule="exact"/>
        <w:ind w:right="420" w:firstLine="420" w:firstLineChars="200"/>
        <w:rPr>
          <w:rFonts w:hint="eastAsia" w:ascii="宋体" w:hAnsi="宋体" w:cs="宋体"/>
        </w:rPr>
      </w:pPr>
      <w:r>
        <w:rPr>
          <w:rFonts w:hint="eastAsia" w:ascii="宋体" w:hAnsi="宋体" w:cs="宋体"/>
        </w:rPr>
        <w:t>若本单位或本单位工作人员违背上述承诺，致使贵公司工作人员受到纪检监察部门党纪、政纪处分，自处分确定之日起三日内，本单位自愿支付贵公司      万元人民币违约金；致使贵公司工作人员受到司法机关刑事追究（判处拘役或有期徒刑以上刑罚处罚），自判决生效之日起三日内，本单位自愿支付贵公司       万元人民币违约金；致使与上述工程项目有关联的招标代理机构、评标委员会、勘察、设计、施工、监理、材料设备供应商等单位工作人员受到司法机关刑事追究（判处拘役或有期徒刑以上刑罚处罚），自判决生效之日起三日内，本单位自愿支付贵公司            万元人民币违约金。</w:t>
      </w:r>
    </w:p>
    <w:p>
      <w:pPr>
        <w:spacing w:line="440" w:lineRule="exact"/>
        <w:ind w:right="420" w:firstLine="420" w:firstLineChars="200"/>
        <w:jc w:val="left"/>
        <w:rPr>
          <w:rFonts w:hint="eastAsia" w:ascii="宋体" w:hAnsi="宋体" w:cs="宋体"/>
        </w:rPr>
      </w:pPr>
      <w:r>
        <w:rPr>
          <w:rFonts w:hint="eastAsia" w:ascii="宋体" w:hAnsi="宋体" w:cs="宋体"/>
        </w:rPr>
        <w:t>特此承诺，自愿约定责任无期限。</w:t>
      </w:r>
    </w:p>
    <w:p>
      <w:pPr>
        <w:spacing w:line="440" w:lineRule="exact"/>
        <w:ind w:right="420" w:firstLine="420" w:firstLineChars="200"/>
        <w:jc w:val="left"/>
        <w:rPr>
          <w:rFonts w:hint="eastAsia" w:ascii="宋体" w:hAnsi="宋体" w:cs="宋体"/>
        </w:rPr>
      </w:pPr>
      <w:r>
        <w:rPr>
          <w:rFonts w:hint="eastAsia" w:ascii="宋体" w:hAnsi="宋体" w:cs="宋体"/>
        </w:rPr>
        <w:t xml:space="preserve">承诺人（法人单位盖章）：            </w:t>
      </w:r>
    </w:p>
    <w:p>
      <w:pPr>
        <w:spacing w:line="440" w:lineRule="exact"/>
        <w:ind w:right="420" w:firstLine="420" w:firstLineChars="200"/>
        <w:jc w:val="left"/>
        <w:rPr>
          <w:rFonts w:hint="eastAsia" w:ascii="宋体" w:hAnsi="宋体" w:cs="宋体"/>
        </w:rPr>
      </w:pPr>
      <w:r>
        <w:rPr>
          <w:rFonts w:hint="eastAsia" w:ascii="宋体" w:hAnsi="宋体" w:cs="宋体"/>
        </w:rPr>
        <w:t xml:space="preserve">住所：                             </w:t>
      </w:r>
    </w:p>
    <w:p>
      <w:pPr>
        <w:spacing w:line="440" w:lineRule="exact"/>
        <w:ind w:right="420" w:firstLine="420" w:firstLineChars="200"/>
        <w:jc w:val="left"/>
        <w:rPr>
          <w:rFonts w:hint="eastAsia" w:ascii="宋体" w:hAnsi="宋体" w:cs="宋体"/>
        </w:rPr>
      </w:pPr>
      <w:r>
        <w:rPr>
          <w:rFonts w:hint="eastAsia" w:ascii="宋体" w:hAnsi="宋体" w:cs="宋体"/>
        </w:rPr>
        <w:t xml:space="preserve">法定代表人（签字）：                </w:t>
      </w:r>
    </w:p>
    <w:p>
      <w:pPr>
        <w:spacing w:line="440" w:lineRule="exact"/>
        <w:ind w:right="420" w:firstLine="420" w:firstLineChars="200"/>
        <w:jc w:val="left"/>
        <w:rPr>
          <w:rFonts w:hint="eastAsia" w:ascii="宋体" w:hAnsi="宋体" w:cs="宋体"/>
        </w:rPr>
      </w:pPr>
      <w:r>
        <w:rPr>
          <w:rFonts w:hint="eastAsia" w:ascii="宋体" w:hAnsi="宋体" w:cs="宋体"/>
        </w:rPr>
        <w:t xml:space="preserve">住所：                             </w:t>
      </w:r>
    </w:p>
    <w:p>
      <w:pPr>
        <w:spacing w:line="440" w:lineRule="exact"/>
        <w:ind w:right="420" w:firstLine="420" w:firstLineChars="200"/>
        <w:jc w:val="left"/>
        <w:rPr>
          <w:rFonts w:hint="eastAsia" w:ascii="宋体" w:hAnsi="宋体" w:cs="宋体"/>
        </w:rPr>
      </w:pPr>
      <w:r>
        <w:rPr>
          <w:rFonts w:hint="eastAsia" w:ascii="宋体" w:hAnsi="宋体" w:cs="宋体"/>
        </w:rPr>
        <w:t xml:space="preserve">身份证号码：                       </w:t>
      </w:r>
    </w:p>
    <w:p>
      <w:pPr>
        <w:spacing w:line="440" w:lineRule="exact"/>
        <w:ind w:right="420" w:firstLine="420" w:firstLineChars="200"/>
        <w:jc w:val="left"/>
        <w:rPr>
          <w:rFonts w:hint="eastAsia" w:ascii="宋体" w:hAnsi="宋体" w:cs="宋体"/>
        </w:rPr>
      </w:pPr>
      <w:r>
        <w:rPr>
          <w:rFonts w:hint="eastAsia" w:ascii="宋体" w:hAnsi="宋体" w:cs="宋体"/>
        </w:rPr>
        <w:t xml:space="preserve">联系电话：                         </w:t>
      </w:r>
    </w:p>
    <w:p>
      <w:pPr>
        <w:spacing w:line="440" w:lineRule="exact"/>
        <w:ind w:right="420" w:firstLine="420" w:firstLineChars="200"/>
        <w:jc w:val="left"/>
        <w:rPr>
          <w:rFonts w:hint="eastAsia" w:ascii="宋体" w:hAnsi="宋体" w:cs="宋体"/>
        </w:rPr>
      </w:pPr>
    </w:p>
    <w:p>
      <w:pPr>
        <w:spacing w:line="440" w:lineRule="exact"/>
        <w:ind w:right="420"/>
        <w:jc w:val="right"/>
        <w:rPr>
          <w:rFonts w:hint="eastAsia" w:ascii="宋体" w:hAnsi="宋体" w:cs="宋体"/>
        </w:rPr>
      </w:pPr>
      <w:r>
        <w:rPr>
          <w:rFonts w:hint="eastAsia" w:ascii="宋体" w:hAnsi="宋体" w:cs="宋体"/>
        </w:rPr>
        <w:t xml:space="preserve">  年  月  日</w:t>
      </w:r>
    </w:p>
    <w:p>
      <w:pPr>
        <w:spacing w:line="440" w:lineRule="exact"/>
        <w:ind w:right="420" w:firstLine="420" w:firstLineChars="200"/>
        <w:jc w:val="right"/>
        <w:rPr>
          <w:rFonts w:hint="eastAsia" w:ascii="宋体" w:hAnsi="宋体" w:cs="宋体"/>
        </w:rPr>
        <w:sectPr>
          <w:footerReference r:id="rId27" w:type="default"/>
          <w:pgSz w:w="11906" w:h="16838"/>
          <w:pgMar w:top="1440" w:right="1800" w:bottom="1440" w:left="1800" w:header="851" w:footer="992" w:gutter="0"/>
          <w:cols w:space="425" w:num="1"/>
          <w:docGrid w:type="lines" w:linePitch="312" w:charSpace="0"/>
        </w:sectPr>
      </w:pPr>
    </w:p>
    <w:p>
      <w:pPr>
        <w:pStyle w:val="31"/>
        <w:widowControl/>
        <w:autoSpaceDN w:val="0"/>
        <w:spacing w:before="312" w:beforeLines="100"/>
        <w:ind w:firstLine="2240" w:firstLineChars="800"/>
        <w:rPr>
          <w:rFonts w:hint="eastAsia" w:ascii="宋体" w:hAnsi="宋体" w:eastAsia="宋体" w:cs="Times New Roman"/>
          <w:color w:val="000000" w:themeColor="text1"/>
          <w:sz w:val="28"/>
          <w:szCs w:val="28"/>
          <w14:textFill>
            <w14:solidFill>
              <w14:schemeClr w14:val="tx1"/>
            </w14:solidFill>
          </w14:textFill>
        </w:rPr>
      </w:pPr>
      <w:bookmarkStart w:id="1436" w:name="_Toc30475"/>
      <w:r>
        <w:rPr>
          <w:rFonts w:hint="eastAsia" w:ascii="宋体" w:hAnsi="宋体" w:eastAsia="宋体" w:cs="Times New Roman"/>
          <w:sz w:val="28"/>
          <w:szCs w:val="28"/>
        </w:rPr>
        <w:t>（六）</w:t>
      </w:r>
      <w:r>
        <w:rPr>
          <w:rFonts w:hint="eastAsia" w:ascii="宋体" w:hAnsi="宋体" w:eastAsia="宋体" w:cs="Times New Roman"/>
          <w:color w:val="000000" w:themeColor="text1"/>
          <w:sz w:val="28"/>
          <w:szCs w:val="28"/>
          <w14:textFill>
            <w14:solidFill>
              <w14:schemeClr w14:val="tx1"/>
            </w14:solidFill>
          </w14:textFill>
        </w:rPr>
        <w:t>安全生产责任协议书</w:t>
      </w:r>
      <w:bookmarkEnd w:id="1436"/>
    </w:p>
    <w:p>
      <w:pPr>
        <w:spacing w:line="440" w:lineRule="exact"/>
        <w:ind w:right="420" w:firstLine="420" w:firstLineChars="200"/>
        <w:rPr>
          <w:rFonts w:hint="eastAsia" w:ascii="宋体" w:hAnsi="宋体" w:cs="宋体"/>
        </w:rPr>
      </w:pPr>
      <w:r>
        <w:rPr>
          <w:rFonts w:hint="eastAsia" w:ascii="宋体" w:hAnsi="宋体" w:cs="宋体"/>
        </w:rPr>
        <w:t xml:space="preserve">甲 方： 营口建发盛海磷化工有限公司  </w:t>
      </w:r>
    </w:p>
    <w:p>
      <w:pPr>
        <w:spacing w:line="440" w:lineRule="exact"/>
        <w:ind w:right="420" w:firstLine="420" w:firstLineChars="200"/>
        <w:rPr>
          <w:rFonts w:hint="eastAsia" w:ascii="宋体" w:hAnsi="宋体" w:cs="宋体"/>
        </w:rPr>
      </w:pPr>
      <w:r>
        <w:rPr>
          <w:rFonts w:hint="eastAsia" w:ascii="宋体" w:hAnsi="宋体" w:cs="宋体"/>
        </w:rPr>
        <w:t xml:space="preserve">住所地：  辽宁省营口市新联大街195号       </w:t>
      </w:r>
    </w:p>
    <w:p>
      <w:pPr>
        <w:spacing w:line="440" w:lineRule="exact"/>
        <w:ind w:right="420" w:firstLine="420" w:firstLineChars="200"/>
        <w:rPr>
          <w:rFonts w:hint="eastAsia" w:ascii="宋体" w:hAnsi="宋体" w:cs="宋体"/>
        </w:rPr>
      </w:pPr>
      <w:r>
        <w:rPr>
          <w:rFonts w:hint="eastAsia" w:ascii="宋体" w:hAnsi="宋体" w:cs="宋体"/>
        </w:rPr>
        <w:t xml:space="preserve">乙 方：                                    </w:t>
      </w:r>
    </w:p>
    <w:p>
      <w:pPr>
        <w:spacing w:line="440" w:lineRule="exact"/>
        <w:ind w:right="420" w:firstLine="420" w:firstLineChars="200"/>
        <w:rPr>
          <w:rFonts w:hint="eastAsia" w:ascii="宋体" w:hAnsi="宋体" w:cs="宋体"/>
        </w:rPr>
      </w:pPr>
      <w:r>
        <w:rPr>
          <w:rFonts w:hint="eastAsia" w:ascii="宋体" w:hAnsi="宋体" w:cs="宋体"/>
        </w:rPr>
        <w:t xml:space="preserve">住所地：                                     </w:t>
      </w:r>
    </w:p>
    <w:p>
      <w:pPr>
        <w:spacing w:line="440" w:lineRule="exact"/>
        <w:ind w:right="420" w:firstLine="420" w:firstLineChars="200"/>
        <w:rPr>
          <w:rFonts w:hint="eastAsia" w:ascii="宋体" w:hAnsi="宋体" w:cs="宋体"/>
        </w:rPr>
      </w:pPr>
      <w:r>
        <w:rPr>
          <w:rFonts w:hint="eastAsia" w:ascii="宋体" w:hAnsi="宋体" w:cs="宋体"/>
        </w:rPr>
        <w:t>为了加强                项目施工现场的安全生产管理，消除事故隐患，防止伤亡及其他事故的发生，保障工程建设的顺利进行，甲乙双方依照《中华人民共和国安全生产法》、《</w:t>
      </w:r>
      <w:bookmarkStart w:id="1437" w:name="OLE_LINK7"/>
      <w:r>
        <w:rPr>
          <w:rFonts w:hint="eastAsia" w:ascii="宋体" w:hAnsi="宋体" w:cs="宋体"/>
        </w:rPr>
        <w:t>中华人民共和国建筑法</w:t>
      </w:r>
      <w:bookmarkEnd w:id="1437"/>
      <w:r>
        <w:rPr>
          <w:rFonts w:hint="eastAsia" w:ascii="宋体" w:hAnsi="宋体" w:cs="宋体"/>
        </w:rPr>
        <w:t>》、《中华人民共和国合同法》、《</w:t>
      </w:r>
      <w:bookmarkStart w:id="1438" w:name="OLE_LINK8"/>
      <w:r>
        <w:rPr>
          <w:rFonts w:hint="eastAsia" w:ascii="宋体" w:hAnsi="宋体" w:cs="宋体"/>
        </w:rPr>
        <w:t>建设工程安全生产管理条例</w:t>
      </w:r>
      <w:bookmarkEnd w:id="1438"/>
      <w:r>
        <w:rPr>
          <w:rFonts w:hint="eastAsia" w:ascii="宋体" w:hAnsi="宋体" w:cs="宋体"/>
        </w:rPr>
        <w:t>》以及《建筑施工安全检查标准》等有关规定，本着平等自愿、友好协商的原则，签订本协议。</w:t>
      </w:r>
    </w:p>
    <w:p>
      <w:pPr>
        <w:spacing w:line="440" w:lineRule="exact"/>
        <w:ind w:right="420" w:firstLine="420" w:firstLineChars="200"/>
        <w:rPr>
          <w:rFonts w:hint="eastAsia" w:ascii="宋体" w:hAnsi="宋体" w:cs="宋体"/>
        </w:rPr>
      </w:pPr>
      <w:r>
        <w:rPr>
          <w:rFonts w:hint="eastAsia" w:ascii="宋体" w:hAnsi="宋体" w:cs="宋体"/>
        </w:rPr>
        <w:t>一、甲方的权利和义务</w:t>
      </w:r>
    </w:p>
    <w:p>
      <w:pPr>
        <w:spacing w:line="440" w:lineRule="exact"/>
        <w:ind w:right="420" w:firstLine="420" w:firstLineChars="200"/>
        <w:rPr>
          <w:rFonts w:hint="eastAsia" w:ascii="宋体" w:hAnsi="宋体" w:cs="宋体"/>
        </w:rPr>
      </w:pPr>
      <w:r>
        <w:rPr>
          <w:rFonts w:hint="eastAsia" w:ascii="宋体" w:hAnsi="宋体" w:cs="宋体"/>
        </w:rPr>
        <w:t>1.甲方在施工前向乙方交付必要的施工场地，有权对施工现场的安全生产进行全面监督，对乙方进行定期或不定期的检查，纠正乙方违章指挥和违章作业行为,针对隐患、违章等现象对乙方提出批评、教育、整改、罚款、停工或终止协议等措施。</w:t>
      </w:r>
    </w:p>
    <w:p>
      <w:pPr>
        <w:spacing w:line="440" w:lineRule="exact"/>
        <w:ind w:right="420" w:firstLine="420" w:firstLineChars="200"/>
        <w:rPr>
          <w:rFonts w:hint="eastAsia" w:ascii="宋体" w:hAnsi="宋体" w:cs="宋体"/>
        </w:rPr>
      </w:pPr>
      <w:r>
        <w:rPr>
          <w:rFonts w:hint="eastAsia" w:ascii="宋体" w:hAnsi="宋体" w:cs="宋体"/>
        </w:rPr>
        <w:t>2.甲方有权对乙方的安全生产资质（安全生产许可证）、健康安全环境业绩、设备设施安全状况、人员上岗资格等进行审查。</w:t>
      </w:r>
    </w:p>
    <w:p>
      <w:pPr>
        <w:spacing w:line="440" w:lineRule="exact"/>
        <w:ind w:right="420" w:firstLine="420" w:firstLineChars="200"/>
        <w:rPr>
          <w:rFonts w:hint="eastAsia" w:ascii="宋体" w:hAnsi="宋体" w:cs="宋体"/>
        </w:rPr>
      </w:pPr>
      <w:r>
        <w:rPr>
          <w:rFonts w:hint="eastAsia" w:ascii="宋体" w:hAnsi="宋体" w:cs="宋体"/>
        </w:rPr>
        <w:t>3.甲方应及时向乙方传达上级有关安全生产的精神和要求，听取乙方的意见和要求，加强安全生产的指导和协调。</w:t>
      </w:r>
    </w:p>
    <w:p>
      <w:pPr>
        <w:spacing w:line="440" w:lineRule="exact"/>
        <w:ind w:right="420" w:firstLine="420" w:firstLineChars="200"/>
        <w:rPr>
          <w:rFonts w:hint="eastAsia" w:ascii="宋体" w:hAnsi="宋体" w:cs="宋体"/>
        </w:rPr>
      </w:pPr>
      <w:r>
        <w:rPr>
          <w:rFonts w:hint="eastAsia" w:ascii="宋体" w:hAnsi="宋体" w:cs="宋体"/>
        </w:rPr>
        <w:t>4.甲方有权督促乙方开展安全达标活动，对乙方的安全生产培训、劳动保护用品的使用和应急响应救援工作提出指导意见,并监督落实情况。</w:t>
      </w:r>
    </w:p>
    <w:p>
      <w:pPr>
        <w:spacing w:line="440" w:lineRule="exact"/>
        <w:ind w:right="420" w:firstLine="420" w:firstLineChars="200"/>
        <w:rPr>
          <w:rFonts w:hint="eastAsia" w:ascii="宋体" w:hAnsi="宋体" w:cs="宋体"/>
        </w:rPr>
      </w:pPr>
      <w:r>
        <w:rPr>
          <w:rFonts w:hint="eastAsia" w:ascii="宋体" w:hAnsi="宋体" w:cs="宋体"/>
        </w:rPr>
        <w:t>5.甲方有权代乙方办理现场管理及施工人员的意外伤害保险，乙方应提供投保人员的相关证件并承担全部费用，甲方有权在工程款中直接扣除相关费用。若因乙方原因未能及时办理意外伤害保险的，由乙方承担全部责任。</w:t>
      </w:r>
    </w:p>
    <w:p>
      <w:pPr>
        <w:spacing w:line="440" w:lineRule="exact"/>
        <w:ind w:right="420" w:firstLine="420" w:firstLineChars="200"/>
        <w:rPr>
          <w:rFonts w:hint="eastAsia" w:ascii="宋体" w:hAnsi="宋体" w:cs="宋体"/>
        </w:rPr>
      </w:pPr>
      <w:r>
        <w:rPr>
          <w:rFonts w:hint="eastAsia" w:ascii="宋体" w:hAnsi="宋体" w:cs="宋体"/>
        </w:rPr>
        <w:t>二、乙方的权利和义务</w:t>
      </w:r>
    </w:p>
    <w:p>
      <w:pPr>
        <w:spacing w:line="440" w:lineRule="exact"/>
        <w:ind w:right="420" w:firstLine="420" w:firstLineChars="200"/>
        <w:rPr>
          <w:rFonts w:hint="eastAsia" w:ascii="宋体" w:hAnsi="宋体" w:cs="宋体"/>
        </w:rPr>
      </w:pPr>
      <w:r>
        <w:rPr>
          <w:rFonts w:hint="eastAsia" w:ascii="宋体" w:hAnsi="宋体" w:cs="宋体"/>
        </w:rPr>
        <w:t>1.乙方是施工现场安全管理的责任单位，负责施工现场的安全管理工作。乙方应依据《安全生产法》及相关法律、法规和行业标准，加强内部安全管理，建立健全以安全生产责任制为核心的各项规章制度、操作规程和技术标准；建立安全生产保证体系，落实各项安全防护措施，确保工程建设中不发生伤亡事故。</w:t>
      </w:r>
    </w:p>
    <w:p>
      <w:pPr>
        <w:spacing w:line="440" w:lineRule="exact"/>
        <w:ind w:right="420" w:firstLine="420" w:firstLineChars="200"/>
        <w:rPr>
          <w:rFonts w:hint="eastAsia" w:ascii="宋体" w:hAnsi="宋体" w:cs="宋体"/>
        </w:rPr>
      </w:pPr>
      <w:r>
        <w:rPr>
          <w:rFonts w:hint="eastAsia" w:ascii="宋体" w:hAnsi="宋体" w:cs="宋体"/>
        </w:rPr>
        <w:t>2.乙方应严格遵守甲方的各项安全管理制度，针对本工程项目的特点、性质、规模以及施工现场条件，编制施工组织设计和施工方案，制定、组织和落实各项施工安全技术措施；建立事故应急救援组织,制定各类事故应急响应措施和处置预案,并定期组织演练。</w:t>
      </w:r>
    </w:p>
    <w:p>
      <w:pPr>
        <w:spacing w:line="440" w:lineRule="exact"/>
        <w:ind w:right="420" w:firstLine="420" w:firstLineChars="200"/>
        <w:rPr>
          <w:rFonts w:hint="eastAsia" w:ascii="宋体" w:hAnsi="宋体" w:cs="宋体"/>
        </w:rPr>
      </w:pPr>
      <w:r>
        <w:rPr>
          <w:rFonts w:hint="eastAsia" w:ascii="宋体" w:hAnsi="宋体" w:cs="宋体"/>
        </w:rPr>
        <w:t>3.乙方应按劳动法规定与施工人员签订劳动协议，办理社会保险、人身损害意外险等，否则，应承担由此产生的全部责任。</w:t>
      </w:r>
    </w:p>
    <w:p>
      <w:pPr>
        <w:spacing w:line="440" w:lineRule="exact"/>
        <w:ind w:right="420" w:firstLine="420" w:firstLineChars="200"/>
        <w:rPr>
          <w:rFonts w:hint="eastAsia" w:ascii="宋体" w:hAnsi="宋体" w:cs="宋体"/>
        </w:rPr>
      </w:pPr>
      <w:r>
        <w:rPr>
          <w:rFonts w:hint="eastAsia" w:ascii="宋体" w:hAnsi="宋体" w:cs="宋体"/>
        </w:rPr>
        <w:t>4.乙方对施工现场安全生产负有全面的责任，任何在施工现场发生的人身伤亡事故或其他经济损失的事件，除依法由第三责任人承担责任外，均由乙方承担全部责任。因人身伤亡事故或其他经济损失的事件发生的索赔问题，乙方应当尽力调解处理并将发生的事情及时上报甲方。若甲方因乙方处理不力或者无故拒赔而遭受损失的，乙方应赔偿甲方遭受的全部损失。</w:t>
      </w:r>
    </w:p>
    <w:p>
      <w:pPr>
        <w:spacing w:line="440" w:lineRule="exact"/>
        <w:ind w:right="420" w:firstLine="420" w:firstLineChars="200"/>
        <w:rPr>
          <w:rFonts w:hint="eastAsia" w:ascii="宋体" w:hAnsi="宋体" w:cs="宋体"/>
        </w:rPr>
      </w:pPr>
      <w:r>
        <w:rPr>
          <w:rFonts w:hint="eastAsia" w:ascii="宋体" w:hAnsi="宋体" w:cs="宋体"/>
        </w:rPr>
        <w:t>5.工程施工前,乙方应对进入施工现场的所有工作人员，做好安全作业、文明施工和自我保护的安全培训，做好安全技术交底，要求全体施工人员严格按照施工组织设计和有关安全要求施工，特殊工种作业人员必须做到持证上岗。</w:t>
      </w:r>
    </w:p>
    <w:p>
      <w:pPr>
        <w:spacing w:line="440" w:lineRule="exact"/>
        <w:ind w:right="420" w:firstLine="420" w:firstLineChars="200"/>
        <w:rPr>
          <w:rFonts w:hint="eastAsia" w:ascii="宋体" w:hAnsi="宋体" w:cs="宋体"/>
        </w:rPr>
      </w:pPr>
      <w:r>
        <w:rPr>
          <w:rFonts w:hint="eastAsia" w:ascii="宋体" w:hAnsi="宋体" w:cs="宋体"/>
        </w:rPr>
        <w:t>6.乙方应建立健全安全生产保证体系，落实各级安全责任制，完善各项安全生产制度(包括奖惩制度)。乙方进入工地后，应明确落实施工现场安全生产第一责任人，配置专职安全管理人员，组成安全管理组，负责工地的安全生产管理工作，并将名单报甲方备案。</w:t>
      </w:r>
    </w:p>
    <w:p>
      <w:pPr>
        <w:spacing w:line="440" w:lineRule="exact"/>
        <w:ind w:right="420" w:firstLine="420" w:firstLineChars="200"/>
        <w:rPr>
          <w:rFonts w:hint="eastAsia" w:ascii="宋体" w:hAnsi="宋体" w:cs="宋体"/>
        </w:rPr>
      </w:pPr>
      <w:r>
        <w:rPr>
          <w:rFonts w:hint="eastAsia" w:ascii="宋体" w:hAnsi="宋体" w:cs="宋体"/>
        </w:rPr>
        <w:t>7.乙方应按照“安全自查，隐患自改、责任自负”的原则，加强对施工责任区的日常安全检查，及时制止和处理各类违章违法行为，对查获的隐患要及时落实整改措施，消除隐患。</w:t>
      </w:r>
    </w:p>
    <w:p>
      <w:pPr>
        <w:spacing w:line="440" w:lineRule="exact"/>
        <w:ind w:right="420" w:firstLine="420" w:firstLineChars="200"/>
        <w:rPr>
          <w:rFonts w:hint="eastAsia" w:ascii="宋体" w:hAnsi="宋体" w:cs="宋体"/>
        </w:rPr>
      </w:pPr>
      <w:r>
        <w:rPr>
          <w:rFonts w:hint="eastAsia" w:ascii="宋体" w:hAnsi="宋体" w:cs="宋体"/>
        </w:rPr>
        <w:t>8.乙方应要求参加施工作业的一切人员,必须遵守安全生产纪律,佩带工作证并戴好安全帽进入施工现场,在作业中严格遵守安全技术操作规程的有关规定,安全上岗,不违章作业,不擅离工作岗位,不乱串工作岗位。</w:t>
      </w:r>
    </w:p>
    <w:p>
      <w:pPr>
        <w:spacing w:line="440" w:lineRule="exact"/>
        <w:ind w:right="420" w:firstLine="420" w:firstLineChars="200"/>
        <w:rPr>
          <w:rFonts w:hint="eastAsia" w:ascii="宋体" w:hAnsi="宋体" w:cs="宋体"/>
        </w:rPr>
      </w:pPr>
      <w:r>
        <w:rPr>
          <w:rFonts w:hint="eastAsia" w:ascii="宋体" w:hAnsi="宋体" w:cs="宋体"/>
        </w:rPr>
        <w:t>9.乙方应爱护保护各种安全防护设施、设备警示标志及劳保工具、设施器具，所使用的施工机械必须要有相关的技术文件、出厂说明书、检验单位出具的安全技术检测证明和合格证等。起重机械等设备的安装和拆卸必须由有资格的单位和专业人员进行,有专人定期进行维修和保养,对达不到安全要求又不能修复的机械设备,必须立即停用,撤离施工现场。</w:t>
      </w:r>
    </w:p>
    <w:p>
      <w:pPr>
        <w:spacing w:line="440" w:lineRule="exact"/>
        <w:ind w:right="420" w:firstLine="420" w:firstLineChars="200"/>
        <w:rPr>
          <w:rFonts w:hint="eastAsia" w:ascii="宋体" w:hAnsi="宋体" w:cs="宋体"/>
        </w:rPr>
      </w:pPr>
      <w:r>
        <w:rPr>
          <w:rFonts w:hint="eastAsia" w:ascii="宋体" w:hAnsi="宋体" w:cs="宋体"/>
        </w:rPr>
        <w:t>10.乙方根据甲方的有关管理规定、制度、安全生产管理目标，制定出安全管理计划，并按照双方协议规定无条件配合甲方工作，如应定期组织安全生产例会，及时参加甲方组织的安全例会，汇报其安全生产情况，否则，乙方应承担由此产生的一切后果。</w:t>
      </w:r>
    </w:p>
    <w:p>
      <w:pPr>
        <w:spacing w:line="440" w:lineRule="exact"/>
        <w:ind w:right="420" w:firstLine="420" w:firstLineChars="200"/>
        <w:rPr>
          <w:rFonts w:hint="eastAsia" w:ascii="宋体" w:hAnsi="宋体" w:cs="宋体"/>
        </w:rPr>
      </w:pPr>
      <w:r>
        <w:rPr>
          <w:rFonts w:hint="eastAsia" w:ascii="宋体" w:hAnsi="宋体" w:cs="宋体"/>
        </w:rPr>
        <w:t>11.乙方每次更换和调动人员，必须事先向甲方通报，并落实好各项合法手续，严禁出现未经教育和考核的人员上岗，否则应承担由此出现一切后果和责任。</w:t>
      </w:r>
    </w:p>
    <w:p>
      <w:pPr>
        <w:spacing w:line="440" w:lineRule="exact"/>
        <w:ind w:right="420" w:firstLine="420" w:firstLineChars="200"/>
        <w:rPr>
          <w:rFonts w:hint="eastAsia" w:ascii="宋体" w:hAnsi="宋体" w:cs="宋体"/>
        </w:rPr>
      </w:pPr>
      <w:r>
        <w:rPr>
          <w:rFonts w:hint="eastAsia" w:ascii="宋体" w:hAnsi="宋体" w:cs="宋体"/>
        </w:rPr>
        <w:t>12.乙方在施工过程中若对城市公共设施及环境造成破坏，由乙方全部负责。</w:t>
      </w:r>
    </w:p>
    <w:p>
      <w:pPr>
        <w:spacing w:line="440" w:lineRule="exact"/>
        <w:ind w:right="420" w:firstLine="420" w:firstLineChars="200"/>
        <w:rPr>
          <w:rFonts w:hint="eastAsia" w:ascii="宋体" w:hAnsi="宋体" w:cs="宋体"/>
        </w:rPr>
      </w:pPr>
      <w:r>
        <w:rPr>
          <w:rFonts w:hint="eastAsia" w:ascii="宋体" w:hAnsi="宋体" w:cs="宋体"/>
        </w:rPr>
        <w:t>三、违反安全操作处罚约定</w:t>
      </w:r>
    </w:p>
    <w:p>
      <w:pPr>
        <w:spacing w:line="440" w:lineRule="exact"/>
        <w:ind w:right="420" w:firstLine="420" w:firstLineChars="200"/>
        <w:rPr>
          <w:rFonts w:hint="eastAsia" w:ascii="宋体" w:hAnsi="宋体" w:cs="宋体"/>
        </w:rPr>
      </w:pPr>
      <w:r>
        <w:rPr>
          <w:rFonts w:hint="eastAsia" w:ascii="宋体" w:hAnsi="宋体" w:cs="宋体"/>
        </w:rPr>
        <w:t>甲方发现乙方违规操作包括且不限于以下情况：未佩带安全帽进入现场、不系安全带高空作业、施工人员酒后进入现场、非专业操作人员操作机械设备，或施工现场存在安全隐患但未造成损失和影响的,对乙方处予罚款500元/次；造成损失或影响的,甲方除对乙方处予罚款5000元/次~10000元/次外，乙方同时须承担所造成的全部经济损失及责任 。</w:t>
      </w:r>
    </w:p>
    <w:p>
      <w:pPr>
        <w:spacing w:line="440" w:lineRule="exact"/>
        <w:ind w:right="420" w:firstLine="420" w:firstLineChars="200"/>
        <w:rPr>
          <w:rFonts w:hint="eastAsia" w:ascii="宋体" w:hAnsi="宋体" w:cs="宋体"/>
        </w:rPr>
      </w:pPr>
      <w:r>
        <w:rPr>
          <w:rFonts w:hint="eastAsia" w:ascii="宋体" w:hAnsi="宋体" w:cs="宋体"/>
        </w:rPr>
        <w:t>四、其它</w:t>
      </w:r>
    </w:p>
    <w:p>
      <w:pPr>
        <w:spacing w:line="440" w:lineRule="exact"/>
        <w:ind w:right="420" w:firstLine="420" w:firstLineChars="200"/>
        <w:rPr>
          <w:rFonts w:hint="eastAsia" w:ascii="宋体" w:hAnsi="宋体" w:cs="宋体"/>
        </w:rPr>
      </w:pPr>
      <w:r>
        <w:rPr>
          <w:rFonts w:hint="eastAsia" w:ascii="宋体" w:hAnsi="宋体" w:cs="宋体"/>
        </w:rPr>
        <w:t>1.本协议经双方签章后生效，一式两份，双方各执一份。如有未尽事宜须补充或修改的，应以书面提出并经双方签章后生效。</w:t>
      </w:r>
    </w:p>
    <w:p>
      <w:pPr>
        <w:spacing w:line="440" w:lineRule="exact"/>
        <w:ind w:right="420" w:firstLine="420" w:firstLineChars="200"/>
        <w:rPr>
          <w:rFonts w:hint="eastAsia" w:ascii="宋体" w:hAnsi="宋体" w:cs="宋体"/>
        </w:rPr>
      </w:pPr>
      <w:r>
        <w:rPr>
          <w:rFonts w:hint="eastAsia" w:ascii="宋体" w:hAnsi="宋体" w:cs="宋体"/>
        </w:rPr>
        <w:t>2.凡因本协议引起的或与本协议有关的任何争议，应提交厦门仲裁委员会按照该会现行仲裁规则进行仲裁。仲裁裁决是终局的，适用中国法，对双方当事人均有约束力。</w:t>
      </w:r>
    </w:p>
    <w:p>
      <w:pPr>
        <w:spacing w:line="440" w:lineRule="exact"/>
        <w:ind w:right="420" w:firstLine="420" w:firstLineChars="200"/>
        <w:rPr>
          <w:rFonts w:hint="eastAsia" w:ascii="宋体" w:hAnsi="宋体" w:cs="宋体"/>
        </w:rPr>
      </w:pPr>
      <w:r>
        <w:rPr>
          <w:rFonts w:hint="eastAsia" w:ascii="宋体" w:hAnsi="宋体" w:cs="宋体"/>
        </w:rPr>
        <w:t>3.乙方确认其送达地址如下：收件人：         ，与乙方的关系/职务：         ，邮递地址：                                       ，电话/手机号码：         ，电子邮箱：             ，传真：             。</w:t>
      </w:r>
    </w:p>
    <w:p>
      <w:pPr>
        <w:spacing w:line="440" w:lineRule="exact"/>
        <w:ind w:right="420" w:firstLine="420" w:firstLineChars="200"/>
        <w:rPr>
          <w:rFonts w:hint="eastAsia" w:ascii="宋体" w:hAnsi="宋体" w:cs="宋体"/>
        </w:rPr>
      </w:pPr>
      <w:r>
        <w:rPr>
          <w:rFonts w:hint="eastAsia" w:ascii="宋体" w:hAnsi="宋体" w:cs="宋体"/>
        </w:rPr>
        <w:t>甲方及人民法院、仲裁机构等司法或行政机构，以快递、挂号信、邮件等方式，将任何与本协议有关的通知、要求、指示、函件、通信、诉讼(包括但不限于一审、二审、再审、审判监督或执行等程序)及仲裁相关法律文书等文件，寄送至乙方上述送达地址时，一经寄出即视为送达。乙方变更上述送达地址（包括收件人、电话、传真、邮箱等）的，应当提前以书面形式通知甲方。在甲方收到乙方送达地址变更的有效通知之前，上述送达地址应被视为有效送达地址。乙方通过上述邮箱的邮件往来等同于书面文件。</w:t>
      </w:r>
    </w:p>
    <w:p>
      <w:pPr>
        <w:spacing w:line="440" w:lineRule="exact"/>
        <w:ind w:right="420" w:firstLine="420" w:firstLineChars="200"/>
        <w:rPr>
          <w:rFonts w:hint="eastAsia" w:ascii="宋体" w:hAnsi="宋体" w:cs="宋体"/>
        </w:rPr>
      </w:pPr>
    </w:p>
    <w:p>
      <w:pPr>
        <w:spacing w:line="440" w:lineRule="exact"/>
        <w:ind w:right="420" w:firstLine="420" w:firstLineChars="200"/>
        <w:rPr>
          <w:rFonts w:hint="eastAsia" w:ascii="宋体" w:hAnsi="宋体" w:cs="宋体"/>
        </w:rPr>
      </w:pPr>
    </w:p>
    <w:p>
      <w:pPr>
        <w:spacing w:line="440" w:lineRule="exact"/>
        <w:ind w:right="420" w:firstLine="420" w:firstLineChars="200"/>
        <w:rPr>
          <w:rFonts w:hint="eastAsia" w:ascii="宋体" w:hAnsi="宋体" w:cs="宋体"/>
        </w:rPr>
      </w:pPr>
      <w:r>
        <w:rPr>
          <w:rFonts w:hint="eastAsia" w:ascii="宋体" w:hAnsi="宋体" w:cs="宋体"/>
        </w:rPr>
        <w:t xml:space="preserve">甲方：营口建发盛海磷化工有限公司    乙方： </w:t>
      </w:r>
    </w:p>
    <w:p>
      <w:pPr>
        <w:spacing w:line="440" w:lineRule="exact"/>
        <w:ind w:right="420" w:firstLine="420" w:firstLineChars="200"/>
        <w:rPr>
          <w:rFonts w:hint="eastAsia" w:ascii="宋体" w:hAnsi="宋体" w:cs="宋体"/>
        </w:rPr>
      </w:pPr>
      <w:r>
        <w:rPr>
          <w:rFonts w:hint="eastAsia" w:ascii="宋体" w:hAnsi="宋体" w:cs="宋体"/>
        </w:rPr>
        <w:t>法定/授权代表人：（签字）              法定/授权代表人：（签字）</w:t>
      </w:r>
    </w:p>
    <w:p>
      <w:pPr>
        <w:spacing w:line="440" w:lineRule="exact"/>
        <w:ind w:right="420" w:firstLine="420" w:firstLineChars="200"/>
        <w:rPr>
          <w:rFonts w:hint="eastAsia" w:ascii="宋体" w:hAnsi="宋体" w:cs="宋体"/>
        </w:rPr>
      </w:pPr>
      <w:r>
        <w:rPr>
          <w:rFonts w:hint="eastAsia" w:ascii="宋体" w:hAnsi="宋体" w:cs="宋体"/>
        </w:rPr>
        <w:t>联系电话：0417-5275777                联系电话：</w:t>
      </w:r>
    </w:p>
    <w:p>
      <w:pPr>
        <w:pStyle w:val="31"/>
        <w:numPr>
          <w:ilvl w:val="255"/>
          <w:numId w:val="0"/>
        </w:numPr>
        <w:spacing w:before="312" w:beforeLines="100"/>
        <w:rPr>
          <w:rFonts w:hint="eastAsia" w:ascii="宋体" w:hAnsi="宋体" w:eastAsia="宋体" w:cs="Times New Roman"/>
          <w:sz w:val="28"/>
          <w:szCs w:val="28"/>
        </w:rPr>
      </w:pPr>
    </w:p>
    <w:p>
      <w:pPr>
        <w:pStyle w:val="3"/>
        <w:sectPr>
          <w:footerReference r:id="rId28" w:type="default"/>
          <w:pgSz w:w="11906" w:h="16838"/>
          <w:pgMar w:top="1440" w:right="1800" w:bottom="1440" w:left="1800" w:header="851" w:footer="992" w:gutter="0"/>
          <w:cols w:space="425" w:num="1"/>
          <w:docGrid w:type="lines" w:linePitch="312" w:charSpace="0"/>
        </w:sectPr>
      </w:pPr>
    </w:p>
    <w:p>
      <w:pPr>
        <w:pStyle w:val="3"/>
        <w:sectPr>
          <w:footerReference r:id="rId29" w:type="default"/>
          <w:pgSz w:w="11906" w:h="16838"/>
          <w:pgMar w:top="1440" w:right="1800" w:bottom="1440" w:left="1800" w:header="851" w:footer="992" w:gutter="0"/>
          <w:cols w:space="425" w:num="1"/>
          <w:docGrid w:type="lines" w:linePitch="312" w:charSpace="0"/>
        </w:sectPr>
      </w:pPr>
    </w:p>
    <w:p/>
    <w:p/>
    <w:p/>
    <w:p/>
    <w:p/>
    <w:p/>
    <w:p/>
    <w:p/>
    <w:p/>
    <w:p/>
    <w:p/>
    <w:p/>
    <w:p/>
    <w:p/>
    <w:p>
      <w:pPr>
        <w:pStyle w:val="29"/>
        <w:widowControl/>
        <w:jc w:val="center"/>
        <w:sectPr>
          <w:footerReference r:id="rId30" w:type="default"/>
          <w:pgSz w:w="11906" w:h="16838"/>
          <w:pgMar w:top="1440" w:right="1800" w:bottom="1440" w:left="1800" w:header="851" w:footer="992" w:gutter="0"/>
          <w:cols w:space="425" w:num="1"/>
          <w:docGrid w:type="lines" w:linePitch="312" w:charSpace="0"/>
        </w:sectPr>
      </w:pPr>
      <w:bookmarkStart w:id="1439" w:name="_Toc9366"/>
      <w:bookmarkStart w:id="1440" w:name="_Toc256000381"/>
      <w:r>
        <w:rPr>
          <w:rFonts w:ascii="黑体" w:hAnsi="宋体" w:cs="黑体"/>
          <w:szCs w:val="28"/>
        </w:rPr>
        <w:t>二</w:t>
      </w:r>
      <w:r>
        <w:rPr>
          <w:rFonts w:hint="eastAsia" w:ascii="黑体" w:hAnsi="宋体" w:cs="黑体"/>
          <w:szCs w:val="28"/>
        </w:rPr>
        <w:t>、法定代表人身份证明或授权委托书</w:t>
      </w:r>
      <w:bookmarkEnd w:id="1439"/>
      <w:bookmarkEnd w:id="1440"/>
    </w:p>
    <w:p>
      <w:pPr>
        <w:pStyle w:val="31"/>
        <w:spacing w:before="312" w:beforeLines="100" w:after="312" w:afterLines="100"/>
        <w:jc w:val="center"/>
        <w:rPr>
          <w:sz w:val="28"/>
          <w:szCs w:val="28"/>
        </w:rPr>
      </w:pPr>
      <w:bookmarkStart w:id="1441" w:name="_Toc122603074"/>
      <w:bookmarkStart w:id="1442" w:name="_Toc6182"/>
      <w:bookmarkStart w:id="1443" w:name="_Toc256000382"/>
      <w:r>
        <w:rPr>
          <w:rFonts w:hint="eastAsia"/>
          <w:sz w:val="28"/>
          <w:szCs w:val="28"/>
        </w:rPr>
        <w:t>（</w:t>
      </w:r>
      <w:r>
        <w:rPr>
          <w:sz w:val="28"/>
          <w:szCs w:val="28"/>
        </w:rPr>
        <w:t>一</w:t>
      </w:r>
      <w:r>
        <w:rPr>
          <w:rFonts w:hint="eastAsia"/>
          <w:sz w:val="28"/>
          <w:szCs w:val="28"/>
        </w:rPr>
        <w:t>）法定代表人身份证明</w:t>
      </w:r>
      <w:bookmarkEnd w:id="1441"/>
      <w:bookmarkEnd w:id="1442"/>
      <w:bookmarkEnd w:id="1443"/>
    </w:p>
    <w:p>
      <w:pPr>
        <w:spacing w:line="500" w:lineRule="exact"/>
        <w:rPr>
          <w:rFonts w:hint="eastAsia" w:ascii="宋体" w:hAnsi="宋体"/>
          <w:szCs w:val="21"/>
        </w:rPr>
      </w:pPr>
      <w:r>
        <w:rPr>
          <w:rFonts w:hint="eastAsia" w:ascii="宋体" w:hAnsi="宋体"/>
          <w:szCs w:val="21"/>
        </w:rPr>
        <w:t>投 标 人：</w:t>
      </w:r>
      <w:r>
        <w:rPr>
          <w:rFonts w:hint="eastAsia" w:ascii="宋体" w:hAnsi="宋体"/>
          <w:szCs w:val="21"/>
          <w:u w:val="single"/>
        </w:rPr>
        <w:t xml:space="preserve">                                                        </w:t>
      </w:r>
    </w:p>
    <w:p>
      <w:pPr>
        <w:spacing w:line="500" w:lineRule="exact"/>
        <w:rPr>
          <w:rFonts w:hint="eastAsia" w:ascii="宋体" w:hAnsi="宋体"/>
          <w:szCs w:val="21"/>
        </w:rPr>
      </w:pPr>
      <w:r>
        <w:rPr>
          <w:rFonts w:hint="eastAsia" w:ascii="宋体" w:hAnsi="宋体"/>
          <w:szCs w:val="21"/>
        </w:rPr>
        <w:t>单位性质：</w:t>
      </w:r>
      <w:r>
        <w:rPr>
          <w:rFonts w:hint="eastAsia" w:ascii="宋体" w:hAnsi="宋体"/>
          <w:szCs w:val="21"/>
          <w:u w:val="single"/>
        </w:rPr>
        <w:t xml:space="preserve">                                                        </w:t>
      </w:r>
    </w:p>
    <w:p>
      <w:pPr>
        <w:spacing w:line="500" w:lineRule="exact"/>
        <w:rPr>
          <w:rFonts w:hint="eastAsia" w:ascii="宋体" w:hAnsi="宋体"/>
          <w:szCs w:val="21"/>
        </w:rPr>
      </w:pPr>
      <w:r>
        <w:rPr>
          <w:rFonts w:hint="eastAsia" w:ascii="宋体" w:hAnsi="宋体"/>
          <w:szCs w:val="21"/>
        </w:rPr>
        <w:t>地    址：</w:t>
      </w:r>
      <w:r>
        <w:rPr>
          <w:rFonts w:hint="eastAsia" w:ascii="宋体" w:hAnsi="宋体"/>
          <w:szCs w:val="21"/>
          <w:u w:val="single"/>
        </w:rPr>
        <w:t xml:space="preserve">                                                        </w:t>
      </w:r>
    </w:p>
    <w:p>
      <w:pPr>
        <w:spacing w:line="500" w:lineRule="exact"/>
        <w:rPr>
          <w:rFonts w:hint="eastAsia"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500" w:lineRule="exact"/>
        <w:rPr>
          <w:rFonts w:hint="eastAsia" w:ascii="宋体" w:hAnsi="宋体"/>
          <w:szCs w:val="21"/>
        </w:rPr>
      </w:pPr>
      <w:r>
        <w:rPr>
          <w:rFonts w:hint="eastAsia" w:ascii="宋体" w:hAnsi="宋体"/>
          <w:szCs w:val="21"/>
        </w:rPr>
        <w:t>经营期限：</w:t>
      </w:r>
      <w:r>
        <w:rPr>
          <w:rFonts w:hint="eastAsia" w:ascii="宋体" w:hAnsi="宋体"/>
          <w:szCs w:val="21"/>
          <w:u w:val="single"/>
        </w:rPr>
        <w:t xml:space="preserve">                                                        </w:t>
      </w:r>
    </w:p>
    <w:p>
      <w:pPr>
        <w:spacing w:line="500" w:lineRule="exact"/>
        <w:rPr>
          <w:rFonts w:hint="eastAsia" w:ascii="宋体" w:hAnsi="宋体"/>
          <w:szCs w:val="21"/>
        </w:rPr>
      </w:pPr>
      <w:r>
        <w:rPr>
          <w:rFonts w:hint="eastAsia" w:ascii="宋体" w:hAnsi="宋体"/>
          <w:szCs w:val="21"/>
        </w:rPr>
        <w:t>姓    名：</w:t>
      </w:r>
      <w:r>
        <w:rPr>
          <w:rFonts w:hint="eastAsia" w:ascii="宋体" w:hAnsi="宋体"/>
          <w:szCs w:val="21"/>
          <w:u w:val="single"/>
        </w:rPr>
        <w:t xml:space="preserve">                          </w:t>
      </w:r>
      <w:r>
        <w:rPr>
          <w:rFonts w:hint="eastAsia" w:ascii="宋体" w:hAnsi="宋体"/>
          <w:szCs w:val="21"/>
        </w:rPr>
        <w:t>性        别：</w:t>
      </w:r>
      <w:r>
        <w:rPr>
          <w:rFonts w:hint="eastAsia" w:ascii="宋体" w:hAnsi="宋体"/>
          <w:szCs w:val="21"/>
          <w:u w:val="single"/>
        </w:rPr>
        <w:t xml:space="preserve">                </w:t>
      </w:r>
    </w:p>
    <w:p>
      <w:pPr>
        <w:spacing w:line="500" w:lineRule="exact"/>
        <w:rPr>
          <w:rFonts w:hint="eastAsia" w:ascii="宋体" w:hAnsi="宋体"/>
          <w:szCs w:val="21"/>
        </w:rPr>
      </w:pPr>
      <w:r>
        <w:rPr>
          <w:rFonts w:hint="eastAsia" w:ascii="宋体" w:hAnsi="宋体"/>
          <w:szCs w:val="21"/>
        </w:rPr>
        <w:t>年    龄：</w:t>
      </w:r>
      <w:r>
        <w:rPr>
          <w:rFonts w:hint="eastAsia" w:ascii="宋体" w:hAnsi="宋体"/>
          <w:szCs w:val="21"/>
          <w:u w:val="single"/>
        </w:rPr>
        <w:t xml:space="preserve">                          </w:t>
      </w:r>
      <w:r>
        <w:rPr>
          <w:rFonts w:hint="eastAsia" w:ascii="宋体" w:hAnsi="宋体"/>
          <w:szCs w:val="21"/>
        </w:rPr>
        <w:t>职        务：</w:t>
      </w:r>
      <w:r>
        <w:rPr>
          <w:rFonts w:hint="eastAsia" w:ascii="宋体" w:hAnsi="宋体"/>
          <w:szCs w:val="21"/>
          <w:u w:val="single"/>
        </w:rPr>
        <w:t xml:space="preserve">                </w:t>
      </w:r>
    </w:p>
    <w:p>
      <w:pPr>
        <w:spacing w:line="500" w:lineRule="exact"/>
        <w:rPr>
          <w:rFonts w:hint="eastAsia" w:ascii="宋体" w:hAnsi="宋体"/>
          <w:szCs w:val="21"/>
        </w:rPr>
      </w:pPr>
      <w:r>
        <w:rPr>
          <w:rFonts w:hint="eastAsia" w:ascii="宋体" w:hAnsi="宋体"/>
          <w:szCs w:val="21"/>
        </w:rPr>
        <w:t>系</w:t>
      </w:r>
      <w:r>
        <w:rPr>
          <w:rFonts w:hint="eastAsia" w:ascii="宋体" w:hAnsi="宋体"/>
          <w:szCs w:val="21"/>
          <w:u w:val="single"/>
        </w:rPr>
        <w:t xml:space="preserve">                                                 </w:t>
      </w:r>
      <w:r>
        <w:rPr>
          <w:rFonts w:hint="eastAsia" w:ascii="宋体" w:hAnsi="宋体"/>
          <w:szCs w:val="21"/>
        </w:rPr>
        <w:t>（投标人名称）的法定代表人。</w:t>
      </w:r>
    </w:p>
    <w:p>
      <w:pPr>
        <w:spacing w:line="500" w:lineRule="exact"/>
        <w:rPr>
          <w:rFonts w:hint="eastAsia" w:ascii="宋体" w:hAnsi="宋体"/>
          <w:szCs w:val="21"/>
        </w:rPr>
      </w:pPr>
      <w:r>
        <w:rPr>
          <w:rFonts w:hint="eastAsia" w:ascii="宋体" w:hAnsi="宋体"/>
          <w:szCs w:val="21"/>
        </w:rPr>
        <w:t>特此证明。</w:t>
      </w:r>
    </w:p>
    <w:p>
      <w:pPr>
        <w:spacing w:line="500" w:lineRule="exact"/>
        <w:rPr>
          <w:rFonts w:hint="eastAsia" w:ascii="宋体" w:hAnsi="宋体"/>
          <w:szCs w:val="21"/>
        </w:rPr>
      </w:pPr>
    </w:p>
    <w:p>
      <w:pPr>
        <w:spacing w:line="500" w:lineRule="exact"/>
        <w:rPr>
          <w:rFonts w:hint="eastAsia" w:ascii="宋体" w:hAnsi="宋体"/>
          <w:szCs w:val="21"/>
        </w:rPr>
      </w:pPr>
    </w:p>
    <w:p>
      <w:pPr>
        <w:spacing w:line="500" w:lineRule="exact"/>
        <w:rPr>
          <w:rFonts w:hint="eastAsia" w:ascii="宋体" w:hAnsi="宋体"/>
          <w:szCs w:val="21"/>
        </w:rPr>
      </w:pPr>
    </w:p>
    <w:p>
      <w:pPr>
        <w:wordWrap w:val="0"/>
        <w:spacing w:line="500" w:lineRule="exact"/>
        <w:jc w:val="right"/>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pPr>
        <w:wordWrap w:val="0"/>
        <w:spacing w:line="500" w:lineRule="exact"/>
        <w:jc w:val="right"/>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pPr>
        <w:sectPr>
          <w:footerReference r:id="rId31"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rPr>
          <w:rFonts w:hint="eastAsia" w:ascii="宋体" w:hAnsi="宋体"/>
          <w:szCs w:val="21"/>
        </w:rPr>
      </w:pPr>
      <w:bookmarkStart w:id="1444" w:name="_Toc256000383"/>
      <w:bookmarkStart w:id="1445" w:name="_Toc122603075"/>
      <w:bookmarkStart w:id="1446" w:name="_Toc8979"/>
      <w:r>
        <w:rPr>
          <w:rFonts w:hint="eastAsia"/>
          <w:sz w:val="28"/>
          <w:szCs w:val="28"/>
        </w:rPr>
        <w:t>（</w:t>
      </w:r>
      <w:r>
        <w:rPr>
          <w:sz w:val="28"/>
          <w:szCs w:val="28"/>
        </w:rPr>
        <w:t>二</w:t>
      </w:r>
      <w:r>
        <w:rPr>
          <w:rFonts w:hint="eastAsia"/>
          <w:sz w:val="28"/>
          <w:szCs w:val="28"/>
        </w:rPr>
        <w:t>）授权委托书</w:t>
      </w:r>
      <w:bookmarkEnd w:id="1444"/>
      <w:bookmarkEnd w:id="1445"/>
      <w:bookmarkEnd w:id="1446"/>
    </w:p>
    <w:p>
      <w:pPr>
        <w:spacing w:line="500" w:lineRule="exact"/>
        <w:ind w:firstLine="420" w:firstLineChars="200"/>
        <w:rPr>
          <w:rFonts w:hint="eastAsia" w:ascii="宋体" w:hAnsi="宋体"/>
          <w:szCs w:val="21"/>
        </w:rPr>
      </w:pPr>
      <w:r>
        <w:rPr>
          <w:rFonts w:hint="eastAsia" w:ascii="宋体" w:hAnsi="宋体"/>
          <w:szCs w:val="21"/>
        </w:rPr>
        <w:t>本人</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（投标人名称）的法定代表人，现委托</w:t>
      </w:r>
      <w:r>
        <w:rPr>
          <w:rFonts w:hint="eastAsia" w:ascii="宋体" w:hAnsi="宋体"/>
          <w:szCs w:val="21"/>
          <w:u w:val="single"/>
        </w:rPr>
        <w:t xml:space="preserve">      </w:t>
      </w:r>
      <w:r>
        <w:rPr>
          <w:rFonts w:hint="eastAsia" w:ascii="宋体" w:hAnsi="宋体"/>
          <w:szCs w:val="21"/>
        </w:rPr>
        <w:t>（姓名）为我方代理人。代理人根据授权，以我方名义签署、澄清、说明、补正、递交、撤回、修改</w:t>
      </w:r>
      <w:bookmarkStart w:id="1447" w:name="_Hlk152154310"/>
      <w:r>
        <w:rPr>
          <w:rFonts w:hint="eastAsia" w:ascii="宋体" w:hAnsi="宋体"/>
          <w:szCs w:val="21"/>
          <w:u w:val="single"/>
        </w:rPr>
        <w:t xml:space="preserve">           </w:t>
      </w:r>
      <w:r>
        <w:rPr>
          <w:rFonts w:hint="eastAsia" w:ascii="宋体" w:hAnsi="宋体"/>
          <w:szCs w:val="21"/>
        </w:rPr>
        <w:t>（标段名称）项目</w:t>
      </w:r>
      <w:r>
        <w:rPr>
          <w:rFonts w:hint="eastAsia"/>
        </w:rPr>
        <w:t>（标段唯一标识码：</w:t>
      </w:r>
      <w:r>
        <w:rPr>
          <w:rFonts w:hint="eastAsia"/>
          <w:u w:val="single"/>
        </w:rPr>
        <w:t xml:space="preserve"> </w:t>
      </w:r>
      <w:r>
        <w:rPr>
          <w:u w:val="single"/>
        </w:rPr>
        <w:t xml:space="preserve">         </w:t>
      </w:r>
      <w:r>
        <w:rPr>
          <w:rFonts w:hint="eastAsia"/>
        </w:rPr>
        <w:t>）</w:t>
      </w:r>
      <w:bookmarkEnd w:id="1447"/>
      <w:r>
        <w:rPr>
          <w:rFonts w:hint="eastAsia" w:ascii="宋体" w:hAnsi="宋体"/>
          <w:szCs w:val="21"/>
        </w:rPr>
        <w:t>投标文件、签订合同和处理有关事宜，其法律后果由我方承担。</w:t>
      </w:r>
    </w:p>
    <w:p>
      <w:pPr>
        <w:spacing w:before="156" w:beforeLines="50" w:line="500" w:lineRule="exact"/>
        <w:ind w:firstLine="420" w:firstLineChars="200"/>
        <w:rPr>
          <w:rFonts w:hint="eastAsia" w:ascii="宋体" w:hAnsi="宋体"/>
          <w:szCs w:val="21"/>
        </w:rPr>
      </w:pPr>
      <w:r>
        <w:rPr>
          <w:rFonts w:hint="eastAsia" w:ascii="宋体" w:hAnsi="宋体"/>
          <w:szCs w:val="21"/>
        </w:rPr>
        <w:t>委托期限：</w:t>
      </w:r>
      <w:r>
        <w:rPr>
          <w:rFonts w:hint="eastAsia" w:ascii="宋体" w:hAnsi="宋体"/>
          <w:szCs w:val="21"/>
          <w:u w:val="single"/>
        </w:rPr>
        <w:t xml:space="preserve">                                                         </w:t>
      </w:r>
      <w:r>
        <w:rPr>
          <w:rFonts w:hint="eastAsia" w:ascii="宋体" w:hAnsi="宋体"/>
          <w:szCs w:val="21"/>
        </w:rPr>
        <w:t>。</w:t>
      </w:r>
    </w:p>
    <w:p>
      <w:pPr>
        <w:spacing w:before="312" w:beforeLines="100" w:after="312" w:afterLines="100" w:line="500" w:lineRule="exact"/>
        <w:ind w:firstLine="420" w:firstLineChars="200"/>
        <w:rPr>
          <w:rFonts w:hint="eastAsia" w:ascii="宋体" w:hAnsi="宋体"/>
          <w:szCs w:val="21"/>
        </w:rPr>
      </w:pPr>
      <w:r>
        <w:rPr>
          <w:rFonts w:hint="eastAsia" w:ascii="宋体" w:hAnsi="宋体"/>
          <w:szCs w:val="21"/>
        </w:rPr>
        <w:t>代理人无转委托权。</w:t>
      </w:r>
    </w:p>
    <w:p>
      <w:pPr>
        <w:spacing w:line="500" w:lineRule="exact"/>
        <w:jc w:val="center"/>
        <w:rPr>
          <w:rFonts w:hint="eastAsia" w:ascii="宋体" w:hAnsi="宋体"/>
          <w:szCs w:val="21"/>
        </w:rPr>
      </w:pPr>
      <w:r>
        <w:rPr>
          <w:rFonts w:hint="eastAsia" w:ascii="宋体" w:hAnsi="宋体"/>
          <w:szCs w:val="21"/>
        </w:rPr>
        <w:t>（附授权委托人身份证正反面复印件）</w:t>
      </w:r>
    </w:p>
    <w:p>
      <w:pPr>
        <w:spacing w:line="500" w:lineRule="exact"/>
        <w:rPr>
          <w:rFonts w:hint="eastAsia" w:ascii="宋体" w:hAnsi="宋体"/>
          <w:szCs w:val="21"/>
        </w:rPr>
      </w:pPr>
    </w:p>
    <w:p>
      <w:pPr>
        <w:spacing w:line="400" w:lineRule="exact"/>
        <w:ind w:firstLine="3570" w:firstLineChars="1700"/>
        <w:rPr>
          <w:rFonts w:hint="eastAsia" w:ascii="宋体" w:hAnsi="宋体" w:cs="宋体"/>
          <w:szCs w:val="21"/>
        </w:rPr>
      </w:pPr>
      <w:r>
        <w:rPr>
          <w:rFonts w:hint="eastAsia" w:ascii="宋体" w:hAnsi="宋体" w:cs="宋体"/>
          <w:szCs w:val="21"/>
        </w:rPr>
        <w:t>投  标  人：</w:t>
      </w:r>
      <w:r>
        <w:rPr>
          <w:rFonts w:hint="eastAsia" w:ascii="宋体" w:hAnsi="宋体" w:cs="宋体"/>
          <w:szCs w:val="21"/>
          <w:u w:val="single"/>
        </w:rPr>
        <w:t xml:space="preserve">                    </w:t>
      </w:r>
      <w:r>
        <w:rPr>
          <w:rFonts w:hint="eastAsia" w:ascii="宋体" w:hAnsi="宋体" w:cs="宋体"/>
          <w:szCs w:val="21"/>
        </w:rPr>
        <w:t>（盖单位章）</w:t>
      </w:r>
    </w:p>
    <w:p>
      <w:pPr>
        <w:spacing w:line="400" w:lineRule="exact"/>
        <w:ind w:firstLine="3570" w:firstLineChars="1700"/>
        <w:rPr>
          <w:rFonts w:hint="eastAsia" w:ascii="宋体" w:hAnsi="宋体" w:cs="宋体"/>
          <w:szCs w:val="21"/>
        </w:rPr>
      </w:pPr>
    </w:p>
    <w:p>
      <w:pPr>
        <w:spacing w:line="400" w:lineRule="exact"/>
        <w:ind w:firstLine="3570" w:firstLineChars="1700"/>
        <w:rPr>
          <w:rFonts w:hint="eastAsia"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（签章）</w:t>
      </w:r>
    </w:p>
    <w:p>
      <w:pPr>
        <w:spacing w:line="400" w:lineRule="exact"/>
        <w:ind w:firstLine="3570" w:firstLineChars="1700"/>
        <w:rPr>
          <w:rFonts w:hint="eastAsia" w:ascii="宋体" w:hAnsi="宋体" w:cs="宋体"/>
          <w:szCs w:val="21"/>
        </w:rPr>
      </w:pPr>
    </w:p>
    <w:p>
      <w:pPr>
        <w:spacing w:line="400" w:lineRule="exact"/>
        <w:ind w:firstLine="3570" w:firstLineChars="1700"/>
        <w:rPr>
          <w:rFonts w:hint="eastAsia"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p>
    <w:p>
      <w:pPr>
        <w:spacing w:line="400" w:lineRule="exact"/>
        <w:ind w:firstLine="3570" w:firstLineChars="1700"/>
        <w:rPr>
          <w:rFonts w:hint="eastAsia" w:ascii="宋体" w:hAnsi="宋体" w:cs="宋体"/>
          <w:szCs w:val="21"/>
          <w:u w:val="single"/>
        </w:rPr>
      </w:pPr>
    </w:p>
    <w:p>
      <w:pPr>
        <w:spacing w:line="400" w:lineRule="exact"/>
        <w:ind w:firstLine="3570" w:firstLineChars="1700"/>
        <w:rPr>
          <w:rFonts w:hint="eastAsia"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（签章）</w:t>
      </w:r>
    </w:p>
    <w:p>
      <w:pPr>
        <w:spacing w:line="400" w:lineRule="exact"/>
        <w:ind w:firstLine="3570" w:firstLineChars="1700"/>
        <w:rPr>
          <w:rFonts w:hint="eastAsia" w:ascii="宋体" w:hAnsi="宋体" w:cs="宋体"/>
          <w:szCs w:val="21"/>
        </w:rPr>
      </w:pPr>
    </w:p>
    <w:p>
      <w:pPr>
        <w:spacing w:line="400" w:lineRule="exact"/>
        <w:ind w:firstLine="3570" w:firstLineChars="1700"/>
        <w:rPr>
          <w:rFonts w:hint="eastAsia" w:ascii="黑体" w:hAnsi="宋体" w:eastAsia="黑体"/>
          <w:szCs w:val="21"/>
          <w:u w:val="single"/>
        </w:rPr>
      </w:pPr>
      <w:r>
        <w:rPr>
          <w:rFonts w:hint="eastAsia" w:ascii="宋体" w:hAnsi="宋体" w:cs="宋体"/>
          <w:szCs w:val="21"/>
        </w:rPr>
        <w:t>身份证号码：</w:t>
      </w:r>
      <w:r>
        <w:rPr>
          <w:rFonts w:hint="eastAsia" w:ascii="黑体" w:hAnsi="宋体" w:eastAsia="黑体"/>
          <w:szCs w:val="21"/>
          <w:u w:val="single"/>
        </w:rPr>
        <w:t xml:space="preserve">                              </w:t>
      </w:r>
    </w:p>
    <w:p>
      <w:pPr>
        <w:spacing w:line="400" w:lineRule="exact"/>
        <w:rPr>
          <w:rFonts w:hint="eastAsia" w:ascii="黑体" w:hAnsi="宋体" w:eastAsia="黑体"/>
          <w:szCs w:val="21"/>
        </w:rPr>
      </w:pPr>
    </w:p>
    <w:p>
      <w:pPr>
        <w:spacing w:line="400" w:lineRule="exact"/>
        <w:ind w:firstLine="4830" w:firstLineChars="2300"/>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ectPr>
          <w:footerReference r:id="rId32" w:type="default"/>
          <w:pgSz w:w="11906" w:h="16838"/>
          <w:pgMar w:top="1440" w:right="1800" w:bottom="1440" w:left="1800" w:header="851" w:footer="992" w:gutter="0"/>
          <w:cols w:space="425" w:num="1"/>
          <w:docGrid w:type="lines" w:linePitch="312" w:charSpace="0"/>
        </w:sectPr>
      </w:pPr>
    </w:p>
    <w:p>
      <w:pPr>
        <w:pStyle w:val="29"/>
        <w:spacing w:before="312" w:beforeLines="100" w:after="312" w:afterLines="100"/>
        <w:jc w:val="center"/>
        <w:rPr>
          <w:color w:val="000000"/>
          <w:szCs w:val="21"/>
        </w:rPr>
      </w:pPr>
      <w:bookmarkStart w:id="1448" w:name="_Toc256000384"/>
      <w:bookmarkStart w:id="1449" w:name="_Toc122603076"/>
      <w:bookmarkStart w:id="1450" w:name="_Toc739"/>
      <w:r>
        <w:rPr>
          <w:color w:val="000000"/>
        </w:rPr>
        <w:t>三</w:t>
      </w:r>
      <w:r>
        <w:rPr>
          <w:rFonts w:hint="eastAsia"/>
          <w:color w:val="000000"/>
        </w:rPr>
        <w:t>、投标保证金</w:t>
      </w:r>
      <w:bookmarkEnd w:id="1448"/>
      <w:bookmarkEnd w:id="1449"/>
      <w:bookmarkEnd w:id="1450"/>
    </w:p>
    <w:p>
      <w:pPr>
        <w:spacing w:line="400" w:lineRule="atLeast"/>
        <w:ind w:firstLine="390"/>
        <w:rPr>
          <w:rFonts w:hint="eastAsia" w:ascii="宋体" w:hAnsi="宋体"/>
          <w:b/>
          <w:bCs/>
        </w:rPr>
      </w:pPr>
      <w:r>
        <w:rPr>
          <w:rFonts w:hint="eastAsia" w:ascii="宋体" w:hAnsi="宋体"/>
          <w:b/>
          <w:bCs/>
          <w:szCs w:val="21"/>
        </w:rPr>
        <w:t>（一）</w:t>
      </w:r>
      <w:r>
        <w:rPr>
          <w:rFonts w:ascii="宋体" w:hAnsi="宋体"/>
          <w:b/>
          <w:bCs/>
          <w:szCs w:val="21"/>
        </w:rPr>
        <w:t>若采用现金或支票，投标人应</w:t>
      </w:r>
      <w:r>
        <w:rPr>
          <w:rFonts w:hint="eastAsia" w:ascii="宋体" w:hAnsi="宋体"/>
          <w:b/>
          <w:bCs/>
          <w:szCs w:val="21"/>
        </w:rPr>
        <w:t>填写以下表格信息并</w:t>
      </w:r>
      <w:r>
        <w:rPr>
          <w:rFonts w:ascii="宋体" w:hAnsi="宋体"/>
          <w:b/>
          <w:bCs/>
          <w:szCs w:val="21"/>
        </w:rPr>
        <w:t>提供汇款凭证的扫描件。</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036"/>
        <w:gridCol w:w="110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b/>
              </w:rPr>
            </w:pPr>
            <w:r>
              <w:rPr>
                <w:rFonts w:hint="eastAsia" w:ascii="宋体" w:hAnsi="宋体"/>
                <w:b/>
              </w:rPr>
              <w:t>现金汇款信息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收款账户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汇款账户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收款账号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汇款账号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汇款金额</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汇款时间</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汇款凭证扫描件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基本户开户许可证（基本存款账户信息）扫描件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其他材料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hint="eastAsia" w:ascii="宋体" w:hAnsi="宋体"/>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bl>
    <w:p>
      <w:pPr>
        <w:autoSpaceDE w:val="0"/>
        <w:autoSpaceDN w:val="0"/>
        <w:adjustRightInd w:val="0"/>
        <w:spacing w:line="360" w:lineRule="auto"/>
        <w:ind w:firstLine="400" w:firstLineChars="200"/>
        <w:rPr>
          <w:rFonts w:hint="eastAsia" w:ascii="宋体" w:hAnsi="宋体"/>
          <w:sz w:val="20"/>
        </w:rPr>
      </w:pPr>
    </w:p>
    <w:p>
      <w:pPr>
        <w:spacing w:line="400" w:lineRule="atLeast"/>
        <w:ind w:firstLine="390"/>
        <w:rPr>
          <w:rFonts w:hint="eastAsia" w:ascii="宋体" w:hAnsi="宋体"/>
          <w:b/>
          <w:bCs/>
        </w:rPr>
      </w:pPr>
      <w:r>
        <w:rPr>
          <w:rFonts w:hint="eastAsia" w:ascii="宋体" w:hAnsi="宋体"/>
          <w:b/>
          <w:bCs/>
          <w:szCs w:val="21"/>
        </w:rPr>
        <w:t>（二）</w:t>
      </w:r>
      <w:r>
        <w:rPr>
          <w:rFonts w:ascii="宋体" w:hAnsi="宋体"/>
          <w:b/>
          <w:bCs/>
          <w:szCs w:val="21"/>
        </w:rPr>
        <w:t>若</w:t>
      </w:r>
      <w:r>
        <w:rPr>
          <w:rFonts w:hint="eastAsia" w:ascii="宋体" w:hAnsi="宋体"/>
          <w:b/>
          <w:bCs/>
          <w:szCs w:val="21"/>
        </w:rPr>
        <w:t>采用辽宁省工程建设项目电子保函保险基础服务平台</w:t>
      </w:r>
      <w:bookmarkStart w:id="1451" w:name="_Hlk150859078"/>
      <w:r>
        <w:rPr>
          <w:rFonts w:hint="eastAsia" w:ascii="宋体" w:hAnsi="宋体"/>
          <w:b/>
          <w:bCs/>
          <w:szCs w:val="21"/>
        </w:rPr>
        <w:t>（包含辽宁省建设工程领域电子保函保险基础公共服务平台及跨地区、跨行业自由服务试点的金融平台或金融机构）</w:t>
      </w:r>
      <w:bookmarkEnd w:id="1451"/>
      <w:r>
        <w:rPr>
          <w:rFonts w:hint="eastAsia" w:ascii="宋体" w:hAnsi="宋体"/>
          <w:b/>
          <w:bCs/>
          <w:szCs w:val="21"/>
        </w:rPr>
        <w:t>电子保函</w:t>
      </w:r>
      <w:r>
        <w:rPr>
          <w:rFonts w:ascii="宋体" w:hAnsi="宋体"/>
          <w:b/>
          <w:bCs/>
          <w:szCs w:val="21"/>
        </w:rPr>
        <w:t>，投标人应</w:t>
      </w:r>
      <w:r>
        <w:rPr>
          <w:rFonts w:hint="eastAsia" w:ascii="宋体" w:hAnsi="宋体"/>
          <w:b/>
          <w:bCs/>
          <w:szCs w:val="21"/>
        </w:rPr>
        <w:t>填写以下表格信息</w:t>
      </w:r>
      <w:r>
        <w:rPr>
          <w:rFonts w:ascii="宋体" w:hAnsi="宋体"/>
          <w:b/>
          <w:bCs/>
          <w:szCs w:val="21"/>
        </w:rPr>
        <w:t>。</w:t>
      </w:r>
    </w:p>
    <w:tbl>
      <w:tblPr>
        <w:tblStyle w:val="22"/>
        <w:tblW w:w="818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6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rPr>
            </w:pPr>
            <w:r>
              <w:rPr>
                <w:rFonts w:hint="eastAsia" w:ascii="宋体" w:hAnsi="宋体"/>
                <w:b/>
                <w:bCs/>
                <w:szCs w:val="21"/>
              </w:rPr>
              <w:t>辽宁省工程建设项目电子保函保险基础服务平台</w:t>
            </w:r>
            <w:r>
              <w:rPr>
                <w:rFonts w:hint="eastAsia" w:ascii="宋体" w:hAnsi="宋体"/>
                <w:b/>
              </w:rPr>
              <w:t>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rPr>
            </w:pPr>
            <w:r>
              <w:rPr>
                <w:rFonts w:hint="eastAsia" w:ascii="宋体" w:hAnsi="宋体"/>
              </w:rPr>
              <w:t>保函编号</w:t>
            </w:r>
          </w:p>
        </w:tc>
        <w:tc>
          <w:tcPr>
            <w:tcW w:w="664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rPr>
            </w:pPr>
            <w:r>
              <w:rPr>
                <w:rFonts w:hint="eastAsia" w:ascii="宋体" w:hAnsi="宋体"/>
              </w:rPr>
              <w:t>附件</w:t>
            </w:r>
          </w:p>
        </w:tc>
        <w:tc>
          <w:tcPr>
            <w:tcW w:w="664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rPr>
            </w:pPr>
            <w:r>
              <w:rPr>
                <w:rFonts w:hint="eastAsia" w:ascii="宋体" w:hAnsi="宋体"/>
              </w:rPr>
              <w:t>电子保函扫描件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rPr>
            </w:pPr>
          </w:p>
        </w:tc>
        <w:tc>
          <w:tcPr>
            <w:tcW w:w="664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rPr>
            </w:pPr>
          </w:p>
        </w:tc>
      </w:tr>
    </w:tbl>
    <w:p>
      <w:pPr>
        <w:spacing w:line="400" w:lineRule="atLeast"/>
        <w:ind w:firstLine="390"/>
        <w:rPr>
          <w:rFonts w:hint="eastAsia" w:ascii="宋体" w:hAnsi="宋体"/>
          <w:szCs w:val="21"/>
        </w:rPr>
      </w:pPr>
    </w:p>
    <w:p>
      <w:pPr>
        <w:spacing w:line="400" w:lineRule="atLeast"/>
        <w:ind w:firstLine="390"/>
        <w:rPr>
          <w:rFonts w:hint="eastAsia" w:ascii="宋体" w:hAnsi="宋体"/>
          <w:b/>
          <w:bCs/>
        </w:rPr>
      </w:pPr>
      <w:r>
        <w:rPr>
          <w:rFonts w:hint="eastAsia" w:ascii="宋体" w:hAnsi="宋体"/>
          <w:b/>
          <w:bCs/>
          <w:szCs w:val="21"/>
        </w:rPr>
        <w:t>（三）</w:t>
      </w:r>
      <w:r>
        <w:rPr>
          <w:rFonts w:ascii="宋体" w:hAnsi="宋体"/>
          <w:b/>
          <w:bCs/>
          <w:szCs w:val="21"/>
        </w:rPr>
        <w:t>若</w:t>
      </w:r>
      <w:r>
        <w:rPr>
          <w:rFonts w:hint="eastAsia" w:ascii="宋体" w:hAnsi="宋体"/>
          <w:b/>
          <w:bCs/>
          <w:szCs w:val="21"/>
        </w:rPr>
        <w:t>采用纸质保函或其他平台电子保函</w:t>
      </w:r>
      <w:r>
        <w:rPr>
          <w:rFonts w:ascii="宋体" w:hAnsi="宋体"/>
          <w:b/>
          <w:bCs/>
          <w:szCs w:val="21"/>
        </w:rPr>
        <w:t>，投标人应</w:t>
      </w:r>
      <w:r>
        <w:rPr>
          <w:rFonts w:hint="eastAsia" w:ascii="宋体" w:hAnsi="宋体"/>
          <w:b/>
          <w:bCs/>
          <w:szCs w:val="21"/>
        </w:rPr>
        <w:t>填写以下表格信息，并</w:t>
      </w:r>
      <w:r>
        <w:rPr>
          <w:rFonts w:ascii="宋体" w:hAnsi="宋体"/>
          <w:b/>
          <w:bCs/>
          <w:szCs w:val="21"/>
        </w:rPr>
        <w:t>提供</w:t>
      </w:r>
      <w:r>
        <w:rPr>
          <w:rFonts w:hint="eastAsia" w:ascii="宋体" w:hAnsi="宋体"/>
          <w:b/>
          <w:bCs/>
          <w:szCs w:val="21"/>
        </w:rPr>
        <w:t>相关材料扫描件信息。</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23"/>
        <w:gridCol w:w="2930"/>
        <w:gridCol w:w="1525"/>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b/>
              </w:rPr>
            </w:pPr>
            <w:r>
              <w:rPr>
                <w:rFonts w:hint="eastAsia" w:ascii="宋体" w:hAnsi="宋体"/>
                <w:b/>
              </w:rPr>
              <w:t>非</w:t>
            </w:r>
            <w:r>
              <w:rPr>
                <w:rFonts w:hint="eastAsia" w:ascii="宋体" w:hAnsi="宋体"/>
                <w:b/>
                <w:bCs/>
                <w:szCs w:val="21"/>
              </w:rPr>
              <w:t>辽宁省工程建设项目电子保函保险基础服务平台电子保函</w:t>
            </w:r>
            <w:r>
              <w:rPr>
                <w:rFonts w:hint="eastAsia" w:ascii="宋体" w:hAnsi="宋体"/>
                <w:b/>
              </w:rPr>
              <w:t>或纸质保函信息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保函承保单位</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缴费账户名称</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缴费账号</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保函验真平台网址</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宋体" w:hAnsi="宋体"/>
              </w:rPr>
            </w:pPr>
            <w:r>
              <w:rPr>
                <w:rFonts w:hint="eastAsia" w:ascii="宋体" w:hAnsi="宋体"/>
              </w:rPr>
              <w:t>附件</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保函扫描件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缴费凭证扫描件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基本户开户许可证（基本存款账户信息）扫描件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r>
              <w:rPr>
                <w:rFonts w:hint="eastAsia" w:ascii="宋体" w:hAnsi="宋体"/>
              </w:rPr>
              <w:t>其他材料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23" w:type="dxa"/>
            <w:vMerge w:val="continue"/>
            <w:tcBorders>
              <w:left w:val="single" w:color="auto" w:sz="4" w:space="0"/>
              <w:bottom w:val="single" w:color="auto" w:sz="4" w:space="0"/>
              <w:right w:val="single" w:color="auto" w:sz="4" w:space="0"/>
            </w:tcBorders>
            <w:shd w:val="clear" w:color="auto" w:fill="FFFFFF"/>
            <w:vAlign w:val="center"/>
          </w:tcPr>
          <w:p>
            <w:pPr>
              <w:widowControl/>
              <w:rPr>
                <w:rFonts w:hint="eastAsia" w:ascii="宋体" w:hAnsi="宋体"/>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rPr>
            </w:pPr>
          </w:p>
        </w:tc>
      </w:tr>
    </w:tbl>
    <w:p>
      <w:pPr>
        <w:rPr>
          <w:color w:val="000000"/>
        </w:rPr>
        <w:sectPr>
          <w:footerReference r:id="rId33" w:type="default"/>
          <w:pgSz w:w="11906" w:h="16838"/>
          <w:pgMar w:top="1440" w:right="1800" w:bottom="1440" w:left="1800" w:header="851" w:footer="992" w:gutter="0"/>
          <w:cols w:space="425" w:num="1"/>
          <w:docGrid w:type="lines" w:linePitch="312" w:charSpace="0"/>
        </w:sectPr>
      </w:pPr>
    </w:p>
    <w:p>
      <w:pPr>
        <w:pStyle w:val="29"/>
        <w:jc w:val="center"/>
      </w:pPr>
      <w:bookmarkStart w:id="1452" w:name="_Toc256000385"/>
      <w:bookmarkStart w:id="1453" w:name="_Toc122603077"/>
      <w:bookmarkStart w:id="1454" w:name="_Toc3421"/>
      <w:r>
        <w:t>四</w:t>
      </w:r>
      <w:r>
        <w:rPr>
          <w:rFonts w:hint="eastAsia"/>
        </w:rPr>
        <w:t>、联合体协议书</w:t>
      </w:r>
      <w:bookmarkEnd w:id="1452"/>
      <w:bookmarkEnd w:id="1453"/>
      <w:bookmarkEnd w:id="1454"/>
    </w:p>
    <w:p>
      <w:pPr>
        <w:spacing w:line="394" w:lineRule="exact"/>
        <w:jc w:val="center"/>
        <w:rPr>
          <w:rFonts w:hint="eastAsia" w:ascii="宋体" w:hAnsi="宋体"/>
          <w:b/>
          <w:bCs/>
          <w:szCs w:val="21"/>
        </w:rPr>
      </w:pPr>
      <w:r>
        <w:rPr>
          <w:rFonts w:hint="eastAsia" w:ascii="宋体" w:hAnsi="宋体"/>
          <w:b/>
          <w:bCs/>
          <w:szCs w:val="21"/>
        </w:rPr>
        <w:t>（如有）</w:t>
      </w:r>
    </w:p>
    <w:p>
      <w:pPr>
        <w:spacing w:line="394" w:lineRule="exact"/>
        <w:rPr>
          <w:rFonts w:hint="eastAsia" w:ascii="宋体" w:hAnsi="宋体"/>
          <w:szCs w:val="21"/>
        </w:rPr>
      </w:pPr>
    </w:p>
    <w:p>
      <w:pPr>
        <w:spacing w:line="394" w:lineRule="exact"/>
        <w:rPr>
          <w:rFonts w:hint="eastAsia" w:ascii="宋体" w:hAnsi="宋体"/>
          <w:szCs w:val="21"/>
        </w:rPr>
      </w:pPr>
      <w:r>
        <w:rPr>
          <w:rFonts w:hint="eastAsia" w:ascii="宋体" w:hAnsi="宋体"/>
          <w:szCs w:val="21"/>
        </w:rPr>
        <w:t>牵头人名称：</w:t>
      </w:r>
      <w:r>
        <w:rPr>
          <w:rFonts w:hint="eastAsia" w:ascii="宋体" w:hAnsi="宋体"/>
          <w:szCs w:val="21"/>
          <w:u w:val="single"/>
        </w:rPr>
        <w:t xml:space="preserve">                                                  </w:t>
      </w:r>
    </w:p>
    <w:p>
      <w:pPr>
        <w:spacing w:line="394" w:lineRule="exact"/>
        <w:rPr>
          <w:rFonts w:hint="eastAsia" w:ascii="宋体" w:hAnsi="宋体"/>
          <w:szCs w:val="21"/>
        </w:rPr>
      </w:pPr>
      <w:r>
        <w:rPr>
          <w:rFonts w:hint="eastAsia" w:ascii="宋体" w:hAnsi="宋体"/>
          <w:szCs w:val="21"/>
        </w:rPr>
        <w:t>法定代表人：</w:t>
      </w:r>
      <w:r>
        <w:rPr>
          <w:rFonts w:hint="eastAsia" w:ascii="宋体" w:hAnsi="宋体"/>
          <w:szCs w:val="21"/>
          <w:u w:val="single"/>
        </w:rPr>
        <w:t xml:space="preserve">                                                  </w:t>
      </w:r>
    </w:p>
    <w:p>
      <w:pPr>
        <w:spacing w:line="394" w:lineRule="exact"/>
        <w:rPr>
          <w:rFonts w:hint="eastAsia" w:ascii="宋体" w:hAnsi="宋体"/>
          <w:szCs w:val="21"/>
          <w:u w:val="single"/>
        </w:rPr>
      </w:pPr>
      <w:r>
        <w:rPr>
          <w:rFonts w:hint="eastAsia" w:ascii="宋体" w:hAnsi="宋体"/>
          <w:szCs w:val="21"/>
        </w:rPr>
        <w:t>法定住所：</w:t>
      </w:r>
      <w:r>
        <w:rPr>
          <w:rFonts w:hint="eastAsia" w:ascii="宋体" w:hAnsi="宋体"/>
          <w:szCs w:val="21"/>
          <w:u w:val="single"/>
        </w:rPr>
        <w:t xml:space="preserve">                                                    </w:t>
      </w:r>
    </w:p>
    <w:p>
      <w:pPr>
        <w:spacing w:line="394" w:lineRule="exact"/>
        <w:rPr>
          <w:rFonts w:hint="eastAsia" w:ascii="宋体" w:hAnsi="宋体"/>
          <w:szCs w:val="21"/>
        </w:rPr>
      </w:pPr>
    </w:p>
    <w:p>
      <w:pPr>
        <w:spacing w:line="394" w:lineRule="exact"/>
        <w:rPr>
          <w:rFonts w:hint="eastAsia" w:ascii="宋体" w:hAnsi="宋体"/>
          <w:szCs w:val="21"/>
        </w:rPr>
      </w:pPr>
      <w:r>
        <w:rPr>
          <w:rFonts w:hint="eastAsia" w:ascii="宋体" w:hAnsi="宋体"/>
          <w:szCs w:val="21"/>
        </w:rPr>
        <w:t>成员二名称：</w:t>
      </w:r>
      <w:r>
        <w:rPr>
          <w:rFonts w:hint="eastAsia" w:ascii="宋体" w:hAnsi="宋体"/>
          <w:szCs w:val="21"/>
          <w:u w:val="single"/>
        </w:rPr>
        <w:t xml:space="preserve">                                                  </w:t>
      </w:r>
    </w:p>
    <w:p>
      <w:pPr>
        <w:spacing w:line="394" w:lineRule="exact"/>
        <w:rPr>
          <w:rFonts w:hint="eastAsia" w:ascii="宋体" w:hAnsi="宋体"/>
          <w:szCs w:val="21"/>
        </w:rPr>
      </w:pPr>
      <w:r>
        <w:rPr>
          <w:rFonts w:hint="eastAsia" w:ascii="宋体" w:hAnsi="宋体"/>
          <w:szCs w:val="21"/>
        </w:rPr>
        <w:t>法定代表人：</w:t>
      </w:r>
      <w:r>
        <w:rPr>
          <w:rFonts w:hint="eastAsia" w:ascii="宋体" w:hAnsi="宋体"/>
          <w:szCs w:val="21"/>
          <w:u w:val="single"/>
        </w:rPr>
        <w:t xml:space="preserve">                                                  </w:t>
      </w:r>
    </w:p>
    <w:p>
      <w:pPr>
        <w:spacing w:line="394" w:lineRule="exact"/>
        <w:rPr>
          <w:rFonts w:hint="eastAsia" w:ascii="宋体" w:hAnsi="宋体"/>
          <w:szCs w:val="21"/>
          <w:u w:val="single"/>
        </w:rPr>
      </w:pPr>
      <w:r>
        <w:rPr>
          <w:rFonts w:hint="eastAsia" w:ascii="宋体" w:hAnsi="宋体"/>
          <w:szCs w:val="21"/>
        </w:rPr>
        <w:t>法定住所：</w:t>
      </w:r>
      <w:r>
        <w:rPr>
          <w:rFonts w:hint="eastAsia" w:ascii="宋体" w:hAnsi="宋体"/>
          <w:szCs w:val="21"/>
          <w:u w:val="single"/>
        </w:rPr>
        <w:t xml:space="preserve">                                                    </w:t>
      </w:r>
    </w:p>
    <w:p>
      <w:pPr>
        <w:spacing w:line="394" w:lineRule="exact"/>
        <w:ind w:firstLine="525" w:firstLineChars="250"/>
        <w:rPr>
          <w:rFonts w:hint="eastAsia" w:ascii="宋体" w:hAnsi="宋体"/>
          <w:szCs w:val="21"/>
        </w:rPr>
      </w:pPr>
      <w:r>
        <w:rPr>
          <w:rFonts w:hint="eastAsia" w:ascii="宋体" w:hAnsi="宋体"/>
          <w:szCs w:val="21"/>
        </w:rPr>
        <w:t>……</w:t>
      </w:r>
    </w:p>
    <w:p>
      <w:pPr>
        <w:spacing w:line="394" w:lineRule="exact"/>
        <w:ind w:firstLine="420" w:firstLineChars="200"/>
        <w:rPr>
          <w:rFonts w:hint="eastAsia" w:ascii="宋体" w:hAnsi="宋体"/>
          <w:szCs w:val="21"/>
        </w:rPr>
      </w:pPr>
      <w:r>
        <w:rPr>
          <w:rFonts w:hint="eastAsia" w:ascii="宋体" w:hAnsi="宋体"/>
          <w:szCs w:val="21"/>
        </w:rPr>
        <w:t>鉴于上述各成员单位经过友好协商，自愿组成</w:t>
      </w:r>
      <w:r>
        <w:rPr>
          <w:rFonts w:hint="eastAsia" w:ascii="宋体" w:hAnsi="宋体"/>
          <w:szCs w:val="21"/>
          <w:u w:val="single"/>
        </w:rPr>
        <w:t xml:space="preserve">       </w:t>
      </w:r>
      <w:r>
        <w:rPr>
          <w:rFonts w:hint="eastAsia" w:ascii="宋体" w:hAnsi="宋体"/>
          <w:szCs w:val="21"/>
        </w:rPr>
        <w:t>（联合体名称）联合体，共同参加</w:t>
      </w:r>
      <w:r>
        <w:rPr>
          <w:rFonts w:hint="eastAsia" w:ascii="宋体" w:hAnsi="宋体"/>
          <w:szCs w:val="21"/>
          <w:u w:val="single"/>
        </w:rPr>
        <w:t xml:space="preserve">                  </w:t>
      </w:r>
      <w:r>
        <w:rPr>
          <w:rFonts w:hint="eastAsia" w:ascii="宋体" w:hAnsi="宋体"/>
          <w:szCs w:val="21"/>
        </w:rPr>
        <w:t>（招标人名称）（以下简称招标人）</w:t>
      </w:r>
      <w:r>
        <w:rPr>
          <w:rFonts w:hint="eastAsia" w:ascii="宋体" w:hAnsi="宋体"/>
          <w:szCs w:val="21"/>
          <w:u w:val="single"/>
        </w:rPr>
        <w:t xml:space="preserve">    </w:t>
      </w:r>
      <w:r>
        <w:rPr>
          <w:rFonts w:ascii="宋体" w:hAnsi="宋体"/>
          <w:szCs w:val="21"/>
          <w:u w:val="single"/>
        </w:rPr>
        <w:t xml:space="preserve">             </w:t>
      </w:r>
      <w:r>
        <w:rPr>
          <w:rFonts w:hint="eastAsia"/>
        </w:rPr>
        <w:t>（标段名称）</w:t>
      </w:r>
      <w:r>
        <w:rPr>
          <w:rFonts w:hint="eastAsia" w:ascii="宋体" w:hAnsi="宋体"/>
          <w:szCs w:val="21"/>
        </w:rPr>
        <w:t>（以下简称本工程）的施工投标并争取赢得本工程施工承包合同（以下简称合同）。现就联合体投标事宜订立如下协议：</w:t>
      </w:r>
    </w:p>
    <w:p>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（某成员单位名称）为</w:t>
      </w:r>
      <w:r>
        <w:rPr>
          <w:rFonts w:hint="eastAsia" w:ascii="宋体" w:hAnsi="宋体"/>
          <w:szCs w:val="21"/>
          <w:u w:val="single"/>
        </w:rPr>
        <w:t xml:space="preserve">              </w:t>
      </w:r>
      <w:r>
        <w:rPr>
          <w:rFonts w:hint="eastAsia" w:ascii="宋体" w:hAnsi="宋体"/>
          <w:szCs w:val="21"/>
        </w:rPr>
        <w:t>（联合体名称）牵头人。</w:t>
      </w:r>
    </w:p>
    <w:p>
      <w:pPr>
        <w:spacing w:line="394" w:lineRule="exact"/>
        <w:ind w:firstLine="420" w:firstLineChars="200"/>
        <w:rPr>
          <w:rFonts w:hint="eastAsia" w:ascii="宋体" w:hAnsi="宋体"/>
          <w:szCs w:val="21"/>
        </w:rPr>
      </w:pPr>
      <w:r>
        <w:rPr>
          <w:rFonts w:hint="eastAsia" w:ascii="宋体" w:hAnsi="宋体"/>
          <w:szCs w:val="21"/>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20" w:firstLineChars="200"/>
        <w:rPr>
          <w:rFonts w:hint="eastAsia" w:ascii="宋体" w:hAnsi="宋体"/>
          <w:szCs w:val="21"/>
        </w:rPr>
      </w:pPr>
      <w:r>
        <w:rPr>
          <w:rFonts w:hint="eastAsia" w:ascii="宋体" w:hAnsi="宋体"/>
          <w:szCs w:val="21"/>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20" w:firstLineChars="200"/>
        <w:rPr>
          <w:rFonts w:hint="eastAsia" w:ascii="宋体" w:hAnsi="宋体"/>
          <w:szCs w:val="21"/>
          <w:u w:val="single"/>
        </w:rPr>
      </w:pPr>
      <w:r>
        <w:rPr>
          <w:rFonts w:hint="eastAsia" w:ascii="宋体" w:hAnsi="宋体"/>
          <w:szCs w:val="21"/>
        </w:rPr>
        <w:t>4．联合体各成员单位内部的职责分工如下：</w:t>
      </w:r>
      <w:r>
        <w:rPr>
          <w:rFonts w:hint="eastAsia" w:ascii="宋体" w:hAnsi="宋体"/>
          <w:szCs w:val="21"/>
          <w:u w:val="single"/>
        </w:rPr>
        <w:t xml:space="preserve">                                    </w:t>
      </w:r>
    </w:p>
    <w:p>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w:t>
      </w:r>
    </w:p>
    <w:p>
      <w:pPr>
        <w:spacing w:line="394" w:lineRule="exact"/>
        <w:ind w:firstLine="420" w:firstLineChars="200"/>
        <w:rPr>
          <w:rFonts w:hint="eastAsia" w:ascii="宋体" w:hAnsi="宋体"/>
          <w:szCs w:val="21"/>
        </w:rPr>
      </w:pPr>
      <w:r>
        <w:rPr>
          <w:rFonts w:hint="eastAsia" w:ascii="宋体" w:hAnsi="宋体"/>
          <w:szCs w:val="21"/>
        </w:rPr>
        <w:t>5．投标工作和联合体在中标后工程实施过程中的有关费用按各自承担的工作量分摊。</w:t>
      </w:r>
    </w:p>
    <w:p>
      <w:pPr>
        <w:spacing w:line="394" w:lineRule="exact"/>
        <w:ind w:firstLine="420" w:firstLineChars="200"/>
        <w:rPr>
          <w:rFonts w:hint="eastAsia" w:ascii="宋体" w:hAnsi="宋体"/>
          <w:szCs w:val="21"/>
        </w:rPr>
      </w:pPr>
      <w:r>
        <w:rPr>
          <w:rFonts w:hint="eastAsia" w:ascii="宋体" w:hAnsi="宋体"/>
          <w:szCs w:val="21"/>
        </w:rPr>
        <w:t>6．联合体中标后，本联合体协议是合同的附件，对联合体各成员单位有合同约束力。</w:t>
      </w:r>
    </w:p>
    <w:p>
      <w:pPr>
        <w:spacing w:line="394" w:lineRule="exact"/>
        <w:ind w:firstLine="420" w:firstLineChars="200"/>
        <w:rPr>
          <w:rFonts w:hint="eastAsia" w:ascii="宋体" w:hAnsi="宋体"/>
          <w:szCs w:val="21"/>
        </w:rPr>
      </w:pPr>
      <w:r>
        <w:rPr>
          <w:rFonts w:hint="eastAsia" w:ascii="宋体" w:hAnsi="宋体"/>
          <w:szCs w:val="21"/>
        </w:rPr>
        <w:t>7．本协议书自签署之日起生效，联合体未中标或者中标合同履行完毕后自动失效。</w:t>
      </w:r>
    </w:p>
    <w:p>
      <w:pPr>
        <w:spacing w:line="394" w:lineRule="exact"/>
        <w:ind w:firstLine="420" w:firstLineChars="200"/>
        <w:rPr>
          <w:rFonts w:hint="eastAsia"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份，联合体成员和招标人各执一份。</w:t>
      </w:r>
    </w:p>
    <w:p>
      <w:pPr>
        <w:spacing w:line="394" w:lineRule="exact"/>
        <w:ind w:firstLine="1785" w:firstLineChars="850"/>
        <w:rPr>
          <w:rFonts w:hint="eastAsia" w:ascii="宋体" w:hAnsi="宋体"/>
          <w:szCs w:val="21"/>
        </w:rPr>
      </w:pPr>
    </w:p>
    <w:p>
      <w:pPr>
        <w:spacing w:line="394" w:lineRule="exact"/>
        <w:rPr>
          <w:rFonts w:hint="eastAsia" w:ascii="宋体" w:hAnsi="宋体"/>
          <w:szCs w:val="21"/>
        </w:rPr>
      </w:pPr>
    </w:p>
    <w:p>
      <w:pPr>
        <w:spacing w:line="394" w:lineRule="exact"/>
        <w:ind w:left="1680" w:firstLine="420"/>
        <w:rPr>
          <w:rFonts w:hint="eastAsia" w:ascii="宋体" w:hAnsi="宋体"/>
          <w:szCs w:val="21"/>
        </w:rPr>
      </w:pPr>
      <w:r>
        <w:rPr>
          <w:rFonts w:hint="eastAsia" w:ascii="宋体" w:hAnsi="宋体"/>
          <w:szCs w:val="21"/>
        </w:rPr>
        <w:t>牵头人名称：</w:t>
      </w:r>
      <w:r>
        <w:rPr>
          <w:rFonts w:hint="eastAsia" w:ascii="宋体" w:hAnsi="宋体"/>
          <w:szCs w:val="21"/>
          <w:u w:val="single"/>
        </w:rPr>
        <w:t xml:space="preserve">                                    </w:t>
      </w:r>
      <w:r>
        <w:rPr>
          <w:rFonts w:hint="eastAsia" w:ascii="宋体" w:hAnsi="宋体"/>
          <w:szCs w:val="21"/>
        </w:rPr>
        <w:t>（盖单位章）</w:t>
      </w:r>
    </w:p>
    <w:p>
      <w:pPr>
        <w:ind w:left="1680" w:firstLine="420"/>
        <w:rPr>
          <w:rFonts w:hint="eastAsia" w:ascii="宋体" w:hAnsi="宋体"/>
          <w:szCs w:val="21"/>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（签章）</w:t>
      </w:r>
    </w:p>
    <w:p>
      <w:pPr>
        <w:spacing w:line="394" w:lineRule="exact"/>
        <w:ind w:firstLine="1785" w:firstLineChars="850"/>
        <w:rPr>
          <w:rFonts w:hint="eastAsia" w:ascii="宋体" w:hAnsi="宋体"/>
          <w:szCs w:val="21"/>
        </w:rPr>
      </w:pPr>
    </w:p>
    <w:p>
      <w:pPr>
        <w:spacing w:line="394" w:lineRule="exact"/>
        <w:ind w:firstLine="2202" w:firstLineChars="1049"/>
        <w:rPr>
          <w:rFonts w:hint="eastAsia" w:ascii="宋体" w:hAnsi="宋体"/>
          <w:szCs w:val="21"/>
        </w:rPr>
      </w:pPr>
      <w:r>
        <w:rPr>
          <w:rFonts w:hint="eastAsia" w:ascii="宋体" w:hAnsi="宋体"/>
          <w:szCs w:val="21"/>
        </w:rPr>
        <w:t>成员二名称：</w:t>
      </w:r>
      <w:r>
        <w:rPr>
          <w:rFonts w:hint="eastAsia" w:ascii="宋体" w:hAnsi="宋体"/>
          <w:szCs w:val="21"/>
          <w:u w:val="single"/>
        </w:rPr>
        <w:t xml:space="preserve">                                    </w:t>
      </w:r>
      <w:r>
        <w:rPr>
          <w:rFonts w:hint="eastAsia" w:ascii="宋体" w:hAnsi="宋体"/>
          <w:szCs w:val="21"/>
        </w:rPr>
        <w:t>（盖单位章）</w:t>
      </w:r>
    </w:p>
    <w:p>
      <w:pPr>
        <w:spacing w:line="394" w:lineRule="exact"/>
        <w:ind w:firstLine="2202" w:firstLineChars="1049"/>
        <w:rPr>
          <w:rFonts w:hint="eastAsia" w:ascii="宋体" w:hAnsi="宋体"/>
          <w:szCs w:val="21"/>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（签章）</w:t>
      </w:r>
    </w:p>
    <w:p>
      <w:pPr>
        <w:spacing w:line="394" w:lineRule="exact"/>
        <w:ind w:left="2100" w:firstLine="420"/>
        <w:rPr>
          <w:rFonts w:hint="eastAsia" w:ascii="宋体" w:hAnsi="宋体"/>
          <w:szCs w:val="21"/>
        </w:rPr>
      </w:pPr>
      <w:r>
        <w:rPr>
          <w:rFonts w:hint="eastAsia" w:ascii="宋体" w:hAnsi="宋体"/>
          <w:szCs w:val="21"/>
        </w:rPr>
        <w:t>……</w:t>
      </w:r>
    </w:p>
    <w:p>
      <w:pPr>
        <w:wordWrap w:val="0"/>
        <w:spacing w:line="394" w:lineRule="exact"/>
        <w:jc w:val="right"/>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394" w:lineRule="exact"/>
        <w:rPr>
          <w:rFonts w:hint="eastAsia" w:ascii="黑体" w:hAnsi="宋体" w:eastAsia="黑体"/>
          <w:szCs w:val="21"/>
        </w:rPr>
      </w:pPr>
    </w:p>
    <w:p>
      <w:pPr>
        <w:spacing w:line="400" w:lineRule="exact"/>
        <w:rPr>
          <w:rFonts w:hint="eastAsia" w:ascii="宋体" w:hAnsi="宋体"/>
          <w:szCs w:val="21"/>
        </w:rPr>
      </w:pPr>
      <w:r>
        <w:rPr>
          <w:rFonts w:hint="eastAsia" w:ascii="宋体" w:hAnsi="宋体"/>
          <w:szCs w:val="21"/>
        </w:rPr>
        <w:t>备注：1.本协议书由委托代理人签字的，应附法定代表人签字的授权委托书。</w:t>
      </w:r>
    </w:p>
    <w:p>
      <w:pPr>
        <w:spacing w:line="394" w:lineRule="exact"/>
        <w:ind w:left="840" w:leftChars="300" w:hanging="210" w:hangingChars="100"/>
        <w:rPr>
          <w:rFonts w:hint="eastAsia" w:ascii="宋体" w:hAnsi="宋体"/>
          <w:bCs/>
          <w:szCs w:val="21"/>
        </w:rPr>
      </w:pPr>
      <w:r>
        <w:rPr>
          <w:rFonts w:hint="eastAsia" w:ascii="宋体" w:hAnsi="宋体"/>
          <w:szCs w:val="21"/>
        </w:rPr>
        <w:t>2.投标人未采用联合体投标的，</w:t>
      </w:r>
      <w:r>
        <w:rPr>
          <w:rFonts w:hint="eastAsia" w:ascii="宋体" w:hAnsi="宋体"/>
          <w:bCs/>
          <w:szCs w:val="21"/>
        </w:rPr>
        <w:t>投标文件中不需联合体协议书，也无须盖单位章和签字。</w:t>
      </w:r>
    </w:p>
    <w:p>
      <w:pPr>
        <w:spacing w:line="394" w:lineRule="exact"/>
        <w:ind w:left="840" w:leftChars="300" w:hanging="210" w:hangingChars="100"/>
        <w:rPr>
          <w:rFonts w:hint="eastAsia" w:ascii="宋体" w:hAnsi="宋体"/>
          <w:szCs w:val="21"/>
        </w:rPr>
      </w:pPr>
    </w:p>
    <w:p>
      <w:pPr>
        <w:ind w:left="1680" w:firstLine="420"/>
        <w:rPr>
          <w:rFonts w:hint="eastAsia" w:ascii="宋体" w:hAnsi="宋体"/>
          <w:szCs w:val="21"/>
        </w:rPr>
        <w:sectPr>
          <w:footerReference r:id="rId34" w:type="default"/>
          <w:pgSz w:w="11906" w:h="16838"/>
          <w:pgMar w:top="1440" w:right="1800" w:bottom="1440" w:left="1800" w:header="851" w:footer="992" w:gutter="0"/>
          <w:cols w:space="425" w:num="1"/>
          <w:docGrid w:type="lines" w:linePitch="312" w:charSpace="0"/>
        </w:sectPr>
      </w:pPr>
    </w:p>
    <w:p>
      <w:pPr>
        <w:pStyle w:val="29"/>
        <w:spacing w:before="312" w:beforeLines="100"/>
        <w:jc w:val="center"/>
      </w:pPr>
      <w:bookmarkStart w:id="1455" w:name="_Toc11551"/>
      <w:bookmarkStart w:id="1456" w:name="_Toc256000386"/>
      <w:bookmarkStart w:id="1457" w:name="_Toc122603078"/>
      <w:r>
        <w:t>五</w:t>
      </w:r>
      <w:r>
        <w:rPr>
          <w:rFonts w:hint="eastAsia"/>
        </w:rPr>
        <w:t>、拟分包计划表</w:t>
      </w:r>
      <w:bookmarkEnd w:id="1455"/>
      <w:bookmarkEnd w:id="1456"/>
      <w:bookmarkEnd w:id="1457"/>
    </w:p>
    <w:p>
      <w:pPr>
        <w:spacing w:line="440" w:lineRule="exact"/>
        <w:ind w:right="420"/>
        <w:jc w:val="center"/>
        <w:rPr>
          <w:rFonts w:hint="eastAsia" w:ascii="黑体" w:hAnsi="宋体"/>
          <w:b/>
          <w:bCs/>
          <w:szCs w:val="28"/>
        </w:rPr>
      </w:pPr>
      <w:r>
        <w:rPr>
          <w:rFonts w:hint="eastAsia" w:ascii="黑体" w:hAnsi="宋体"/>
          <w:b/>
          <w:bCs/>
          <w:szCs w:val="28"/>
        </w:rPr>
        <w:t>（如有）</w:t>
      </w:r>
    </w:p>
    <w:p>
      <w:pPr>
        <w:spacing w:line="440" w:lineRule="exact"/>
        <w:ind w:right="420"/>
        <w:jc w:val="center"/>
        <w:rPr>
          <w:rFonts w:hint="eastAsia" w:ascii="黑体" w:hAnsi="宋体"/>
          <w:b/>
          <w:bCs/>
          <w:szCs w:val="28"/>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829"/>
        <w:gridCol w:w="922"/>
        <w:gridCol w:w="1096"/>
        <w:gridCol w:w="1064"/>
        <w:gridCol w:w="116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szCs w:val="21"/>
              </w:rPr>
            </w:pPr>
            <w:r>
              <w:rPr>
                <w:rFonts w:hint="eastAsia" w:ascii="宋体" w:hAnsi="宋体"/>
                <w:szCs w:val="21"/>
              </w:rPr>
              <w:t>序</w:t>
            </w:r>
          </w:p>
          <w:p>
            <w:pPr>
              <w:jc w:val="center"/>
              <w:rPr>
                <w:rFonts w:hint="eastAsia" w:ascii="宋体" w:hAnsi="宋体"/>
                <w:szCs w:val="21"/>
              </w:rPr>
            </w:pPr>
            <w:r>
              <w:rPr>
                <w:rFonts w:hint="eastAsia" w:ascii="宋体" w:hAnsi="宋体"/>
                <w:szCs w:val="21"/>
              </w:rPr>
              <w:t>号</w:t>
            </w:r>
          </w:p>
        </w:tc>
        <w:tc>
          <w:tcPr>
            <w:tcW w:w="1701" w:type="dxa"/>
            <w:vMerge w:val="restart"/>
            <w:tcMar>
              <w:left w:w="108" w:type="dxa"/>
              <w:right w:w="108" w:type="dxa"/>
            </w:tcMar>
            <w:vAlign w:val="center"/>
          </w:tcPr>
          <w:p>
            <w:pPr>
              <w:jc w:val="center"/>
              <w:rPr>
                <w:rFonts w:hint="eastAsia" w:ascii="宋体" w:hAnsi="宋体"/>
                <w:szCs w:val="21"/>
              </w:rPr>
            </w:pPr>
            <w:r>
              <w:rPr>
                <w:rFonts w:hint="eastAsia" w:ascii="宋体" w:hAnsi="宋体"/>
                <w:szCs w:val="21"/>
              </w:rPr>
              <w:t>拟分包项目名称、范围及理由</w:t>
            </w:r>
          </w:p>
        </w:tc>
        <w:tc>
          <w:tcPr>
            <w:tcW w:w="5078" w:type="dxa"/>
            <w:gridSpan w:val="5"/>
            <w:tcMar>
              <w:left w:w="108" w:type="dxa"/>
              <w:right w:w="108" w:type="dxa"/>
            </w:tcMar>
            <w:vAlign w:val="center"/>
          </w:tcPr>
          <w:p>
            <w:pPr>
              <w:jc w:val="center"/>
              <w:rPr>
                <w:rFonts w:hint="eastAsia" w:ascii="宋体" w:hAnsi="宋体"/>
                <w:szCs w:val="21"/>
              </w:rPr>
            </w:pPr>
            <w:r>
              <w:rPr>
                <w:rFonts w:hint="eastAsia" w:ascii="宋体" w:hAnsi="宋体"/>
                <w:szCs w:val="21"/>
              </w:rPr>
              <w:t>拟选分包人</w:t>
            </w:r>
          </w:p>
        </w:tc>
        <w:tc>
          <w:tcPr>
            <w:tcW w:w="961" w:type="dxa"/>
            <w:vMerge w:val="restart"/>
            <w:tcMar>
              <w:left w:w="108" w:type="dxa"/>
              <w:right w:w="108" w:type="dxa"/>
            </w:tcMar>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1751" w:type="dxa"/>
            <w:gridSpan w:val="2"/>
            <w:tcMar>
              <w:left w:w="108" w:type="dxa"/>
              <w:right w:w="108" w:type="dxa"/>
            </w:tcMar>
            <w:vAlign w:val="center"/>
          </w:tcPr>
          <w:p>
            <w:pPr>
              <w:jc w:val="center"/>
              <w:rPr>
                <w:rFonts w:hint="eastAsia" w:ascii="宋体" w:hAnsi="宋体"/>
                <w:szCs w:val="21"/>
              </w:rPr>
            </w:pPr>
            <w:r>
              <w:rPr>
                <w:rFonts w:hint="eastAsia" w:ascii="宋体" w:hAnsi="宋体"/>
                <w:szCs w:val="21"/>
              </w:rPr>
              <w:t>拟选分包人名称</w:t>
            </w:r>
          </w:p>
        </w:tc>
        <w:tc>
          <w:tcPr>
            <w:tcW w:w="1096" w:type="dxa"/>
            <w:tcMar>
              <w:left w:w="108" w:type="dxa"/>
              <w:right w:w="108" w:type="dxa"/>
            </w:tcMar>
            <w:vAlign w:val="center"/>
          </w:tcPr>
          <w:p>
            <w:pPr>
              <w:jc w:val="center"/>
              <w:rPr>
                <w:rFonts w:hint="eastAsia" w:ascii="宋体" w:hAnsi="宋体"/>
                <w:szCs w:val="21"/>
              </w:rPr>
            </w:pPr>
            <w:r>
              <w:rPr>
                <w:rFonts w:hint="eastAsia" w:ascii="宋体" w:hAnsi="宋体"/>
                <w:szCs w:val="21"/>
              </w:rPr>
              <w:t>注册地点</w:t>
            </w:r>
          </w:p>
        </w:tc>
        <w:tc>
          <w:tcPr>
            <w:tcW w:w="1064" w:type="dxa"/>
            <w:tcMar>
              <w:left w:w="108" w:type="dxa"/>
              <w:right w:w="108" w:type="dxa"/>
            </w:tcMar>
            <w:vAlign w:val="center"/>
          </w:tcPr>
          <w:p>
            <w:pPr>
              <w:jc w:val="center"/>
              <w:rPr>
                <w:rFonts w:hint="eastAsia" w:ascii="宋体" w:hAnsi="宋体"/>
                <w:szCs w:val="21"/>
              </w:rPr>
            </w:pPr>
            <w:r>
              <w:rPr>
                <w:rFonts w:hint="eastAsia" w:ascii="宋体" w:hAnsi="宋体"/>
                <w:szCs w:val="21"/>
              </w:rPr>
              <w:t>企业资质</w:t>
            </w:r>
          </w:p>
        </w:tc>
        <w:tc>
          <w:tcPr>
            <w:tcW w:w="1167" w:type="dxa"/>
            <w:tcMar>
              <w:left w:w="108" w:type="dxa"/>
              <w:right w:w="108" w:type="dxa"/>
            </w:tcMar>
            <w:vAlign w:val="center"/>
          </w:tcPr>
          <w:p>
            <w:pPr>
              <w:jc w:val="center"/>
              <w:rPr>
                <w:rFonts w:hint="eastAsia" w:ascii="宋体" w:hAnsi="宋体"/>
                <w:szCs w:val="21"/>
              </w:rPr>
            </w:pPr>
            <w:r>
              <w:rPr>
                <w:rFonts w:hint="eastAsia" w:ascii="宋体" w:hAnsi="宋体"/>
                <w:szCs w:val="21"/>
              </w:rPr>
              <w:t>有关业绩</w:t>
            </w:r>
          </w:p>
        </w:tc>
        <w:tc>
          <w:tcPr>
            <w:tcW w:w="961" w:type="dxa"/>
            <w:vMerge w:val="continue"/>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szCs w:val="21"/>
              </w:rPr>
            </w:pPr>
          </w:p>
        </w:tc>
        <w:tc>
          <w:tcPr>
            <w:tcW w:w="1701" w:type="dxa"/>
            <w:vMerge w:val="restart"/>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1</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2</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3</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szCs w:val="21"/>
              </w:rPr>
            </w:pPr>
          </w:p>
        </w:tc>
        <w:tc>
          <w:tcPr>
            <w:tcW w:w="1701" w:type="dxa"/>
            <w:vMerge w:val="restart"/>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1</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2</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3</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szCs w:val="21"/>
              </w:rPr>
            </w:pPr>
          </w:p>
        </w:tc>
        <w:tc>
          <w:tcPr>
            <w:tcW w:w="1701" w:type="dxa"/>
            <w:vMerge w:val="restart"/>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1</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2</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3</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szCs w:val="21"/>
              </w:rPr>
            </w:pPr>
          </w:p>
        </w:tc>
        <w:tc>
          <w:tcPr>
            <w:tcW w:w="1701" w:type="dxa"/>
            <w:vMerge w:val="restart"/>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1</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2</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szCs w:val="21"/>
              </w:rPr>
            </w:pPr>
          </w:p>
        </w:tc>
        <w:tc>
          <w:tcPr>
            <w:tcW w:w="1701" w:type="dxa"/>
            <w:vMerge w:val="continue"/>
            <w:tcMar>
              <w:left w:w="108" w:type="dxa"/>
              <w:right w:w="108" w:type="dxa"/>
            </w:tcMar>
            <w:vAlign w:val="center"/>
          </w:tcPr>
          <w:p>
            <w:pPr>
              <w:jc w:val="center"/>
              <w:rPr>
                <w:rFonts w:hint="eastAsia" w:ascii="宋体" w:hAnsi="宋体"/>
                <w:szCs w:val="21"/>
              </w:rPr>
            </w:pPr>
          </w:p>
        </w:tc>
        <w:tc>
          <w:tcPr>
            <w:tcW w:w="829" w:type="dxa"/>
            <w:tcMar>
              <w:left w:w="108" w:type="dxa"/>
              <w:right w:w="108" w:type="dxa"/>
            </w:tcMar>
            <w:vAlign w:val="center"/>
          </w:tcPr>
          <w:p>
            <w:pPr>
              <w:jc w:val="center"/>
              <w:rPr>
                <w:rFonts w:hint="eastAsia" w:ascii="黑体" w:hAnsi="宋体" w:eastAsia="黑体"/>
                <w:szCs w:val="21"/>
              </w:rPr>
            </w:pPr>
            <w:r>
              <w:rPr>
                <w:rFonts w:hint="eastAsia" w:ascii="黑体" w:hAnsi="宋体" w:eastAsia="黑体"/>
                <w:szCs w:val="21"/>
              </w:rPr>
              <w:t>3</w:t>
            </w:r>
          </w:p>
        </w:tc>
        <w:tc>
          <w:tcPr>
            <w:tcW w:w="922" w:type="dxa"/>
            <w:tcMar>
              <w:left w:w="108" w:type="dxa"/>
              <w:right w:w="108" w:type="dxa"/>
            </w:tcMar>
            <w:vAlign w:val="center"/>
          </w:tcPr>
          <w:p>
            <w:pPr>
              <w:jc w:val="center"/>
              <w:rPr>
                <w:rFonts w:hint="eastAsia" w:ascii="宋体" w:hAnsi="宋体"/>
                <w:szCs w:val="21"/>
              </w:rPr>
            </w:pPr>
          </w:p>
        </w:tc>
        <w:tc>
          <w:tcPr>
            <w:tcW w:w="1096" w:type="dxa"/>
            <w:tcMar>
              <w:left w:w="108" w:type="dxa"/>
              <w:right w:w="108" w:type="dxa"/>
            </w:tcMar>
            <w:vAlign w:val="center"/>
          </w:tcPr>
          <w:p>
            <w:pPr>
              <w:jc w:val="center"/>
              <w:rPr>
                <w:rFonts w:hint="eastAsia" w:ascii="宋体" w:hAnsi="宋体"/>
                <w:szCs w:val="21"/>
              </w:rPr>
            </w:pPr>
          </w:p>
        </w:tc>
        <w:tc>
          <w:tcPr>
            <w:tcW w:w="1064" w:type="dxa"/>
            <w:tcMar>
              <w:left w:w="108" w:type="dxa"/>
              <w:right w:w="108" w:type="dxa"/>
            </w:tcMar>
            <w:vAlign w:val="center"/>
          </w:tcPr>
          <w:p>
            <w:pPr>
              <w:jc w:val="center"/>
              <w:rPr>
                <w:rFonts w:hint="eastAsia" w:ascii="宋体" w:hAnsi="宋体"/>
                <w:szCs w:val="21"/>
              </w:rPr>
            </w:pPr>
          </w:p>
        </w:tc>
        <w:tc>
          <w:tcPr>
            <w:tcW w:w="1167" w:type="dxa"/>
            <w:tcMar>
              <w:left w:w="108" w:type="dxa"/>
              <w:right w:w="108" w:type="dxa"/>
            </w:tcMar>
            <w:vAlign w:val="center"/>
          </w:tcPr>
          <w:p>
            <w:pPr>
              <w:jc w:val="center"/>
              <w:rPr>
                <w:rFonts w:hint="eastAsia" w:ascii="宋体" w:hAnsi="宋体"/>
                <w:szCs w:val="21"/>
              </w:rPr>
            </w:pPr>
          </w:p>
        </w:tc>
        <w:tc>
          <w:tcPr>
            <w:tcW w:w="961" w:type="dxa"/>
            <w:tcMar>
              <w:left w:w="108" w:type="dxa"/>
              <w:right w:w="108" w:type="dxa"/>
            </w:tcMar>
            <w:vAlign w:val="center"/>
          </w:tcPr>
          <w:p>
            <w:pPr>
              <w:jc w:val="center"/>
              <w:rPr>
                <w:rFonts w:hint="eastAsia" w:ascii="宋体" w:hAnsi="宋体"/>
                <w:szCs w:val="21"/>
              </w:rPr>
            </w:pPr>
          </w:p>
        </w:tc>
      </w:tr>
    </w:tbl>
    <w:p>
      <w:pPr>
        <w:spacing w:line="440" w:lineRule="exact"/>
        <w:ind w:right="420"/>
        <w:rPr>
          <w:rFonts w:hint="eastAsia" w:ascii="黑体" w:hAnsi="宋体" w:eastAsia="黑体"/>
          <w:szCs w:val="21"/>
        </w:rPr>
      </w:pPr>
    </w:p>
    <w:p>
      <w:pPr>
        <w:spacing w:line="440" w:lineRule="exact"/>
        <w:ind w:right="420"/>
        <w:rPr>
          <w:rFonts w:hint="eastAsia" w:ascii="宋体" w:hAnsi="宋体"/>
          <w:szCs w:val="21"/>
        </w:rPr>
      </w:pPr>
    </w:p>
    <w:p>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pPr>
        <w:spacing w:line="440" w:lineRule="exact"/>
        <w:ind w:right="420"/>
        <w:jc w:val="right"/>
        <w:rPr>
          <w:rFonts w:hint="eastAsia" w:ascii="宋体" w:hAnsi="宋体"/>
          <w:szCs w:val="21"/>
        </w:rPr>
      </w:pPr>
    </w:p>
    <w:p>
      <w:pPr>
        <w:spacing w:line="440" w:lineRule="exact"/>
        <w:ind w:left="630" w:right="420" w:hanging="630" w:hangingChars="300"/>
        <w:sectPr>
          <w:footerReference r:id="rId35" w:type="default"/>
          <w:pgSz w:w="11906" w:h="16838"/>
          <w:pgMar w:top="1440" w:right="1800" w:bottom="1440" w:left="1800" w:header="851" w:footer="992" w:gutter="0"/>
          <w:cols w:space="425" w:num="1"/>
          <w:docGrid w:type="lines" w:linePitch="312" w:charSpace="0"/>
        </w:sectPr>
      </w:pPr>
      <w:r>
        <w:rPr>
          <w:rFonts w:hint="eastAsia" w:ascii="宋体" w:hAnsi="宋体"/>
          <w:szCs w:val="21"/>
        </w:rPr>
        <w:t>备注：本表所列分包仅限于承包人自行施工范围内的非主体、非关键工程。没有可不填写。</w:t>
      </w: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widowControl/>
        <w:jc w:val="center"/>
        <w:rPr>
          <w:rFonts w:hint="eastAsia" w:ascii="宋体" w:hAnsi="宋体" w:cs="宋体"/>
          <w:kern w:val="0"/>
          <w:sz w:val="24"/>
          <w:lang w:bidi="ar"/>
        </w:rPr>
      </w:pPr>
    </w:p>
    <w:p>
      <w:pPr>
        <w:pStyle w:val="29"/>
        <w:jc w:val="center"/>
      </w:pPr>
      <w:bookmarkStart w:id="1458" w:name="_Toc256000387"/>
      <w:bookmarkStart w:id="1459" w:name="_Toc6519"/>
      <w:r>
        <w:t>六</w:t>
      </w:r>
      <w:r>
        <w:rPr>
          <w:rFonts w:hint="eastAsia"/>
        </w:rPr>
        <w:t>、项目管理机构</w:t>
      </w:r>
      <w:bookmarkEnd w:id="1458"/>
      <w:bookmarkEnd w:id="1459"/>
    </w:p>
    <w:p>
      <w:pPr>
        <w:widowControl/>
        <w:jc w:val="center"/>
        <w:rPr>
          <w:rFonts w:hint="eastAsia" w:ascii="黑体" w:hAnsi="黑体" w:eastAsia="黑体" w:cs="黑体"/>
          <w:kern w:val="0"/>
          <w:sz w:val="28"/>
          <w:szCs w:val="28"/>
          <w:lang w:bidi="ar"/>
        </w:rPr>
      </w:pPr>
    </w:p>
    <w:p>
      <w:pPr>
        <w:sectPr>
          <w:headerReference r:id="rId36" w:type="default"/>
          <w:footerReference r:id="rId37"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rPr>
          <w:sz w:val="28"/>
          <w:szCs w:val="28"/>
        </w:rPr>
      </w:pPr>
      <w:bookmarkStart w:id="1460" w:name="_Toc256000388"/>
      <w:bookmarkStart w:id="1461" w:name="_Toc122603080"/>
      <w:bookmarkStart w:id="1462" w:name="_Toc5637"/>
      <w:r>
        <w:rPr>
          <w:rFonts w:hint="eastAsia"/>
          <w:sz w:val="28"/>
          <w:szCs w:val="28"/>
        </w:rPr>
        <w:t>（</w:t>
      </w:r>
      <w:r>
        <w:rPr>
          <w:sz w:val="28"/>
          <w:szCs w:val="28"/>
        </w:rPr>
        <w:t>一</w:t>
      </w:r>
      <w:r>
        <w:rPr>
          <w:rFonts w:hint="eastAsia"/>
          <w:sz w:val="28"/>
          <w:szCs w:val="28"/>
        </w:rPr>
        <w:t>）项目管理机构主要人员表</w:t>
      </w:r>
      <w:bookmarkEnd w:id="1460"/>
      <w:bookmarkEnd w:id="1461"/>
      <w:bookmarkEnd w:id="1462"/>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vAlign w:val="center"/>
          </w:tcPr>
          <w:p>
            <w:pPr>
              <w:jc w:val="center"/>
              <w:rPr>
                <w:szCs w:val="21"/>
              </w:rPr>
            </w:pPr>
            <w:r>
              <w:rPr>
                <w:rFonts w:hint="eastAsia" w:cs="宋体"/>
                <w:szCs w:val="21"/>
                <w:lang w:bidi="ar"/>
              </w:rPr>
              <w:t>序号</w:t>
            </w:r>
          </w:p>
        </w:tc>
        <w:tc>
          <w:tcPr>
            <w:tcW w:w="1229" w:type="dxa"/>
            <w:vMerge w:val="restart"/>
            <w:vAlign w:val="center"/>
          </w:tcPr>
          <w:p>
            <w:pPr>
              <w:jc w:val="center"/>
              <w:rPr>
                <w:rFonts w:hint="eastAsia" w:ascii="宋体" w:hAnsi="宋体" w:cs="宋体"/>
                <w:szCs w:val="21"/>
              </w:rPr>
            </w:pPr>
            <w:r>
              <w:rPr>
                <w:rFonts w:hint="eastAsia" w:ascii="宋体" w:hAnsi="宋体" w:cs="宋体"/>
                <w:szCs w:val="21"/>
                <w:lang w:bidi="ar"/>
              </w:rPr>
              <w:t>岗位</w:t>
            </w:r>
          </w:p>
          <w:p>
            <w:pPr>
              <w:jc w:val="center"/>
              <w:rPr>
                <w:szCs w:val="21"/>
              </w:rPr>
            </w:pPr>
            <w:r>
              <w:rPr>
                <w:rFonts w:hint="eastAsia" w:cs="宋体"/>
                <w:szCs w:val="21"/>
                <w:lang w:bidi="ar"/>
              </w:rPr>
              <w:t>（职务）</w:t>
            </w:r>
          </w:p>
        </w:tc>
        <w:tc>
          <w:tcPr>
            <w:tcW w:w="796" w:type="dxa"/>
            <w:vMerge w:val="restart"/>
            <w:vAlign w:val="center"/>
          </w:tcPr>
          <w:p>
            <w:pPr>
              <w:spacing w:line="240" w:lineRule="exact"/>
              <w:jc w:val="center"/>
              <w:rPr>
                <w:szCs w:val="21"/>
              </w:rPr>
            </w:pPr>
            <w:r>
              <w:rPr>
                <w:rFonts w:hint="eastAsia" w:cs="宋体"/>
                <w:szCs w:val="21"/>
                <w:lang w:bidi="ar"/>
              </w:rPr>
              <w:t>姓名</w:t>
            </w:r>
          </w:p>
        </w:tc>
        <w:tc>
          <w:tcPr>
            <w:tcW w:w="514" w:type="dxa"/>
            <w:vMerge w:val="restart"/>
            <w:vAlign w:val="center"/>
          </w:tcPr>
          <w:p>
            <w:pPr>
              <w:spacing w:line="240" w:lineRule="exact"/>
              <w:jc w:val="center"/>
              <w:rPr>
                <w:szCs w:val="21"/>
              </w:rPr>
            </w:pPr>
            <w:r>
              <w:rPr>
                <w:rFonts w:hint="eastAsia" w:cs="宋体"/>
                <w:szCs w:val="21"/>
                <w:lang w:bidi="ar"/>
              </w:rPr>
              <w:t>性别</w:t>
            </w:r>
          </w:p>
        </w:tc>
        <w:tc>
          <w:tcPr>
            <w:tcW w:w="726" w:type="dxa"/>
            <w:vMerge w:val="restart"/>
            <w:vAlign w:val="center"/>
          </w:tcPr>
          <w:p>
            <w:pPr>
              <w:spacing w:line="240" w:lineRule="exact"/>
              <w:jc w:val="center"/>
              <w:rPr>
                <w:szCs w:val="21"/>
              </w:rPr>
            </w:pPr>
            <w:r>
              <w:rPr>
                <w:rFonts w:hint="eastAsia" w:cs="宋体"/>
                <w:szCs w:val="21"/>
                <w:lang w:bidi="ar"/>
              </w:rPr>
              <w:t>年龄</w:t>
            </w:r>
          </w:p>
        </w:tc>
        <w:tc>
          <w:tcPr>
            <w:tcW w:w="726" w:type="dxa"/>
            <w:vMerge w:val="restart"/>
            <w:vAlign w:val="center"/>
          </w:tcPr>
          <w:p>
            <w:pPr>
              <w:spacing w:line="240" w:lineRule="exact"/>
              <w:jc w:val="center"/>
              <w:rPr>
                <w:szCs w:val="21"/>
              </w:rPr>
            </w:pPr>
            <w:r>
              <w:rPr>
                <w:rFonts w:hint="eastAsia" w:cs="宋体"/>
                <w:szCs w:val="21"/>
                <w:lang w:bidi="ar"/>
              </w:rPr>
              <w:t>学历</w:t>
            </w:r>
          </w:p>
        </w:tc>
        <w:tc>
          <w:tcPr>
            <w:tcW w:w="933" w:type="dxa"/>
            <w:vMerge w:val="restart"/>
            <w:vAlign w:val="center"/>
          </w:tcPr>
          <w:p>
            <w:pPr>
              <w:spacing w:line="240" w:lineRule="exact"/>
              <w:jc w:val="center"/>
              <w:rPr>
                <w:szCs w:val="21"/>
              </w:rPr>
            </w:pPr>
            <w:r>
              <w:rPr>
                <w:rFonts w:hint="eastAsia" w:cs="宋体"/>
                <w:szCs w:val="21"/>
                <w:lang w:bidi="ar"/>
              </w:rPr>
              <w:t>所学专业</w:t>
            </w:r>
          </w:p>
        </w:tc>
        <w:tc>
          <w:tcPr>
            <w:tcW w:w="1000" w:type="dxa"/>
            <w:vMerge w:val="restart"/>
            <w:vAlign w:val="center"/>
          </w:tcPr>
          <w:p>
            <w:pPr>
              <w:jc w:val="center"/>
              <w:rPr>
                <w:szCs w:val="21"/>
              </w:rPr>
            </w:pPr>
            <w:r>
              <w:rPr>
                <w:rFonts w:hint="eastAsia" w:cs="宋体"/>
                <w:szCs w:val="21"/>
                <w:lang w:bidi="ar"/>
              </w:rPr>
              <w:t>专业工作年限</w:t>
            </w:r>
          </w:p>
        </w:tc>
        <w:tc>
          <w:tcPr>
            <w:tcW w:w="1635" w:type="dxa"/>
            <w:gridSpan w:val="3"/>
            <w:vAlign w:val="center"/>
          </w:tcPr>
          <w:p>
            <w:pPr>
              <w:jc w:val="center"/>
              <w:rPr>
                <w:szCs w:val="21"/>
              </w:rPr>
            </w:pPr>
            <w:r>
              <w:rPr>
                <w:rFonts w:hint="eastAsia" w:cs="宋体"/>
                <w:szCs w:val="21"/>
                <w:lang w:bidi="ar"/>
              </w:rPr>
              <w:t>专业技术职称</w:t>
            </w:r>
          </w:p>
        </w:tc>
        <w:tc>
          <w:tcPr>
            <w:tcW w:w="4038" w:type="dxa"/>
            <w:gridSpan w:val="4"/>
            <w:vAlign w:val="center"/>
          </w:tcPr>
          <w:p>
            <w:pPr>
              <w:spacing w:line="420" w:lineRule="exact"/>
              <w:jc w:val="center"/>
              <w:rPr>
                <w:szCs w:val="21"/>
              </w:rPr>
            </w:pPr>
            <w:r>
              <w:rPr>
                <w:rFonts w:hint="eastAsia" w:ascii="宋体" w:hAnsi="宋体" w:cs="宋体"/>
                <w:szCs w:val="21"/>
                <w:lang w:bidi="ar"/>
              </w:rPr>
              <w:t>执业或职业资格证明</w:t>
            </w:r>
          </w:p>
        </w:tc>
        <w:tc>
          <w:tcPr>
            <w:tcW w:w="1091" w:type="dxa"/>
            <w:vMerge w:val="restart"/>
            <w:vAlign w:val="center"/>
          </w:tcPr>
          <w:p>
            <w:pPr>
              <w:spacing w:line="420" w:lineRule="exact"/>
              <w:jc w:val="center"/>
              <w:rPr>
                <w:szCs w:val="21"/>
              </w:rPr>
            </w:pPr>
            <w:r>
              <w:rPr>
                <w:rFonts w:hint="eastAsia" w:ascii="宋体" w:hAnsi="宋体" w:cs="宋体"/>
                <w:szCs w:val="21"/>
                <w:lang w:bidi="ar"/>
              </w:rPr>
              <w:t>社会保险</w:t>
            </w:r>
          </w:p>
        </w:tc>
        <w:tc>
          <w:tcPr>
            <w:tcW w:w="909" w:type="dxa"/>
            <w:vMerge w:val="restart"/>
            <w:vAlign w:val="center"/>
          </w:tcPr>
          <w:p>
            <w:pPr>
              <w:spacing w:line="420" w:lineRule="exact"/>
              <w:jc w:val="center"/>
              <w:rPr>
                <w:szCs w:val="21"/>
              </w:rPr>
            </w:pPr>
            <w:r>
              <w:rPr>
                <w:rFonts w:hint="eastAsia" w:cs="宋体"/>
                <w:szCs w:val="21"/>
                <w:lang w:bidi="ar"/>
              </w:rPr>
              <w:t>执业或</w:t>
            </w:r>
          </w:p>
          <w:p>
            <w:pPr>
              <w:spacing w:line="420" w:lineRule="exact"/>
              <w:jc w:val="center"/>
              <w:rPr>
                <w:szCs w:val="21"/>
                <w:vertAlign w:val="superscript"/>
              </w:rPr>
            </w:pPr>
            <w:r>
              <w:rPr>
                <w:rFonts w:hint="eastAsia" w:cs="宋体"/>
                <w:szCs w:val="21"/>
                <w:lang w:bidi="ar"/>
              </w:rPr>
              <w:t>职业单位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vAlign w:val="center"/>
          </w:tcPr>
          <w:p>
            <w:pPr>
              <w:rPr>
                <w:szCs w:val="21"/>
              </w:rPr>
            </w:pPr>
          </w:p>
        </w:tc>
        <w:tc>
          <w:tcPr>
            <w:tcW w:w="1229" w:type="dxa"/>
            <w:vMerge w:val="continue"/>
            <w:vAlign w:val="center"/>
          </w:tcPr>
          <w:p>
            <w:pPr>
              <w:rPr>
                <w:szCs w:val="21"/>
              </w:rPr>
            </w:pPr>
          </w:p>
        </w:tc>
        <w:tc>
          <w:tcPr>
            <w:tcW w:w="796" w:type="dxa"/>
            <w:vMerge w:val="continue"/>
            <w:vAlign w:val="center"/>
          </w:tcPr>
          <w:p>
            <w:pPr>
              <w:rPr>
                <w:szCs w:val="21"/>
              </w:rPr>
            </w:pPr>
          </w:p>
        </w:tc>
        <w:tc>
          <w:tcPr>
            <w:tcW w:w="514" w:type="dxa"/>
            <w:vMerge w:val="continue"/>
            <w:vAlign w:val="center"/>
          </w:tcPr>
          <w:p>
            <w:pPr>
              <w:rPr>
                <w:szCs w:val="21"/>
              </w:rPr>
            </w:pPr>
          </w:p>
        </w:tc>
        <w:tc>
          <w:tcPr>
            <w:tcW w:w="726" w:type="dxa"/>
            <w:vMerge w:val="continue"/>
            <w:vAlign w:val="center"/>
          </w:tcPr>
          <w:p>
            <w:pPr>
              <w:rPr>
                <w:szCs w:val="21"/>
              </w:rPr>
            </w:pPr>
          </w:p>
        </w:tc>
        <w:tc>
          <w:tcPr>
            <w:tcW w:w="726" w:type="dxa"/>
            <w:vMerge w:val="continue"/>
            <w:vAlign w:val="center"/>
          </w:tcPr>
          <w:p>
            <w:pPr>
              <w:rPr>
                <w:szCs w:val="21"/>
              </w:rPr>
            </w:pPr>
          </w:p>
        </w:tc>
        <w:tc>
          <w:tcPr>
            <w:tcW w:w="933" w:type="dxa"/>
            <w:vMerge w:val="continue"/>
            <w:vAlign w:val="center"/>
          </w:tcPr>
          <w:p>
            <w:pPr>
              <w:rPr>
                <w:szCs w:val="21"/>
              </w:rPr>
            </w:pPr>
          </w:p>
        </w:tc>
        <w:tc>
          <w:tcPr>
            <w:tcW w:w="1000" w:type="dxa"/>
            <w:vMerge w:val="continue"/>
            <w:vAlign w:val="center"/>
          </w:tcPr>
          <w:p>
            <w:pPr>
              <w:rPr>
                <w:szCs w:val="21"/>
              </w:rPr>
            </w:pPr>
          </w:p>
        </w:tc>
        <w:tc>
          <w:tcPr>
            <w:tcW w:w="369" w:type="dxa"/>
            <w:vAlign w:val="center"/>
          </w:tcPr>
          <w:p>
            <w:pPr>
              <w:jc w:val="center"/>
              <w:rPr>
                <w:szCs w:val="21"/>
              </w:rPr>
            </w:pPr>
            <w:r>
              <w:rPr>
                <w:rFonts w:hint="eastAsia" w:cs="宋体"/>
                <w:szCs w:val="21"/>
                <w:lang w:bidi="ar"/>
              </w:rPr>
              <w:t>级别</w:t>
            </w:r>
          </w:p>
        </w:tc>
        <w:tc>
          <w:tcPr>
            <w:tcW w:w="676" w:type="dxa"/>
            <w:vAlign w:val="center"/>
          </w:tcPr>
          <w:p>
            <w:pPr>
              <w:jc w:val="center"/>
              <w:rPr>
                <w:szCs w:val="21"/>
              </w:rPr>
            </w:pPr>
            <w:r>
              <w:rPr>
                <w:rFonts w:hint="eastAsia" w:cs="宋体"/>
                <w:szCs w:val="21"/>
                <w:lang w:bidi="ar"/>
              </w:rPr>
              <w:t>职称专业</w:t>
            </w:r>
          </w:p>
        </w:tc>
        <w:tc>
          <w:tcPr>
            <w:tcW w:w="590" w:type="dxa"/>
            <w:vAlign w:val="center"/>
          </w:tcPr>
          <w:p>
            <w:pPr>
              <w:jc w:val="center"/>
            </w:pPr>
            <w:r>
              <w:rPr>
                <w:rFonts w:hint="eastAsia" w:cs="宋体"/>
                <w:szCs w:val="21"/>
                <w:lang w:bidi="ar"/>
              </w:rPr>
              <w:t>职称专业类别</w:t>
            </w:r>
          </w:p>
        </w:tc>
        <w:tc>
          <w:tcPr>
            <w:tcW w:w="1135" w:type="dxa"/>
            <w:vAlign w:val="center"/>
          </w:tcPr>
          <w:p>
            <w:pPr>
              <w:jc w:val="center"/>
              <w:rPr>
                <w:rFonts w:hint="eastAsia" w:ascii="宋体" w:hAnsi="宋体"/>
                <w:szCs w:val="21"/>
              </w:rPr>
            </w:pPr>
            <w:r>
              <w:rPr>
                <w:rFonts w:hint="eastAsia" w:ascii="宋体" w:hAnsi="宋体" w:cs="宋体"/>
                <w:szCs w:val="21"/>
                <w:lang w:bidi="ar"/>
              </w:rPr>
              <w:t>证书名称</w:t>
            </w:r>
          </w:p>
        </w:tc>
        <w:tc>
          <w:tcPr>
            <w:tcW w:w="966" w:type="dxa"/>
            <w:vAlign w:val="center"/>
          </w:tcPr>
          <w:p>
            <w:pPr>
              <w:jc w:val="center"/>
              <w:rPr>
                <w:rFonts w:hint="eastAsia" w:ascii="宋体" w:hAnsi="宋体"/>
                <w:szCs w:val="21"/>
              </w:rPr>
            </w:pPr>
            <w:r>
              <w:rPr>
                <w:rFonts w:hint="eastAsia" w:ascii="宋体" w:hAnsi="宋体" w:cs="宋体"/>
                <w:szCs w:val="21"/>
                <w:lang w:bidi="ar"/>
              </w:rPr>
              <w:t>级别</w:t>
            </w:r>
          </w:p>
        </w:tc>
        <w:tc>
          <w:tcPr>
            <w:tcW w:w="967" w:type="dxa"/>
            <w:vAlign w:val="center"/>
          </w:tcPr>
          <w:p>
            <w:pPr>
              <w:jc w:val="center"/>
              <w:rPr>
                <w:rFonts w:hint="eastAsia" w:ascii="宋体" w:hAnsi="宋体"/>
                <w:szCs w:val="21"/>
              </w:rPr>
            </w:pPr>
            <w:r>
              <w:rPr>
                <w:rFonts w:hint="eastAsia" w:ascii="宋体" w:hAnsi="宋体" w:cs="宋体"/>
                <w:szCs w:val="21"/>
                <w:lang w:bidi="ar"/>
              </w:rPr>
              <w:t>证号</w:t>
            </w:r>
          </w:p>
        </w:tc>
        <w:tc>
          <w:tcPr>
            <w:tcW w:w="970" w:type="dxa"/>
            <w:vAlign w:val="center"/>
          </w:tcPr>
          <w:p>
            <w:pPr>
              <w:jc w:val="center"/>
              <w:rPr>
                <w:rFonts w:hint="eastAsia" w:ascii="宋体" w:hAnsi="宋体"/>
                <w:szCs w:val="21"/>
              </w:rPr>
            </w:pPr>
            <w:r>
              <w:rPr>
                <w:rFonts w:hint="eastAsia" w:ascii="宋体" w:hAnsi="宋体" w:cs="宋体"/>
                <w:szCs w:val="21"/>
                <w:lang w:bidi="ar"/>
              </w:rPr>
              <w:t>专业</w:t>
            </w:r>
          </w:p>
        </w:tc>
        <w:tc>
          <w:tcPr>
            <w:tcW w:w="1091" w:type="dxa"/>
            <w:vMerge w:val="continue"/>
            <w:vAlign w:val="center"/>
          </w:tcPr>
          <w:p>
            <w:pPr>
              <w:rPr>
                <w:szCs w:val="21"/>
              </w:rPr>
            </w:pPr>
          </w:p>
        </w:tc>
        <w:tc>
          <w:tcPr>
            <w:tcW w:w="909" w:type="dxa"/>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1</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2</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3</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4</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5</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6</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7</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8</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szCs w:val="21"/>
                <w:lang w:bidi="ar"/>
              </w:rPr>
              <w:t>9</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szCs w:val="21"/>
              </w:rPr>
            </w:pPr>
            <w:r>
              <w:rPr>
                <w:rFonts w:hint="eastAsia" w:ascii="宋体" w:hAnsi="宋体" w:cs="宋体"/>
                <w:szCs w:val="21"/>
                <w:lang w:bidi="ar"/>
              </w:rPr>
              <w:t>…</w:t>
            </w:r>
          </w:p>
        </w:tc>
        <w:tc>
          <w:tcPr>
            <w:tcW w:w="1229" w:type="dxa"/>
            <w:vAlign w:val="center"/>
          </w:tcPr>
          <w:p>
            <w:pPr>
              <w:jc w:val="center"/>
              <w:rPr>
                <w:szCs w:val="21"/>
              </w:rPr>
            </w:pPr>
          </w:p>
        </w:tc>
        <w:tc>
          <w:tcPr>
            <w:tcW w:w="796" w:type="dxa"/>
            <w:vAlign w:val="center"/>
          </w:tcPr>
          <w:p>
            <w:pPr>
              <w:spacing w:line="240" w:lineRule="exact"/>
              <w:jc w:val="center"/>
              <w:rPr>
                <w:szCs w:val="21"/>
              </w:rPr>
            </w:pPr>
          </w:p>
        </w:tc>
        <w:tc>
          <w:tcPr>
            <w:tcW w:w="514"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726" w:type="dxa"/>
            <w:vAlign w:val="center"/>
          </w:tcPr>
          <w:p>
            <w:pPr>
              <w:spacing w:line="240" w:lineRule="exact"/>
              <w:jc w:val="center"/>
              <w:rPr>
                <w:szCs w:val="21"/>
              </w:rPr>
            </w:pPr>
          </w:p>
        </w:tc>
        <w:tc>
          <w:tcPr>
            <w:tcW w:w="933" w:type="dxa"/>
            <w:vAlign w:val="center"/>
          </w:tcPr>
          <w:p>
            <w:pPr>
              <w:spacing w:line="240" w:lineRule="exact"/>
              <w:jc w:val="center"/>
              <w:rPr>
                <w:szCs w:val="21"/>
              </w:rPr>
            </w:pPr>
          </w:p>
        </w:tc>
        <w:tc>
          <w:tcPr>
            <w:tcW w:w="1000" w:type="dxa"/>
            <w:vAlign w:val="center"/>
          </w:tcPr>
          <w:p>
            <w:pPr>
              <w:jc w:val="center"/>
              <w:rPr>
                <w:szCs w:val="21"/>
              </w:rPr>
            </w:pPr>
          </w:p>
        </w:tc>
        <w:tc>
          <w:tcPr>
            <w:tcW w:w="369" w:type="dxa"/>
            <w:vAlign w:val="center"/>
          </w:tcPr>
          <w:p>
            <w:pPr>
              <w:jc w:val="center"/>
              <w:rPr>
                <w:szCs w:val="21"/>
              </w:rPr>
            </w:pPr>
          </w:p>
        </w:tc>
        <w:tc>
          <w:tcPr>
            <w:tcW w:w="676" w:type="dxa"/>
            <w:vAlign w:val="center"/>
          </w:tcPr>
          <w:p>
            <w:pPr>
              <w:jc w:val="center"/>
              <w:rPr>
                <w:szCs w:val="21"/>
              </w:rPr>
            </w:pPr>
          </w:p>
        </w:tc>
        <w:tc>
          <w:tcPr>
            <w:tcW w:w="590" w:type="dxa"/>
            <w:vAlign w:val="center"/>
          </w:tcPr>
          <w:p>
            <w:pPr>
              <w:jc w:val="center"/>
            </w:pPr>
          </w:p>
        </w:tc>
        <w:tc>
          <w:tcPr>
            <w:tcW w:w="1135" w:type="dxa"/>
            <w:vAlign w:val="center"/>
          </w:tcPr>
          <w:p>
            <w:pPr>
              <w:jc w:val="center"/>
              <w:rPr>
                <w:szCs w:val="21"/>
              </w:rPr>
            </w:pPr>
          </w:p>
        </w:tc>
        <w:tc>
          <w:tcPr>
            <w:tcW w:w="966" w:type="dxa"/>
            <w:vAlign w:val="center"/>
          </w:tcPr>
          <w:p>
            <w:pPr>
              <w:jc w:val="center"/>
              <w:rPr>
                <w:szCs w:val="21"/>
              </w:rPr>
            </w:pPr>
          </w:p>
        </w:tc>
        <w:tc>
          <w:tcPr>
            <w:tcW w:w="967" w:type="dxa"/>
            <w:vAlign w:val="center"/>
          </w:tcPr>
          <w:p>
            <w:pPr>
              <w:jc w:val="center"/>
              <w:rPr>
                <w:szCs w:val="21"/>
              </w:rPr>
            </w:pPr>
          </w:p>
        </w:tc>
        <w:tc>
          <w:tcPr>
            <w:tcW w:w="970" w:type="dxa"/>
            <w:vAlign w:val="center"/>
          </w:tcPr>
          <w:p>
            <w:pPr>
              <w:jc w:val="center"/>
              <w:rPr>
                <w:szCs w:val="21"/>
              </w:rPr>
            </w:pPr>
          </w:p>
        </w:tc>
        <w:tc>
          <w:tcPr>
            <w:tcW w:w="1091" w:type="dxa"/>
            <w:vAlign w:val="center"/>
          </w:tcPr>
          <w:p>
            <w:pPr>
              <w:jc w:val="center"/>
              <w:rPr>
                <w:szCs w:val="21"/>
              </w:rPr>
            </w:pPr>
          </w:p>
        </w:tc>
        <w:tc>
          <w:tcPr>
            <w:tcW w:w="909" w:type="dxa"/>
            <w:vAlign w:val="center"/>
          </w:tcPr>
          <w:p>
            <w:pPr>
              <w:jc w:val="center"/>
              <w:rPr>
                <w:szCs w:val="21"/>
              </w:rPr>
            </w:pPr>
          </w:p>
        </w:tc>
      </w:tr>
    </w:tbl>
    <w:p>
      <w:pPr>
        <w:spacing w:line="400" w:lineRule="atLeast"/>
        <w:ind w:left="630" w:hanging="630" w:hangingChars="300"/>
        <w:rPr>
          <w:rFonts w:hint="eastAsia" w:ascii="宋体" w:hAnsi="宋体"/>
          <w:szCs w:val="21"/>
        </w:rPr>
      </w:pPr>
      <w:r>
        <w:rPr>
          <w:rFonts w:hint="eastAsia"/>
        </w:rPr>
        <w:t>备注</w:t>
      </w:r>
      <w:r>
        <w:t>：</w:t>
      </w:r>
      <w:r>
        <w:rPr>
          <w:rFonts w:hint="eastAsia" w:ascii="宋体" w:hAnsi="宋体"/>
          <w:szCs w:val="21"/>
        </w:rPr>
        <w:t>1.执业、职业单位</w:t>
      </w:r>
      <w:r>
        <w:rPr>
          <w:rFonts w:hint="eastAsia" w:ascii="宋体" w:hAnsi="宋体" w:cs="宋体"/>
          <w:szCs w:val="21"/>
          <w:lang w:bidi="ar"/>
        </w:rPr>
        <w:t>是指</w:t>
      </w:r>
      <w:r>
        <w:rPr>
          <w:rFonts w:hint="eastAsia" w:ascii="宋体" w:hAnsi="宋体"/>
          <w:szCs w:val="21"/>
        </w:rPr>
        <w:t>拟投入的项目管理机构人员目前是否在投标人处注册执业或岗位登记</w:t>
      </w:r>
      <w:r>
        <w:rPr>
          <w:rFonts w:ascii="宋体" w:hAnsi="宋体"/>
          <w:szCs w:val="21"/>
        </w:rPr>
        <w:t>。</w:t>
      </w:r>
    </w:p>
    <w:p>
      <w:pPr>
        <w:spacing w:line="420" w:lineRule="exact"/>
        <w:ind w:left="945" w:leftChars="300" w:hanging="315" w:hangingChars="150"/>
        <w:rPr>
          <w:rFonts w:hint="eastAsia" w:ascii="宋体" w:hAnsi="宋体"/>
          <w:szCs w:val="21"/>
        </w:rPr>
      </w:pPr>
      <w:r>
        <w:rPr>
          <w:rFonts w:ascii="宋体" w:hAnsi="宋体"/>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w:t>
      </w:r>
      <w:r>
        <w:rPr>
          <w:rFonts w:ascii="宋体" w:hAnsi="宋体"/>
          <w:szCs w:val="21"/>
        </w:rPr>
        <w:t>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pPr>
        <w:sectPr>
          <w:footerReference r:id="rId38" w:type="default"/>
          <w:pgSz w:w="16838" w:h="11906" w:orient="landscape"/>
          <w:pgMar w:top="1800" w:right="1440" w:bottom="1800" w:left="1440" w:header="851" w:footer="992" w:gutter="0"/>
          <w:cols w:space="425" w:num="1"/>
          <w:docGrid w:type="lines" w:linePitch="312" w:charSpace="0"/>
        </w:sectPr>
      </w:pPr>
    </w:p>
    <w:p>
      <w:pPr>
        <w:pStyle w:val="31"/>
        <w:spacing w:before="312" w:beforeLines="100" w:after="312" w:afterLines="100"/>
        <w:jc w:val="center"/>
        <w:rPr>
          <w:rFonts w:hint="eastAsia" w:ascii="宋体" w:hAnsi="宋体"/>
          <w:szCs w:val="21"/>
        </w:rPr>
      </w:pPr>
      <w:bookmarkStart w:id="1463" w:name="_Toc11852"/>
      <w:bookmarkStart w:id="1464" w:name="_Toc256000389"/>
      <w:bookmarkStart w:id="1465" w:name="_Toc122603081"/>
      <w:r>
        <w:rPr>
          <w:rFonts w:hint="eastAsia"/>
          <w:sz w:val="28"/>
          <w:szCs w:val="28"/>
        </w:rPr>
        <w:t>（</w:t>
      </w:r>
      <w:r>
        <w:rPr>
          <w:sz w:val="28"/>
          <w:szCs w:val="28"/>
        </w:rPr>
        <w:t>二</w:t>
      </w:r>
      <w:r>
        <w:rPr>
          <w:rFonts w:hint="eastAsia"/>
          <w:sz w:val="28"/>
          <w:szCs w:val="28"/>
        </w:rPr>
        <w:t>）项目经理简历表</w:t>
      </w:r>
      <w:bookmarkEnd w:id="1463"/>
      <w:bookmarkEnd w:id="1464"/>
      <w:bookmarkEnd w:id="1465"/>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szCs w:val="21"/>
              </w:rPr>
            </w:pPr>
            <w:r>
              <w:rPr>
                <w:rFonts w:hint="eastAsia" w:ascii="宋体" w:hAnsi="宋体"/>
                <w:szCs w:val="21"/>
              </w:rPr>
              <w:t>姓  名</w:t>
            </w:r>
          </w:p>
        </w:tc>
        <w:tc>
          <w:tcPr>
            <w:tcW w:w="902" w:type="dxa"/>
            <w:vAlign w:val="center"/>
          </w:tcPr>
          <w:p>
            <w:pPr>
              <w:jc w:val="center"/>
              <w:rPr>
                <w:rFonts w:hint="eastAsia" w:ascii="宋体" w:hAnsi="宋体"/>
                <w:szCs w:val="21"/>
              </w:rPr>
            </w:pPr>
          </w:p>
        </w:tc>
        <w:tc>
          <w:tcPr>
            <w:tcW w:w="1090" w:type="dxa"/>
            <w:vAlign w:val="center"/>
          </w:tcPr>
          <w:p>
            <w:pPr>
              <w:jc w:val="center"/>
              <w:rPr>
                <w:rFonts w:hint="eastAsia" w:ascii="宋体" w:hAnsi="宋体"/>
                <w:szCs w:val="21"/>
              </w:rPr>
            </w:pPr>
            <w:r>
              <w:rPr>
                <w:rFonts w:hint="eastAsia" w:ascii="宋体" w:hAnsi="宋体"/>
                <w:szCs w:val="21"/>
              </w:rPr>
              <w:t>年  龄</w:t>
            </w:r>
          </w:p>
        </w:tc>
        <w:tc>
          <w:tcPr>
            <w:tcW w:w="1222" w:type="dxa"/>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r>
              <w:rPr>
                <w:rFonts w:hint="eastAsia" w:ascii="宋体" w:hAnsi="宋体"/>
                <w:szCs w:val="21"/>
              </w:rPr>
              <w:t>学历</w:t>
            </w: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szCs w:val="21"/>
              </w:rPr>
            </w:pPr>
            <w:r>
              <w:rPr>
                <w:rFonts w:hint="eastAsia" w:ascii="宋体" w:hAnsi="宋体"/>
                <w:szCs w:val="21"/>
              </w:rPr>
              <w:t>职  称</w:t>
            </w:r>
          </w:p>
        </w:tc>
        <w:tc>
          <w:tcPr>
            <w:tcW w:w="902" w:type="dxa"/>
            <w:vAlign w:val="center"/>
          </w:tcPr>
          <w:p>
            <w:pPr>
              <w:jc w:val="center"/>
              <w:rPr>
                <w:rFonts w:hint="eastAsia" w:ascii="宋体" w:hAnsi="宋体"/>
                <w:szCs w:val="21"/>
              </w:rPr>
            </w:pPr>
          </w:p>
        </w:tc>
        <w:tc>
          <w:tcPr>
            <w:tcW w:w="1090" w:type="dxa"/>
            <w:vAlign w:val="center"/>
          </w:tcPr>
          <w:p>
            <w:pPr>
              <w:jc w:val="center"/>
              <w:rPr>
                <w:rFonts w:hint="eastAsia" w:ascii="宋体" w:hAnsi="宋体"/>
                <w:szCs w:val="21"/>
              </w:rPr>
            </w:pPr>
            <w:r>
              <w:rPr>
                <w:rFonts w:hint="eastAsia" w:ascii="宋体" w:hAnsi="宋体"/>
                <w:szCs w:val="21"/>
              </w:rPr>
              <w:t>职  务</w:t>
            </w:r>
          </w:p>
        </w:tc>
        <w:tc>
          <w:tcPr>
            <w:tcW w:w="1222" w:type="dxa"/>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r>
              <w:rPr>
                <w:rFonts w:hint="eastAsia" w:ascii="宋体" w:hAnsi="宋体"/>
                <w:szCs w:val="21"/>
              </w:rPr>
              <w:t>拟在本工程任职</w:t>
            </w:r>
          </w:p>
        </w:tc>
        <w:tc>
          <w:tcPr>
            <w:tcW w:w="2053" w:type="dxa"/>
            <w:vAlign w:val="center"/>
          </w:tcPr>
          <w:p>
            <w:pPr>
              <w:jc w:val="center"/>
              <w:rPr>
                <w:rFonts w:hint="eastAsia" w:ascii="宋体" w:hAnsi="宋体"/>
                <w:szCs w:val="21"/>
              </w:rPr>
            </w:pPr>
            <w:r>
              <w:rPr>
                <w:rFonts w:hint="eastAsia" w:ascii="宋体" w:hAnsi="宋体"/>
                <w:szCs w:val="21"/>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jc w:val="center"/>
              <w:rPr>
                <w:rFonts w:hint="eastAsia" w:ascii="宋体" w:hAnsi="宋体"/>
                <w:szCs w:val="21"/>
              </w:rPr>
            </w:pPr>
            <w:r>
              <w:rPr>
                <w:rFonts w:hint="eastAsia" w:ascii="宋体" w:hAnsi="宋体"/>
                <w:szCs w:val="21"/>
              </w:rPr>
              <w:t>注册建造师执业资格等级</w:t>
            </w:r>
          </w:p>
        </w:tc>
        <w:tc>
          <w:tcPr>
            <w:tcW w:w="1222" w:type="dxa"/>
            <w:vAlign w:val="center"/>
          </w:tcPr>
          <w:p>
            <w:pPr>
              <w:jc w:val="center"/>
              <w:rPr>
                <w:rFonts w:hint="eastAsia" w:ascii="宋体" w:hAnsi="宋体"/>
                <w:szCs w:val="21"/>
              </w:rPr>
            </w:pPr>
            <w:r>
              <w:rPr>
                <w:rFonts w:hint="eastAsia" w:ascii="宋体" w:hAnsi="宋体"/>
                <w:szCs w:val="21"/>
              </w:rPr>
              <w:t xml:space="preserve">      级</w:t>
            </w:r>
          </w:p>
        </w:tc>
        <w:tc>
          <w:tcPr>
            <w:tcW w:w="2019" w:type="dxa"/>
            <w:vAlign w:val="center"/>
          </w:tcPr>
          <w:p>
            <w:pPr>
              <w:jc w:val="center"/>
              <w:rPr>
                <w:rFonts w:hint="eastAsia" w:ascii="宋体" w:hAnsi="宋体"/>
                <w:szCs w:val="21"/>
              </w:rPr>
            </w:pPr>
            <w:r>
              <w:rPr>
                <w:rFonts w:hint="eastAsia" w:ascii="宋体" w:hAnsi="宋体"/>
                <w:szCs w:val="21"/>
              </w:rPr>
              <w:t>建造师专业</w:t>
            </w: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jc w:val="center"/>
              <w:rPr>
                <w:rFonts w:hint="eastAsia" w:ascii="宋体" w:hAnsi="宋体"/>
                <w:szCs w:val="21"/>
              </w:rPr>
            </w:pPr>
            <w:r>
              <w:rPr>
                <w:rFonts w:hint="eastAsia" w:ascii="宋体" w:hAnsi="宋体"/>
                <w:szCs w:val="21"/>
              </w:rPr>
              <w:t>安全生产考核合格证书</w:t>
            </w:r>
          </w:p>
        </w:tc>
        <w:tc>
          <w:tcPr>
            <w:tcW w:w="5294" w:type="dxa"/>
            <w:gridSpan w:val="3"/>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szCs w:val="21"/>
              </w:rPr>
            </w:pPr>
            <w:r>
              <w:rPr>
                <w:rFonts w:hint="eastAsia" w:ascii="宋体" w:hAnsi="宋体"/>
                <w:szCs w:val="21"/>
              </w:rPr>
              <w:t>毕业学校</w:t>
            </w:r>
          </w:p>
        </w:tc>
        <w:tc>
          <w:tcPr>
            <w:tcW w:w="7286" w:type="dxa"/>
            <w:gridSpan w:val="5"/>
            <w:vAlign w:val="center"/>
          </w:tcPr>
          <w:p>
            <w:pPr>
              <w:ind w:firstLine="840" w:firstLineChars="400"/>
              <w:rPr>
                <w:rFonts w:hint="eastAsia" w:ascii="宋体" w:hAnsi="宋体"/>
                <w:szCs w:val="21"/>
              </w:rPr>
            </w:pPr>
            <w:r>
              <w:rPr>
                <w:rFonts w:hint="eastAsia" w:ascii="宋体" w:hAnsi="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pPr>
              <w:jc w:val="center"/>
              <w:rPr>
                <w:rFonts w:hint="eastAsia" w:ascii="宋体" w:hAnsi="宋体"/>
                <w:szCs w:val="21"/>
              </w:rPr>
            </w:pPr>
            <w:r>
              <w:rPr>
                <w:rFonts w:hint="eastAsia"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szCs w:val="21"/>
              </w:rPr>
            </w:pPr>
            <w:r>
              <w:rPr>
                <w:rFonts w:hint="eastAsia" w:ascii="宋体" w:hAnsi="宋体"/>
                <w:szCs w:val="21"/>
              </w:rPr>
              <w:t>时  间</w:t>
            </w:r>
          </w:p>
        </w:tc>
        <w:tc>
          <w:tcPr>
            <w:tcW w:w="3214" w:type="dxa"/>
            <w:gridSpan w:val="3"/>
            <w:vAlign w:val="center"/>
          </w:tcPr>
          <w:p>
            <w:pPr>
              <w:jc w:val="center"/>
              <w:rPr>
                <w:rFonts w:hint="eastAsia" w:ascii="宋体" w:hAnsi="宋体"/>
                <w:szCs w:val="21"/>
              </w:rPr>
            </w:pPr>
            <w:r>
              <w:rPr>
                <w:rFonts w:hint="eastAsia" w:ascii="宋体" w:hAnsi="宋体"/>
                <w:szCs w:val="21"/>
              </w:rPr>
              <w:t>参加过的类似项目名称</w:t>
            </w:r>
          </w:p>
        </w:tc>
        <w:tc>
          <w:tcPr>
            <w:tcW w:w="2019" w:type="dxa"/>
            <w:vAlign w:val="center"/>
          </w:tcPr>
          <w:p>
            <w:pPr>
              <w:jc w:val="center"/>
              <w:rPr>
                <w:rFonts w:hint="eastAsia" w:ascii="宋体" w:hAnsi="宋体"/>
                <w:szCs w:val="21"/>
              </w:rPr>
            </w:pPr>
            <w:r>
              <w:rPr>
                <w:rFonts w:hint="eastAsia" w:ascii="宋体" w:hAnsi="宋体"/>
                <w:szCs w:val="21"/>
              </w:rPr>
              <w:t>工程概况说明</w:t>
            </w:r>
          </w:p>
        </w:tc>
        <w:tc>
          <w:tcPr>
            <w:tcW w:w="2053" w:type="dxa"/>
            <w:vAlign w:val="center"/>
          </w:tcPr>
          <w:p>
            <w:pPr>
              <w:jc w:val="center"/>
              <w:rPr>
                <w:rFonts w:hint="eastAsia" w:ascii="宋体" w:hAnsi="宋体"/>
                <w:szCs w:val="21"/>
              </w:rPr>
            </w:pPr>
            <w:r>
              <w:rPr>
                <w:rFonts w:hint="eastAsia"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szCs w:val="21"/>
              </w:rPr>
            </w:pPr>
          </w:p>
        </w:tc>
        <w:tc>
          <w:tcPr>
            <w:tcW w:w="3214" w:type="dxa"/>
            <w:gridSpan w:val="3"/>
            <w:vAlign w:val="center"/>
          </w:tcPr>
          <w:p>
            <w:pPr>
              <w:jc w:val="center"/>
              <w:rPr>
                <w:rFonts w:hint="eastAsia" w:ascii="宋体" w:hAnsi="宋体"/>
                <w:szCs w:val="21"/>
              </w:rPr>
            </w:pPr>
          </w:p>
        </w:tc>
        <w:tc>
          <w:tcPr>
            <w:tcW w:w="2019" w:type="dxa"/>
            <w:vAlign w:val="center"/>
          </w:tcPr>
          <w:p>
            <w:pPr>
              <w:jc w:val="center"/>
              <w:rPr>
                <w:rFonts w:hint="eastAsia" w:ascii="宋体" w:hAnsi="宋体"/>
                <w:szCs w:val="21"/>
              </w:rPr>
            </w:pPr>
          </w:p>
        </w:tc>
        <w:tc>
          <w:tcPr>
            <w:tcW w:w="2053" w:type="dxa"/>
            <w:vAlign w:val="center"/>
          </w:tcPr>
          <w:p>
            <w:pPr>
              <w:jc w:val="center"/>
              <w:rPr>
                <w:rFonts w:hint="eastAsia" w:ascii="宋体" w:hAnsi="宋体"/>
                <w:szCs w:val="21"/>
              </w:rPr>
            </w:pPr>
          </w:p>
        </w:tc>
      </w:tr>
    </w:tbl>
    <w:p>
      <w:pPr>
        <w:autoSpaceDE w:val="0"/>
        <w:autoSpaceDN w:val="0"/>
        <w:adjustRightInd w:val="0"/>
        <w:snapToGrid w:val="0"/>
        <w:spacing w:line="325" w:lineRule="exact"/>
        <w:ind w:left="945" w:hanging="945" w:hangingChars="450"/>
        <w:rPr>
          <w:rFonts w:hint="eastAsia" w:ascii="宋体" w:hAnsi="宋体"/>
        </w:rPr>
      </w:pPr>
      <w:r>
        <w:rPr>
          <w:rFonts w:hint="eastAsia" w:ascii="宋体" w:hAnsi="宋体"/>
        </w:rPr>
        <w:t>备注：1</w:t>
      </w:r>
      <w:r>
        <w:rPr>
          <w:rFonts w:ascii="宋体" w:hAnsi="宋体"/>
        </w:rPr>
        <w:t>.</w:t>
      </w:r>
      <w:r>
        <w:rPr>
          <w:rFonts w:hint="eastAsia" w:ascii="宋体" w:hAnsi="宋体"/>
        </w:rPr>
        <w:t>项目经理应附建造师注册证书、安全生产考核合格证书</w:t>
      </w:r>
      <w:r>
        <w:t>（</w:t>
      </w:r>
      <w:r>
        <w:rPr>
          <w:rFonts w:hint="eastAsia"/>
        </w:rPr>
        <w:t>B证</w:t>
      </w:r>
      <w:r>
        <w:t>）</w:t>
      </w:r>
      <w:r>
        <w:rPr>
          <w:rFonts w:hint="eastAsia" w:ascii="宋体" w:hAnsi="宋体"/>
        </w:rPr>
        <w:t>、职称证书、学历证书</w:t>
      </w:r>
      <w:r>
        <w:rPr>
          <w:rFonts w:hint="eastAsia" w:ascii="宋体" w:hAnsi="宋体"/>
          <w:szCs w:val="21"/>
        </w:rPr>
        <w:t>等材料</w:t>
      </w:r>
      <w:r>
        <w:rPr>
          <w:rFonts w:hint="eastAsia" w:ascii="宋体" w:hAnsi="宋体"/>
        </w:rPr>
        <w:t>。</w:t>
      </w:r>
    </w:p>
    <w:p>
      <w:pPr>
        <w:autoSpaceDE w:val="0"/>
        <w:autoSpaceDN w:val="0"/>
        <w:adjustRightInd w:val="0"/>
        <w:snapToGrid w:val="0"/>
        <w:spacing w:line="325" w:lineRule="exact"/>
        <w:ind w:left="945" w:leftChars="300" w:hanging="315" w:hangingChars="150"/>
        <w:rPr>
          <w:rFonts w:hint="eastAsia" w:ascii="宋体" w:hAnsi="宋体"/>
          <w:szCs w:val="21"/>
        </w:rPr>
      </w:pPr>
      <w:r>
        <w:rPr>
          <w:rFonts w:hint="eastAsia" w:ascii="宋体" w:hAnsi="宋体"/>
        </w:rPr>
        <w:t>2</w:t>
      </w:r>
      <w:r>
        <w:rPr>
          <w:rFonts w:ascii="宋体" w:hAnsi="宋体"/>
        </w:rPr>
        <w:t>.</w:t>
      </w:r>
      <w:r>
        <w:rPr>
          <w:rFonts w:hint="eastAsia" w:ascii="宋体" w:hAnsi="宋体"/>
        </w:rPr>
        <w:t>类似项目限于以项目经理身份参与的项目。须附业绩证明材料</w:t>
      </w:r>
      <w:r>
        <w:rPr>
          <w:rFonts w:hint="eastAsia" w:ascii="宋体" w:hAnsi="宋体"/>
          <w:szCs w:val="21"/>
        </w:rPr>
        <w:t>。</w:t>
      </w:r>
    </w:p>
    <w:p>
      <w:pPr>
        <w:sectPr>
          <w:footerReference r:id="rId39"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rPr>
          <w:rFonts w:hint="eastAsia" w:ascii="宋体" w:hAnsi="宋体"/>
          <w:u w:val="single"/>
        </w:rPr>
      </w:pPr>
      <w:bookmarkStart w:id="1466" w:name="_Toc256000390"/>
      <w:bookmarkStart w:id="1467" w:name="_Toc122603082"/>
      <w:bookmarkStart w:id="1468" w:name="_Toc914"/>
      <w:r>
        <w:rPr>
          <w:rFonts w:hint="eastAsia"/>
          <w:sz w:val="28"/>
          <w:szCs w:val="28"/>
        </w:rPr>
        <w:t>（</w:t>
      </w:r>
      <w:r>
        <w:rPr>
          <w:sz w:val="28"/>
          <w:szCs w:val="28"/>
        </w:rPr>
        <w:t>三</w:t>
      </w:r>
      <w:r>
        <w:rPr>
          <w:rFonts w:hint="eastAsia"/>
          <w:sz w:val="28"/>
          <w:szCs w:val="28"/>
        </w:rPr>
        <w:t>）承诺书</w:t>
      </w:r>
      <w:bookmarkEnd w:id="1466"/>
      <w:bookmarkEnd w:id="1467"/>
      <w:bookmarkEnd w:id="1468"/>
    </w:p>
    <w:p>
      <w:pPr>
        <w:rPr>
          <w:rFonts w:hint="eastAsia" w:ascii="宋体" w:hAnsi="宋体"/>
        </w:rPr>
      </w:pPr>
      <w:r>
        <w:rPr>
          <w:rFonts w:hint="eastAsia" w:ascii="宋体" w:hAnsi="宋体"/>
          <w:u w:val="single"/>
        </w:rPr>
        <w:t xml:space="preserve">                     </w:t>
      </w:r>
      <w:r>
        <w:rPr>
          <w:rFonts w:hint="eastAsia" w:ascii="宋体" w:hAnsi="宋体"/>
        </w:rPr>
        <w:t>（招标人名称）：</w:t>
      </w:r>
    </w:p>
    <w:p>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rPr>
        <w:t>（标段名称）</w:t>
      </w:r>
      <w:r>
        <w:rPr>
          <w:rFonts w:hint="eastAsia" w:ascii="宋体" w:hAnsi="宋体"/>
          <w:szCs w:val="21"/>
        </w:rPr>
        <w:t>（以下简称“本工程”）的项目经理</w:t>
      </w:r>
      <w:r>
        <w:rPr>
          <w:rFonts w:hint="eastAsia" w:ascii="宋体" w:hAnsi="宋体"/>
          <w:szCs w:val="21"/>
          <w:u w:val="single"/>
        </w:rPr>
        <w:t xml:space="preserve">            </w:t>
      </w:r>
      <w:r>
        <w:rPr>
          <w:rFonts w:hint="eastAsia" w:ascii="宋体" w:hAnsi="宋体"/>
          <w:szCs w:val="21"/>
        </w:rPr>
        <w:t xml:space="preserve"> （项目经理姓名）现阶段（投标截止时间之前）没有担任其他在施建设工程项目的项目经理。</w:t>
      </w:r>
    </w:p>
    <w:p>
      <w:pPr>
        <w:spacing w:line="440" w:lineRule="exact"/>
        <w:ind w:firstLine="420" w:firstLineChars="200"/>
        <w:rPr>
          <w:rFonts w:hint="eastAsia"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第九条规定“注册建造师不得同时担任两个及以上建设工程施工项目负责人”，第十条规定“注册建造师担任施工项目负责人期间原则上不得更换”。我方拟派项目经理的能够参加本工程的投标是基于以下理由：</w:t>
      </w:r>
    </w:p>
    <w:p>
      <w:pPr>
        <w:spacing w:line="440" w:lineRule="exact"/>
        <w:ind w:firstLine="525" w:firstLineChars="250"/>
        <w:rPr>
          <w:szCs w:val="21"/>
        </w:rPr>
      </w:pPr>
      <w:r>
        <w:rPr>
          <w:rFonts w:hint="eastAsia"/>
          <w:szCs w:val="21"/>
        </w:rPr>
        <w:t xml:space="preserve">□  </w:t>
      </w:r>
      <w:r>
        <w:rPr>
          <w:rFonts w:hint="eastAsia" w:ascii="宋体" w:hAnsi="宋体"/>
          <w:szCs w:val="21"/>
        </w:rPr>
        <w:t>拟派项目经理无在建工程。</w:t>
      </w:r>
    </w:p>
    <w:p>
      <w:pPr>
        <w:spacing w:line="440" w:lineRule="exact"/>
        <w:ind w:firstLine="525" w:firstLineChars="250"/>
        <w:rPr>
          <w:rFonts w:hint="eastAsia"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pPr>
        <w:spacing w:line="440" w:lineRule="exact"/>
        <w:ind w:firstLine="945" w:firstLineChars="450"/>
        <w:rPr>
          <w:rFonts w:hint="eastAsia"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pPr>
        <w:spacing w:line="440" w:lineRule="exact"/>
        <w:ind w:firstLine="945" w:firstLineChars="450"/>
        <w:rPr>
          <w:rFonts w:hint="eastAsia" w:ascii="宋体" w:hAnsi="宋体"/>
          <w:szCs w:val="21"/>
        </w:rPr>
      </w:pPr>
      <w:r>
        <w:rPr>
          <w:rFonts w:hint="eastAsia"/>
          <w:szCs w:val="21"/>
        </w:rPr>
        <w:t>□</w:t>
      </w:r>
      <w:r>
        <w:rPr>
          <w:rFonts w:ascii="宋体" w:hAnsi="宋体"/>
          <w:szCs w:val="21"/>
        </w:rPr>
        <w:t>合同约定的工程验收合格的；</w:t>
      </w:r>
    </w:p>
    <w:p>
      <w:pPr>
        <w:spacing w:line="440" w:lineRule="exact"/>
        <w:ind w:firstLine="945" w:firstLineChars="450"/>
        <w:rPr>
          <w:rFonts w:hint="eastAsia" w:ascii="宋体" w:hAnsi="宋体"/>
          <w:szCs w:val="21"/>
        </w:rPr>
      </w:pPr>
      <w:r>
        <w:rPr>
          <w:rFonts w:hint="eastAsia"/>
          <w:szCs w:val="21"/>
        </w:rPr>
        <w:t>□</w:t>
      </w:r>
      <w:r>
        <w:rPr>
          <w:rFonts w:ascii="宋体" w:hAnsi="宋体"/>
          <w:szCs w:val="21"/>
        </w:rPr>
        <w:t>因非承包方原因致使工程项目停工超过120天（含），经建设单位同意的。</w:t>
      </w:r>
    </w:p>
    <w:p>
      <w:pPr>
        <w:spacing w:line="440" w:lineRule="exact"/>
        <w:ind w:firstLine="525" w:firstLineChars="250"/>
        <w:rPr>
          <w:rFonts w:hint="eastAsia"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pPr>
        <w:spacing w:line="440" w:lineRule="exact"/>
        <w:ind w:firstLine="945" w:firstLineChars="450"/>
        <w:rPr>
          <w:rFonts w:hint="eastAsia" w:ascii="宋体" w:hAnsi="宋体"/>
          <w:szCs w:val="21"/>
        </w:rPr>
      </w:pPr>
      <w:r>
        <w:rPr>
          <w:rFonts w:hint="eastAsia"/>
          <w:szCs w:val="21"/>
        </w:rPr>
        <w:t>□</w:t>
      </w:r>
      <w:r>
        <w:rPr>
          <w:rFonts w:hint="eastAsia" w:ascii="宋体" w:hAnsi="宋体"/>
          <w:szCs w:val="21"/>
        </w:rPr>
        <w:t>发包方与注册建造师受聘企业已解除承包合同的；</w:t>
      </w:r>
    </w:p>
    <w:p>
      <w:pPr>
        <w:spacing w:line="440" w:lineRule="exact"/>
        <w:ind w:firstLine="945" w:firstLineChars="450"/>
        <w:rPr>
          <w:rFonts w:hint="eastAsia" w:ascii="宋体" w:hAnsi="宋体"/>
          <w:szCs w:val="21"/>
        </w:rPr>
      </w:pPr>
      <w:r>
        <w:rPr>
          <w:rFonts w:hint="eastAsia"/>
          <w:szCs w:val="21"/>
        </w:rPr>
        <w:t>□</w:t>
      </w:r>
      <w:r>
        <w:rPr>
          <w:rFonts w:hint="eastAsia" w:ascii="宋体" w:hAnsi="宋体"/>
          <w:szCs w:val="21"/>
        </w:rPr>
        <w:t>发包方同意更换项目负责人的；</w:t>
      </w:r>
    </w:p>
    <w:p>
      <w:pPr>
        <w:spacing w:line="440" w:lineRule="exact"/>
        <w:ind w:firstLine="945" w:firstLineChars="450"/>
        <w:rPr>
          <w:rFonts w:hint="eastAsia" w:ascii="宋体" w:hAnsi="宋体"/>
          <w:szCs w:val="21"/>
        </w:rPr>
      </w:pPr>
      <w:r>
        <w:rPr>
          <w:rFonts w:hint="eastAsia"/>
          <w:szCs w:val="21"/>
        </w:rPr>
        <w:t>□</w:t>
      </w:r>
      <w:r>
        <w:rPr>
          <w:rFonts w:hint="eastAsia" w:ascii="宋体" w:hAnsi="宋体"/>
          <w:szCs w:val="21"/>
        </w:rPr>
        <w:t>因不可抗力等特殊情况必须更换项目负责人的。</w:t>
      </w:r>
    </w:p>
    <w:p>
      <w:pPr>
        <w:spacing w:line="440" w:lineRule="exact"/>
        <w:ind w:firstLine="525" w:firstLineChars="250"/>
        <w:rPr>
          <w:rFonts w:hint="eastAsia" w:ascii="宋体" w:hAnsi="宋体"/>
          <w:szCs w:val="21"/>
        </w:rPr>
      </w:pPr>
      <w:r>
        <w:rPr>
          <w:rFonts w:hint="eastAsia"/>
          <w:szCs w:val="21"/>
        </w:rPr>
        <w:t xml:space="preserve">□ </w:t>
      </w:r>
      <w:r>
        <w:rPr>
          <w:rFonts w:hint="eastAsia"/>
          <w:szCs w:val="21"/>
          <w:u w:val="single"/>
        </w:rPr>
        <w:t xml:space="preserve">                                                   </w:t>
      </w:r>
      <w:r>
        <w:rPr>
          <w:rFonts w:hint="eastAsia"/>
          <w:szCs w:val="21"/>
        </w:rPr>
        <w:t xml:space="preserve"> 。</w:t>
      </w:r>
    </w:p>
    <w:p>
      <w:pPr>
        <w:spacing w:line="440" w:lineRule="exact"/>
        <w:ind w:firstLine="420" w:firstLineChars="200"/>
        <w:rPr>
          <w:rFonts w:hint="eastAsia" w:ascii="宋体" w:hAnsi="宋体"/>
          <w:szCs w:val="21"/>
        </w:rPr>
      </w:pPr>
      <w:r>
        <w:rPr>
          <w:rFonts w:hint="eastAsia" w:ascii="宋体" w:hAnsi="宋体"/>
          <w:szCs w:val="21"/>
        </w:rPr>
        <w:t>我方保证上述信息的真实性和准确性，并承担相应的法律责任。</w:t>
      </w:r>
    </w:p>
    <w:p>
      <w:pPr>
        <w:spacing w:line="440" w:lineRule="exact"/>
        <w:ind w:firstLine="420" w:firstLineChars="200"/>
        <w:rPr>
          <w:rFonts w:hint="eastAsia" w:ascii="宋体" w:hAnsi="宋体"/>
          <w:szCs w:val="21"/>
        </w:rPr>
      </w:pPr>
      <w:r>
        <w:rPr>
          <w:rFonts w:hint="eastAsia" w:ascii="宋体" w:hAnsi="宋体"/>
          <w:szCs w:val="21"/>
        </w:rPr>
        <w:t>特此承诺</w:t>
      </w:r>
    </w:p>
    <w:p>
      <w:pPr>
        <w:spacing w:line="440" w:lineRule="exact"/>
        <w:ind w:firstLine="420" w:firstLineChars="200"/>
        <w:rPr>
          <w:rFonts w:hint="eastAsia" w:ascii="宋体" w:hAnsi="宋体"/>
          <w:szCs w:val="21"/>
        </w:rPr>
      </w:pPr>
    </w:p>
    <w:p>
      <w:pPr>
        <w:spacing w:line="440" w:lineRule="exact"/>
        <w:ind w:firstLine="420" w:firstLineChars="200"/>
        <w:rPr>
          <w:rFonts w:hint="eastAsia" w:ascii="宋体" w:hAnsi="宋体"/>
          <w:szCs w:val="21"/>
        </w:rPr>
      </w:pPr>
    </w:p>
    <w:p>
      <w:pPr>
        <w:spacing w:line="440" w:lineRule="exact"/>
        <w:jc w:val="right"/>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pPr>
        <w:wordWrap w:val="0"/>
        <w:spacing w:line="440" w:lineRule="exact"/>
        <w:jc w:val="right"/>
        <w:rPr>
          <w:rFonts w:hint="eastAsia" w:ascii="宋体" w:hAnsi="宋体"/>
          <w:szCs w:val="21"/>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（签章）</w:t>
      </w:r>
    </w:p>
    <w:p>
      <w:pPr>
        <w:jc w:val="right"/>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ectPr>
          <w:footerReference r:id="rId40"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rPr>
          <w:rFonts w:hint="eastAsia" w:ascii="宋体" w:hAnsi="宋体"/>
          <w:szCs w:val="21"/>
        </w:rPr>
      </w:pPr>
      <w:bookmarkStart w:id="1469" w:name="_Toc4507"/>
      <w:bookmarkStart w:id="1470" w:name="_Toc256000391"/>
      <w:bookmarkStart w:id="1471" w:name="_Toc122603083"/>
      <w:r>
        <w:rPr>
          <w:rFonts w:hint="eastAsia"/>
          <w:sz w:val="28"/>
          <w:szCs w:val="28"/>
        </w:rPr>
        <w:t>（</w:t>
      </w:r>
      <w:r>
        <w:rPr>
          <w:sz w:val="28"/>
          <w:szCs w:val="28"/>
        </w:rPr>
        <w:t>四</w:t>
      </w:r>
      <w:r>
        <w:rPr>
          <w:rFonts w:hint="eastAsia"/>
          <w:sz w:val="28"/>
          <w:szCs w:val="28"/>
        </w:rPr>
        <w:t>）其他主要项目管理人员简历表</w:t>
      </w:r>
      <w:bookmarkEnd w:id="1469"/>
      <w:bookmarkEnd w:id="1470"/>
      <w:bookmarkEnd w:id="147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spacing w:line="240" w:lineRule="atLeast"/>
              <w:jc w:val="center"/>
              <w:rPr>
                <w:rFonts w:hint="eastAsia" w:ascii="宋体" w:hAnsi="宋体"/>
                <w:szCs w:val="21"/>
              </w:rPr>
            </w:pPr>
            <w:r>
              <w:rPr>
                <w:rFonts w:hint="eastAsia" w:ascii="宋体" w:hAnsi="宋体"/>
                <w:szCs w:val="21"/>
              </w:rPr>
              <w:t>岗位名称</w:t>
            </w:r>
          </w:p>
          <w:p>
            <w:pPr>
              <w:spacing w:line="240" w:lineRule="atLeast"/>
              <w:jc w:val="center"/>
              <w:rPr>
                <w:rFonts w:hint="eastAsia" w:ascii="宋体" w:hAnsi="宋体"/>
                <w:szCs w:val="21"/>
              </w:rPr>
            </w:pPr>
            <w:r>
              <w:rPr>
                <w:rFonts w:hint="eastAsia" w:ascii="宋体" w:hAnsi="宋体"/>
                <w:szCs w:val="21"/>
              </w:rPr>
              <w:t>（职务）</w:t>
            </w:r>
          </w:p>
        </w:tc>
        <w:tc>
          <w:tcPr>
            <w:tcW w:w="7560" w:type="dxa"/>
            <w:gridSpan w:val="3"/>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szCs w:val="21"/>
              </w:rPr>
            </w:pPr>
            <w:r>
              <w:rPr>
                <w:rFonts w:hint="eastAsia" w:ascii="宋体" w:hAnsi="宋体"/>
                <w:szCs w:val="21"/>
              </w:rPr>
              <w:t>姓    名</w:t>
            </w:r>
          </w:p>
        </w:tc>
        <w:tc>
          <w:tcPr>
            <w:tcW w:w="2880" w:type="dxa"/>
            <w:vAlign w:val="center"/>
          </w:tcPr>
          <w:p>
            <w:pPr>
              <w:jc w:val="center"/>
              <w:rPr>
                <w:rFonts w:hint="eastAsia" w:ascii="宋体" w:hAnsi="宋体"/>
                <w:szCs w:val="21"/>
              </w:rPr>
            </w:pPr>
          </w:p>
        </w:tc>
        <w:tc>
          <w:tcPr>
            <w:tcW w:w="1800" w:type="dxa"/>
            <w:vAlign w:val="center"/>
          </w:tcPr>
          <w:p>
            <w:pPr>
              <w:jc w:val="center"/>
              <w:rPr>
                <w:rFonts w:hint="eastAsia" w:ascii="宋体" w:hAnsi="宋体"/>
                <w:szCs w:val="21"/>
              </w:rPr>
            </w:pPr>
            <w:r>
              <w:rPr>
                <w:rFonts w:hint="eastAsia" w:ascii="宋体" w:hAnsi="宋体"/>
                <w:szCs w:val="21"/>
              </w:rPr>
              <w:t>年    龄</w:t>
            </w:r>
          </w:p>
        </w:tc>
        <w:tc>
          <w:tcPr>
            <w:tcW w:w="288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szCs w:val="21"/>
              </w:rPr>
            </w:pPr>
            <w:r>
              <w:rPr>
                <w:rFonts w:hint="eastAsia" w:ascii="宋体" w:hAnsi="宋体"/>
                <w:szCs w:val="21"/>
              </w:rPr>
              <w:t>性    别</w:t>
            </w:r>
          </w:p>
        </w:tc>
        <w:tc>
          <w:tcPr>
            <w:tcW w:w="2880" w:type="dxa"/>
            <w:vAlign w:val="center"/>
          </w:tcPr>
          <w:p>
            <w:pPr>
              <w:jc w:val="center"/>
              <w:rPr>
                <w:rFonts w:hint="eastAsia" w:ascii="宋体" w:hAnsi="宋体"/>
                <w:szCs w:val="21"/>
              </w:rPr>
            </w:pPr>
          </w:p>
        </w:tc>
        <w:tc>
          <w:tcPr>
            <w:tcW w:w="1800" w:type="dxa"/>
            <w:vAlign w:val="center"/>
          </w:tcPr>
          <w:p>
            <w:pPr>
              <w:jc w:val="center"/>
              <w:rPr>
                <w:rFonts w:hint="eastAsia" w:ascii="宋体" w:hAnsi="宋体"/>
                <w:szCs w:val="21"/>
              </w:rPr>
            </w:pPr>
            <w:r>
              <w:rPr>
                <w:rFonts w:hint="eastAsia" w:ascii="宋体" w:hAnsi="宋体"/>
                <w:szCs w:val="21"/>
              </w:rPr>
              <w:t>毕业学校</w:t>
            </w:r>
          </w:p>
        </w:tc>
        <w:tc>
          <w:tcPr>
            <w:tcW w:w="288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szCs w:val="21"/>
              </w:rPr>
            </w:pPr>
            <w:r>
              <w:rPr>
                <w:rFonts w:hint="eastAsia" w:ascii="宋体" w:hAnsi="宋体"/>
                <w:szCs w:val="21"/>
              </w:rPr>
              <w:t>学历和专业</w:t>
            </w:r>
          </w:p>
        </w:tc>
        <w:tc>
          <w:tcPr>
            <w:tcW w:w="2880" w:type="dxa"/>
            <w:vAlign w:val="center"/>
          </w:tcPr>
          <w:p>
            <w:pPr>
              <w:jc w:val="center"/>
              <w:rPr>
                <w:rFonts w:hint="eastAsia" w:ascii="宋体" w:hAnsi="宋体"/>
                <w:szCs w:val="21"/>
              </w:rPr>
            </w:pPr>
          </w:p>
        </w:tc>
        <w:tc>
          <w:tcPr>
            <w:tcW w:w="1800" w:type="dxa"/>
            <w:vAlign w:val="center"/>
          </w:tcPr>
          <w:p>
            <w:pPr>
              <w:jc w:val="center"/>
              <w:rPr>
                <w:rFonts w:hint="eastAsia" w:ascii="宋体" w:hAnsi="宋体"/>
                <w:szCs w:val="21"/>
              </w:rPr>
            </w:pPr>
            <w:r>
              <w:rPr>
                <w:rFonts w:hint="eastAsia" w:ascii="宋体" w:hAnsi="宋体"/>
                <w:szCs w:val="21"/>
              </w:rPr>
              <w:t>毕业时间</w:t>
            </w:r>
          </w:p>
        </w:tc>
        <w:tc>
          <w:tcPr>
            <w:tcW w:w="288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szCs w:val="21"/>
              </w:rPr>
            </w:pPr>
            <w:r>
              <w:rPr>
                <w:rFonts w:hint="eastAsia" w:ascii="宋体" w:hAnsi="宋体"/>
                <w:szCs w:val="21"/>
              </w:rPr>
              <w:t>执业/岗位资格</w:t>
            </w:r>
          </w:p>
        </w:tc>
        <w:tc>
          <w:tcPr>
            <w:tcW w:w="2880" w:type="dxa"/>
            <w:vAlign w:val="center"/>
          </w:tcPr>
          <w:p>
            <w:pPr>
              <w:jc w:val="center"/>
              <w:rPr>
                <w:rFonts w:hint="eastAsia" w:ascii="宋体" w:hAnsi="宋体"/>
                <w:szCs w:val="21"/>
              </w:rPr>
            </w:pPr>
          </w:p>
        </w:tc>
        <w:tc>
          <w:tcPr>
            <w:tcW w:w="1800" w:type="dxa"/>
            <w:vAlign w:val="center"/>
          </w:tcPr>
          <w:p>
            <w:pPr>
              <w:jc w:val="center"/>
              <w:rPr>
                <w:rFonts w:hint="eastAsia" w:ascii="宋体" w:hAnsi="宋体"/>
                <w:szCs w:val="21"/>
              </w:rPr>
            </w:pPr>
            <w:r>
              <w:rPr>
                <w:rFonts w:hint="eastAsia" w:ascii="宋体" w:hAnsi="宋体"/>
                <w:szCs w:val="21"/>
              </w:rPr>
              <w:t>专业职称</w:t>
            </w:r>
          </w:p>
        </w:tc>
        <w:tc>
          <w:tcPr>
            <w:tcW w:w="288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szCs w:val="21"/>
              </w:rPr>
            </w:pPr>
            <w:r>
              <w:rPr>
                <w:rFonts w:hint="eastAsia" w:ascii="宋体" w:hAnsi="宋体"/>
                <w:szCs w:val="21"/>
              </w:rPr>
              <w:t>执业/岗位</w:t>
            </w:r>
          </w:p>
          <w:p>
            <w:pPr>
              <w:jc w:val="center"/>
              <w:rPr>
                <w:rFonts w:hint="eastAsia" w:ascii="宋体" w:hAnsi="宋体"/>
                <w:szCs w:val="21"/>
              </w:rPr>
            </w:pPr>
            <w:r>
              <w:rPr>
                <w:rFonts w:hint="eastAsia" w:ascii="宋体" w:hAnsi="宋体"/>
                <w:szCs w:val="21"/>
              </w:rPr>
              <w:t>证书编号</w:t>
            </w:r>
          </w:p>
        </w:tc>
        <w:tc>
          <w:tcPr>
            <w:tcW w:w="2880" w:type="dxa"/>
            <w:vAlign w:val="center"/>
          </w:tcPr>
          <w:p>
            <w:pPr>
              <w:jc w:val="center"/>
              <w:rPr>
                <w:rFonts w:hint="eastAsia" w:ascii="宋体" w:hAnsi="宋体"/>
                <w:szCs w:val="21"/>
              </w:rPr>
            </w:pPr>
          </w:p>
        </w:tc>
        <w:tc>
          <w:tcPr>
            <w:tcW w:w="1800" w:type="dxa"/>
            <w:vAlign w:val="center"/>
          </w:tcPr>
          <w:p>
            <w:pPr>
              <w:jc w:val="center"/>
              <w:rPr>
                <w:rFonts w:hint="eastAsia" w:ascii="宋体" w:hAnsi="宋体"/>
                <w:szCs w:val="21"/>
              </w:rPr>
            </w:pPr>
            <w:r>
              <w:rPr>
                <w:rFonts w:hint="eastAsia" w:ascii="宋体" w:hAnsi="宋体"/>
                <w:szCs w:val="21"/>
              </w:rPr>
              <w:t>专业工作年限</w:t>
            </w:r>
          </w:p>
        </w:tc>
        <w:tc>
          <w:tcPr>
            <w:tcW w:w="2880" w:type="dxa"/>
            <w:vAlign w:val="center"/>
          </w:tcPr>
          <w:p>
            <w:pPr>
              <w:jc w:val="center"/>
              <w:rPr>
                <w:rFonts w:hint="eastAsia" w:ascii="宋体" w:hAnsi="宋体"/>
                <w:szCs w:val="21"/>
              </w:rPr>
            </w:pPr>
          </w:p>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pPr>
              <w:ind w:firstLine="210" w:firstLineChars="100"/>
              <w:jc w:val="center"/>
              <w:rPr>
                <w:rFonts w:hint="eastAsia" w:ascii="宋体" w:hAnsi="宋体"/>
                <w:szCs w:val="21"/>
              </w:rPr>
            </w:pPr>
            <w:r>
              <w:rPr>
                <w:rFonts w:hint="eastAsia" w:ascii="宋体" w:hAnsi="宋体"/>
                <w:szCs w:val="21"/>
              </w:rPr>
              <w:t>主</w:t>
            </w:r>
          </w:p>
          <w:p>
            <w:pPr>
              <w:ind w:firstLine="210" w:firstLineChars="100"/>
              <w:jc w:val="center"/>
              <w:rPr>
                <w:rFonts w:hint="eastAsia" w:ascii="宋体" w:hAnsi="宋体"/>
                <w:szCs w:val="21"/>
              </w:rPr>
            </w:pPr>
            <w:r>
              <w:rPr>
                <w:rFonts w:hint="eastAsia" w:ascii="宋体" w:hAnsi="宋体"/>
                <w:szCs w:val="21"/>
              </w:rPr>
              <w:t>要</w:t>
            </w:r>
          </w:p>
          <w:p>
            <w:pPr>
              <w:ind w:firstLine="210" w:firstLineChars="100"/>
              <w:jc w:val="center"/>
              <w:rPr>
                <w:rFonts w:hint="eastAsia" w:ascii="宋体" w:hAnsi="宋体"/>
                <w:szCs w:val="21"/>
              </w:rPr>
            </w:pPr>
            <w:r>
              <w:rPr>
                <w:rFonts w:hint="eastAsia" w:ascii="宋体" w:hAnsi="宋体"/>
                <w:szCs w:val="21"/>
              </w:rPr>
              <w:t>工</w:t>
            </w:r>
          </w:p>
          <w:p>
            <w:pPr>
              <w:ind w:firstLine="210" w:firstLineChars="100"/>
              <w:jc w:val="center"/>
              <w:rPr>
                <w:rFonts w:hint="eastAsia" w:ascii="宋体" w:hAnsi="宋体"/>
                <w:szCs w:val="21"/>
              </w:rPr>
            </w:pPr>
            <w:r>
              <w:rPr>
                <w:rFonts w:hint="eastAsia" w:ascii="宋体" w:hAnsi="宋体"/>
                <w:szCs w:val="21"/>
              </w:rPr>
              <w:t>作</w:t>
            </w:r>
          </w:p>
          <w:p>
            <w:pPr>
              <w:ind w:firstLine="210" w:firstLineChars="100"/>
              <w:jc w:val="center"/>
              <w:rPr>
                <w:rFonts w:hint="eastAsia" w:ascii="宋体" w:hAnsi="宋体"/>
                <w:szCs w:val="21"/>
              </w:rPr>
            </w:pPr>
            <w:r>
              <w:rPr>
                <w:rFonts w:hint="eastAsia" w:ascii="宋体" w:hAnsi="宋体"/>
                <w:szCs w:val="21"/>
              </w:rPr>
              <w:t>业</w:t>
            </w:r>
          </w:p>
          <w:p>
            <w:pPr>
              <w:ind w:firstLine="210" w:firstLineChars="100"/>
              <w:jc w:val="center"/>
              <w:rPr>
                <w:rFonts w:hint="eastAsia" w:ascii="宋体" w:hAnsi="宋体"/>
                <w:szCs w:val="21"/>
              </w:rPr>
            </w:pPr>
            <w:r>
              <w:rPr>
                <w:rFonts w:hint="eastAsia" w:ascii="宋体" w:hAnsi="宋体"/>
                <w:szCs w:val="21"/>
              </w:rPr>
              <w:t>绩</w:t>
            </w:r>
          </w:p>
          <w:p>
            <w:pPr>
              <w:ind w:firstLine="210" w:firstLineChars="100"/>
              <w:jc w:val="center"/>
              <w:rPr>
                <w:rFonts w:hint="eastAsia" w:ascii="宋体" w:hAnsi="宋体"/>
                <w:szCs w:val="21"/>
              </w:rPr>
            </w:pPr>
            <w:r>
              <w:rPr>
                <w:rFonts w:hint="eastAsia" w:ascii="宋体" w:hAnsi="宋体"/>
                <w:szCs w:val="21"/>
              </w:rPr>
              <w:t>及</w:t>
            </w:r>
          </w:p>
          <w:p>
            <w:pPr>
              <w:ind w:firstLine="210" w:firstLineChars="100"/>
              <w:jc w:val="center"/>
              <w:rPr>
                <w:rFonts w:hint="eastAsia" w:ascii="宋体" w:hAnsi="宋体"/>
                <w:szCs w:val="21"/>
              </w:rPr>
            </w:pPr>
            <w:r>
              <w:rPr>
                <w:rFonts w:hint="eastAsia" w:ascii="宋体" w:hAnsi="宋体"/>
                <w:szCs w:val="21"/>
              </w:rPr>
              <w:t>担</w:t>
            </w:r>
          </w:p>
          <w:p>
            <w:pPr>
              <w:ind w:firstLine="210" w:firstLineChars="100"/>
              <w:jc w:val="center"/>
              <w:rPr>
                <w:rFonts w:hint="eastAsia" w:ascii="宋体" w:hAnsi="宋体"/>
                <w:szCs w:val="21"/>
              </w:rPr>
            </w:pPr>
            <w:r>
              <w:rPr>
                <w:rFonts w:hint="eastAsia" w:ascii="宋体" w:hAnsi="宋体"/>
                <w:szCs w:val="21"/>
              </w:rPr>
              <w:t>任</w:t>
            </w:r>
          </w:p>
          <w:p>
            <w:pPr>
              <w:ind w:firstLine="210" w:firstLineChars="100"/>
              <w:jc w:val="center"/>
              <w:rPr>
                <w:rFonts w:hint="eastAsia" w:ascii="宋体" w:hAnsi="宋体"/>
                <w:szCs w:val="21"/>
              </w:rPr>
            </w:pPr>
            <w:r>
              <w:rPr>
                <w:rFonts w:hint="eastAsia" w:ascii="宋体" w:hAnsi="宋体"/>
                <w:szCs w:val="21"/>
              </w:rPr>
              <w:t>的</w:t>
            </w:r>
          </w:p>
          <w:p>
            <w:pPr>
              <w:ind w:firstLine="210" w:firstLineChars="100"/>
              <w:jc w:val="center"/>
              <w:rPr>
                <w:rFonts w:hint="eastAsia" w:ascii="宋体" w:hAnsi="宋体"/>
                <w:szCs w:val="21"/>
              </w:rPr>
            </w:pPr>
            <w:r>
              <w:rPr>
                <w:rFonts w:hint="eastAsia" w:ascii="宋体" w:hAnsi="宋体"/>
                <w:szCs w:val="21"/>
              </w:rPr>
              <w:t>主</w:t>
            </w:r>
          </w:p>
          <w:p>
            <w:pPr>
              <w:ind w:firstLine="210" w:firstLineChars="100"/>
              <w:jc w:val="center"/>
              <w:rPr>
                <w:rFonts w:hint="eastAsia" w:ascii="宋体" w:hAnsi="宋体"/>
                <w:szCs w:val="21"/>
              </w:rPr>
            </w:pPr>
            <w:r>
              <w:rPr>
                <w:rFonts w:hint="eastAsia" w:ascii="宋体" w:hAnsi="宋体"/>
                <w:szCs w:val="21"/>
              </w:rPr>
              <w:t>要</w:t>
            </w:r>
          </w:p>
          <w:p>
            <w:pPr>
              <w:ind w:firstLine="210" w:firstLineChars="100"/>
              <w:jc w:val="center"/>
              <w:rPr>
                <w:rFonts w:hint="eastAsia" w:ascii="宋体" w:hAnsi="宋体"/>
                <w:szCs w:val="21"/>
              </w:rPr>
            </w:pPr>
            <w:r>
              <w:rPr>
                <w:rFonts w:hint="eastAsia" w:ascii="宋体" w:hAnsi="宋体"/>
                <w:szCs w:val="21"/>
              </w:rPr>
              <w:t>工</w:t>
            </w:r>
          </w:p>
          <w:p>
            <w:pPr>
              <w:ind w:firstLine="210" w:firstLineChars="100"/>
              <w:jc w:val="center"/>
              <w:rPr>
                <w:rFonts w:hint="eastAsia" w:ascii="宋体" w:hAnsi="宋体"/>
                <w:szCs w:val="21"/>
              </w:rPr>
            </w:pPr>
            <w:r>
              <w:rPr>
                <w:rFonts w:hint="eastAsia" w:ascii="宋体" w:hAnsi="宋体"/>
                <w:szCs w:val="21"/>
              </w:rPr>
              <w:t>作</w:t>
            </w:r>
          </w:p>
        </w:tc>
        <w:tc>
          <w:tcPr>
            <w:tcW w:w="7560" w:type="dxa"/>
            <w:gridSpan w:val="3"/>
            <w:vAlign w:val="center"/>
          </w:tcPr>
          <w:p>
            <w:pPr>
              <w:jc w:val="center"/>
              <w:rPr>
                <w:rFonts w:hint="eastAsia" w:ascii="宋体" w:hAnsi="宋体"/>
                <w:szCs w:val="21"/>
              </w:rPr>
            </w:pPr>
          </w:p>
        </w:tc>
      </w:tr>
    </w:tbl>
    <w:p>
      <w:pPr>
        <w:ind w:left="630" w:hanging="630" w:hangingChars="300"/>
        <w:sectPr>
          <w:footerReference r:id="rId41" w:type="default"/>
          <w:pgSz w:w="11906" w:h="16838"/>
          <w:pgMar w:top="1440" w:right="1800" w:bottom="1440" w:left="1800" w:header="851" w:footer="992" w:gutter="0"/>
          <w:cols w:space="425" w:num="1"/>
          <w:docGrid w:type="lines" w:linePitch="312" w:charSpace="0"/>
        </w:sectPr>
      </w:pPr>
      <w:r>
        <w:rPr>
          <w:rFonts w:hint="eastAsia" w:ascii="宋体" w:hAnsi="宋体"/>
          <w:szCs w:val="21"/>
        </w:rPr>
        <w:t>备注：其他主</w:t>
      </w:r>
      <w:r>
        <w:rPr>
          <w:rFonts w:hint="eastAsia" w:ascii="宋体" w:hAnsi="宋体"/>
        </w:rPr>
        <w:t>要项目管理人员指项目副经理（如有）、项目技术负责人、</w:t>
      </w:r>
      <w:r>
        <w:rPr>
          <w:rFonts w:ascii="宋体" w:hAnsi="宋体"/>
        </w:rPr>
        <w:t>施工</w:t>
      </w:r>
      <w:r>
        <w:rPr>
          <w:rFonts w:hint="eastAsia" w:ascii="宋体" w:hAnsi="宋体"/>
        </w:rPr>
        <w:t>管理</w:t>
      </w:r>
      <w:r>
        <w:rPr>
          <w:rFonts w:ascii="宋体" w:hAnsi="宋体"/>
        </w:rPr>
        <w:t>、质量</w:t>
      </w:r>
      <w:r>
        <w:rPr>
          <w:rFonts w:hint="eastAsia" w:ascii="宋体" w:hAnsi="宋体"/>
        </w:rPr>
        <w:t>管理</w:t>
      </w:r>
      <w:r>
        <w:rPr>
          <w:rFonts w:ascii="宋体" w:hAnsi="宋体"/>
        </w:rPr>
        <w:t>、安全</w:t>
      </w:r>
      <w:r>
        <w:rPr>
          <w:rFonts w:hint="eastAsia" w:ascii="宋体" w:hAnsi="宋体"/>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rPr>
        <w:t>施工</w:t>
      </w:r>
      <w:r>
        <w:rPr>
          <w:rFonts w:hint="eastAsia" w:ascii="宋体" w:hAnsi="宋体"/>
        </w:rPr>
        <w:t>管理</w:t>
      </w:r>
      <w:r>
        <w:rPr>
          <w:rFonts w:ascii="宋体" w:hAnsi="宋体"/>
        </w:rPr>
        <w:t>、质量</w:t>
      </w:r>
      <w:r>
        <w:rPr>
          <w:rFonts w:hint="eastAsia" w:ascii="宋体" w:hAnsi="宋体"/>
        </w:rPr>
        <w:t>管理及资格条件要求的其他岗位人员应附岗位培训考核合格证书。</w:t>
      </w:r>
    </w:p>
    <w:p>
      <w:bookmarkStart w:id="1472" w:name="_Toc122603084"/>
    </w:p>
    <w:p/>
    <w:p/>
    <w:p/>
    <w:p/>
    <w:p/>
    <w:p/>
    <w:p/>
    <w:p/>
    <w:p/>
    <w:p/>
    <w:p/>
    <w:p/>
    <w:p>
      <w:pPr>
        <w:pStyle w:val="29"/>
        <w:jc w:val="center"/>
        <w:rPr>
          <w:rFonts w:hint="eastAsia" w:ascii="黑体" w:hAnsi="宋体"/>
          <w:szCs w:val="28"/>
        </w:rPr>
      </w:pPr>
      <w:bookmarkStart w:id="1473" w:name="_Toc256000392"/>
      <w:bookmarkStart w:id="1474" w:name="_Toc17760"/>
      <w:r>
        <w:t>七</w:t>
      </w:r>
      <w:r>
        <w:rPr>
          <w:rFonts w:hint="eastAsia"/>
        </w:rPr>
        <w:t>、资格审查资料</w:t>
      </w:r>
      <w:bookmarkEnd w:id="1472"/>
      <w:bookmarkEnd w:id="1473"/>
      <w:bookmarkEnd w:id="1474"/>
    </w:p>
    <w:p>
      <w:pPr>
        <w:sectPr>
          <w:footerReference r:id="rId42" w:type="default"/>
          <w:pgSz w:w="11906" w:h="16838"/>
          <w:pgMar w:top="1440" w:right="1800" w:bottom="1440" w:left="1800" w:header="851" w:footer="992" w:gutter="0"/>
          <w:cols w:space="425" w:num="1"/>
          <w:docGrid w:type="lines" w:linePitch="312" w:charSpace="0"/>
        </w:sectPr>
      </w:pPr>
    </w:p>
    <w:p>
      <w:bookmarkStart w:id="1475" w:name="_Toc122603085"/>
    </w:p>
    <w:p/>
    <w:p/>
    <w:p/>
    <w:p/>
    <w:p/>
    <w:p/>
    <w:p/>
    <w:p/>
    <w:p/>
    <w:p/>
    <w:p/>
    <w:p/>
    <w:p/>
    <w:p/>
    <w:p>
      <w:pPr>
        <w:pStyle w:val="31"/>
        <w:jc w:val="center"/>
        <w:sectPr>
          <w:footerReference r:id="rId43" w:type="default"/>
          <w:pgSz w:w="11906" w:h="16838"/>
          <w:pgMar w:top="1440" w:right="1800" w:bottom="1440" w:left="1800" w:header="851" w:footer="992" w:gutter="0"/>
          <w:cols w:space="425" w:num="1"/>
          <w:docGrid w:type="lines" w:linePitch="312" w:charSpace="0"/>
        </w:sectPr>
      </w:pPr>
      <w:bookmarkStart w:id="1476" w:name="_Toc256000393"/>
      <w:bookmarkStart w:id="1477" w:name="_Toc14886"/>
      <w:r>
        <w:rPr>
          <w:rFonts w:hint="eastAsia"/>
          <w:szCs w:val="24"/>
        </w:rPr>
        <w:t>（</w:t>
      </w:r>
      <w:r>
        <w:rPr>
          <w:szCs w:val="24"/>
        </w:rPr>
        <w:t>一</w:t>
      </w:r>
      <w:r>
        <w:rPr>
          <w:rFonts w:hint="eastAsia"/>
          <w:szCs w:val="24"/>
        </w:rPr>
        <w:t>）投标人基本情况</w:t>
      </w:r>
      <w:bookmarkEnd w:id="1475"/>
      <w:bookmarkEnd w:id="1476"/>
      <w:bookmarkEnd w:id="1477"/>
    </w:p>
    <w:p>
      <w:pPr>
        <w:pStyle w:val="31"/>
        <w:spacing w:before="312" w:beforeLines="100" w:after="312" w:afterLines="100"/>
        <w:jc w:val="center"/>
        <w:outlineLvl w:val="3"/>
        <w:rPr>
          <w:szCs w:val="24"/>
        </w:rPr>
      </w:pPr>
      <w:bookmarkStart w:id="1478" w:name="_Toc122603086"/>
      <w:bookmarkStart w:id="1479" w:name="_Toc256000394"/>
      <w:r>
        <w:rPr>
          <w:rFonts w:hint="eastAsia"/>
          <w:szCs w:val="24"/>
        </w:rPr>
        <w:t>1-1 投标人基本情况表</w:t>
      </w:r>
      <w:bookmarkEnd w:id="1478"/>
      <w:bookmarkEnd w:id="147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投标人名称</w:t>
            </w:r>
          </w:p>
        </w:tc>
        <w:tc>
          <w:tcPr>
            <w:tcW w:w="6930" w:type="dxa"/>
            <w:gridSpan w:val="8"/>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注册地址</w:t>
            </w:r>
          </w:p>
        </w:tc>
        <w:tc>
          <w:tcPr>
            <w:tcW w:w="3267" w:type="dxa"/>
            <w:gridSpan w:val="4"/>
            <w:vAlign w:val="center"/>
          </w:tcPr>
          <w:p>
            <w:pPr>
              <w:jc w:val="center"/>
              <w:rPr>
                <w:rFonts w:hint="eastAsia" w:ascii="宋体" w:hAnsi="宋体"/>
                <w:szCs w:val="21"/>
              </w:rPr>
            </w:pPr>
          </w:p>
        </w:tc>
        <w:tc>
          <w:tcPr>
            <w:tcW w:w="1203" w:type="dxa"/>
            <w:vAlign w:val="center"/>
          </w:tcPr>
          <w:p>
            <w:pPr>
              <w:jc w:val="center"/>
              <w:rPr>
                <w:rFonts w:hint="eastAsia" w:ascii="宋体" w:hAnsi="宋体"/>
                <w:szCs w:val="21"/>
              </w:rPr>
            </w:pPr>
            <w:r>
              <w:rPr>
                <w:rFonts w:hint="eastAsia" w:ascii="宋体" w:hAnsi="宋体"/>
                <w:szCs w:val="21"/>
              </w:rPr>
              <w:t>邮政编码</w:t>
            </w:r>
          </w:p>
        </w:tc>
        <w:tc>
          <w:tcPr>
            <w:tcW w:w="2460" w:type="dxa"/>
            <w:gridSpan w:val="3"/>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pPr>
              <w:jc w:val="center"/>
              <w:rPr>
                <w:rFonts w:hint="eastAsia" w:ascii="宋体" w:hAnsi="宋体"/>
                <w:szCs w:val="21"/>
              </w:rPr>
            </w:pPr>
            <w:r>
              <w:rPr>
                <w:rFonts w:hint="eastAsia" w:ascii="宋体" w:hAnsi="宋体"/>
                <w:szCs w:val="21"/>
              </w:rPr>
              <w:t>联系方式</w:t>
            </w:r>
          </w:p>
        </w:tc>
        <w:tc>
          <w:tcPr>
            <w:tcW w:w="872" w:type="dxa"/>
            <w:vAlign w:val="center"/>
          </w:tcPr>
          <w:p>
            <w:pPr>
              <w:jc w:val="center"/>
              <w:rPr>
                <w:rFonts w:hint="eastAsia" w:ascii="宋体" w:hAnsi="宋体"/>
                <w:szCs w:val="21"/>
              </w:rPr>
            </w:pPr>
            <w:r>
              <w:rPr>
                <w:rFonts w:hint="eastAsia" w:ascii="宋体" w:hAnsi="宋体"/>
                <w:szCs w:val="21"/>
              </w:rPr>
              <w:t>联系人</w:t>
            </w:r>
          </w:p>
        </w:tc>
        <w:tc>
          <w:tcPr>
            <w:tcW w:w="2395" w:type="dxa"/>
            <w:gridSpan w:val="3"/>
            <w:vAlign w:val="center"/>
          </w:tcPr>
          <w:p>
            <w:pPr>
              <w:jc w:val="center"/>
              <w:rPr>
                <w:rFonts w:hint="eastAsia" w:ascii="宋体" w:hAnsi="宋体"/>
                <w:szCs w:val="21"/>
              </w:rPr>
            </w:pPr>
          </w:p>
        </w:tc>
        <w:tc>
          <w:tcPr>
            <w:tcW w:w="1203" w:type="dxa"/>
            <w:vAlign w:val="center"/>
          </w:tcPr>
          <w:p>
            <w:pPr>
              <w:jc w:val="center"/>
              <w:rPr>
                <w:rFonts w:hint="eastAsia" w:ascii="宋体" w:hAnsi="宋体"/>
                <w:szCs w:val="21"/>
              </w:rPr>
            </w:pPr>
            <w:r>
              <w:rPr>
                <w:rFonts w:hint="eastAsia" w:ascii="宋体" w:hAnsi="宋体"/>
                <w:szCs w:val="21"/>
              </w:rPr>
              <w:t>电  话</w:t>
            </w:r>
          </w:p>
        </w:tc>
        <w:tc>
          <w:tcPr>
            <w:tcW w:w="2460" w:type="dxa"/>
            <w:gridSpan w:val="3"/>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r>
              <w:rPr>
                <w:rFonts w:hint="eastAsia" w:ascii="宋体" w:hAnsi="宋体"/>
                <w:szCs w:val="21"/>
              </w:rPr>
              <w:t>传  真</w:t>
            </w:r>
          </w:p>
        </w:tc>
        <w:tc>
          <w:tcPr>
            <w:tcW w:w="2395" w:type="dxa"/>
            <w:gridSpan w:val="3"/>
            <w:vAlign w:val="center"/>
          </w:tcPr>
          <w:p>
            <w:pPr>
              <w:jc w:val="center"/>
              <w:rPr>
                <w:rFonts w:hint="eastAsia" w:ascii="宋体" w:hAnsi="宋体"/>
                <w:szCs w:val="21"/>
              </w:rPr>
            </w:pPr>
          </w:p>
        </w:tc>
        <w:tc>
          <w:tcPr>
            <w:tcW w:w="1203" w:type="dxa"/>
            <w:vAlign w:val="center"/>
          </w:tcPr>
          <w:p>
            <w:pPr>
              <w:jc w:val="center"/>
              <w:rPr>
                <w:rFonts w:hint="eastAsia" w:ascii="宋体" w:hAnsi="宋体"/>
                <w:szCs w:val="21"/>
              </w:rPr>
            </w:pPr>
            <w:r>
              <w:rPr>
                <w:rFonts w:hint="eastAsia" w:ascii="宋体" w:hAnsi="宋体"/>
                <w:szCs w:val="21"/>
              </w:rPr>
              <w:t>网  址</w:t>
            </w:r>
          </w:p>
        </w:tc>
        <w:tc>
          <w:tcPr>
            <w:tcW w:w="2460" w:type="dxa"/>
            <w:gridSpan w:val="3"/>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组织结构</w:t>
            </w:r>
          </w:p>
        </w:tc>
        <w:tc>
          <w:tcPr>
            <w:tcW w:w="6930" w:type="dxa"/>
            <w:gridSpan w:val="8"/>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法定代表人</w:t>
            </w:r>
          </w:p>
        </w:tc>
        <w:tc>
          <w:tcPr>
            <w:tcW w:w="872" w:type="dxa"/>
            <w:vAlign w:val="center"/>
          </w:tcPr>
          <w:p>
            <w:pPr>
              <w:jc w:val="center"/>
              <w:rPr>
                <w:rFonts w:hint="eastAsia" w:ascii="宋体" w:hAnsi="宋体"/>
                <w:szCs w:val="21"/>
              </w:rPr>
            </w:pPr>
            <w:r>
              <w:rPr>
                <w:rFonts w:hint="eastAsia" w:ascii="宋体" w:hAnsi="宋体"/>
                <w:szCs w:val="21"/>
              </w:rPr>
              <w:t>姓名</w:t>
            </w:r>
          </w:p>
        </w:tc>
        <w:tc>
          <w:tcPr>
            <w:tcW w:w="1182" w:type="dxa"/>
            <w:vAlign w:val="center"/>
          </w:tcPr>
          <w:p>
            <w:pPr>
              <w:jc w:val="center"/>
              <w:rPr>
                <w:rFonts w:hint="eastAsia" w:ascii="宋体" w:hAnsi="宋体"/>
                <w:szCs w:val="21"/>
              </w:rPr>
            </w:pPr>
          </w:p>
        </w:tc>
        <w:tc>
          <w:tcPr>
            <w:tcW w:w="1183" w:type="dxa"/>
            <w:vAlign w:val="center"/>
          </w:tcPr>
          <w:p>
            <w:pPr>
              <w:jc w:val="center"/>
              <w:rPr>
                <w:rFonts w:hint="eastAsia" w:ascii="宋体" w:hAnsi="宋体"/>
                <w:szCs w:val="21"/>
              </w:rPr>
            </w:pPr>
            <w:r>
              <w:rPr>
                <w:rFonts w:hint="eastAsia" w:ascii="宋体" w:hAnsi="宋体"/>
                <w:szCs w:val="21"/>
              </w:rPr>
              <w:t>技术职称</w:t>
            </w:r>
          </w:p>
        </w:tc>
        <w:tc>
          <w:tcPr>
            <w:tcW w:w="1558" w:type="dxa"/>
            <w:gridSpan w:val="3"/>
            <w:vAlign w:val="center"/>
          </w:tcPr>
          <w:p>
            <w:pPr>
              <w:jc w:val="center"/>
              <w:rPr>
                <w:rFonts w:hint="eastAsia" w:ascii="宋体" w:hAnsi="宋体"/>
                <w:szCs w:val="21"/>
              </w:rPr>
            </w:pPr>
          </w:p>
        </w:tc>
        <w:tc>
          <w:tcPr>
            <w:tcW w:w="875" w:type="dxa"/>
            <w:vAlign w:val="center"/>
          </w:tcPr>
          <w:p>
            <w:pPr>
              <w:jc w:val="center"/>
              <w:rPr>
                <w:rFonts w:hint="eastAsia" w:ascii="宋体" w:hAnsi="宋体"/>
                <w:szCs w:val="21"/>
              </w:rPr>
            </w:pPr>
            <w:r>
              <w:rPr>
                <w:rFonts w:hint="eastAsia" w:ascii="宋体" w:hAnsi="宋体"/>
                <w:szCs w:val="21"/>
              </w:rPr>
              <w:t>电话</w:t>
            </w:r>
          </w:p>
        </w:tc>
        <w:tc>
          <w:tcPr>
            <w:tcW w:w="126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技术负责人</w:t>
            </w:r>
          </w:p>
        </w:tc>
        <w:tc>
          <w:tcPr>
            <w:tcW w:w="872" w:type="dxa"/>
            <w:vAlign w:val="center"/>
          </w:tcPr>
          <w:p>
            <w:pPr>
              <w:jc w:val="center"/>
              <w:rPr>
                <w:rFonts w:hint="eastAsia" w:ascii="宋体" w:hAnsi="宋体"/>
                <w:szCs w:val="21"/>
              </w:rPr>
            </w:pPr>
            <w:r>
              <w:rPr>
                <w:rFonts w:hint="eastAsia" w:ascii="宋体" w:hAnsi="宋体"/>
                <w:szCs w:val="21"/>
              </w:rPr>
              <w:t>姓名</w:t>
            </w:r>
          </w:p>
        </w:tc>
        <w:tc>
          <w:tcPr>
            <w:tcW w:w="1182" w:type="dxa"/>
            <w:vAlign w:val="center"/>
          </w:tcPr>
          <w:p>
            <w:pPr>
              <w:jc w:val="center"/>
              <w:rPr>
                <w:rFonts w:hint="eastAsia" w:ascii="宋体" w:hAnsi="宋体"/>
                <w:szCs w:val="21"/>
              </w:rPr>
            </w:pPr>
          </w:p>
        </w:tc>
        <w:tc>
          <w:tcPr>
            <w:tcW w:w="1183" w:type="dxa"/>
            <w:vAlign w:val="center"/>
          </w:tcPr>
          <w:p>
            <w:pPr>
              <w:jc w:val="center"/>
              <w:rPr>
                <w:rFonts w:hint="eastAsia" w:ascii="宋体" w:hAnsi="宋体"/>
                <w:szCs w:val="21"/>
              </w:rPr>
            </w:pPr>
            <w:r>
              <w:rPr>
                <w:rFonts w:hint="eastAsia" w:ascii="宋体" w:hAnsi="宋体"/>
                <w:szCs w:val="21"/>
              </w:rPr>
              <w:t>技术职称</w:t>
            </w:r>
          </w:p>
        </w:tc>
        <w:tc>
          <w:tcPr>
            <w:tcW w:w="1558" w:type="dxa"/>
            <w:gridSpan w:val="3"/>
            <w:vAlign w:val="center"/>
          </w:tcPr>
          <w:p>
            <w:pPr>
              <w:jc w:val="center"/>
              <w:rPr>
                <w:rFonts w:hint="eastAsia" w:ascii="宋体" w:hAnsi="宋体"/>
                <w:szCs w:val="21"/>
              </w:rPr>
            </w:pPr>
          </w:p>
        </w:tc>
        <w:tc>
          <w:tcPr>
            <w:tcW w:w="875" w:type="dxa"/>
            <w:vAlign w:val="center"/>
          </w:tcPr>
          <w:p>
            <w:pPr>
              <w:jc w:val="center"/>
              <w:rPr>
                <w:rFonts w:hint="eastAsia" w:ascii="宋体" w:hAnsi="宋体"/>
                <w:szCs w:val="21"/>
              </w:rPr>
            </w:pPr>
            <w:r>
              <w:rPr>
                <w:rFonts w:hint="eastAsia" w:ascii="宋体" w:hAnsi="宋体"/>
                <w:szCs w:val="21"/>
              </w:rPr>
              <w:t>电话</w:t>
            </w:r>
          </w:p>
        </w:tc>
        <w:tc>
          <w:tcPr>
            <w:tcW w:w="1260"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成立时间</w:t>
            </w:r>
          </w:p>
        </w:tc>
        <w:tc>
          <w:tcPr>
            <w:tcW w:w="2054" w:type="dxa"/>
            <w:gridSpan w:val="2"/>
            <w:vAlign w:val="center"/>
          </w:tcPr>
          <w:p>
            <w:pPr>
              <w:jc w:val="center"/>
              <w:rPr>
                <w:rFonts w:hint="eastAsia" w:ascii="宋体" w:hAnsi="宋体"/>
                <w:szCs w:val="21"/>
              </w:rPr>
            </w:pPr>
          </w:p>
        </w:tc>
        <w:tc>
          <w:tcPr>
            <w:tcW w:w="4876" w:type="dxa"/>
            <w:gridSpan w:val="6"/>
            <w:vAlign w:val="center"/>
          </w:tcPr>
          <w:p>
            <w:pPr>
              <w:rPr>
                <w:rFonts w:hint="eastAsia"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企业资质等级</w:t>
            </w:r>
          </w:p>
        </w:tc>
        <w:tc>
          <w:tcPr>
            <w:tcW w:w="2054" w:type="dxa"/>
            <w:gridSpan w:val="2"/>
            <w:vAlign w:val="center"/>
          </w:tcPr>
          <w:p>
            <w:pPr>
              <w:jc w:val="center"/>
              <w:rPr>
                <w:rFonts w:hint="eastAsia" w:ascii="宋体" w:hAnsi="宋体"/>
                <w:szCs w:val="21"/>
              </w:rPr>
            </w:pPr>
          </w:p>
        </w:tc>
        <w:tc>
          <w:tcPr>
            <w:tcW w:w="1183" w:type="dxa"/>
            <w:vMerge w:val="restart"/>
            <w:vAlign w:val="center"/>
          </w:tcPr>
          <w:p>
            <w:pPr>
              <w:jc w:val="center"/>
              <w:rPr>
                <w:rFonts w:hint="eastAsia" w:ascii="宋体" w:hAnsi="宋体"/>
                <w:szCs w:val="21"/>
              </w:rPr>
            </w:pPr>
            <w:r>
              <w:rPr>
                <w:rFonts w:hint="eastAsia" w:ascii="宋体" w:hAnsi="宋体"/>
                <w:szCs w:val="21"/>
              </w:rPr>
              <w:t>其中</w:t>
            </w:r>
          </w:p>
        </w:tc>
        <w:tc>
          <w:tcPr>
            <w:tcW w:w="1558" w:type="dxa"/>
            <w:gridSpan w:val="3"/>
            <w:vAlign w:val="center"/>
          </w:tcPr>
          <w:p>
            <w:pPr>
              <w:jc w:val="center"/>
              <w:rPr>
                <w:rFonts w:hint="eastAsia" w:ascii="宋体" w:hAnsi="宋体"/>
                <w:szCs w:val="21"/>
              </w:rPr>
            </w:pPr>
            <w:r>
              <w:rPr>
                <w:rFonts w:hint="eastAsia" w:ascii="宋体" w:hAnsi="宋体"/>
                <w:szCs w:val="21"/>
              </w:rPr>
              <w:t>注册建造师</w:t>
            </w:r>
          </w:p>
        </w:tc>
        <w:tc>
          <w:tcPr>
            <w:tcW w:w="2135" w:type="dxa"/>
            <w:gridSpan w:val="2"/>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营业执照号</w:t>
            </w:r>
          </w:p>
        </w:tc>
        <w:tc>
          <w:tcPr>
            <w:tcW w:w="2054" w:type="dxa"/>
            <w:gridSpan w:val="2"/>
            <w:vAlign w:val="center"/>
          </w:tcPr>
          <w:p>
            <w:pPr>
              <w:jc w:val="center"/>
              <w:rPr>
                <w:rFonts w:hint="eastAsia" w:ascii="宋体" w:hAnsi="宋体"/>
                <w:szCs w:val="21"/>
              </w:rPr>
            </w:pPr>
          </w:p>
        </w:tc>
        <w:tc>
          <w:tcPr>
            <w:tcW w:w="1183" w:type="dxa"/>
            <w:vMerge w:val="continue"/>
            <w:vAlign w:val="center"/>
          </w:tcPr>
          <w:p>
            <w:pPr>
              <w:jc w:val="center"/>
              <w:rPr>
                <w:rFonts w:hint="eastAsia" w:ascii="宋体" w:hAnsi="宋体"/>
                <w:szCs w:val="21"/>
              </w:rPr>
            </w:pPr>
          </w:p>
        </w:tc>
        <w:tc>
          <w:tcPr>
            <w:tcW w:w="1558" w:type="dxa"/>
            <w:gridSpan w:val="3"/>
            <w:vAlign w:val="center"/>
          </w:tcPr>
          <w:p>
            <w:pPr>
              <w:jc w:val="center"/>
              <w:rPr>
                <w:rFonts w:hint="eastAsia" w:ascii="宋体" w:hAnsi="宋体"/>
                <w:szCs w:val="21"/>
              </w:rPr>
            </w:pPr>
            <w:r>
              <w:rPr>
                <w:rFonts w:hint="eastAsia" w:ascii="宋体" w:hAnsi="宋体"/>
                <w:szCs w:val="21"/>
              </w:rPr>
              <w:t>高级职称人员</w:t>
            </w:r>
          </w:p>
        </w:tc>
        <w:tc>
          <w:tcPr>
            <w:tcW w:w="2135" w:type="dxa"/>
            <w:gridSpan w:val="2"/>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注册资金</w:t>
            </w:r>
          </w:p>
        </w:tc>
        <w:tc>
          <w:tcPr>
            <w:tcW w:w="2054" w:type="dxa"/>
            <w:gridSpan w:val="2"/>
            <w:vAlign w:val="center"/>
          </w:tcPr>
          <w:p>
            <w:pPr>
              <w:jc w:val="center"/>
              <w:rPr>
                <w:rFonts w:hint="eastAsia" w:ascii="宋体" w:hAnsi="宋体"/>
                <w:szCs w:val="21"/>
              </w:rPr>
            </w:pPr>
          </w:p>
        </w:tc>
        <w:tc>
          <w:tcPr>
            <w:tcW w:w="1183" w:type="dxa"/>
            <w:vMerge w:val="continue"/>
            <w:vAlign w:val="center"/>
          </w:tcPr>
          <w:p>
            <w:pPr>
              <w:jc w:val="center"/>
              <w:rPr>
                <w:rFonts w:hint="eastAsia" w:ascii="宋体" w:hAnsi="宋体"/>
                <w:szCs w:val="21"/>
              </w:rPr>
            </w:pPr>
          </w:p>
        </w:tc>
        <w:tc>
          <w:tcPr>
            <w:tcW w:w="1558" w:type="dxa"/>
            <w:gridSpan w:val="3"/>
            <w:vAlign w:val="center"/>
          </w:tcPr>
          <w:p>
            <w:pPr>
              <w:jc w:val="center"/>
              <w:rPr>
                <w:rFonts w:hint="eastAsia" w:ascii="宋体" w:hAnsi="宋体"/>
                <w:szCs w:val="21"/>
              </w:rPr>
            </w:pPr>
            <w:r>
              <w:rPr>
                <w:rFonts w:hint="eastAsia" w:ascii="宋体" w:hAnsi="宋体"/>
                <w:szCs w:val="21"/>
              </w:rPr>
              <w:t>中级职称人员</w:t>
            </w:r>
          </w:p>
        </w:tc>
        <w:tc>
          <w:tcPr>
            <w:tcW w:w="2135" w:type="dxa"/>
            <w:gridSpan w:val="2"/>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基本账户</w:t>
            </w:r>
          </w:p>
          <w:p>
            <w:pPr>
              <w:jc w:val="center"/>
              <w:rPr>
                <w:rFonts w:hint="eastAsia" w:ascii="宋体" w:hAnsi="宋体"/>
                <w:szCs w:val="21"/>
              </w:rPr>
            </w:pPr>
            <w:r>
              <w:rPr>
                <w:rFonts w:hint="eastAsia" w:ascii="宋体" w:hAnsi="宋体"/>
                <w:szCs w:val="21"/>
              </w:rPr>
              <w:t>开户银行</w:t>
            </w:r>
          </w:p>
        </w:tc>
        <w:tc>
          <w:tcPr>
            <w:tcW w:w="2054" w:type="dxa"/>
            <w:gridSpan w:val="2"/>
            <w:vAlign w:val="center"/>
          </w:tcPr>
          <w:p>
            <w:pPr>
              <w:jc w:val="center"/>
              <w:rPr>
                <w:rFonts w:hint="eastAsia" w:ascii="宋体" w:hAnsi="宋体"/>
                <w:szCs w:val="21"/>
              </w:rPr>
            </w:pPr>
          </w:p>
        </w:tc>
        <w:tc>
          <w:tcPr>
            <w:tcW w:w="1183" w:type="dxa"/>
            <w:vMerge w:val="continue"/>
            <w:vAlign w:val="center"/>
          </w:tcPr>
          <w:p>
            <w:pPr>
              <w:jc w:val="center"/>
              <w:rPr>
                <w:rFonts w:hint="eastAsia" w:ascii="宋体" w:hAnsi="宋体"/>
                <w:szCs w:val="21"/>
              </w:rPr>
            </w:pPr>
          </w:p>
        </w:tc>
        <w:tc>
          <w:tcPr>
            <w:tcW w:w="1558" w:type="dxa"/>
            <w:gridSpan w:val="3"/>
            <w:vAlign w:val="center"/>
          </w:tcPr>
          <w:p>
            <w:pPr>
              <w:jc w:val="center"/>
              <w:rPr>
                <w:rFonts w:hint="eastAsia" w:ascii="宋体" w:hAnsi="宋体"/>
                <w:szCs w:val="21"/>
              </w:rPr>
            </w:pPr>
            <w:r>
              <w:rPr>
                <w:rFonts w:hint="eastAsia" w:ascii="宋体" w:hAnsi="宋体"/>
                <w:szCs w:val="21"/>
              </w:rPr>
              <w:t>初级职称人员</w:t>
            </w:r>
          </w:p>
        </w:tc>
        <w:tc>
          <w:tcPr>
            <w:tcW w:w="2135" w:type="dxa"/>
            <w:gridSpan w:val="2"/>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基本账户</w:t>
            </w:r>
          </w:p>
          <w:p>
            <w:pPr>
              <w:jc w:val="center"/>
              <w:rPr>
                <w:rFonts w:hint="eastAsia" w:ascii="宋体" w:hAnsi="宋体"/>
                <w:szCs w:val="21"/>
              </w:rPr>
            </w:pPr>
            <w:r>
              <w:rPr>
                <w:rFonts w:hint="eastAsia" w:ascii="宋体" w:hAnsi="宋体"/>
                <w:szCs w:val="21"/>
              </w:rPr>
              <w:t>账号</w:t>
            </w:r>
          </w:p>
        </w:tc>
        <w:tc>
          <w:tcPr>
            <w:tcW w:w="2054" w:type="dxa"/>
            <w:gridSpan w:val="2"/>
            <w:vAlign w:val="center"/>
          </w:tcPr>
          <w:p>
            <w:pPr>
              <w:jc w:val="center"/>
              <w:rPr>
                <w:rFonts w:hint="eastAsia" w:ascii="宋体" w:hAnsi="宋体"/>
                <w:szCs w:val="21"/>
              </w:rPr>
            </w:pPr>
          </w:p>
        </w:tc>
        <w:tc>
          <w:tcPr>
            <w:tcW w:w="1183" w:type="dxa"/>
            <w:vMerge w:val="continue"/>
            <w:vAlign w:val="center"/>
          </w:tcPr>
          <w:p>
            <w:pPr>
              <w:jc w:val="center"/>
              <w:rPr>
                <w:rFonts w:hint="eastAsia" w:ascii="宋体" w:hAnsi="宋体"/>
                <w:szCs w:val="21"/>
              </w:rPr>
            </w:pPr>
          </w:p>
        </w:tc>
        <w:tc>
          <w:tcPr>
            <w:tcW w:w="1558" w:type="dxa"/>
            <w:gridSpan w:val="3"/>
            <w:vAlign w:val="center"/>
          </w:tcPr>
          <w:p>
            <w:pPr>
              <w:jc w:val="center"/>
              <w:rPr>
                <w:rFonts w:hint="eastAsia" w:ascii="宋体" w:hAnsi="宋体"/>
                <w:szCs w:val="21"/>
              </w:rPr>
            </w:pPr>
            <w:r>
              <w:rPr>
                <w:rFonts w:hint="eastAsia" w:ascii="宋体" w:hAnsi="宋体"/>
                <w:szCs w:val="21"/>
              </w:rPr>
              <w:t>技  工</w:t>
            </w:r>
          </w:p>
        </w:tc>
        <w:tc>
          <w:tcPr>
            <w:tcW w:w="2135" w:type="dxa"/>
            <w:gridSpan w:val="2"/>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pPr>
              <w:jc w:val="center"/>
              <w:rPr>
                <w:rFonts w:hint="eastAsia" w:ascii="宋体" w:hAnsi="宋体"/>
                <w:szCs w:val="21"/>
              </w:rPr>
            </w:pPr>
            <w:r>
              <w:rPr>
                <w:rFonts w:hint="eastAsia" w:ascii="宋体" w:hAnsi="宋体"/>
                <w:szCs w:val="21"/>
              </w:rPr>
              <w:t>经营范围</w:t>
            </w:r>
          </w:p>
        </w:tc>
        <w:tc>
          <w:tcPr>
            <w:tcW w:w="6930" w:type="dxa"/>
            <w:gridSpan w:val="8"/>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szCs w:val="21"/>
              </w:rPr>
            </w:pPr>
            <w:r>
              <w:rPr>
                <w:rFonts w:hint="eastAsia" w:ascii="宋体" w:hAnsi="宋体"/>
                <w:szCs w:val="21"/>
              </w:rPr>
              <w:t>备注</w:t>
            </w:r>
          </w:p>
        </w:tc>
        <w:tc>
          <w:tcPr>
            <w:tcW w:w="6930" w:type="dxa"/>
            <w:gridSpan w:val="8"/>
            <w:vAlign w:val="center"/>
          </w:tcPr>
          <w:p>
            <w:pPr>
              <w:jc w:val="center"/>
              <w:rPr>
                <w:rFonts w:hint="eastAsia" w:ascii="宋体" w:hAnsi="宋体"/>
                <w:szCs w:val="21"/>
              </w:rPr>
            </w:pPr>
          </w:p>
        </w:tc>
      </w:tr>
    </w:tbl>
    <w:p>
      <w:pPr>
        <w:spacing w:line="400" w:lineRule="atLeast"/>
        <w:ind w:left="840" w:hanging="840" w:hangingChars="400"/>
        <w:jc w:val="left"/>
        <w:rPr>
          <w:rFonts w:hint="eastAsia" w:ascii="宋体" w:hAnsi="宋体"/>
          <w:szCs w:val="21"/>
        </w:rPr>
      </w:pPr>
      <w:r>
        <w:rPr>
          <w:rFonts w:hint="eastAsia" w:ascii="宋体" w:hAnsi="宋体"/>
          <w:szCs w:val="21"/>
        </w:rPr>
        <w:t>备注：1</w:t>
      </w:r>
      <w:r>
        <w:rPr>
          <w:rFonts w:ascii="宋体" w:hAnsi="宋体"/>
          <w:szCs w:val="21"/>
        </w:rPr>
        <w:t>.</w:t>
      </w:r>
      <w:r>
        <w:rPr>
          <w:rFonts w:hint="eastAsia" w:ascii="宋体" w:hAnsi="宋体"/>
          <w:szCs w:val="21"/>
        </w:rPr>
        <w:t>本表后应附营业执照、企业资质证书、安全生产许可证、</w:t>
      </w:r>
      <w:r>
        <w:rPr>
          <w:rFonts w:ascii="宋体" w:hAnsi="宋体"/>
          <w:szCs w:val="21"/>
        </w:rPr>
        <w:t>基本账户开户许可证</w:t>
      </w:r>
      <w:r>
        <w:rPr>
          <w:rFonts w:hint="eastAsia" w:ascii="宋体" w:hAnsi="宋体"/>
        </w:rPr>
        <w:t>（基本存款账户信息）</w:t>
      </w:r>
      <w:r>
        <w:rPr>
          <w:rFonts w:hint="eastAsia" w:ascii="宋体" w:hAnsi="宋体"/>
          <w:szCs w:val="21"/>
        </w:rPr>
        <w:t>、</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、职业健康安全管理体系认证证书等材料</w:t>
      </w:r>
      <w:bookmarkStart w:id="1480" w:name="_Hlk144986927"/>
      <w:r>
        <w:rPr>
          <w:rFonts w:hint="eastAsia" w:ascii="宋体" w:hAnsi="宋体"/>
          <w:szCs w:val="21"/>
        </w:rPr>
        <w:t>。</w:t>
      </w:r>
    </w:p>
    <w:p>
      <w:pPr>
        <w:spacing w:line="400" w:lineRule="atLeast"/>
        <w:ind w:firstLine="630" w:firstLineChars="300"/>
        <w:jc w:val="left"/>
        <w:rPr>
          <w:rFonts w:hint="eastAsia" w:ascii="宋体" w:hAnsi="宋体"/>
          <w:szCs w:val="21"/>
        </w:rPr>
        <w:sectPr>
          <w:footerReference r:id="rId44" w:type="default"/>
          <w:pgSz w:w="11906" w:h="16838"/>
          <w:pgMar w:top="1440" w:right="1800" w:bottom="1440" w:left="1800" w:header="851" w:footer="992" w:gutter="0"/>
          <w:cols w:space="425" w:num="1"/>
          <w:docGrid w:type="lines" w:linePitch="312" w:charSpace="0"/>
        </w:sectPr>
      </w:pPr>
      <w:r>
        <w:rPr>
          <w:rFonts w:hint="eastAsia" w:ascii="宋体" w:hAnsi="宋体"/>
          <w:szCs w:val="21"/>
        </w:rPr>
        <w:t>2.联合体投标的，联合体各成员应分别填写。</w:t>
      </w:r>
      <w:bookmarkEnd w:id="1480"/>
    </w:p>
    <w:p>
      <w:pPr>
        <w:pStyle w:val="31"/>
        <w:spacing w:before="312" w:beforeLines="100" w:after="312" w:afterLines="100"/>
        <w:jc w:val="center"/>
        <w:outlineLvl w:val="3"/>
        <w:rPr>
          <w:bCs/>
          <w:kern w:val="20"/>
          <w:sz w:val="28"/>
          <w:szCs w:val="28"/>
        </w:rPr>
      </w:pPr>
      <w:bookmarkStart w:id="1481" w:name="_Toc122603087"/>
      <w:bookmarkStart w:id="1482" w:name="_Toc467365520"/>
      <w:bookmarkStart w:id="1483" w:name="_Toc256000395"/>
      <w:r>
        <w:rPr>
          <w:szCs w:val="24"/>
        </w:rPr>
        <w:t>1-2</w:t>
      </w:r>
      <w:r>
        <w:rPr>
          <w:rFonts w:hint="eastAsia"/>
          <w:szCs w:val="24"/>
        </w:rPr>
        <w:t xml:space="preserve"> 关联单位情况说明</w:t>
      </w:r>
      <w:bookmarkEnd w:id="1481"/>
      <w:bookmarkEnd w:id="1482"/>
      <w:bookmarkEnd w:id="1483"/>
    </w:p>
    <w:tbl>
      <w:tblPr>
        <w:tblStyle w:val="22"/>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pPr>
              <w:tabs>
                <w:tab w:val="left" w:pos="0"/>
              </w:tabs>
              <w:snapToGrid w:val="0"/>
              <w:spacing w:line="360" w:lineRule="exact"/>
              <w:rPr>
                <w:szCs w:val="21"/>
              </w:rPr>
            </w:pPr>
          </w:p>
          <w:p>
            <w:pPr>
              <w:ind w:left="945" w:hanging="945" w:hangingChars="450"/>
              <w:rPr>
                <w:rFonts w:hint="eastAsia" w:ascii="宋体" w:hAnsi="宋体"/>
              </w:rPr>
            </w:pPr>
            <w:r>
              <w:rPr>
                <w:rFonts w:ascii="宋体" w:hAnsi="宋体"/>
              </w:rPr>
              <w:t>单位负责人</w:t>
            </w:r>
            <w:r>
              <w:rPr>
                <w:rFonts w:hint="eastAsia" w:ascii="宋体" w:hAnsi="宋体"/>
              </w:rPr>
              <w:t>与本</w:t>
            </w:r>
            <w:r>
              <w:rPr>
                <w:rFonts w:ascii="宋体" w:hAnsi="宋体"/>
              </w:rPr>
              <w:t>单位负责人为同一人</w:t>
            </w:r>
            <w:r>
              <w:rPr>
                <w:rFonts w:hint="eastAsia" w:ascii="宋体" w:hAnsi="宋体"/>
              </w:rPr>
              <w:t>的单位：</w:t>
            </w: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r>
              <w:rPr>
                <w:rFonts w:hint="eastAsia" w:ascii="宋体" w:hAnsi="宋体"/>
              </w:rPr>
              <w:t>与本</w:t>
            </w:r>
            <w:r>
              <w:rPr>
                <w:rFonts w:ascii="宋体" w:hAnsi="宋体"/>
              </w:rPr>
              <w:t>单位存在控股</w:t>
            </w:r>
            <w:r>
              <w:rPr>
                <w:rFonts w:hint="eastAsia" w:ascii="宋体" w:hAnsi="宋体"/>
              </w:rPr>
              <w:t>与被控股</w:t>
            </w:r>
            <w:r>
              <w:rPr>
                <w:rFonts w:ascii="宋体" w:hAnsi="宋体"/>
              </w:rPr>
              <w:t>关系的单位</w:t>
            </w:r>
            <w:r>
              <w:rPr>
                <w:rFonts w:hint="eastAsia" w:ascii="宋体" w:hAnsi="宋体"/>
              </w:rPr>
              <w:t>：</w:t>
            </w: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p>
          <w:p>
            <w:pPr>
              <w:ind w:left="945" w:hanging="945" w:hangingChars="450"/>
              <w:rPr>
                <w:rFonts w:hint="eastAsia" w:ascii="宋体" w:hAnsi="宋体"/>
              </w:rPr>
            </w:pPr>
            <w:r>
              <w:rPr>
                <w:rFonts w:hint="eastAsia" w:ascii="宋体" w:hAnsi="宋体"/>
              </w:rPr>
              <w:t>与本</w:t>
            </w:r>
            <w:r>
              <w:rPr>
                <w:rFonts w:ascii="宋体" w:hAnsi="宋体"/>
              </w:rPr>
              <w:t>单位存在管理</w:t>
            </w:r>
            <w:r>
              <w:rPr>
                <w:rFonts w:hint="eastAsia" w:ascii="宋体" w:hAnsi="宋体"/>
              </w:rPr>
              <w:t>与被管理</w:t>
            </w:r>
            <w:r>
              <w:rPr>
                <w:rFonts w:ascii="宋体" w:hAnsi="宋体"/>
              </w:rPr>
              <w:t>关系的单位</w:t>
            </w:r>
            <w:r>
              <w:rPr>
                <w:rFonts w:hint="eastAsia" w:ascii="宋体" w:hAnsi="宋体"/>
              </w:rPr>
              <w:t>：</w:t>
            </w:r>
          </w:p>
          <w:p>
            <w:pPr>
              <w:snapToGrid w:val="0"/>
              <w:spacing w:line="360" w:lineRule="exact"/>
              <w:rPr>
                <w:szCs w:val="21"/>
              </w:rPr>
            </w:pPr>
          </w:p>
          <w:p>
            <w:pPr>
              <w:snapToGrid w:val="0"/>
              <w:spacing w:line="360" w:lineRule="exact"/>
              <w:rPr>
                <w:szCs w:val="21"/>
              </w:rPr>
            </w:pPr>
          </w:p>
          <w:p>
            <w:pPr>
              <w:tabs>
                <w:tab w:val="left" w:pos="6039"/>
              </w:tabs>
              <w:snapToGrid w:val="0"/>
              <w:spacing w:line="360" w:lineRule="exact"/>
              <w:rPr>
                <w:szCs w:val="21"/>
              </w:rPr>
            </w:pPr>
          </w:p>
        </w:tc>
      </w:tr>
    </w:tbl>
    <w:p>
      <w:pPr>
        <w:ind w:left="945" w:hanging="945" w:hangingChars="450"/>
        <w:rPr>
          <w:rFonts w:hint="eastAsia" w:ascii="宋体" w:hAnsi="宋体"/>
        </w:rPr>
      </w:pPr>
      <w:r>
        <w:rPr>
          <w:rFonts w:hint="eastAsia" w:ascii="宋体" w:hAnsi="宋体"/>
        </w:rPr>
        <w:t>备注：1</w:t>
      </w:r>
      <w:r>
        <w:rPr>
          <w:rFonts w:ascii="宋体" w:hAnsi="宋体"/>
        </w:rPr>
        <w:t>.</w:t>
      </w:r>
      <w:r>
        <w:rPr>
          <w:rFonts w:hint="eastAsia" w:ascii="宋体" w:hAnsi="宋体"/>
        </w:rPr>
        <w:t>投标人应当如实披露相关关联单位的情况。没有相关关联单位的明确填“无”。</w:t>
      </w:r>
    </w:p>
    <w:p>
      <w:pPr>
        <w:ind w:firstLine="630" w:firstLineChars="300"/>
        <w:sectPr>
          <w:footerReference r:id="rId45" w:type="default"/>
          <w:pgSz w:w="11906" w:h="16838"/>
          <w:pgMar w:top="1440" w:right="1800" w:bottom="1440" w:left="1800" w:header="851" w:footer="992" w:gutter="0"/>
          <w:cols w:space="425" w:num="1"/>
          <w:docGrid w:type="lines" w:linePitch="312" w:charSpace="0"/>
        </w:sectPr>
      </w:pPr>
      <w:r>
        <w:rPr>
          <w:rFonts w:ascii="宋体" w:hAnsi="宋体"/>
        </w:rPr>
        <w:t>2</w:t>
      </w:r>
      <w:r>
        <w:rPr>
          <w:rFonts w:hint="eastAsia" w:ascii="宋体" w:hAnsi="宋体"/>
        </w:rPr>
        <w:t>.联合体投标的，联合体各成员应分别填写。</w:t>
      </w:r>
    </w:p>
    <w:p>
      <w:pPr>
        <w:pStyle w:val="31"/>
        <w:spacing w:before="312" w:beforeLines="100" w:after="312" w:afterLines="100"/>
        <w:jc w:val="center"/>
        <w:outlineLvl w:val="3"/>
        <w:rPr>
          <w:rFonts w:hint="eastAsia" w:ascii="宋体" w:hAnsi="宋体"/>
        </w:rPr>
      </w:pPr>
      <w:bookmarkStart w:id="1484" w:name="_Toc467365521"/>
      <w:bookmarkStart w:id="1485" w:name="_Toc122603088"/>
      <w:bookmarkStart w:id="1486" w:name="_Toc256000396"/>
      <w:r>
        <w:rPr>
          <w:rFonts w:hint="eastAsia"/>
          <w:szCs w:val="24"/>
        </w:rPr>
        <w:t>1-3 企业在辽基本信息登记</w:t>
      </w:r>
      <w:bookmarkEnd w:id="1484"/>
      <w:r>
        <w:rPr>
          <w:rFonts w:hint="eastAsia"/>
          <w:szCs w:val="24"/>
        </w:rPr>
        <w:t>单</w:t>
      </w:r>
      <w:bookmarkEnd w:id="1485"/>
      <w:bookmarkEnd w:id="148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pPr>
              <w:jc w:val="center"/>
              <w:rPr>
                <w:rFonts w:hint="eastAsia" w:ascii="宋体" w:hAnsi="宋体"/>
              </w:rPr>
            </w:pPr>
            <w:r>
              <w:rPr>
                <w:rFonts w:hint="eastAsia" w:ascii="宋体" w:hAnsi="宋体"/>
              </w:rPr>
              <w:t>单位名称</w:t>
            </w:r>
          </w:p>
        </w:tc>
        <w:tc>
          <w:tcPr>
            <w:tcW w:w="6839" w:type="dxa"/>
            <w:gridSpan w:val="3"/>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pPr>
              <w:jc w:val="center"/>
              <w:rPr>
                <w:rFonts w:hint="eastAsia" w:ascii="宋体" w:hAnsi="宋体"/>
              </w:rPr>
            </w:pPr>
            <w:r>
              <w:rPr>
                <w:rFonts w:hint="eastAsia" w:ascii="宋体" w:hAnsi="宋体"/>
              </w:rPr>
              <w:t>法定代表人姓名</w:t>
            </w:r>
          </w:p>
        </w:tc>
        <w:tc>
          <w:tcPr>
            <w:tcW w:w="2279" w:type="dxa"/>
            <w:vAlign w:val="center"/>
          </w:tcPr>
          <w:p>
            <w:pPr>
              <w:jc w:val="center"/>
              <w:rPr>
                <w:rFonts w:hint="eastAsia" w:ascii="宋体" w:hAnsi="宋体"/>
              </w:rPr>
            </w:pPr>
          </w:p>
        </w:tc>
        <w:tc>
          <w:tcPr>
            <w:tcW w:w="2280" w:type="dxa"/>
            <w:vAlign w:val="center"/>
          </w:tcPr>
          <w:p>
            <w:pPr>
              <w:jc w:val="center"/>
              <w:rPr>
                <w:rFonts w:hint="eastAsia" w:ascii="宋体" w:hAnsi="宋体"/>
              </w:rPr>
            </w:pPr>
            <w:r>
              <w:rPr>
                <w:rFonts w:hint="eastAsia" w:ascii="宋体" w:hAnsi="宋体"/>
              </w:rPr>
              <w:t>公司所在地</w:t>
            </w:r>
          </w:p>
        </w:tc>
        <w:tc>
          <w:tcPr>
            <w:tcW w:w="2280"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pPr>
              <w:jc w:val="center"/>
              <w:rPr>
                <w:rFonts w:hint="eastAsia" w:ascii="宋体" w:hAnsi="宋体"/>
              </w:rPr>
            </w:pPr>
            <w:r>
              <w:rPr>
                <w:rFonts w:hint="eastAsia" w:ascii="宋体" w:hAnsi="宋体"/>
              </w:rPr>
              <w:t>安全生产许可证号</w:t>
            </w:r>
          </w:p>
        </w:tc>
        <w:tc>
          <w:tcPr>
            <w:tcW w:w="6839" w:type="dxa"/>
            <w:gridSpan w:val="3"/>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rPr>
            </w:pPr>
            <w:r>
              <w:rPr>
                <w:rFonts w:hint="eastAsia" w:ascii="宋体" w:hAnsi="宋体"/>
              </w:rPr>
              <w:t>资质证书号</w:t>
            </w:r>
          </w:p>
        </w:tc>
        <w:tc>
          <w:tcPr>
            <w:tcW w:w="6839" w:type="dxa"/>
            <w:gridSpan w:val="3"/>
            <w:vAlign w:val="center"/>
          </w:tcPr>
          <w:p>
            <w:pPr>
              <w:jc w:val="center"/>
              <w:rPr>
                <w:rFonts w:hint="eastAsia" w:ascii="宋体" w:hAnsi="宋体"/>
              </w:rPr>
            </w:pPr>
            <w:r>
              <w:rPr>
                <w:rFonts w:hint="eastAsia" w:ascii="宋体" w:hAnsi="宋体"/>
              </w:rPr>
              <w:t>资质类别及等级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rPr>
            </w:pPr>
            <w:r>
              <w:rPr>
                <w:rFonts w:hint="eastAsia" w:ascii="宋体" w:hAnsi="宋体"/>
              </w:rPr>
              <w:t>…</w:t>
            </w:r>
          </w:p>
        </w:tc>
        <w:tc>
          <w:tcPr>
            <w:tcW w:w="6839" w:type="dxa"/>
            <w:gridSpan w:val="3"/>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rPr>
            </w:pPr>
            <w:r>
              <w:rPr>
                <w:rFonts w:hint="eastAsia" w:ascii="宋体" w:hAnsi="宋体"/>
              </w:rPr>
              <w:t>…</w:t>
            </w:r>
          </w:p>
        </w:tc>
        <w:tc>
          <w:tcPr>
            <w:tcW w:w="6839" w:type="dxa"/>
            <w:gridSpan w:val="3"/>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rPr>
            </w:pPr>
            <w:r>
              <w:rPr>
                <w:rFonts w:hint="eastAsia" w:ascii="宋体" w:hAnsi="宋体"/>
              </w:rPr>
              <w:t>…</w:t>
            </w:r>
          </w:p>
        </w:tc>
        <w:tc>
          <w:tcPr>
            <w:tcW w:w="6839" w:type="dxa"/>
            <w:gridSpan w:val="3"/>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pPr>
              <w:jc w:val="center"/>
              <w:rPr>
                <w:rFonts w:hint="eastAsia" w:ascii="宋体" w:hAnsi="宋体"/>
              </w:rPr>
            </w:pPr>
            <w:r>
              <w:rPr>
                <w:rFonts w:hint="eastAsia" w:ascii="宋体" w:hAnsi="宋体"/>
              </w:rPr>
              <w:t>企业归属地</w:t>
            </w:r>
          </w:p>
        </w:tc>
        <w:tc>
          <w:tcPr>
            <w:tcW w:w="6839" w:type="dxa"/>
            <w:gridSpan w:val="3"/>
            <w:vAlign w:val="center"/>
          </w:tcPr>
          <w:p>
            <w:pPr>
              <w:jc w:val="center"/>
              <w:rPr>
                <w:rFonts w:hint="eastAsia" w:ascii="宋体" w:hAnsi="宋体"/>
              </w:rPr>
            </w:pPr>
            <w:r>
              <w:rPr>
                <w:rFonts w:hint="eastAsia" w:ascii="宋体" w:hAnsi="宋体"/>
              </w:rPr>
              <w:t xml:space="preserve">□省内企业 </w:t>
            </w:r>
            <w:r>
              <w:rPr>
                <w:rFonts w:ascii="宋体" w:hAnsi="宋体"/>
              </w:rPr>
              <w:t xml:space="preserve">       </w:t>
            </w:r>
            <w:r>
              <w:rPr>
                <w:rFonts w:hint="eastAsia" w:ascii="宋体" w:hAnsi="宋体"/>
              </w:rPr>
              <w:t>□省外企业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pPr>
              <w:jc w:val="center"/>
              <w:rPr>
                <w:rFonts w:hint="eastAsia" w:ascii="宋体" w:hAnsi="宋体"/>
              </w:rPr>
            </w:pPr>
            <w:r>
              <w:rPr>
                <w:rFonts w:hint="eastAsia" w:ascii="宋体" w:hAnsi="宋体"/>
              </w:rPr>
              <w:t>在辽负责人姓名</w:t>
            </w:r>
          </w:p>
        </w:tc>
        <w:tc>
          <w:tcPr>
            <w:tcW w:w="2279" w:type="dxa"/>
            <w:vAlign w:val="center"/>
          </w:tcPr>
          <w:p>
            <w:pPr>
              <w:jc w:val="center"/>
              <w:rPr>
                <w:rFonts w:hint="eastAsia" w:ascii="宋体" w:hAnsi="宋体"/>
              </w:rPr>
            </w:pPr>
          </w:p>
        </w:tc>
        <w:tc>
          <w:tcPr>
            <w:tcW w:w="2280" w:type="dxa"/>
            <w:vAlign w:val="center"/>
          </w:tcPr>
          <w:p>
            <w:pPr>
              <w:jc w:val="center"/>
              <w:rPr>
                <w:rFonts w:hint="eastAsia" w:ascii="宋体" w:hAnsi="宋体"/>
              </w:rPr>
            </w:pPr>
            <w:r>
              <w:rPr>
                <w:rFonts w:hint="eastAsia" w:ascii="宋体" w:hAnsi="宋体"/>
              </w:rPr>
              <w:t>电话</w:t>
            </w:r>
          </w:p>
        </w:tc>
        <w:tc>
          <w:tcPr>
            <w:tcW w:w="2280" w:type="dxa"/>
            <w:vAlign w:val="center"/>
          </w:tcPr>
          <w:p>
            <w:pPr>
              <w:jc w:val="cente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pPr>
              <w:jc w:val="center"/>
              <w:rPr>
                <w:rFonts w:hint="eastAsia" w:ascii="宋体" w:hAnsi="宋体"/>
              </w:rPr>
            </w:pPr>
            <w:r>
              <w:rPr>
                <w:rFonts w:hint="eastAsia" w:ascii="宋体" w:hAnsi="宋体"/>
              </w:rPr>
              <w:t>入辽登记有效期</w:t>
            </w:r>
          </w:p>
        </w:tc>
        <w:tc>
          <w:tcPr>
            <w:tcW w:w="6839" w:type="dxa"/>
            <w:gridSpan w:val="3"/>
            <w:vAlign w:val="center"/>
          </w:tcPr>
          <w:p>
            <w:pPr>
              <w:jc w:val="center"/>
              <w:rPr>
                <w:rFonts w:hint="eastAsia" w:ascii="宋体" w:hAnsi="宋体"/>
              </w:rPr>
            </w:pPr>
            <w:r>
              <w:rPr>
                <w:rFonts w:hint="eastAsia" w:ascii="宋体" w:hAnsi="宋体"/>
              </w:rPr>
              <w:t xml:space="preserve">年  </w:t>
            </w:r>
            <w:r>
              <w:rPr>
                <w:rFonts w:ascii="宋体" w:hAnsi="宋体"/>
              </w:rPr>
              <w:t xml:space="preserve"> </w:t>
            </w:r>
            <w:r>
              <w:rPr>
                <w:rFonts w:hint="eastAsia" w:ascii="宋体" w:hAnsi="宋体"/>
              </w:rPr>
              <w:t xml:space="preserve">月 </w:t>
            </w:r>
            <w:r>
              <w:rPr>
                <w:rFonts w:ascii="宋体" w:hAnsi="宋体"/>
              </w:rPr>
              <w:t xml:space="preserve">   </w:t>
            </w:r>
            <w:r>
              <w:rPr>
                <w:rFonts w:hint="eastAsia" w:ascii="宋体" w:hAnsi="宋体"/>
              </w:rPr>
              <w:t>日</w:t>
            </w:r>
          </w:p>
        </w:tc>
      </w:tr>
    </w:tbl>
    <w:p>
      <w:pPr>
        <w:ind w:left="945" w:hanging="945" w:hangingChars="450"/>
      </w:pPr>
      <w:r>
        <w:rPr>
          <w:rFonts w:hint="eastAsia"/>
        </w:rPr>
        <w:t>备注：联合体投标的，联合体各成员均应附在辽基本信息登记单。</w:t>
      </w:r>
    </w:p>
    <w:p>
      <w:pPr>
        <w:sectPr>
          <w:footerReference r:id="rId46"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outlineLvl w:val="3"/>
        <w:rPr>
          <w:szCs w:val="24"/>
        </w:rPr>
      </w:pPr>
      <w:bookmarkStart w:id="1487" w:name="_Toc256000397"/>
      <w:r>
        <w:rPr>
          <w:szCs w:val="24"/>
        </w:rPr>
        <w:t>1-4</w:t>
      </w:r>
      <w:r>
        <w:rPr>
          <w:rFonts w:hint="eastAsia"/>
          <w:szCs w:val="24"/>
        </w:rPr>
        <w:t xml:space="preserve"> </w:t>
      </w:r>
      <w:r>
        <w:rPr>
          <w:rFonts w:hint="eastAsia" w:ascii="宋体" w:hAnsi="宋体"/>
          <w:szCs w:val="21"/>
        </w:rPr>
        <w:t>项目管理机构主要人员及简历表</w:t>
      </w:r>
      <w:bookmarkEnd w:id="1487"/>
    </w:p>
    <w:p>
      <w:pPr>
        <w:spacing w:line="400" w:lineRule="atLeast"/>
        <w:ind w:firstLine="630" w:firstLineChars="300"/>
        <w:rPr>
          <w:szCs w:val="21"/>
        </w:rPr>
      </w:pPr>
    </w:p>
    <w:p>
      <w:pPr>
        <w:spacing w:line="400" w:lineRule="atLeast"/>
        <w:ind w:firstLine="630" w:firstLineChars="300"/>
        <w:rPr>
          <w:rFonts w:hint="eastAsia"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“项目管理机构主要人员及简历表”同本章六、项目管理机构。</w:t>
      </w:r>
    </w:p>
    <w:p>
      <w:pPr>
        <w:sectPr>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outlineLvl w:val="3"/>
        <w:rPr>
          <w:sz w:val="28"/>
        </w:rPr>
      </w:pPr>
      <w:bookmarkStart w:id="1488" w:name="_Toc256000398"/>
      <w:bookmarkStart w:id="1489" w:name="_Toc122603090"/>
      <w:r>
        <w:rPr>
          <w:szCs w:val="24"/>
        </w:rPr>
        <w:t>1-5</w:t>
      </w:r>
      <w:r>
        <w:rPr>
          <w:rFonts w:hint="eastAsia"/>
          <w:szCs w:val="24"/>
        </w:rPr>
        <w:t xml:space="preserve"> 拟投入主要施工机械设备情况表</w:t>
      </w:r>
      <w:bookmarkEnd w:id="1488"/>
      <w:bookmarkEnd w:id="1489"/>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r>
              <w:rPr>
                <w:rFonts w:hint="eastAsia" w:ascii="宋体" w:hAnsi="宋体"/>
                <w:szCs w:val="21"/>
              </w:rPr>
              <w:t>机械设备名称</w:t>
            </w:r>
          </w:p>
        </w:tc>
        <w:tc>
          <w:tcPr>
            <w:tcW w:w="2031" w:type="dxa"/>
            <w:vAlign w:val="center"/>
          </w:tcPr>
          <w:p>
            <w:pPr>
              <w:jc w:val="center"/>
              <w:rPr>
                <w:rFonts w:hint="eastAsia" w:ascii="宋体" w:hAnsi="宋体"/>
                <w:szCs w:val="21"/>
              </w:rPr>
            </w:pPr>
            <w:r>
              <w:rPr>
                <w:rFonts w:hint="eastAsia" w:ascii="宋体" w:hAnsi="宋体"/>
                <w:szCs w:val="21"/>
              </w:rPr>
              <w:t>型号规格</w:t>
            </w:r>
          </w:p>
        </w:tc>
        <w:tc>
          <w:tcPr>
            <w:tcW w:w="2031" w:type="dxa"/>
            <w:vAlign w:val="center"/>
          </w:tcPr>
          <w:p>
            <w:pPr>
              <w:jc w:val="center"/>
              <w:rPr>
                <w:rFonts w:hint="eastAsia" w:ascii="宋体" w:hAnsi="宋体"/>
                <w:szCs w:val="21"/>
              </w:rPr>
            </w:pPr>
            <w:r>
              <w:rPr>
                <w:rFonts w:hint="eastAsia" w:ascii="宋体" w:hAnsi="宋体"/>
                <w:szCs w:val="21"/>
              </w:rPr>
              <w:t>数  量</w:t>
            </w:r>
          </w:p>
        </w:tc>
        <w:tc>
          <w:tcPr>
            <w:tcW w:w="2031" w:type="dxa"/>
            <w:vAlign w:val="center"/>
          </w:tcPr>
          <w:p>
            <w:pPr>
              <w:jc w:val="center"/>
              <w:rPr>
                <w:rFonts w:hint="eastAsia" w:ascii="宋体" w:hAnsi="宋体"/>
                <w:szCs w:val="21"/>
              </w:rPr>
            </w:pPr>
            <w:r>
              <w:rPr>
                <w:rFonts w:hint="eastAsia" w:ascii="宋体" w:hAnsi="宋体"/>
                <w:szCs w:val="21"/>
              </w:rPr>
              <w:t>目前状况</w:t>
            </w:r>
          </w:p>
        </w:tc>
        <w:tc>
          <w:tcPr>
            <w:tcW w:w="2031" w:type="dxa"/>
            <w:vAlign w:val="center"/>
          </w:tcPr>
          <w:p>
            <w:pPr>
              <w:jc w:val="center"/>
              <w:rPr>
                <w:rFonts w:hint="eastAsia" w:ascii="宋体" w:hAnsi="宋体"/>
                <w:szCs w:val="21"/>
              </w:rPr>
            </w:pPr>
            <w:r>
              <w:rPr>
                <w:rFonts w:hint="eastAsia" w:ascii="宋体" w:hAnsi="宋体"/>
                <w:szCs w:val="21"/>
              </w:rPr>
              <w:t>来  源</w:t>
            </w:r>
          </w:p>
        </w:tc>
        <w:tc>
          <w:tcPr>
            <w:tcW w:w="2031" w:type="dxa"/>
            <w:vAlign w:val="center"/>
          </w:tcPr>
          <w:p>
            <w:pPr>
              <w:jc w:val="center"/>
              <w:rPr>
                <w:rFonts w:hint="eastAsia" w:ascii="宋体" w:hAnsi="宋体"/>
                <w:szCs w:val="21"/>
              </w:rPr>
            </w:pPr>
            <w:r>
              <w:rPr>
                <w:rFonts w:hint="eastAsia" w:ascii="宋体" w:hAnsi="宋体"/>
                <w:szCs w:val="21"/>
              </w:rPr>
              <w:t>现停放地点</w:t>
            </w:r>
          </w:p>
        </w:tc>
        <w:tc>
          <w:tcPr>
            <w:tcW w:w="2032" w:type="dxa"/>
            <w:vAlign w:val="center"/>
          </w:tcPr>
          <w:p>
            <w:pPr>
              <w:jc w:val="center"/>
              <w:rPr>
                <w:rFonts w:hint="eastAsia" w:ascii="宋体" w:hAnsi="宋体"/>
                <w:szCs w:val="21"/>
              </w:rPr>
            </w:pPr>
            <w:r>
              <w:rPr>
                <w:rFonts w:hint="eastAsia" w:ascii="宋体" w:hAnsi="宋体"/>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1" w:type="dxa"/>
            <w:vAlign w:val="center"/>
          </w:tcPr>
          <w:p>
            <w:pPr>
              <w:jc w:val="center"/>
              <w:rPr>
                <w:rFonts w:hint="eastAsia" w:ascii="宋体" w:hAnsi="宋体"/>
                <w:szCs w:val="21"/>
              </w:rPr>
            </w:pPr>
          </w:p>
        </w:tc>
        <w:tc>
          <w:tcPr>
            <w:tcW w:w="2032" w:type="dxa"/>
            <w:vAlign w:val="center"/>
          </w:tcPr>
          <w:p>
            <w:pPr>
              <w:jc w:val="center"/>
              <w:rPr>
                <w:rFonts w:hint="eastAsia" w:ascii="宋体" w:hAnsi="宋体"/>
                <w:szCs w:val="21"/>
              </w:rPr>
            </w:pPr>
          </w:p>
        </w:tc>
      </w:tr>
    </w:tbl>
    <w:p>
      <w:pPr>
        <w:sectPr>
          <w:footerReference r:id="rId47" w:type="default"/>
          <w:pgSz w:w="11906" w:h="16838"/>
          <w:pgMar w:top="1440" w:right="1800" w:bottom="1440" w:left="1800" w:header="851" w:footer="992" w:gutter="0"/>
          <w:cols w:space="425" w:num="1"/>
          <w:docGrid w:type="lines" w:linePitch="312" w:charSpace="0"/>
        </w:sectPr>
      </w:pPr>
      <w:r>
        <w:rPr>
          <w:rFonts w:hint="eastAsia" w:ascii="宋体" w:hAnsi="宋体"/>
          <w:szCs w:val="21"/>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szCs w:val="21"/>
        </w:rPr>
        <w:t>。</w:t>
      </w:r>
    </w:p>
    <w:p>
      <w:pPr>
        <w:pStyle w:val="31"/>
        <w:spacing w:before="312" w:beforeLines="100" w:after="312" w:afterLines="100"/>
        <w:jc w:val="center"/>
      </w:pPr>
      <w:bookmarkStart w:id="1490" w:name="_Toc122603091"/>
      <w:bookmarkStart w:id="1491" w:name="_Toc28295"/>
      <w:bookmarkStart w:id="1492" w:name="_Toc256000399"/>
      <w:r>
        <w:rPr>
          <w:rFonts w:hint="eastAsia"/>
          <w:szCs w:val="24"/>
        </w:rPr>
        <w:t>（</w:t>
      </w:r>
      <w:r>
        <w:rPr>
          <w:szCs w:val="24"/>
        </w:rPr>
        <w:t>二</w:t>
      </w:r>
      <w:r>
        <w:rPr>
          <w:rFonts w:hint="eastAsia"/>
          <w:szCs w:val="24"/>
        </w:rPr>
        <w:t>）近年财务状况</w:t>
      </w:r>
      <w:bookmarkEnd w:id="1490"/>
      <w:r>
        <w:rPr>
          <w:rFonts w:hint="eastAsia"/>
          <w:szCs w:val="24"/>
        </w:rPr>
        <w:t>表</w:t>
      </w:r>
      <w:bookmarkEnd w:id="1491"/>
      <w:bookmarkEnd w:id="1492"/>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jc w:val="center"/>
              <w:rPr>
                <w:rFonts w:hint="eastAsia" w:ascii="宋体" w:hAnsi="宋体"/>
                <w:b/>
                <w:bCs/>
                <w:szCs w:val="21"/>
              </w:rPr>
            </w:pPr>
            <w:r>
              <w:rPr>
                <w:rFonts w:hint="eastAsia" w:ascii="宋体" w:hAnsi="宋体"/>
                <w:b/>
                <w:bCs/>
                <w:szCs w:val="21"/>
              </w:rPr>
              <w:t>名称</w:t>
            </w:r>
          </w:p>
        </w:tc>
        <w:tc>
          <w:tcPr>
            <w:tcW w:w="815" w:type="dxa"/>
            <w:vAlign w:val="center"/>
          </w:tcPr>
          <w:p>
            <w:pPr>
              <w:jc w:val="center"/>
              <w:rPr>
                <w:rFonts w:hint="eastAsia" w:ascii="宋体" w:hAnsi="宋体"/>
                <w:b/>
                <w:bCs/>
                <w:szCs w:val="21"/>
              </w:rPr>
            </w:pPr>
            <w:r>
              <w:rPr>
                <w:rFonts w:hint="eastAsia" w:ascii="宋体" w:hAnsi="宋体"/>
                <w:b/>
                <w:bCs/>
                <w:szCs w:val="21"/>
              </w:rPr>
              <w:t>单位</w:t>
            </w:r>
          </w:p>
        </w:tc>
        <w:tc>
          <w:tcPr>
            <w:tcW w:w="1539" w:type="dxa"/>
            <w:vAlign w:val="center"/>
          </w:tcPr>
          <w:p>
            <w:pPr>
              <w:jc w:val="center"/>
              <w:rPr>
                <w:rFonts w:hint="eastAsia" w:ascii="宋体" w:hAnsi="宋体"/>
                <w:b/>
                <w:bCs/>
                <w:szCs w:val="21"/>
              </w:rPr>
            </w:pPr>
            <w:r>
              <w:rPr>
                <w:rFonts w:hint="eastAsia" w:ascii="宋体" w:hAnsi="宋体"/>
                <w:b/>
                <w:bCs/>
                <w:szCs w:val="21"/>
              </w:rPr>
              <w:t>　</w:t>
            </w:r>
            <w:r>
              <w:rPr>
                <w:rFonts w:hint="eastAsia" w:ascii="宋体" w:hAnsi="宋体"/>
                <w:b/>
                <w:bCs/>
                <w:szCs w:val="21"/>
                <w:u w:val="single"/>
              </w:rPr>
              <w:t>　　　</w:t>
            </w:r>
            <w:r>
              <w:rPr>
                <w:rFonts w:hint="eastAsia" w:ascii="宋体" w:hAnsi="宋体"/>
                <w:b/>
                <w:bCs/>
                <w:szCs w:val="21"/>
              </w:rPr>
              <w:t>年</w:t>
            </w:r>
          </w:p>
        </w:tc>
        <w:tc>
          <w:tcPr>
            <w:tcW w:w="1539" w:type="dxa"/>
            <w:vAlign w:val="center"/>
          </w:tcPr>
          <w:p>
            <w:pPr>
              <w:jc w:val="center"/>
              <w:rPr>
                <w:rFonts w:hint="eastAsia" w:ascii="宋体" w:hAnsi="宋体"/>
                <w:b/>
                <w:bCs/>
                <w:szCs w:val="21"/>
              </w:rPr>
            </w:pPr>
            <w:r>
              <w:rPr>
                <w:rFonts w:hint="eastAsia" w:ascii="宋体" w:hAnsi="宋体"/>
                <w:b/>
                <w:bCs/>
                <w:szCs w:val="21"/>
              </w:rPr>
              <w:t>　</w:t>
            </w:r>
            <w:r>
              <w:rPr>
                <w:rFonts w:hint="eastAsia" w:ascii="宋体" w:hAnsi="宋体"/>
                <w:b/>
                <w:bCs/>
                <w:szCs w:val="21"/>
                <w:u w:val="single"/>
              </w:rPr>
              <w:t>　　　</w:t>
            </w:r>
            <w:r>
              <w:rPr>
                <w:rFonts w:hint="eastAsia" w:ascii="宋体" w:hAnsi="宋体"/>
                <w:b/>
                <w:bCs/>
                <w:szCs w:val="21"/>
              </w:rPr>
              <w:t>年</w:t>
            </w:r>
          </w:p>
        </w:tc>
        <w:tc>
          <w:tcPr>
            <w:tcW w:w="1539" w:type="dxa"/>
            <w:vAlign w:val="center"/>
          </w:tcPr>
          <w:p>
            <w:pPr>
              <w:jc w:val="center"/>
              <w:rPr>
                <w:rFonts w:hint="eastAsia" w:ascii="宋体" w:hAnsi="宋体"/>
                <w:b/>
                <w:bCs/>
                <w:szCs w:val="21"/>
              </w:rPr>
            </w:pPr>
            <w:r>
              <w:rPr>
                <w:rFonts w:hint="eastAsia" w:ascii="宋体" w:hAnsi="宋体"/>
                <w:b/>
                <w:bCs/>
                <w:szCs w:val="21"/>
                <w:u w:val="single"/>
              </w:rPr>
              <w:t>　　　</w:t>
            </w:r>
            <w:r>
              <w:rPr>
                <w:rFonts w:hint="eastAsia" w:ascii="宋体" w:hAnsi="宋体"/>
                <w:b/>
                <w:bCs/>
                <w:szCs w:val="21"/>
              </w:rPr>
              <w:t>年</w:t>
            </w:r>
          </w:p>
        </w:tc>
        <w:tc>
          <w:tcPr>
            <w:tcW w:w="1539" w:type="dxa"/>
            <w:vAlign w:val="center"/>
          </w:tcPr>
          <w:p>
            <w:pPr>
              <w:jc w:val="center"/>
              <w:rPr>
                <w:rFonts w:hint="eastAsia" w:ascii="宋体" w:hAnsi="宋体"/>
                <w:b/>
                <w:bCs/>
                <w:szCs w:val="21"/>
              </w:rPr>
            </w:pPr>
            <w:r>
              <w:rPr>
                <w:rFonts w:hint="eastAsia" w:ascii="宋体" w:hAnsi="宋体"/>
                <w:b/>
                <w:bCs/>
                <w:szCs w:val="21"/>
              </w:rPr>
              <w:t>近年平均值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一．注册资金</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二．净资产</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三．总资产</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四．固定资产</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五．流动资产</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六．流动负债</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七．负债合计</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八．营业收入</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九．净利润</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十．现金流量净额</w:t>
            </w:r>
          </w:p>
        </w:tc>
        <w:tc>
          <w:tcPr>
            <w:tcW w:w="815" w:type="dxa"/>
            <w:vAlign w:val="center"/>
          </w:tcPr>
          <w:p>
            <w:pPr>
              <w:jc w:val="center"/>
              <w:rPr>
                <w:rFonts w:hint="eastAsia" w:ascii="宋体" w:hAnsi="宋体"/>
                <w:szCs w:val="21"/>
              </w:rPr>
            </w:pPr>
            <w:r>
              <w:rPr>
                <w:rFonts w:hint="eastAsia" w:ascii="宋体" w:hAnsi="宋体"/>
                <w:szCs w:val="21"/>
              </w:rPr>
              <w:t>元</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十一．主要财务指标</w:t>
            </w:r>
          </w:p>
        </w:tc>
        <w:tc>
          <w:tcPr>
            <w:tcW w:w="815"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1．净资产收益率</w:t>
            </w:r>
          </w:p>
        </w:tc>
        <w:tc>
          <w:tcPr>
            <w:tcW w:w="815" w:type="dxa"/>
          </w:tcPr>
          <w:p>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2．总资产报酬率</w:t>
            </w:r>
          </w:p>
        </w:tc>
        <w:tc>
          <w:tcPr>
            <w:tcW w:w="815" w:type="dxa"/>
          </w:tcPr>
          <w:p>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3．主营业务利润率</w:t>
            </w:r>
          </w:p>
        </w:tc>
        <w:tc>
          <w:tcPr>
            <w:tcW w:w="815" w:type="dxa"/>
          </w:tcPr>
          <w:p>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4．资产负债率</w:t>
            </w:r>
          </w:p>
        </w:tc>
        <w:tc>
          <w:tcPr>
            <w:tcW w:w="815" w:type="dxa"/>
          </w:tcPr>
          <w:p>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5．流动比率</w:t>
            </w:r>
          </w:p>
        </w:tc>
        <w:tc>
          <w:tcPr>
            <w:tcW w:w="815" w:type="dxa"/>
          </w:tcPr>
          <w:p>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szCs w:val="21"/>
              </w:rPr>
            </w:pPr>
            <w:r>
              <w:rPr>
                <w:rFonts w:hint="eastAsia" w:ascii="宋体" w:hAnsi="宋体"/>
                <w:szCs w:val="21"/>
              </w:rPr>
              <w:t>6．速动比率</w:t>
            </w:r>
          </w:p>
        </w:tc>
        <w:tc>
          <w:tcPr>
            <w:tcW w:w="815" w:type="dxa"/>
          </w:tcPr>
          <w:p>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c>
          <w:tcPr>
            <w:tcW w:w="1539" w:type="dxa"/>
            <w:vAlign w:val="center"/>
          </w:tcPr>
          <w:p>
            <w:pPr>
              <w:jc w:val="center"/>
              <w:rPr>
                <w:rFonts w:hint="eastAsia" w:ascii="宋体" w:hAnsi="宋体"/>
                <w:szCs w:val="21"/>
              </w:rPr>
            </w:pPr>
          </w:p>
        </w:tc>
      </w:tr>
    </w:tbl>
    <w:p>
      <w:pPr>
        <w:autoSpaceDE w:val="0"/>
        <w:autoSpaceDN w:val="0"/>
        <w:adjustRightInd w:val="0"/>
        <w:snapToGrid w:val="0"/>
        <w:spacing w:line="325" w:lineRule="exact"/>
        <w:ind w:left="945" w:hanging="945" w:hangingChars="450"/>
        <w:rPr>
          <w:rFonts w:ascii="宋体" w:cs="宋体"/>
          <w:kern w:val="0"/>
          <w:szCs w:val="21"/>
        </w:rPr>
      </w:pPr>
      <w:r>
        <w:rPr>
          <w:rFonts w:hint="eastAsia" w:ascii="黑体" w:hAnsi="宋体" w:eastAsia="黑体"/>
          <w:szCs w:val="21"/>
        </w:rPr>
        <w:t>备注：</w:t>
      </w:r>
      <w:r>
        <w:rPr>
          <w:rFonts w:ascii="宋体" w:cs="宋体"/>
          <w:kern w:val="0"/>
          <w:szCs w:val="21"/>
        </w:rPr>
        <w:t>1</w:t>
      </w:r>
      <w:r>
        <w:rPr>
          <w:rFonts w:hint="eastAsia" w:ascii="宋体" w:hAnsi="宋体"/>
          <w:szCs w:val="21"/>
        </w:rPr>
        <w:t>.</w:t>
      </w:r>
      <w:r>
        <w:rPr>
          <w:rFonts w:hint="eastAsia" w:ascii="宋体" w:cs="宋体"/>
          <w:kern w:val="0"/>
          <w:szCs w:val="21"/>
        </w:rPr>
        <w:t>本表后应附近年经会计师事务所或审计机构审计的财务会计报表。</w:t>
      </w:r>
    </w:p>
    <w:p>
      <w:pPr>
        <w:autoSpaceDE w:val="0"/>
        <w:autoSpaceDN w:val="0"/>
        <w:adjustRightInd w:val="0"/>
        <w:snapToGrid w:val="0"/>
        <w:spacing w:line="325" w:lineRule="exact"/>
        <w:ind w:left="945" w:hanging="945" w:hangingChars="450"/>
        <w:rPr>
          <w:rFonts w:ascii="宋体" w:cs="宋体"/>
          <w:kern w:val="0"/>
          <w:szCs w:val="21"/>
        </w:rPr>
      </w:pPr>
      <w:r>
        <w:rPr>
          <w:rFonts w:ascii="宋体" w:cs="宋体"/>
          <w:kern w:val="0"/>
          <w:szCs w:val="21"/>
        </w:rPr>
        <w:t xml:space="preserve">  </w:t>
      </w:r>
      <w:r>
        <w:rPr>
          <w:rFonts w:hint="eastAsia" w:ascii="宋体" w:cs="宋体"/>
          <w:kern w:val="0"/>
          <w:szCs w:val="21"/>
        </w:rPr>
        <w:t xml:space="preserve">    </w:t>
      </w:r>
      <w:r>
        <w:rPr>
          <w:rFonts w:ascii="宋体" w:cs="宋体"/>
          <w:kern w:val="0"/>
          <w:szCs w:val="21"/>
        </w:rPr>
        <w:t>2</w:t>
      </w:r>
      <w:r>
        <w:rPr>
          <w:rFonts w:hint="eastAsia" w:ascii="宋体" w:hAnsi="宋体"/>
          <w:szCs w:val="21"/>
        </w:rPr>
        <w:t>.</w:t>
      </w:r>
      <w:r>
        <w:rPr>
          <w:rFonts w:hint="eastAsia" w:ascii="宋体" w:cs="宋体"/>
          <w:kern w:val="0"/>
          <w:szCs w:val="21"/>
        </w:rPr>
        <w:t>本表所列数据必须与本表各附件中的数据相一致。</w:t>
      </w:r>
      <w:r>
        <w:rPr>
          <w:rFonts w:hint="eastAsia" w:ascii="宋体" w:hAnsi="宋体"/>
          <w:szCs w:val="21"/>
        </w:rPr>
        <w:t>如果有不一致之处，以不利于投标人的数据为准。</w:t>
      </w:r>
    </w:p>
    <w:p>
      <w:pPr>
        <w:sectPr>
          <w:footerReference r:id="rId48" w:type="default"/>
          <w:pgSz w:w="11906" w:h="16838"/>
          <w:pgMar w:top="1440" w:right="1800" w:bottom="1440" w:left="1800" w:header="851" w:footer="992" w:gutter="0"/>
          <w:cols w:space="425" w:num="1"/>
          <w:docGrid w:type="lines" w:linePitch="312" w:charSpace="0"/>
        </w:sectPr>
      </w:pPr>
      <w:r>
        <w:rPr>
          <w:rFonts w:ascii="宋体" w:cs="宋体"/>
          <w:kern w:val="0"/>
          <w:szCs w:val="21"/>
        </w:rPr>
        <w:t xml:space="preserve">  </w:t>
      </w:r>
      <w:r>
        <w:rPr>
          <w:rFonts w:hint="eastAsia" w:ascii="宋体" w:cs="宋体"/>
          <w:kern w:val="0"/>
          <w:szCs w:val="21"/>
        </w:rPr>
        <w:t xml:space="preserve">    </w:t>
      </w:r>
      <w:r>
        <w:rPr>
          <w:rFonts w:ascii="宋体" w:cs="宋体"/>
          <w:kern w:val="0"/>
          <w:szCs w:val="21"/>
        </w:rPr>
        <w:t>3</w:t>
      </w:r>
      <w:r>
        <w:rPr>
          <w:rFonts w:hint="eastAsia" w:ascii="宋体" w:hAnsi="宋体"/>
          <w:szCs w:val="21"/>
        </w:rPr>
        <w:t>.</w:t>
      </w:r>
      <w:r>
        <w:rPr>
          <w:rFonts w:hint="eastAsia" w:ascii="宋体" w:cs="宋体"/>
          <w:kern w:val="0"/>
          <w:szCs w:val="21"/>
        </w:rPr>
        <w:t>联合体</w:t>
      </w:r>
      <w:r>
        <w:rPr>
          <w:rFonts w:hint="eastAsia"/>
          <w:szCs w:val="21"/>
        </w:rPr>
        <w:t>投标</w:t>
      </w:r>
      <w:r>
        <w:rPr>
          <w:rFonts w:hint="eastAsia" w:ascii="宋体" w:cs="宋体"/>
          <w:kern w:val="0"/>
          <w:szCs w:val="21"/>
        </w:rPr>
        <w:t>的，联合体各成员应分别填写。</w:t>
      </w:r>
    </w:p>
    <w:p>
      <w:pPr>
        <w:pStyle w:val="31"/>
        <w:spacing w:before="312" w:beforeLines="100" w:after="312" w:afterLines="100"/>
        <w:jc w:val="center"/>
        <w:rPr>
          <w:szCs w:val="24"/>
        </w:rPr>
      </w:pPr>
      <w:bookmarkStart w:id="1493" w:name="_Toc256000400"/>
      <w:bookmarkStart w:id="1494" w:name="_Toc122603092"/>
      <w:bookmarkStart w:id="1495" w:name="_Toc4214"/>
      <w:r>
        <w:rPr>
          <w:rFonts w:hint="eastAsia"/>
          <w:szCs w:val="24"/>
        </w:rPr>
        <w:t>（</w:t>
      </w:r>
      <w:r>
        <w:rPr>
          <w:szCs w:val="24"/>
        </w:rPr>
        <w:t>三</w:t>
      </w:r>
      <w:r>
        <w:rPr>
          <w:rFonts w:hint="eastAsia"/>
          <w:szCs w:val="24"/>
        </w:rPr>
        <w:t>）近年完成的类似项目情况</w:t>
      </w:r>
      <w:bookmarkEnd w:id="1493"/>
      <w:bookmarkEnd w:id="1494"/>
      <w:bookmarkEnd w:id="1495"/>
    </w:p>
    <w:p>
      <w:pPr>
        <w:spacing w:before="156" w:beforeLines="50" w:after="156" w:afterLines="50"/>
        <w:jc w:val="center"/>
        <w:rPr>
          <w:rFonts w:hint="eastAsia" w:ascii="黑体" w:hAnsi="黑体" w:eastAsia="黑体" w:cs="黑体"/>
          <w:sz w:val="24"/>
        </w:rPr>
      </w:pPr>
      <w:bookmarkStart w:id="1496" w:name="_Toc122603093"/>
      <w:r>
        <w:rPr>
          <w:rFonts w:hint="eastAsia" w:ascii="黑体" w:hAnsi="黑体" w:eastAsia="黑体" w:cs="黑体"/>
          <w:sz w:val="24"/>
        </w:rPr>
        <w:t>近年完成的类似项目汇总表</w:t>
      </w:r>
      <w:bookmarkEnd w:id="1496"/>
    </w:p>
    <w:tbl>
      <w:tblPr>
        <w:tblStyle w:val="22"/>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topLinePunct/>
              <w:spacing w:line="400" w:lineRule="atLeast"/>
              <w:jc w:val="center"/>
              <w:rPr>
                <w:szCs w:val="21"/>
              </w:rPr>
            </w:pPr>
            <w:r>
              <w:rPr>
                <w:rFonts w:hint="eastAsia"/>
                <w:szCs w:val="21"/>
              </w:rPr>
              <w:t>序号</w:t>
            </w:r>
          </w:p>
        </w:tc>
        <w:tc>
          <w:tcPr>
            <w:tcW w:w="1846" w:type="dxa"/>
            <w:vAlign w:val="center"/>
          </w:tcPr>
          <w:p>
            <w:pPr>
              <w:topLinePunct/>
              <w:spacing w:line="400" w:lineRule="atLeast"/>
              <w:jc w:val="center"/>
              <w:rPr>
                <w:szCs w:val="21"/>
              </w:rPr>
            </w:pPr>
            <w:r>
              <w:rPr>
                <w:rFonts w:hint="eastAsia"/>
                <w:szCs w:val="21"/>
              </w:rPr>
              <w:t>项目名称</w:t>
            </w:r>
          </w:p>
        </w:tc>
        <w:tc>
          <w:tcPr>
            <w:tcW w:w="1394" w:type="dxa"/>
            <w:vAlign w:val="center"/>
          </w:tcPr>
          <w:p>
            <w:pPr>
              <w:topLinePunct/>
              <w:spacing w:line="400" w:lineRule="atLeast"/>
              <w:jc w:val="center"/>
              <w:rPr>
                <w:szCs w:val="21"/>
              </w:rPr>
            </w:pPr>
            <w:r>
              <w:rPr>
                <w:rFonts w:hint="eastAsia" w:ascii="宋体" w:hAnsi="宋体"/>
                <w:szCs w:val="21"/>
              </w:rPr>
              <w:t>发包人名称</w:t>
            </w:r>
          </w:p>
        </w:tc>
        <w:tc>
          <w:tcPr>
            <w:tcW w:w="1080" w:type="dxa"/>
            <w:vAlign w:val="center"/>
          </w:tcPr>
          <w:p>
            <w:pPr>
              <w:topLinePunct/>
              <w:spacing w:line="400" w:lineRule="atLeast"/>
              <w:jc w:val="center"/>
              <w:rPr>
                <w:szCs w:val="21"/>
              </w:rPr>
            </w:pPr>
            <w:r>
              <w:rPr>
                <w:rFonts w:hint="eastAsia"/>
                <w:szCs w:val="21"/>
              </w:rPr>
              <w:t>工程规模</w:t>
            </w:r>
          </w:p>
        </w:tc>
        <w:tc>
          <w:tcPr>
            <w:tcW w:w="1112" w:type="dxa"/>
            <w:vAlign w:val="center"/>
          </w:tcPr>
          <w:p>
            <w:pPr>
              <w:topLinePunct/>
              <w:spacing w:line="400" w:lineRule="atLeast"/>
              <w:jc w:val="center"/>
              <w:rPr>
                <w:szCs w:val="21"/>
              </w:rPr>
            </w:pPr>
            <w:r>
              <w:rPr>
                <w:rFonts w:hint="eastAsia" w:ascii="宋体" w:hAnsi="宋体"/>
                <w:szCs w:val="21"/>
              </w:rPr>
              <w:t>合同价格</w:t>
            </w:r>
            <w:r>
              <w:rPr>
                <w:rFonts w:hint="eastAsia"/>
                <w:szCs w:val="21"/>
              </w:rPr>
              <w:t>（元）</w:t>
            </w:r>
          </w:p>
        </w:tc>
        <w:tc>
          <w:tcPr>
            <w:tcW w:w="1778" w:type="dxa"/>
            <w:vAlign w:val="center"/>
          </w:tcPr>
          <w:p>
            <w:pPr>
              <w:topLinePunct/>
              <w:spacing w:line="400" w:lineRule="atLeast"/>
              <w:jc w:val="center"/>
              <w:rPr>
                <w:szCs w:val="21"/>
              </w:rPr>
            </w:pPr>
            <w:r>
              <w:rPr>
                <w:rFonts w:hint="eastAsia" w:ascii="宋体" w:hAnsi="宋体"/>
                <w:szCs w:val="21"/>
              </w:rPr>
              <w:t>开、竣工日期</w:t>
            </w:r>
          </w:p>
        </w:tc>
        <w:tc>
          <w:tcPr>
            <w:tcW w:w="1080" w:type="dxa"/>
            <w:vAlign w:val="center"/>
          </w:tcPr>
          <w:p>
            <w:pPr>
              <w:topLinePunct/>
              <w:spacing w:line="400" w:lineRule="atLeast"/>
              <w:jc w:val="center"/>
              <w:rPr>
                <w:szCs w:val="21"/>
              </w:rPr>
            </w:pPr>
            <w:r>
              <w:rPr>
                <w:rFonts w:hint="eastAsia" w:ascii="宋体" w:hAnsi="宋体"/>
                <w:szCs w:val="21"/>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bl>
    <w:p/>
    <w:p>
      <w:r>
        <w:rPr>
          <w:rFonts w:hint="eastAsia"/>
        </w:rPr>
        <w:br w:type="page"/>
      </w:r>
    </w:p>
    <w:p>
      <w:pPr>
        <w:spacing w:before="312" w:beforeLines="100" w:after="312" w:afterLines="100"/>
        <w:jc w:val="center"/>
        <w:rPr>
          <w:rFonts w:hint="eastAsia" w:ascii="黑体" w:hAnsi="宋体" w:eastAsia="黑体"/>
          <w:sz w:val="24"/>
        </w:rPr>
      </w:pPr>
      <w:bookmarkStart w:id="1497" w:name="_Toc122603094"/>
      <w:r>
        <w:rPr>
          <w:rFonts w:hint="eastAsia" w:ascii="黑体" w:hAnsi="黑体" w:eastAsia="黑体" w:cs="黑体"/>
          <w:sz w:val="24"/>
        </w:rPr>
        <w:t>近年完成的类似项目情况表</w:t>
      </w:r>
      <w:bookmarkEnd w:id="149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项目名称</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项目所在地</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发包人名称</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发包人地址</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发包人联系人及电话</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合同价格（元）</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开工日期</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竣工日期</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承担的工作</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工程质量</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项目经理</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技术负责人</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总监理工程师及电话</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pPr>
              <w:jc w:val="center"/>
              <w:rPr>
                <w:rFonts w:hint="eastAsia" w:ascii="宋体" w:hAnsi="宋体"/>
                <w:szCs w:val="21"/>
              </w:rPr>
            </w:pPr>
            <w:r>
              <w:rPr>
                <w:rFonts w:hint="eastAsia" w:ascii="宋体" w:hAnsi="宋体"/>
                <w:szCs w:val="21"/>
              </w:rPr>
              <w:t>项目描述</w:t>
            </w:r>
          </w:p>
        </w:tc>
        <w:tc>
          <w:tcPr>
            <w:tcW w:w="6094"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szCs w:val="21"/>
              </w:rPr>
            </w:pPr>
            <w:r>
              <w:rPr>
                <w:rFonts w:hint="eastAsia" w:ascii="宋体" w:hAnsi="宋体"/>
                <w:szCs w:val="21"/>
              </w:rPr>
              <w:t>备注</w:t>
            </w:r>
          </w:p>
        </w:tc>
        <w:tc>
          <w:tcPr>
            <w:tcW w:w="6094" w:type="dxa"/>
            <w:vAlign w:val="center"/>
          </w:tcPr>
          <w:p>
            <w:pPr>
              <w:jc w:val="center"/>
              <w:rPr>
                <w:rFonts w:hint="eastAsia" w:ascii="宋体" w:hAnsi="宋体"/>
                <w:szCs w:val="21"/>
              </w:rPr>
            </w:pPr>
          </w:p>
        </w:tc>
      </w:tr>
    </w:tbl>
    <w:p>
      <w:pPr>
        <w:ind w:left="945" w:leftChars="150" w:hanging="630" w:hangingChars="300"/>
        <w:rPr>
          <w:rFonts w:hint="eastAsia" w:ascii="宋体" w:hAnsi="宋体"/>
        </w:rPr>
      </w:pPr>
      <w:r>
        <w:rPr>
          <w:rFonts w:hint="eastAsia" w:ascii="宋体" w:hAnsi="宋体"/>
        </w:rPr>
        <w:t>备注：1.类似项目含义和近年具体要求见投标人须知前附表，</w:t>
      </w:r>
    </w:p>
    <w:p>
      <w:pPr>
        <w:ind w:left="945" w:leftChars="450"/>
      </w:pPr>
      <w:r>
        <w:rPr>
          <w:rFonts w:hint="eastAsia" w:ascii="宋体" w:hAnsi="宋体"/>
        </w:rPr>
        <w:t>2.本表后附业绩材料。每张表格只填写一个项目，并标明序号。</w:t>
      </w:r>
    </w:p>
    <w:p>
      <w:pPr>
        <w:pStyle w:val="31"/>
        <w:jc w:val="center"/>
        <w:rPr>
          <w:szCs w:val="24"/>
        </w:rPr>
        <w:sectPr>
          <w:footerReference r:id="rId49"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rPr>
          <w:szCs w:val="24"/>
        </w:rPr>
      </w:pPr>
      <w:bookmarkStart w:id="1498" w:name="_Toc256000401"/>
      <w:bookmarkStart w:id="1499" w:name="_Toc122603095"/>
      <w:bookmarkStart w:id="1500" w:name="_Toc18398"/>
      <w:r>
        <w:rPr>
          <w:rFonts w:hint="eastAsia"/>
          <w:szCs w:val="24"/>
        </w:rPr>
        <w:t>（</w:t>
      </w:r>
      <w:r>
        <w:rPr>
          <w:szCs w:val="24"/>
        </w:rPr>
        <w:t>四</w:t>
      </w:r>
      <w:r>
        <w:rPr>
          <w:rFonts w:hint="eastAsia"/>
          <w:szCs w:val="24"/>
        </w:rPr>
        <w:t>）正在施工的和新承接的项目情况</w:t>
      </w:r>
      <w:bookmarkEnd w:id="1498"/>
      <w:bookmarkEnd w:id="1499"/>
      <w:bookmarkEnd w:id="1500"/>
    </w:p>
    <w:p>
      <w:pPr>
        <w:spacing w:before="156" w:beforeLines="50" w:after="156" w:afterLines="50"/>
        <w:jc w:val="center"/>
        <w:rPr>
          <w:rFonts w:hint="eastAsia" w:ascii="黑体" w:hAnsi="黑体" w:eastAsia="黑体" w:cs="黑体"/>
          <w:sz w:val="24"/>
        </w:rPr>
      </w:pPr>
      <w:bookmarkStart w:id="1501" w:name="_Toc122603096"/>
      <w:r>
        <w:rPr>
          <w:rFonts w:hint="eastAsia" w:ascii="黑体" w:hAnsi="黑体" w:eastAsia="黑体" w:cs="黑体"/>
          <w:sz w:val="24"/>
        </w:rPr>
        <w:t>正在施工的和新承接的项目汇总表</w:t>
      </w:r>
      <w:bookmarkEnd w:id="1501"/>
    </w:p>
    <w:tbl>
      <w:tblPr>
        <w:tblStyle w:val="22"/>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topLinePunct/>
              <w:spacing w:line="400" w:lineRule="atLeast"/>
              <w:jc w:val="center"/>
              <w:rPr>
                <w:szCs w:val="21"/>
              </w:rPr>
            </w:pPr>
            <w:r>
              <w:rPr>
                <w:rFonts w:hint="eastAsia"/>
                <w:szCs w:val="21"/>
              </w:rPr>
              <w:t>序号</w:t>
            </w:r>
          </w:p>
        </w:tc>
        <w:tc>
          <w:tcPr>
            <w:tcW w:w="1846" w:type="dxa"/>
            <w:vAlign w:val="center"/>
          </w:tcPr>
          <w:p>
            <w:pPr>
              <w:topLinePunct/>
              <w:spacing w:line="400" w:lineRule="atLeast"/>
              <w:jc w:val="center"/>
              <w:rPr>
                <w:szCs w:val="21"/>
              </w:rPr>
            </w:pPr>
            <w:r>
              <w:rPr>
                <w:rFonts w:hint="eastAsia"/>
                <w:szCs w:val="21"/>
              </w:rPr>
              <w:t>项目名称</w:t>
            </w:r>
          </w:p>
        </w:tc>
        <w:tc>
          <w:tcPr>
            <w:tcW w:w="1394" w:type="dxa"/>
            <w:vAlign w:val="center"/>
          </w:tcPr>
          <w:p>
            <w:pPr>
              <w:topLinePunct/>
              <w:spacing w:line="400" w:lineRule="atLeast"/>
              <w:jc w:val="center"/>
              <w:rPr>
                <w:szCs w:val="21"/>
              </w:rPr>
            </w:pPr>
            <w:r>
              <w:rPr>
                <w:rFonts w:hint="eastAsia" w:ascii="宋体" w:hAnsi="宋体"/>
                <w:szCs w:val="21"/>
              </w:rPr>
              <w:t>发包人名称</w:t>
            </w:r>
          </w:p>
        </w:tc>
        <w:tc>
          <w:tcPr>
            <w:tcW w:w="1080" w:type="dxa"/>
            <w:vAlign w:val="center"/>
          </w:tcPr>
          <w:p>
            <w:pPr>
              <w:topLinePunct/>
              <w:spacing w:line="400" w:lineRule="atLeast"/>
              <w:jc w:val="center"/>
              <w:rPr>
                <w:szCs w:val="21"/>
              </w:rPr>
            </w:pPr>
            <w:r>
              <w:rPr>
                <w:rFonts w:hint="eastAsia"/>
                <w:szCs w:val="21"/>
              </w:rPr>
              <w:t>工程规模</w:t>
            </w:r>
          </w:p>
        </w:tc>
        <w:tc>
          <w:tcPr>
            <w:tcW w:w="1112" w:type="dxa"/>
            <w:vAlign w:val="center"/>
          </w:tcPr>
          <w:p>
            <w:pPr>
              <w:topLinePunct/>
              <w:spacing w:line="400" w:lineRule="atLeast"/>
              <w:jc w:val="center"/>
              <w:rPr>
                <w:szCs w:val="21"/>
              </w:rPr>
            </w:pPr>
            <w:r>
              <w:rPr>
                <w:rFonts w:hint="eastAsia" w:ascii="宋体" w:hAnsi="宋体"/>
                <w:szCs w:val="21"/>
              </w:rPr>
              <w:t>合同价格</w:t>
            </w:r>
            <w:r>
              <w:rPr>
                <w:rFonts w:hint="eastAsia"/>
                <w:szCs w:val="21"/>
              </w:rPr>
              <w:t>（元）</w:t>
            </w:r>
          </w:p>
        </w:tc>
        <w:tc>
          <w:tcPr>
            <w:tcW w:w="1778" w:type="dxa"/>
            <w:vAlign w:val="center"/>
          </w:tcPr>
          <w:p>
            <w:pPr>
              <w:topLinePunct/>
              <w:spacing w:line="400" w:lineRule="atLeast"/>
              <w:jc w:val="center"/>
              <w:rPr>
                <w:rFonts w:hint="eastAsia" w:ascii="宋体" w:hAnsi="宋体"/>
                <w:szCs w:val="21"/>
              </w:rPr>
            </w:pPr>
            <w:r>
              <w:rPr>
                <w:rFonts w:hint="eastAsia" w:ascii="宋体" w:hAnsi="宋体"/>
                <w:szCs w:val="21"/>
              </w:rPr>
              <w:t>计划开、竣</w:t>
            </w:r>
          </w:p>
          <w:p>
            <w:pPr>
              <w:topLinePunct/>
              <w:spacing w:line="400" w:lineRule="atLeast"/>
              <w:jc w:val="center"/>
              <w:rPr>
                <w:szCs w:val="21"/>
              </w:rPr>
            </w:pPr>
            <w:r>
              <w:rPr>
                <w:rFonts w:hint="eastAsia" w:ascii="宋体" w:hAnsi="宋体"/>
                <w:szCs w:val="21"/>
              </w:rPr>
              <w:t>工日期</w:t>
            </w:r>
          </w:p>
        </w:tc>
        <w:tc>
          <w:tcPr>
            <w:tcW w:w="1080" w:type="dxa"/>
            <w:vAlign w:val="center"/>
          </w:tcPr>
          <w:p>
            <w:pPr>
              <w:topLinePunct/>
              <w:spacing w:line="400" w:lineRule="atLeast"/>
              <w:jc w:val="center"/>
              <w:rPr>
                <w:szCs w:val="21"/>
              </w:rPr>
            </w:pPr>
            <w:r>
              <w:rPr>
                <w:rFonts w:hint="eastAsia" w:ascii="宋体" w:hAnsi="宋体"/>
                <w:szCs w:val="21"/>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szCs w:val="21"/>
              </w:rPr>
            </w:pPr>
          </w:p>
        </w:tc>
        <w:tc>
          <w:tcPr>
            <w:tcW w:w="1846" w:type="dxa"/>
          </w:tcPr>
          <w:p>
            <w:pPr>
              <w:topLinePunct/>
              <w:spacing w:line="400" w:lineRule="atLeast"/>
              <w:jc w:val="center"/>
              <w:rPr>
                <w:szCs w:val="21"/>
              </w:rPr>
            </w:pPr>
          </w:p>
        </w:tc>
        <w:tc>
          <w:tcPr>
            <w:tcW w:w="1394" w:type="dxa"/>
          </w:tcPr>
          <w:p>
            <w:pPr>
              <w:topLinePunct/>
              <w:spacing w:line="400" w:lineRule="atLeast"/>
              <w:jc w:val="center"/>
              <w:rPr>
                <w:szCs w:val="21"/>
              </w:rPr>
            </w:pPr>
          </w:p>
        </w:tc>
        <w:tc>
          <w:tcPr>
            <w:tcW w:w="1080" w:type="dxa"/>
          </w:tcPr>
          <w:p>
            <w:pPr>
              <w:topLinePunct/>
              <w:spacing w:line="400" w:lineRule="atLeast"/>
              <w:jc w:val="center"/>
              <w:rPr>
                <w:szCs w:val="21"/>
              </w:rPr>
            </w:pPr>
          </w:p>
        </w:tc>
        <w:tc>
          <w:tcPr>
            <w:tcW w:w="1112" w:type="dxa"/>
          </w:tcPr>
          <w:p>
            <w:pPr>
              <w:topLinePunct/>
              <w:spacing w:line="400" w:lineRule="atLeast"/>
              <w:jc w:val="center"/>
              <w:rPr>
                <w:szCs w:val="21"/>
              </w:rPr>
            </w:pPr>
          </w:p>
        </w:tc>
        <w:tc>
          <w:tcPr>
            <w:tcW w:w="1778" w:type="dxa"/>
          </w:tcPr>
          <w:p>
            <w:pPr>
              <w:topLinePunct/>
              <w:spacing w:line="400" w:lineRule="atLeast"/>
              <w:jc w:val="center"/>
              <w:rPr>
                <w:szCs w:val="21"/>
              </w:rPr>
            </w:pPr>
          </w:p>
        </w:tc>
        <w:tc>
          <w:tcPr>
            <w:tcW w:w="1080" w:type="dxa"/>
          </w:tcPr>
          <w:p>
            <w:pPr>
              <w:topLinePunct/>
              <w:spacing w:line="400" w:lineRule="atLeast"/>
              <w:jc w:val="center"/>
              <w:rPr>
                <w:szCs w:val="21"/>
              </w:rPr>
            </w:pPr>
          </w:p>
        </w:tc>
      </w:tr>
    </w:tbl>
    <w:p/>
    <w:p>
      <w:r>
        <w:rPr>
          <w:rFonts w:hint="eastAsia"/>
        </w:rPr>
        <w:br w:type="page"/>
      </w:r>
    </w:p>
    <w:p>
      <w:pPr>
        <w:jc w:val="center"/>
        <w:rPr>
          <w:rFonts w:hint="eastAsia" w:ascii="黑体" w:hAnsi="黑体" w:eastAsia="黑体" w:cs="黑体"/>
          <w:sz w:val="24"/>
        </w:rPr>
      </w:pPr>
      <w:bookmarkStart w:id="1502" w:name="_Toc122603097"/>
      <w:r>
        <w:rPr>
          <w:rFonts w:hint="eastAsia" w:ascii="黑体" w:hAnsi="黑体" w:eastAsia="黑体" w:cs="黑体"/>
          <w:sz w:val="24"/>
        </w:rPr>
        <w:t>正在施工的和新承接的项目情况表</w:t>
      </w:r>
      <w:bookmarkEnd w:id="1502"/>
    </w:p>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项目名称</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项目所在地</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发包人名称</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发包人地址</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发包人电话</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签约合同价（元）</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开工日期</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计划竣工日期</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承担的工作</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工程质量</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项目经理</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技术负责人</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总监理工程师及电话</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vAlign w:val="center"/>
          </w:tcPr>
          <w:p>
            <w:pPr>
              <w:jc w:val="center"/>
              <w:rPr>
                <w:rFonts w:hint="eastAsia" w:ascii="宋体" w:hAnsi="宋体"/>
                <w:szCs w:val="21"/>
              </w:rPr>
            </w:pPr>
            <w:r>
              <w:rPr>
                <w:rFonts w:hint="eastAsia" w:ascii="宋体" w:hAnsi="宋体"/>
                <w:szCs w:val="21"/>
              </w:rPr>
              <w:t>项目描述</w:t>
            </w:r>
          </w:p>
        </w:tc>
        <w:tc>
          <w:tcPr>
            <w:tcW w:w="609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szCs w:val="21"/>
              </w:rPr>
            </w:pPr>
            <w:r>
              <w:rPr>
                <w:rFonts w:hint="eastAsia" w:ascii="宋体" w:hAnsi="宋体"/>
                <w:szCs w:val="21"/>
              </w:rPr>
              <w:t>备注</w:t>
            </w:r>
          </w:p>
        </w:tc>
        <w:tc>
          <w:tcPr>
            <w:tcW w:w="6095" w:type="dxa"/>
            <w:vAlign w:val="center"/>
          </w:tcPr>
          <w:p>
            <w:pPr>
              <w:jc w:val="center"/>
              <w:rPr>
                <w:rFonts w:hint="eastAsia" w:ascii="宋体" w:hAnsi="宋体"/>
                <w:szCs w:val="21"/>
              </w:rPr>
            </w:pPr>
          </w:p>
        </w:tc>
      </w:tr>
    </w:tbl>
    <w:p>
      <w:pPr>
        <w:ind w:left="945" w:leftChars="150" w:hanging="630" w:hangingChars="300"/>
        <w:sectPr>
          <w:footerReference r:id="rId50" w:type="default"/>
          <w:pgSz w:w="11906" w:h="16838"/>
          <w:pgMar w:top="1440" w:right="1800" w:bottom="1440" w:left="1800" w:header="851" w:footer="992" w:gutter="0"/>
          <w:cols w:space="425" w:num="1"/>
          <w:docGrid w:type="lines" w:linePitch="312" w:charSpace="0"/>
        </w:sectPr>
      </w:pPr>
      <w:r>
        <w:rPr>
          <w:rFonts w:hint="eastAsia" w:ascii="宋体" w:hAnsi="宋体"/>
        </w:rPr>
        <w:t>备注：类似项目含义和近年具体要求见投标人须知前附表。</w:t>
      </w:r>
    </w:p>
    <w:p>
      <w:pPr>
        <w:pStyle w:val="31"/>
        <w:spacing w:before="312" w:beforeLines="100" w:after="312" w:afterLines="100"/>
        <w:jc w:val="center"/>
        <w:sectPr>
          <w:footerReference r:id="rId51" w:type="default"/>
          <w:pgSz w:w="11906" w:h="16838"/>
          <w:pgMar w:top="1440" w:right="1800" w:bottom="1440" w:left="1800" w:header="851" w:footer="992" w:gutter="0"/>
          <w:cols w:space="425" w:num="1"/>
          <w:docGrid w:type="lines" w:linePitch="312" w:charSpace="0"/>
        </w:sectPr>
      </w:pPr>
      <w:bookmarkStart w:id="1503" w:name="_Toc122603098"/>
      <w:bookmarkStart w:id="1504" w:name="_Toc31419"/>
      <w:bookmarkStart w:id="1505" w:name="_Toc256000402"/>
      <w:r>
        <w:rPr>
          <w:rFonts w:hint="eastAsia"/>
          <w:szCs w:val="24"/>
        </w:rPr>
        <w:t>（</w:t>
      </w:r>
      <w:r>
        <w:rPr>
          <w:szCs w:val="24"/>
        </w:rPr>
        <w:t>五</w:t>
      </w:r>
      <w:r>
        <w:rPr>
          <w:rFonts w:hint="eastAsia"/>
          <w:szCs w:val="24"/>
        </w:rPr>
        <w:t>）企业信誉情况</w:t>
      </w:r>
      <w:bookmarkEnd w:id="1503"/>
      <w:bookmarkEnd w:id="1504"/>
      <w:bookmarkEnd w:id="1505"/>
    </w:p>
    <w:p>
      <w:pPr>
        <w:pStyle w:val="31"/>
        <w:spacing w:before="312" w:beforeLines="100" w:after="312" w:afterLines="100"/>
        <w:jc w:val="center"/>
        <w:outlineLvl w:val="3"/>
        <w:rPr>
          <w:rFonts w:hint="eastAsia" w:ascii="宋体" w:hAnsi="宋体"/>
          <w:u w:val="single"/>
        </w:rPr>
      </w:pPr>
      <w:bookmarkStart w:id="1506" w:name="_Toc256000403"/>
      <w:bookmarkStart w:id="1507" w:name="_Toc122603099"/>
      <w:r>
        <w:rPr>
          <w:rFonts w:hint="eastAsia" w:ascii="黑体" w:hAnsi="黑体" w:cs="黑体"/>
          <w:szCs w:val="21"/>
        </w:rPr>
        <w:t xml:space="preserve">5-1 </w:t>
      </w:r>
      <w:r>
        <w:rPr>
          <w:rFonts w:hint="eastAsia" w:ascii="宋体" w:hAnsi="宋体"/>
          <w:szCs w:val="21"/>
        </w:rPr>
        <w:t>企业信誉声明</w:t>
      </w:r>
      <w:bookmarkEnd w:id="1506"/>
      <w:bookmarkEnd w:id="1507"/>
    </w:p>
    <w:p>
      <w:pPr>
        <w:rPr>
          <w:rFonts w:hint="eastAsia" w:ascii="宋体" w:hAnsi="宋体"/>
        </w:rPr>
      </w:pPr>
      <w:r>
        <w:rPr>
          <w:rFonts w:hint="eastAsia" w:ascii="宋体" w:hAnsi="宋体"/>
          <w:u w:val="single"/>
        </w:rPr>
        <w:t xml:space="preserve">                     </w:t>
      </w:r>
      <w:r>
        <w:rPr>
          <w:rFonts w:hint="eastAsia" w:ascii="宋体" w:hAnsi="宋体"/>
        </w:rPr>
        <w:t>（招标人名称）：</w:t>
      </w:r>
    </w:p>
    <w:p>
      <w:pPr>
        <w:rPr>
          <w:rFonts w:hint="eastAsia" w:ascii="宋体" w:hAnsi="宋体"/>
        </w:rPr>
      </w:pPr>
    </w:p>
    <w:p>
      <w:pPr>
        <w:spacing w:line="440" w:lineRule="exact"/>
        <w:ind w:firstLine="420" w:firstLineChars="200"/>
        <w:rPr>
          <w:rFonts w:hint="eastAsia"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pPr>
        <w:spacing w:line="400" w:lineRule="exact"/>
        <w:ind w:firstLine="420" w:firstLineChars="200"/>
      </w:pPr>
      <w:r>
        <w:rPr>
          <w:rFonts w:hint="eastAsia"/>
        </w:rPr>
        <w:t>1.被依法暂停或取消投标资格；</w:t>
      </w:r>
    </w:p>
    <w:p>
      <w:pPr>
        <w:spacing w:line="400" w:lineRule="exact"/>
        <w:ind w:firstLine="420" w:firstLineChars="200"/>
      </w:pPr>
      <w:r>
        <w:rPr>
          <w:rFonts w:hint="eastAsia"/>
        </w:rPr>
        <w:t xml:space="preserve">2.被责令停产停业、暂扣或者吊销许可证、暂扣或者吊销执照； </w:t>
      </w:r>
    </w:p>
    <w:p>
      <w:pPr>
        <w:spacing w:line="400" w:lineRule="exact"/>
        <w:ind w:firstLine="420" w:firstLineChars="200"/>
      </w:pPr>
      <w:r>
        <w:rPr>
          <w:rFonts w:hint="eastAsia"/>
        </w:rPr>
        <w:t>3.进入清算程序，或被宣告破产，或其他丧失履约能力的情形；</w:t>
      </w:r>
    </w:p>
    <w:p>
      <w:pPr>
        <w:spacing w:line="400" w:lineRule="exact"/>
        <w:ind w:firstLine="420" w:firstLineChars="200"/>
      </w:pPr>
      <w:r>
        <w:rPr>
          <w:rFonts w:hint="eastAsia"/>
        </w:rPr>
        <w:t>4.在最近三年内有骗取中标或严重违约或重大工程质量问题的；</w:t>
      </w:r>
    </w:p>
    <w:p>
      <w:pPr>
        <w:spacing w:line="400" w:lineRule="exact"/>
        <w:ind w:firstLine="420" w:firstLineChars="200"/>
      </w:pPr>
      <w:r>
        <w:rPr>
          <w:rFonts w:hint="eastAsia"/>
        </w:rPr>
        <w:t>5.在“国家企业信用信息公示系统”（</w:t>
      </w:r>
      <w:r>
        <w:t xml:space="preserve"> www.gsxt.gov.cn</w:t>
      </w:r>
      <w:r>
        <w:rPr>
          <w:rFonts w:hint="eastAsia"/>
        </w:rPr>
        <w:t>）被列入严重违法失信企业名单；</w:t>
      </w:r>
    </w:p>
    <w:p>
      <w:pPr>
        <w:spacing w:line="400" w:lineRule="exact"/>
        <w:ind w:firstLine="420" w:firstLineChars="200"/>
      </w:pPr>
      <w:r>
        <w:rPr>
          <w:rFonts w:hint="eastAsia"/>
        </w:rPr>
        <w:t>6.在“信用中国”网站（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pPr>
        <w:spacing w:line="400" w:lineRule="exact"/>
        <w:ind w:firstLine="420" w:firstLineChars="200"/>
      </w:pPr>
      <w:r>
        <w:rPr>
          <w:rFonts w:hint="eastAsia"/>
        </w:rPr>
        <w:t>7</w:t>
      </w:r>
      <w:r>
        <w:t>.</w:t>
      </w:r>
      <w:r>
        <w:rPr>
          <w:rFonts w:hint="eastAsia"/>
        </w:rPr>
        <w:t>在辽宁省建设工程招投标监督平台-辽宁建设工程信息网上被列入不良行为记录且在公布期内的；</w:t>
      </w:r>
    </w:p>
    <w:p>
      <w:pPr>
        <w:spacing w:line="400" w:lineRule="exact"/>
        <w:ind w:firstLine="420" w:firstLineChars="200"/>
      </w:pPr>
      <w:r>
        <w:t>8</w:t>
      </w:r>
      <w:r>
        <w:rPr>
          <w:rFonts w:hint="eastAsia"/>
        </w:rPr>
        <w:t>.投标人须知前附表第1.4.3（17）目规定的其他情形。</w:t>
      </w:r>
    </w:p>
    <w:p>
      <w:pPr>
        <w:spacing w:line="440" w:lineRule="exact"/>
        <w:ind w:firstLine="420" w:firstLineChars="200"/>
        <w:rPr>
          <w:rFonts w:hint="eastAsia" w:ascii="宋体" w:hAnsi="宋体"/>
          <w:szCs w:val="21"/>
        </w:rPr>
      </w:pPr>
      <w:r>
        <w:rPr>
          <w:rFonts w:hint="eastAsia" w:ascii="宋体" w:hAnsi="宋体"/>
          <w:szCs w:val="21"/>
        </w:rPr>
        <w:t>我方</w:t>
      </w:r>
      <w:r>
        <w:rPr>
          <w:rFonts w:hint="eastAsia"/>
        </w:rPr>
        <w:t>对上述声明的</w:t>
      </w:r>
      <w:r>
        <w:rPr>
          <w:rFonts w:hint="eastAsia" w:ascii="宋体" w:hAnsi="宋体"/>
          <w:szCs w:val="21"/>
        </w:rPr>
        <w:t>真实性和准确性</w:t>
      </w:r>
      <w:r>
        <w:rPr>
          <w:rFonts w:hint="eastAsia"/>
        </w:rPr>
        <w:t>负责</w:t>
      </w:r>
      <w:r>
        <w:rPr>
          <w:rFonts w:hint="eastAsia" w:ascii="宋体" w:hAnsi="宋体"/>
          <w:szCs w:val="21"/>
        </w:rPr>
        <w:t>，并承担相应的法律责任。</w:t>
      </w:r>
    </w:p>
    <w:p>
      <w:pPr>
        <w:spacing w:line="440" w:lineRule="exact"/>
        <w:ind w:firstLine="420" w:firstLineChars="200"/>
        <w:rPr>
          <w:rFonts w:hint="eastAsia" w:ascii="宋体" w:hAnsi="宋体"/>
          <w:szCs w:val="21"/>
        </w:rPr>
      </w:pPr>
      <w:r>
        <w:rPr>
          <w:rFonts w:hint="eastAsia" w:ascii="宋体" w:hAnsi="宋体"/>
          <w:szCs w:val="21"/>
        </w:rPr>
        <w:t>后附：上述条款5、6、7网站查询结果截图。</w:t>
      </w:r>
    </w:p>
    <w:p>
      <w:pPr>
        <w:spacing w:line="440" w:lineRule="exact"/>
        <w:ind w:firstLine="420" w:firstLineChars="200"/>
        <w:rPr>
          <w:rFonts w:hint="eastAsia" w:ascii="宋体" w:hAnsi="宋体"/>
          <w:szCs w:val="21"/>
        </w:rPr>
      </w:pPr>
    </w:p>
    <w:p>
      <w:pPr>
        <w:spacing w:line="440" w:lineRule="exact"/>
        <w:ind w:firstLine="3990" w:firstLineChars="1900"/>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pPr>
        <w:spacing w:line="440" w:lineRule="exact"/>
        <w:ind w:firstLine="2730" w:firstLineChars="1300"/>
        <w:rPr>
          <w:rFonts w:hint="eastAsia" w:ascii="宋体" w:hAnsi="宋体"/>
          <w:szCs w:val="21"/>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（签章）</w:t>
      </w:r>
    </w:p>
    <w:p>
      <w:pPr>
        <w:spacing w:line="440" w:lineRule="exact"/>
        <w:ind w:firstLine="420" w:firstLineChars="200"/>
        <w:rPr>
          <w:rFonts w:hint="eastAsia" w:ascii="宋体" w:hAnsi="宋体"/>
          <w:szCs w:val="21"/>
        </w:rPr>
      </w:pPr>
    </w:p>
    <w:p>
      <w:pPr>
        <w:spacing w:line="440" w:lineRule="exact"/>
        <w:ind w:firstLine="420" w:firstLineChars="20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pPr>
        <w:spacing w:line="440" w:lineRule="exact"/>
        <w:rPr>
          <w:rFonts w:hint="eastAsia" w:ascii="宋体" w:hAnsi="宋体"/>
          <w:szCs w:val="21"/>
        </w:rPr>
      </w:pPr>
    </w:p>
    <w:p>
      <w:pPr>
        <w:spacing w:line="440" w:lineRule="exact"/>
        <w:rPr>
          <w:rFonts w:hint="eastAsia" w:ascii="宋体" w:hAnsi="宋体"/>
          <w:szCs w:val="21"/>
        </w:rPr>
      </w:pPr>
    </w:p>
    <w:p>
      <w:pPr>
        <w:ind w:left="840" w:hanging="840" w:hangingChars="400"/>
        <w:rPr>
          <w:rFonts w:hint="eastAsia" w:ascii="宋体" w:hAnsi="宋体"/>
        </w:rPr>
      </w:pPr>
      <w:r>
        <w:rPr>
          <w:rFonts w:hint="eastAsia" w:ascii="宋体" w:hAnsi="宋体"/>
        </w:rPr>
        <w:t>备注：1.投标人应针对第二章“投标人须知”第1.4.1项和第1.4.3项的要求，在此对其信誉情况做出说明。如上格式文件所示。</w:t>
      </w:r>
    </w:p>
    <w:p>
      <w:pPr>
        <w:sectPr>
          <w:footerReference r:id="rId52" w:type="default"/>
          <w:pgSz w:w="11906" w:h="16838"/>
          <w:pgMar w:top="1440" w:right="1800" w:bottom="1440" w:left="1800" w:header="851" w:footer="992" w:gutter="0"/>
          <w:cols w:space="425" w:num="1"/>
          <w:docGrid w:type="lines" w:linePitch="312" w:charSpace="0"/>
        </w:sectPr>
      </w:pPr>
      <w:r>
        <w:rPr>
          <w:rFonts w:hint="eastAsia" w:ascii="宋体" w:hAnsi="宋体"/>
        </w:rPr>
        <w:t xml:space="preserve">      2.联合体投标的，联合体各成员单位均应按要求做出说明。</w:t>
      </w:r>
    </w:p>
    <w:p>
      <w:pPr>
        <w:pStyle w:val="31"/>
        <w:spacing w:before="312" w:beforeLines="100" w:after="312" w:afterLines="100"/>
        <w:jc w:val="center"/>
        <w:outlineLvl w:val="3"/>
      </w:pPr>
      <w:bookmarkStart w:id="1508" w:name="_Toc122603100"/>
      <w:bookmarkStart w:id="1509" w:name="_Toc256000404"/>
      <w:r>
        <w:rPr>
          <w:szCs w:val="24"/>
        </w:rPr>
        <w:t>5-2</w:t>
      </w:r>
      <w:r>
        <w:rPr>
          <w:rFonts w:hint="eastAsia"/>
          <w:szCs w:val="24"/>
        </w:rPr>
        <w:t xml:space="preserve"> 近年发生的诉讼和仲裁情况</w:t>
      </w:r>
      <w:bookmarkEnd w:id="1508"/>
      <w:bookmarkEnd w:id="1509"/>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pPr>
              <w:jc w:val="center"/>
              <w:rPr>
                <w:rFonts w:hint="eastAsia" w:ascii="宋体" w:hAnsi="宋体"/>
                <w:szCs w:val="21"/>
              </w:rPr>
            </w:pPr>
            <w:r>
              <w:rPr>
                <w:rFonts w:hint="eastAsia" w:ascii="宋体" w:hAnsi="宋体"/>
                <w:szCs w:val="21"/>
              </w:rPr>
              <w:t>类别</w:t>
            </w:r>
          </w:p>
        </w:tc>
        <w:tc>
          <w:tcPr>
            <w:tcW w:w="954" w:type="dxa"/>
            <w:vAlign w:val="center"/>
          </w:tcPr>
          <w:p>
            <w:pPr>
              <w:jc w:val="center"/>
              <w:rPr>
                <w:rFonts w:hint="eastAsia" w:ascii="宋体" w:hAnsi="宋体"/>
                <w:szCs w:val="21"/>
              </w:rPr>
            </w:pPr>
            <w:r>
              <w:rPr>
                <w:rFonts w:hint="eastAsia" w:ascii="宋体" w:hAnsi="宋体"/>
                <w:szCs w:val="21"/>
              </w:rPr>
              <w:t>序号</w:t>
            </w:r>
          </w:p>
        </w:tc>
        <w:tc>
          <w:tcPr>
            <w:tcW w:w="1260" w:type="dxa"/>
            <w:vAlign w:val="center"/>
          </w:tcPr>
          <w:p>
            <w:pPr>
              <w:jc w:val="center"/>
              <w:rPr>
                <w:rFonts w:hint="eastAsia" w:ascii="宋体" w:hAnsi="宋体"/>
                <w:szCs w:val="21"/>
              </w:rPr>
            </w:pPr>
            <w:r>
              <w:rPr>
                <w:rFonts w:hint="eastAsia" w:ascii="宋体" w:hAnsi="宋体"/>
                <w:szCs w:val="21"/>
              </w:rPr>
              <w:t>发生时间</w:t>
            </w:r>
          </w:p>
        </w:tc>
        <w:tc>
          <w:tcPr>
            <w:tcW w:w="3600" w:type="dxa"/>
            <w:vAlign w:val="center"/>
          </w:tcPr>
          <w:p>
            <w:pPr>
              <w:jc w:val="center"/>
              <w:rPr>
                <w:rFonts w:hint="eastAsia" w:ascii="宋体" w:hAnsi="宋体"/>
                <w:szCs w:val="21"/>
              </w:rPr>
            </w:pPr>
            <w:r>
              <w:rPr>
                <w:rFonts w:hint="eastAsia" w:ascii="宋体" w:hAnsi="宋体"/>
                <w:szCs w:val="21"/>
              </w:rPr>
              <w:t>情况简介</w:t>
            </w:r>
          </w:p>
        </w:tc>
        <w:tc>
          <w:tcPr>
            <w:tcW w:w="1952" w:type="dxa"/>
            <w:vAlign w:val="center"/>
          </w:tcPr>
          <w:p>
            <w:pPr>
              <w:jc w:val="center"/>
              <w:rPr>
                <w:rFonts w:hint="eastAsia" w:ascii="宋体" w:hAnsi="宋体"/>
                <w:szCs w:val="21"/>
              </w:rPr>
            </w:pPr>
            <w:r>
              <w:rPr>
                <w:rFonts w:hint="eastAsia" w:ascii="宋体" w:hAnsi="宋体"/>
                <w:szCs w:val="21"/>
              </w:rPr>
              <w:t>证明材料索引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pPr>
              <w:spacing w:line="240" w:lineRule="exact"/>
              <w:jc w:val="center"/>
              <w:rPr>
                <w:rFonts w:hint="eastAsia" w:ascii="宋体" w:hAnsi="宋体"/>
                <w:szCs w:val="21"/>
              </w:rPr>
            </w:pPr>
            <w:r>
              <w:rPr>
                <w:rFonts w:hint="eastAsia" w:ascii="宋体" w:hAnsi="宋体"/>
                <w:szCs w:val="21"/>
              </w:rPr>
              <w:t>诉</w:t>
            </w:r>
          </w:p>
          <w:p>
            <w:pPr>
              <w:spacing w:line="240" w:lineRule="exact"/>
              <w:jc w:val="center"/>
              <w:rPr>
                <w:rFonts w:hint="eastAsia" w:ascii="宋体" w:hAnsi="宋体"/>
                <w:szCs w:val="21"/>
              </w:rPr>
            </w:pPr>
            <w:r>
              <w:rPr>
                <w:rFonts w:hint="eastAsia" w:ascii="宋体" w:hAnsi="宋体"/>
                <w:szCs w:val="21"/>
              </w:rPr>
              <w:t>讼</w:t>
            </w:r>
          </w:p>
          <w:p>
            <w:pPr>
              <w:spacing w:line="240" w:lineRule="exact"/>
              <w:jc w:val="center"/>
              <w:rPr>
                <w:rFonts w:hint="eastAsia" w:ascii="宋体" w:hAnsi="宋体"/>
                <w:szCs w:val="21"/>
              </w:rPr>
            </w:pPr>
            <w:r>
              <w:rPr>
                <w:rFonts w:hint="eastAsia" w:ascii="宋体" w:hAnsi="宋体"/>
                <w:szCs w:val="21"/>
              </w:rPr>
              <w:t>情</w:t>
            </w:r>
          </w:p>
          <w:p>
            <w:pPr>
              <w:spacing w:line="240" w:lineRule="exact"/>
              <w:jc w:val="center"/>
              <w:rPr>
                <w:rFonts w:hint="eastAsia" w:ascii="宋体" w:hAnsi="宋体"/>
                <w:szCs w:val="21"/>
              </w:rPr>
            </w:pPr>
            <w:r>
              <w:rPr>
                <w:rFonts w:hint="eastAsia" w:ascii="宋体" w:hAnsi="宋体"/>
                <w:szCs w:val="21"/>
              </w:rPr>
              <w:t>况</w:t>
            </w:r>
          </w:p>
        </w:tc>
        <w:tc>
          <w:tcPr>
            <w:tcW w:w="954" w:type="dxa"/>
            <w:vAlign w:val="center"/>
          </w:tcPr>
          <w:p>
            <w:pPr>
              <w:jc w:val="center"/>
              <w:rPr>
                <w:rFonts w:hint="eastAsia" w:ascii="宋体" w:hAnsi="宋体"/>
                <w:szCs w:val="21"/>
              </w:rPr>
            </w:pPr>
          </w:p>
        </w:tc>
        <w:tc>
          <w:tcPr>
            <w:tcW w:w="1260" w:type="dxa"/>
            <w:vAlign w:val="center"/>
          </w:tcPr>
          <w:p>
            <w:pPr>
              <w:jc w:val="center"/>
              <w:rPr>
                <w:rFonts w:hint="eastAsia" w:ascii="宋体" w:hAnsi="宋体"/>
                <w:szCs w:val="21"/>
              </w:rPr>
            </w:pPr>
          </w:p>
        </w:tc>
        <w:tc>
          <w:tcPr>
            <w:tcW w:w="3600" w:type="dxa"/>
            <w:vAlign w:val="center"/>
          </w:tcPr>
          <w:p>
            <w:pPr>
              <w:jc w:val="center"/>
              <w:rPr>
                <w:rFonts w:hint="eastAsia" w:ascii="宋体" w:hAnsi="宋体"/>
                <w:szCs w:val="21"/>
              </w:rPr>
            </w:pPr>
          </w:p>
        </w:tc>
        <w:tc>
          <w:tcPr>
            <w:tcW w:w="195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szCs w:val="21"/>
              </w:rPr>
            </w:pPr>
          </w:p>
        </w:tc>
        <w:tc>
          <w:tcPr>
            <w:tcW w:w="954" w:type="dxa"/>
            <w:vAlign w:val="center"/>
          </w:tcPr>
          <w:p>
            <w:pPr>
              <w:jc w:val="center"/>
              <w:rPr>
                <w:rFonts w:hint="eastAsia" w:ascii="宋体" w:hAnsi="宋体"/>
                <w:szCs w:val="21"/>
              </w:rPr>
            </w:pPr>
          </w:p>
        </w:tc>
        <w:tc>
          <w:tcPr>
            <w:tcW w:w="1260" w:type="dxa"/>
            <w:vAlign w:val="center"/>
          </w:tcPr>
          <w:p>
            <w:pPr>
              <w:jc w:val="center"/>
              <w:rPr>
                <w:rFonts w:hint="eastAsia" w:ascii="宋体" w:hAnsi="宋体"/>
                <w:szCs w:val="21"/>
              </w:rPr>
            </w:pPr>
          </w:p>
        </w:tc>
        <w:tc>
          <w:tcPr>
            <w:tcW w:w="3600" w:type="dxa"/>
            <w:vAlign w:val="center"/>
          </w:tcPr>
          <w:p>
            <w:pPr>
              <w:jc w:val="center"/>
              <w:rPr>
                <w:rFonts w:hint="eastAsia" w:ascii="宋体" w:hAnsi="宋体"/>
                <w:szCs w:val="21"/>
              </w:rPr>
            </w:pPr>
          </w:p>
        </w:tc>
        <w:tc>
          <w:tcPr>
            <w:tcW w:w="195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szCs w:val="21"/>
              </w:rPr>
            </w:pPr>
          </w:p>
        </w:tc>
        <w:tc>
          <w:tcPr>
            <w:tcW w:w="954" w:type="dxa"/>
            <w:vAlign w:val="center"/>
          </w:tcPr>
          <w:p>
            <w:pPr>
              <w:jc w:val="center"/>
              <w:rPr>
                <w:rFonts w:hint="eastAsia" w:ascii="宋体" w:hAnsi="宋体"/>
                <w:szCs w:val="21"/>
              </w:rPr>
            </w:pPr>
          </w:p>
        </w:tc>
        <w:tc>
          <w:tcPr>
            <w:tcW w:w="1260" w:type="dxa"/>
            <w:vAlign w:val="center"/>
          </w:tcPr>
          <w:p>
            <w:pPr>
              <w:jc w:val="center"/>
              <w:rPr>
                <w:rFonts w:hint="eastAsia" w:ascii="宋体" w:hAnsi="宋体"/>
                <w:szCs w:val="21"/>
              </w:rPr>
            </w:pPr>
          </w:p>
        </w:tc>
        <w:tc>
          <w:tcPr>
            <w:tcW w:w="3600" w:type="dxa"/>
            <w:vAlign w:val="center"/>
          </w:tcPr>
          <w:p>
            <w:pPr>
              <w:jc w:val="center"/>
              <w:rPr>
                <w:rFonts w:hint="eastAsia" w:ascii="宋体" w:hAnsi="宋体"/>
                <w:szCs w:val="21"/>
              </w:rPr>
            </w:pPr>
          </w:p>
        </w:tc>
        <w:tc>
          <w:tcPr>
            <w:tcW w:w="195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pPr>
              <w:spacing w:line="240" w:lineRule="exact"/>
              <w:jc w:val="center"/>
              <w:rPr>
                <w:rFonts w:hint="eastAsia" w:ascii="宋体" w:hAnsi="宋体"/>
                <w:szCs w:val="21"/>
              </w:rPr>
            </w:pPr>
            <w:r>
              <w:rPr>
                <w:rFonts w:hint="eastAsia" w:ascii="宋体" w:hAnsi="宋体"/>
                <w:szCs w:val="21"/>
              </w:rPr>
              <w:t>仲</w:t>
            </w:r>
          </w:p>
          <w:p>
            <w:pPr>
              <w:spacing w:line="240" w:lineRule="exact"/>
              <w:jc w:val="center"/>
              <w:rPr>
                <w:rFonts w:hint="eastAsia" w:ascii="宋体" w:hAnsi="宋体"/>
                <w:szCs w:val="21"/>
              </w:rPr>
            </w:pPr>
            <w:r>
              <w:rPr>
                <w:rFonts w:hint="eastAsia" w:ascii="宋体" w:hAnsi="宋体"/>
                <w:szCs w:val="21"/>
              </w:rPr>
              <w:t>裁</w:t>
            </w:r>
          </w:p>
          <w:p>
            <w:pPr>
              <w:spacing w:line="240" w:lineRule="exact"/>
              <w:jc w:val="center"/>
              <w:rPr>
                <w:rFonts w:hint="eastAsia" w:ascii="宋体" w:hAnsi="宋体"/>
                <w:szCs w:val="21"/>
              </w:rPr>
            </w:pPr>
            <w:r>
              <w:rPr>
                <w:rFonts w:hint="eastAsia" w:ascii="宋体" w:hAnsi="宋体"/>
                <w:szCs w:val="21"/>
              </w:rPr>
              <w:t>情</w:t>
            </w:r>
          </w:p>
          <w:p>
            <w:pPr>
              <w:spacing w:line="240" w:lineRule="exact"/>
              <w:jc w:val="center"/>
              <w:rPr>
                <w:rFonts w:hint="eastAsia" w:ascii="宋体" w:hAnsi="宋体"/>
                <w:szCs w:val="21"/>
              </w:rPr>
            </w:pPr>
            <w:r>
              <w:rPr>
                <w:rFonts w:hint="eastAsia" w:ascii="宋体" w:hAnsi="宋体"/>
                <w:szCs w:val="21"/>
              </w:rPr>
              <w:t>况</w:t>
            </w:r>
          </w:p>
        </w:tc>
        <w:tc>
          <w:tcPr>
            <w:tcW w:w="954" w:type="dxa"/>
            <w:vAlign w:val="center"/>
          </w:tcPr>
          <w:p>
            <w:pPr>
              <w:jc w:val="center"/>
              <w:rPr>
                <w:rFonts w:hint="eastAsia" w:ascii="宋体" w:hAnsi="宋体"/>
                <w:szCs w:val="21"/>
              </w:rPr>
            </w:pPr>
          </w:p>
        </w:tc>
        <w:tc>
          <w:tcPr>
            <w:tcW w:w="1260" w:type="dxa"/>
            <w:vAlign w:val="center"/>
          </w:tcPr>
          <w:p>
            <w:pPr>
              <w:jc w:val="center"/>
              <w:rPr>
                <w:rFonts w:hint="eastAsia" w:ascii="宋体" w:hAnsi="宋体"/>
                <w:szCs w:val="21"/>
              </w:rPr>
            </w:pPr>
          </w:p>
        </w:tc>
        <w:tc>
          <w:tcPr>
            <w:tcW w:w="3600" w:type="dxa"/>
            <w:vAlign w:val="center"/>
          </w:tcPr>
          <w:p>
            <w:pPr>
              <w:jc w:val="center"/>
              <w:rPr>
                <w:rFonts w:hint="eastAsia" w:ascii="宋体" w:hAnsi="宋体"/>
                <w:szCs w:val="21"/>
              </w:rPr>
            </w:pPr>
          </w:p>
        </w:tc>
        <w:tc>
          <w:tcPr>
            <w:tcW w:w="195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szCs w:val="21"/>
              </w:rPr>
            </w:pPr>
          </w:p>
        </w:tc>
        <w:tc>
          <w:tcPr>
            <w:tcW w:w="954" w:type="dxa"/>
            <w:vAlign w:val="center"/>
          </w:tcPr>
          <w:p>
            <w:pPr>
              <w:jc w:val="center"/>
              <w:rPr>
                <w:rFonts w:hint="eastAsia" w:ascii="宋体" w:hAnsi="宋体"/>
                <w:szCs w:val="21"/>
              </w:rPr>
            </w:pPr>
          </w:p>
        </w:tc>
        <w:tc>
          <w:tcPr>
            <w:tcW w:w="1260" w:type="dxa"/>
            <w:vAlign w:val="center"/>
          </w:tcPr>
          <w:p>
            <w:pPr>
              <w:jc w:val="center"/>
              <w:rPr>
                <w:rFonts w:hint="eastAsia" w:ascii="宋体" w:hAnsi="宋体"/>
                <w:szCs w:val="21"/>
              </w:rPr>
            </w:pPr>
          </w:p>
        </w:tc>
        <w:tc>
          <w:tcPr>
            <w:tcW w:w="3600" w:type="dxa"/>
            <w:vAlign w:val="center"/>
          </w:tcPr>
          <w:p>
            <w:pPr>
              <w:jc w:val="center"/>
              <w:rPr>
                <w:rFonts w:hint="eastAsia" w:ascii="宋体" w:hAnsi="宋体"/>
                <w:szCs w:val="21"/>
              </w:rPr>
            </w:pPr>
          </w:p>
        </w:tc>
        <w:tc>
          <w:tcPr>
            <w:tcW w:w="1952" w:type="dxa"/>
            <w:vAlign w:val="center"/>
          </w:tcPr>
          <w:p>
            <w:pPr>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szCs w:val="21"/>
              </w:rPr>
            </w:pPr>
          </w:p>
        </w:tc>
        <w:tc>
          <w:tcPr>
            <w:tcW w:w="954" w:type="dxa"/>
            <w:vAlign w:val="center"/>
          </w:tcPr>
          <w:p>
            <w:pPr>
              <w:jc w:val="center"/>
              <w:rPr>
                <w:rFonts w:hint="eastAsia" w:ascii="宋体" w:hAnsi="宋体"/>
                <w:szCs w:val="21"/>
              </w:rPr>
            </w:pPr>
          </w:p>
        </w:tc>
        <w:tc>
          <w:tcPr>
            <w:tcW w:w="1260" w:type="dxa"/>
            <w:vAlign w:val="center"/>
          </w:tcPr>
          <w:p>
            <w:pPr>
              <w:jc w:val="center"/>
              <w:rPr>
                <w:rFonts w:hint="eastAsia" w:ascii="宋体" w:hAnsi="宋体"/>
                <w:szCs w:val="21"/>
              </w:rPr>
            </w:pPr>
          </w:p>
        </w:tc>
        <w:tc>
          <w:tcPr>
            <w:tcW w:w="3600" w:type="dxa"/>
            <w:vAlign w:val="center"/>
          </w:tcPr>
          <w:p>
            <w:pPr>
              <w:jc w:val="center"/>
              <w:rPr>
                <w:rFonts w:hint="eastAsia" w:ascii="宋体" w:hAnsi="宋体"/>
                <w:szCs w:val="21"/>
              </w:rPr>
            </w:pPr>
          </w:p>
        </w:tc>
        <w:tc>
          <w:tcPr>
            <w:tcW w:w="1952" w:type="dxa"/>
            <w:vAlign w:val="center"/>
          </w:tcPr>
          <w:p>
            <w:pPr>
              <w:jc w:val="center"/>
              <w:rPr>
                <w:rFonts w:hint="eastAsia" w:ascii="宋体" w:hAnsi="宋体"/>
                <w:szCs w:val="21"/>
              </w:rPr>
            </w:pPr>
          </w:p>
        </w:tc>
      </w:tr>
    </w:tbl>
    <w:p>
      <w:pPr>
        <w:spacing w:line="400" w:lineRule="exact"/>
        <w:ind w:left="840" w:hanging="840" w:hangingChars="400"/>
        <w:rPr>
          <w:rFonts w:hint="eastAsia" w:ascii="宋体" w:hAnsi="宋体"/>
          <w:szCs w:val="21"/>
        </w:rPr>
      </w:pPr>
      <w:r>
        <w:rPr>
          <w:rFonts w:hint="eastAsia" w:ascii="宋体" w:hAnsi="宋体"/>
          <w:szCs w:val="21"/>
        </w:rPr>
        <w:t>备注：</w:t>
      </w:r>
      <w:r>
        <w:rPr>
          <w:rFonts w:hint="eastAsia"/>
          <w:szCs w:val="21"/>
        </w:rPr>
        <w:t>1.招标文件将近年发生的诉讼和仲裁情况作为资格条件或评审项或否决条件的，投标人应当如实填报相关情况。没有可不填。</w:t>
      </w:r>
    </w:p>
    <w:p>
      <w:pPr>
        <w:spacing w:line="400" w:lineRule="exact"/>
        <w:ind w:left="840" w:leftChars="300" w:hanging="210" w:hangingChars="100"/>
        <w:rPr>
          <w:szCs w:val="21"/>
        </w:rPr>
      </w:pPr>
      <w:r>
        <w:rPr>
          <w:rFonts w:hint="eastAsia"/>
          <w:szCs w:val="21"/>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pPr>
        <w:spacing w:line="400" w:lineRule="exact"/>
        <w:ind w:left="840" w:leftChars="300" w:hanging="210" w:hangingChars="100"/>
        <w:rPr>
          <w:rFonts w:hint="eastAsia" w:ascii="宋体" w:hAnsi="宋体"/>
          <w:szCs w:val="21"/>
        </w:rPr>
        <w:sectPr>
          <w:footerReference r:id="rId53" w:type="default"/>
          <w:pgSz w:w="11906" w:h="16838"/>
          <w:pgMar w:top="1440" w:right="1800" w:bottom="1440" w:left="1800" w:header="851" w:footer="992" w:gutter="0"/>
          <w:cols w:space="425" w:num="1"/>
          <w:docGrid w:type="lines" w:linePitch="312" w:charSpace="0"/>
        </w:sectPr>
      </w:pPr>
      <w:r>
        <w:rPr>
          <w:rFonts w:hint="eastAsia"/>
          <w:szCs w:val="21"/>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pPr>
        <w:pStyle w:val="31"/>
        <w:spacing w:before="312" w:beforeLines="100" w:after="312" w:afterLines="100"/>
        <w:jc w:val="center"/>
        <w:outlineLvl w:val="3"/>
      </w:pPr>
      <w:bookmarkStart w:id="1510" w:name="_Toc122603101"/>
      <w:bookmarkStart w:id="1511" w:name="_Toc256000405"/>
      <w:r>
        <w:rPr>
          <w:szCs w:val="24"/>
        </w:rPr>
        <w:t>5-3</w:t>
      </w:r>
      <w:r>
        <w:rPr>
          <w:rFonts w:hint="eastAsia"/>
          <w:szCs w:val="24"/>
        </w:rPr>
        <w:t xml:space="preserve"> 近年投标人工程获奖</w:t>
      </w:r>
      <w:r>
        <w:rPr>
          <w:szCs w:val="24"/>
        </w:rPr>
        <w:t>情况表</w:t>
      </w:r>
      <w:bookmarkEnd w:id="1510"/>
      <w:bookmarkEnd w:id="1511"/>
    </w:p>
    <w:tbl>
      <w:tblPr>
        <w:tblStyle w:val="2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szCs w:val="21"/>
              </w:rPr>
            </w:pPr>
            <w:r>
              <w:rPr>
                <w:rFonts w:hint="eastAsia"/>
                <w:szCs w:val="21"/>
              </w:rPr>
              <w:t>序号</w:t>
            </w:r>
          </w:p>
        </w:tc>
        <w:tc>
          <w:tcPr>
            <w:tcW w:w="2402" w:type="dxa"/>
          </w:tcPr>
          <w:p>
            <w:pPr>
              <w:topLinePunct/>
              <w:spacing w:line="400" w:lineRule="atLeast"/>
              <w:jc w:val="center"/>
              <w:rPr>
                <w:szCs w:val="21"/>
              </w:rPr>
            </w:pPr>
            <w:r>
              <w:rPr>
                <w:rFonts w:hint="eastAsia"/>
                <w:szCs w:val="21"/>
              </w:rPr>
              <w:t>项目名称</w:t>
            </w:r>
          </w:p>
        </w:tc>
        <w:tc>
          <w:tcPr>
            <w:tcW w:w="1800" w:type="dxa"/>
          </w:tcPr>
          <w:p>
            <w:pPr>
              <w:topLinePunct/>
              <w:spacing w:line="400" w:lineRule="atLeast"/>
              <w:jc w:val="center"/>
              <w:rPr>
                <w:szCs w:val="21"/>
              </w:rPr>
            </w:pPr>
            <w:r>
              <w:rPr>
                <w:rFonts w:hint="eastAsia"/>
                <w:szCs w:val="21"/>
              </w:rPr>
              <w:t>获奖名称</w:t>
            </w:r>
          </w:p>
        </w:tc>
        <w:tc>
          <w:tcPr>
            <w:tcW w:w="1440" w:type="dxa"/>
          </w:tcPr>
          <w:p>
            <w:pPr>
              <w:topLinePunct/>
              <w:spacing w:line="400" w:lineRule="atLeast"/>
              <w:jc w:val="center"/>
              <w:rPr>
                <w:szCs w:val="21"/>
              </w:rPr>
            </w:pPr>
            <w:r>
              <w:rPr>
                <w:rFonts w:hint="eastAsia"/>
                <w:szCs w:val="21"/>
              </w:rPr>
              <w:t>获奖日期</w:t>
            </w:r>
          </w:p>
        </w:tc>
        <w:tc>
          <w:tcPr>
            <w:tcW w:w="2160" w:type="dxa"/>
          </w:tcPr>
          <w:p>
            <w:pPr>
              <w:topLinePunct/>
              <w:spacing w:line="400" w:lineRule="atLeast"/>
              <w:jc w:val="center"/>
              <w:rPr>
                <w:szCs w:val="21"/>
              </w:rPr>
            </w:pPr>
            <w:r>
              <w:rPr>
                <w:rFonts w:hint="eastAsia"/>
                <w:szCs w:val="21"/>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bl>
    <w:p>
      <w:pPr>
        <w:spacing w:line="400" w:lineRule="atLeast"/>
        <w:ind w:left="840" w:hanging="840" w:hangingChars="400"/>
        <w:rPr>
          <w:szCs w:val="21"/>
        </w:rPr>
      </w:pPr>
      <w:r>
        <w:rPr>
          <w:rFonts w:hint="eastAsia"/>
        </w:rPr>
        <w:t>备</w:t>
      </w:r>
      <w:r>
        <w:t>注：</w:t>
      </w:r>
      <w:r>
        <w:rPr>
          <w:rFonts w:hint="eastAsia"/>
          <w:szCs w:val="21"/>
        </w:rPr>
        <w:t>1.本表后应附表彰文件、获奖证书及其他证明材料等。以表彰文件、获奖证书的颁发时间为准。</w:t>
      </w:r>
    </w:p>
    <w:p>
      <w:pPr>
        <w:spacing w:line="400" w:lineRule="atLeast"/>
        <w:ind w:left="630" w:leftChars="300"/>
        <w:rPr>
          <w:szCs w:val="21"/>
        </w:rPr>
      </w:pPr>
      <w:r>
        <w:rPr>
          <w:szCs w:val="21"/>
        </w:rPr>
        <w:t>2</w:t>
      </w:r>
      <w:r>
        <w:rPr>
          <w:rFonts w:hint="eastAsia"/>
          <w:szCs w:val="21"/>
        </w:rPr>
        <w:t>. 颁奖单位应当是国家机关或民政部门注册登记的合法颁奖单位。</w:t>
      </w:r>
    </w:p>
    <w:p>
      <w:pPr>
        <w:sectPr>
          <w:footerReference r:id="rId54" w:type="default"/>
          <w:pgSz w:w="11906" w:h="16838"/>
          <w:pgMar w:top="1440" w:right="1800" w:bottom="1440" w:left="1800" w:header="851" w:footer="992" w:gutter="0"/>
          <w:cols w:space="425" w:num="1"/>
          <w:docGrid w:type="lines" w:linePitch="312" w:charSpace="0"/>
        </w:sectPr>
      </w:pPr>
    </w:p>
    <w:p>
      <w:pPr>
        <w:pStyle w:val="31"/>
        <w:spacing w:before="312" w:beforeLines="100" w:after="312" w:afterLines="100"/>
        <w:jc w:val="center"/>
        <w:outlineLvl w:val="3"/>
      </w:pPr>
      <w:bookmarkStart w:id="1512" w:name="_Toc122603102"/>
      <w:bookmarkStart w:id="1513" w:name="_Toc256000406"/>
      <w:r>
        <w:rPr>
          <w:szCs w:val="24"/>
        </w:rPr>
        <w:t>5-4</w:t>
      </w:r>
      <w:r>
        <w:rPr>
          <w:rFonts w:hint="eastAsia"/>
          <w:szCs w:val="24"/>
        </w:rPr>
        <w:t xml:space="preserve"> 近年项目经理工程获奖</w:t>
      </w:r>
      <w:r>
        <w:rPr>
          <w:szCs w:val="24"/>
        </w:rPr>
        <w:t>情况表</w:t>
      </w:r>
      <w:bookmarkEnd w:id="1512"/>
      <w:bookmarkEnd w:id="1513"/>
    </w:p>
    <w:tbl>
      <w:tblPr>
        <w:tblStyle w:val="2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szCs w:val="21"/>
              </w:rPr>
            </w:pPr>
            <w:r>
              <w:rPr>
                <w:rFonts w:hint="eastAsia"/>
                <w:szCs w:val="21"/>
              </w:rPr>
              <w:t>序号</w:t>
            </w:r>
          </w:p>
        </w:tc>
        <w:tc>
          <w:tcPr>
            <w:tcW w:w="2402" w:type="dxa"/>
          </w:tcPr>
          <w:p>
            <w:pPr>
              <w:topLinePunct/>
              <w:spacing w:line="400" w:lineRule="atLeast"/>
              <w:jc w:val="center"/>
              <w:rPr>
                <w:szCs w:val="21"/>
              </w:rPr>
            </w:pPr>
            <w:r>
              <w:rPr>
                <w:rFonts w:hint="eastAsia"/>
                <w:szCs w:val="21"/>
              </w:rPr>
              <w:t>项目名称</w:t>
            </w:r>
          </w:p>
        </w:tc>
        <w:tc>
          <w:tcPr>
            <w:tcW w:w="1800" w:type="dxa"/>
          </w:tcPr>
          <w:p>
            <w:pPr>
              <w:topLinePunct/>
              <w:spacing w:line="400" w:lineRule="atLeast"/>
              <w:jc w:val="center"/>
              <w:rPr>
                <w:szCs w:val="21"/>
              </w:rPr>
            </w:pPr>
            <w:r>
              <w:rPr>
                <w:rFonts w:hint="eastAsia"/>
                <w:szCs w:val="21"/>
              </w:rPr>
              <w:t>获奖名称</w:t>
            </w:r>
          </w:p>
        </w:tc>
        <w:tc>
          <w:tcPr>
            <w:tcW w:w="1440" w:type="dxa"/>
          </w:tcPr>
          <w:p>
            <w:pPr>
              <w:topLinePunct/>
              <w:spacing w:line="400" w:lineRule="atLeast"/>
              <w:jc w:val="center"/>
              <w:rPr>
                <w:szCs w:val="21"/>
              </w:rPr>
            </w:pPr>
            <w:r>
              <w:rPr>
                <w:rFonts w:hint="eastAsia"/>
                <w:szCs w:val="21"/>
              </w:rPr>
              <w:t>获奖日期</w:t>
            </w:r>
          </w:p>
        </w:tc>
        <w:tc>
          <w:tcPr>
            <w:tcW w:w="2160" w:type="dxa"/>
          </w:tcPr>
          <w:p>
            <w:pPr>
              <w:topLinePunct/>
              <w:spacing w:line="400" w:lineRule="atLeast"/>
              <w:jc w:val="center"/>
              <w:rPr>
                <w:szCs w:val="21"/>
              </w:rPr>
            </w:pPr>
            <w:r>
              <w:rPr>
                <w:rFonts w:hint="eastAsia"/>
                <w:szCs w:val="21"/>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240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1440" w:type="dxa"/>
          </w:tcPr>
          <w:p>
            <w:pPr>
              <w:topLinePunct/>
              <w:spacing w:line="400" w:lineRule="atLeast"/>
              <w:jc w:val="center"/>
              <w:rPr>
                <w:szCs w:val="21"/>
              </w:rPr>
            </w:pPr>
          </w:p>
        </w:tc>
        <w:tc>
          <w:tcPr>
            <w:tcW w:w="2160" w:type="dxa"/>
          </w:tcPr>
          <w:p>
            <w:pPr>
              <w:topLinePunct/>
              <w:spacing w:line="400" w:lineRule="atLeast"/>
              <w:jc w:val="center"/>
              <w:rPr>
                <w:szCs w:val="21"/>
              </w:rPr>
            </w:pPr>
          </w:p>
        </w:tc>
      </w:tr>
    </w:tbl>
    <w:p>
      <w:pPr>
        <w:ind w:left="945" w:hanging="945" w:hangingChars="450"/>
        <w:rPr>
          <w:szCs w:val="21"/>
        </w:rPr>
      </w:pPr>
      <w:r>
        <w:rPr>
          <w:rFonts w:hint="eastAsia"/>
        </w:rPr>
        <w:t>备</w:t>
      </w:r>
      <w:r>
        <w:t>注：</w:t>
      </w:r>
      <w:r>
        <w:rPr>
          <w:rFonts w:hint="eastAsia"/>
          <w:szCs w:val="21"/>
        </w:rPr>
        <w:t>1.本表后应附表彰文件、获奖证书及其他证明材料等。</w:t>
      </w:r>
    </w:p>
    <w:p>
      <w:pPr>
        <w:spacing w:line="400" w:lineRule="atLeast"/>
        <w:ind w:left="840" w:leftChars="300" w:hanging="210" w:hangingChars="100"/>
        <w:sectPr>
          <w:footerReference r:id="rId55" w:type="default"/>
          <w:pgSz w:w="11906" w:h="16838"/>
          <w:pgMar w:top="1440" w:right="1800" w:bottom="1440" w:left="1800" w:header="851" w:footer="992" w:gutter="0"/>
          <w:cols w:space="425" w:num="1"/>
          <w:docGrid w:type="lines" w:linePitch="312" w:charSpace="0"/>
        </w:sectPr>
      </w:pPr>
      <w:r>
        <w:rPr>
          <w:szCs w:val="21"/>
        </w:rPr>
        <w:t>2</w:t>
      </w:r>
      <w:r>
        <w:rPr>
          <w:rFonts w:hint="eastAsia"/>
          <w:szCs w:val="21"/>
        </w:rPr>
        <w:t>. 颁奖单位应当是国家机关或民政部门注册登记的合法颁奖单位。</w:t>
      </w:r>
    </w:p>
    <w:p>
      <w:pPr>
        <w:pStyle w:val="31"/>
        <w:jc w:val="center"/>
        <w:outlineLvl w:val="3"/>
        <w:rPr>
          <w:szCs w:val="24"/>
        </w:rPr>
      </w:pPr>
      <w:bookmarkStart w:id="1514" w:name="_Toc122603103"/>
      <w:bookmarkStart w:id="1515" w:name="_Toc256000407"/>
      <w:r>
        <w:rPr>
          <w:szCs w:val="24"/>
        </w:rPr>
        <w:t>5-5</w:t>
      </w:r>
      <w:r>
        <w:rPr>
          <w:rFonts w:hint="eastAsia"/>
          <w:szCs w:val="24"/>
        </w:rPr>
        <w:t xml:space="preserve"> 近年项目经理获表彰</w:t>
      </w:r>
      <w:r>
        <w:rPr>
          <w:szCs w:val="24"/>
        </w:rPr>
        <w:t>情况表</w:t>
      </w:r>
      <w:bookmarkEnd w:id="1514"/>
      <w:bookmarkEnd w:id="1515"/>
    </w:p>
    <w:p>
      <w:pPr>
        <w:spacing w:line="440" w:lineRule="exact"/>
        <w:rPr>
          <w:rFonts w:hint="eastAsia" w:ascii="宋体" w:hAnsi="宋体"/>
          <w:szCs w:val="21"/>
        </w:rPr>
      </w:pPr>
    </w:p>
    <w:tbl>
      <w:tblPr>
        <w:tblStyle w:val="2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3482"/>
        <w:gridCol w:w="180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szCs w:val="21"/>
              </w:rPr>
            </w:pPr>
            <w:r>
              <w:rPr>
                <w:rFonts w:hint="eastAsia"/>
                <w:szCs w:val="21"/>
              </w:rPr>
              <w:t>序号</w:t>
            </w:r>
          </w:p>
        </w:tc>
        <w:tc>
          <w:tcPr>
            <w:tcW w:w="3482" w:type="dxa"/>
          </w:tcPr>
          <w:p>
            <w:pPr>
              <w:topLinePunct/>
              <w:spacing w:line="400" w:lineRule="atLeast"/>
              <w:jc w:val="center"/>
              <w:rPr>
                <w:szCs w:val="21"/>
              </w:rPr>
            </w:pPr>
            <w:r>
              <w:rPr>
                <w:rFonts w:hint="eastAsia"/>
                <w:szCs w:val="21"/>
              </w:rPr>
              <w:t>获奖名称</w:t>
            </w:r>
          </w:p>
        </w:tc>
        <w:tc>
          <w:tcPr>
            <w:tcW w:w="1800" w:type="dxa"/>
          </w:tcPr>
          <w:p>
            <w:pPr>
              <w:topLinePunct/>
              <w:spacing w:line="400" w:lineRule="atLeast"/>
              <w:jc w:val="center"/>
              <w:rPr>
                <w:szCs w:val="21"/>
              </w:rPr>
            </w:pPr>
            <w:r>
              <w:rPr>
                <w:rFonts w:hint="eastAsia"/>
                <w:szCs w:val="21"/>
              </w:rPr>
              <w:t>获奖日期</w:t>
            </w:r>
          </w:p>
        </w:tc>
        <w:tc>
          <w:tcPr>
            <w:tcW w:w="2520" w:type="dxa"/>
          </w:tcPr>
          <w:p>
            <w:pPr>
              <w:topLinePunct/>
              <w:spacing w:line="400" w:lineRule="atLeast"/>
              <w:jc w:val="center"/>
              <w:rPr>
                <w:szCs w:val="21"/>
              </w:rPr>
            </w:pPr>
            <w:r>
              <w:rPr>
                <w:rFonts w:hint="eastAsia"/>
                <w:szCs w:val="21"/>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szCs w:val="21"/>
              </w:rPr>
            </w:pPr>
          </w:p>
        </w:tc>
        <w:tc>
          <w:tcPr>
            <w:tcW w:w="3482" w:type="dxa"/>
          </w:tcPr>
          <w:p>
            <w:pPr>
              <w:topLinePunct/>
              <w:spacing w:line="400" w:lineRule="atLeast"/>
              <w:jc w:val="center"/>
              <w:rPr>
                <w:szCs w:val="21"/>
              </w:rPr>
            </w:pPr>
          </w:p>
        </w:tc>
        <w:tc>
          <w:tcPr>
            <w:tcW w:w="1800" w:type="dxa"/>
          </w:tcPr>
          <w:p>
            <w:pPr>
              <w:topLinePunct/>
              <w:spacing w:line="400" w:lineRule="atLeast"/>
              <w:jc w:val="center"/>
              <w:rPr>
                <w:szCs w:val="21"/>
              </w:rPr>
            </w:pPr>
          </w:p>
        </w:tc>
        <w:tc>
          <w:tcPr>
            <w:tcW w:w="2520" w:type="dxa"/>
          </w:tcPr>
          <w:p>
            <w:pPr>
              <w:topLinePunct/>
              <w:spacing w:line="400" w:lineRule="atLeast"/>
              <w:jc w:val="center"/>
              <w:rPr>
                <w:szCs w:val="21"/>
              </w:rPr>
            </w:pPr>
          </w:p>
        </w:tc>
      </w:tr>
    </w:tbl>
    <w:p>
      <w:pPr>
        <w:spacing w:line="400" w:lineRule="atLeast"/>
        <w:ind w:left="840" w:hanging="840" w:hangingChars="400"/>
        <w:rPr>
          <w:szCs w:val="21"/>
        </w:rPr>
      </w:pPr>
      <w:r>
        <w:rPr>
          <w:rFonts w:hint="eastAsia"/>
        </w:rPr>
        <w:t>备</w:t>
      </w:r>
      <w:r>
        <w:t>注：</w:t>
      </w:r>
      <w:r>
        <w:rPr>
          <w:rFonts w:hint="eastAsia"/>
          <w:szCs w:val="21"/>
        </w:rPr>
        <w:t>1.本表后应附表彰文件、获奖证书及其他证明材料等。</w:t>
      </w:r>
    </w:p>
    <w:p>
      <w:pPr>
        <w:spacing w:line="400" w:lineRule="atLeast"/>
        <w:ind w:left="840" w:leftChars="300" w:hanging="210" w:hangingChars="100"/>
        <w:sectPr>
          <w:headerReference r:id="rId56" w:type="default"/>
          <w:footerReference r:id="rId57" w:type="default"/>
          <w:pgSz w:w="11906" w:h="16838"/>
          <w:pgMar w:top="1440" w:right="1800" w:bottom="1440" w:left="1800" w:header="851" w:footer="992" w:gutter="0"/>
          <w:cols w:space="425" w:num="1"/>
          <w:docGrid w:type="lines" w:linePitch="312" w:charSpace="0"/>
        </w:sectPr>
      </w:pPr>
      <w:r>
        <w:rPr>
          <w:szCs w:val="21"/>
        </w:rPr>
        <w:t>2</w:t>
      </w:r>
      <w:r>
        <w:rPr>
          <w:rFonts w:hint="eastAsia"/>
          <w:szCs w:val="21"/>
        </w:rPr>
        <w:t>.颁奖单位应当是国家机关或民政部门注册登记的合法颁奖单位。</w:t>
      </w:r>
    </w:p>
    <w:p>
      <w:pPr>
        <w:pStyle w:val="29"/>
        <w:spacing w:before="312" w:beforeLines="100" w:after="312" w:afterLines="100"/>
        <w:jc w:val="center"/>
        <w:rPr>
          <w:rFonts w:hint="eastAsia" w:ascii="黑体" w:hAnsi="宋体"/>
          <w:szCs w:val="28"/>
        </w:rPr>
      </w:pPr>
      <w:bookmarkStart w:id="1516" w:name="_Toc256000408"/>
      <w:bookmarkStart w:id="1517" w:name="_Toc27201"/>
      <w:bookmarkStart w:id="1518" w:name="_Toc1244"/>
      <w:r>
        <w:t>八</w:t>
      </w:r>
      <w:r>
        <w:rPr>
          <w:rFonts w:hint="eastAsia"/>
        </w:rPr>
        <w:t>、已标价工程量清单</w:t>
      </w:r>
      <w:bookmarkEnd w:id="1516"/>
      <w:bookmarkEnd w:id="1517"/>
      <w:bookmarkEnd w:id="1518"/>
    </w:p>
    <w:p>
      <w:pPr>
        <w:spacing w:line="460" w:lineRule="exact"/>
        <w:rPr>
          <w:rFonts w:hint="eastAsia" w:ascii="黑体" w:hAnsi="宋体" w:eastAsia="黑体"/>
          <w:szCs w:val="21"/>
        </w:rPr>
      </w:pPr>
    </w:p>
    <w:p>
      <w:pPr>
        <w:spacing w:line="460" w:lineRule="exact"/>
        <w:rPr>
          <w:rFonts w:hint="eastAsia" w:ascii="宋体" w:hAnsi="宋体"/>
          <w:szCs w:val="21"/>
        </w:rPr>
      </w:pPr>
      <w:r>
        <w:rPr>
          <w:rFonts w:hint="eastAsia" w:ascii="宋体" w:hAnsi="宋体"/>
          <w:szCs w:val="21"/>
        </w:rPr>
        <w:t>说明：已标价工程量清单按第五章“工程量清单”中的相关清单表格式填写。</w:t>
      </w:r>
    </w:p>
    <w:p>
      <w:pPr>
        <w:spacing w:line="460" w:lineRule="exact"/>
        <w:ind w:firstLine="630" w:firstLineChars="300"/>
        <w:rPr>
          <w:rFonts w:hint="eastAsia" w:ascii="宋体" w:hAnsi="宋体"/>
          <w:szCs w:val="21"/>
        </w:rPr>
      </w:pPr>
      <w:r>
        <w:rPr>
          <w:rFonts w:hint="eastAsia" w:ascii="宋体" w:hAnsi="宋体"/>
          <w:szCs w:val="21"/>
        </w:rPr>
        <w:t>构成合同文件的已标价工程量清单包括第五章“工程量清单”有关工程量清单、投标报价以及其他说明的内容。</w:t>
      </w:r>
    </w:p>
    <w:p>
      <w:r>
        <w:br w:type="page"/>
      </w:r>
    </w:p>
    <w:p>
      <w:pPr>
        <w:pStyle w:val="31"/>
      </w:pPr>
      <w:bookmarkStart w:id="1519" w:name="_Toc426495639"/>
      <w:bookmarkStart w:id="1520" w:name="_Toc173867058"/>
      <w:bookmarkStart w:id="1521" w:name="_Toc13441"/>
      <w:bookmarkStart w:id="1522" w:name="_Toc256000409"/>
      <w:r>
        <w:rPr>
          <w:rFonts w:hint="eastAsia"/>
        </w:rPr>
        <w:t>已标价工程量清单（投标总价）封面</w:t>
      </w:r>
      <w:bookmarkEnd w:id="1519"/>
      <w:bookmarkEnd w:id="1520"/>
      <w:bookmarkEnd w:id="1521"/>
      <w:bookmarkEnd w:id="1522"/>
    </w:p>
    <w:p>
      <w:pPr>
        <w:spacing w:line="460" w:lineRule="exact"/>
        <w:rPr>
          <w:rFonts w:hint="eastAsia" w:ascii="宋体" w:hAnsi="宋体"/>
          <w:szCs w:val="21"/>
        </w:rPr>
      </w:pPr>
    </w:p>
    <w:p>
      <w:pPr>
        <w:spacing w:line="460" w:lineRule="exact"/>
        <w:jc w:val="center"/>
        <w:rPr>
          <w:rFonts w:eastAsia="黑体"/>
          <w:sz w:val="32"/>
          <w:u w:val="single"/>
        </w:rPr>
      </w:pPr>
      <w:r>
        <w:rPr>
          <w:rFonts w:hint="eastAsia" w:ascii="宋体" w:hAnsi="宋体" w:cs="宋体"/>
          <w:sz w:val="28"/>
          <w:szCs w:val="22"/>
          <w:u w:val="single"/>
        </w:rPr>
        <w:t xml:space="preserve">                            </w:t>
      </w:r>
      <w:r>
        <w:rPr>
          <w:rFonts w:hint="eastAsia" w:ascii="宋体" w:hAnsi="宋体" w:cs="宋体"/>
          <w:sz w:val="32"/>
        </w:rPr>
        <w:t>工程</w:t>
      </w:r>
    </w:p>
    <w:p>
      <w:pPr>
        <w:spacing w:line="460" w:lineRule="exact"/>
        <w:rPr>
          <w:rFonts w:eastAsia="黑体"/>
          <w:sz w:val="32"/>
          <w:u w:val="single"/>
        </w:rPr>
      </w:pPr>
    </w:p>
    <w:p>
      <w:pPr>
        <w:spacing w:line="460" w:lineRule="exact"/>
        <w:rPr>
          <w:rFonts w:eastAsia="黑体"/>
          <w:sz w:val="32"/>
          <w:u w:val="single"/>
        </w:rPr>
      </w:pPr>
    </w:p>
    <w:p>
      <w:pPr>
        <w:spacing w:line="460" w:lineRule="exact"/>
        <w:rPr>
          <w:rFonts w:eastAsia="黑体"/>
          <w:sz w:val="32"/>
          <w:u w:val="single"/>
        </w:rPr>
      </w:pPr>
    </w:p>
    <w:p>
      <w:pPr>
        <w:spacing w:line="460" w:lineRule="exact"/>
        <w:rPr>
          <w:rFonts w:hint="eastAsia" w:ascii="宋体" w:hAnsi="宋体"/>
          <w:szCs w:val="21"/>
        </w:rPr>
      </w:pPr>
    </w:p>
    <w:p>
      <w:pPr>
        <w:spacing w:line="360" w:lineRule="auto"/>
        <w:jc w:val="center"/>
        <w:rPr>
          <w:rFonts w:eastAsia="黑体"/>
          <w:sz w:val="44"/>
          <w:szCs w:val="44"/>
        </w:rPr>
      </w:pPr>
    </w:p>
    <w:p>
      <w:pPr>
        <w:spacing w:line="360" w:lineRule="auto"/>
        <w:jc w:val="center"/>
        <w:rPr>
          <w:rFonts w:eastAsia="黑体"/>
          <w:sz w:val="44"/>
          <w:szCs w:val="44"/>
        </w:rPr>
      </w:pPr>
      <w:r>
        <w:rPr>
          <w:rFonts w:hint="eastAsia" w:eastAsia="黑体"/>
          <w:sz w:val="44"/>
          <w:szCs w:val="44"/>
        </w:rPr>
        <w:t>投标总价</w:t>
      </w:r>
    </w:p>
    <w:p>
      <w:pPr>
        <w:spacing w:line="460" w:lineRule="exact"/>
        <w:jc w:val="center"/>
        <w:rPr>
          <w:rFonts w:eastAsia="黑体"/>
          <w:sz w:val="44"/>
          <w:szCs w:val="44"/>
        </w:rPr>
      </w:pPr>
    </w:p>
    <w:p>
      <w:pPr>
        <w:spacing w:line="460" w:lineRule="exact"/>
        <w:jc w:val="center"/>
        <w:rPr>
          <w:rFonts w:eastAsia="黑体"/>
          <w:sz w:val="44"/>
          <w:szCs w:val="44"/>
        </w:rPr>
      </w:pPr>
    </w:p>
    <w:p>
      <w:pPr>
        <w:spacing w:line="460" w:lineRule="exact"/>
        <w:jc w:val="center"/>
        <w:rPr>
          <w:rFonts w:eastAsia="黑体"/>
          <w:sz w:val="44"/>
          <w:szCs w:val="44"/>
        </w:rPr>
      </w:pPr>
    </w:p>
    <w:p>
      <w:pPr>
        <w:spacing w:line="460" w:lineRule="exact"/>
        <w:jc w:val="center"/>
        <w:rPr>
          <w:rFonts w:eastAsia="黑体"/>
          <w:sz w:val="44"/>
          <w:szCs w:val="44"/>
        </w:rPr>
      </w:pPr>
    </w:p>
    <w:p>
      <w:pPr>
        <w:spacing w:line="460" w:lineRule="exact"/>
        <w:jc w:val="center"/>
        <w:rPr>
          <w:rFonts w:eastAsia="黑体"/>
          <w:sz w:val="44"/>
          <w:szCs w:val="44"/>
        </w:rPr>
      </w:pPr>
    </w:p>
    <w:p>
      <w:pPr>
        <w:spacing w:line="460" w:lineRule="exact"/>
        <w:jc w:val="center"/>
        <w:rPr>
          <w:rFonts w:eastAsia="黑体"/>
          <w:sz w:val="44"/>
          <w:szCs w:val="44"/>
        </w:rPr>
      </w:pPr>
    </w:p>
    <w:p>
      <w:pPr>
        <w:spacing w:line="460" w:lineRule="exact"/>
        <w:jc w:val="center"/>
        <w:rPr>
          <w:rFonts w:eastAsia="黑体"/>
          <w:sz w:val="44"/>
          <w:szCs w:val="44"/>
        </w:rPr>
      </w:pPr>
    </w:p>
    <w:p>
      <w:pPr>
        <w:spacing w:line="600" w:lineRule="exact"/>
        <w:ind w:firstLine="1260" w:firstLineChars="600"/>
        <w:rPr>
          <w:rFonts w:ascii="黑体" w:eastAsia="黑体"/>
        </w:rPr>
      </w:pPr>
    </w:p>
    <w:p>
      <w:pPr>
        <w:spacing w:line="320" w:lineRule="exact"/>
        <w:ind w:firstLine="1680" w:firstLineChars="600"/>
        <w:rPr>
          <w:rFonts w:hint="eastAsia" w:ascii="宋体" w:hAnsi="宋体"/>
          <w:sz w:val="28"/>
          <w:szCs w:val="28"/>
        </w:rPr>
      </w:pPr>
      <w:r>
        <w:rPr>
          <w:rFonts w:hint="eastAsia" w:ascii="宋体" w:hAnsi="宋体"/>
          <w:sz w:val="28"/>
          <w:szCs w:val="28"/>
        </w:rPr>
        <w:t>投 标 人：</w:t>
      </w:r>
      <w:r>
        <w:rPr>
          <w:rFonts w:hint="eastAsia" w:ascii="宋体" w:hAnsi="宋体"/>
          <w:sz w:val="28"/>
          <w:szCs w:val="28"/>
          <w:u w:val="single"/>
        </w:rPr>
        <w:t xml:space="preserve">                            </w:t>
      </w:r>
    </w:p>
    <w:p>
      <w:pPr>
        <w:spacing w:line="320" w:lineRule="exact"/>
        <w:ind w:firstLine="4200" w:firstLineChars="1500"/>
        <w:rPr>
          <w:rFonts w:hint="eastAsia" w:ascii="宋体" w:hAnsi="宋体"/>
          <w:sz w:val="28"/>
          <w:szCs w:val="28"/>
        </w:rPr>
      </w:pPr>
      <w:r>
        <w:rPr>
          <w:rFonts w:hint="eastAsia" w:ascii="宋体" w:hAnsi="宋体"/>
          <w:sz w:val="28"/>
          <w:szCs w:val="28"/>
        </w:rPr>
        <w:t>（单位盖章）</w:t>
      </w:r>
    </w:p>
    <w:p>
      <w:pPr>
        <w:spacing w:line="380" w:lineRule="exact"/>
        <w:ind w:firstLine="420" w:firstLineChars="200"/>
        <w:rPr>
          <w:rFonts w:hint="eastAsia" w:ascii="宋体" w:hAnsi="宋体"/>
        </w:rPr>
      </w:pPr>
    </w:p>
    <w:p>
      <w:pPr>
        <w:spacing w:line="380" w:lineRule="exact"/>
        <w:ind w:firstLine="560" w:firstLineChars="200"/>
        <w:rPr>
          <w:rFonts w:hint="eastAsia" w:ascii="宋体" w:hAnsi="宋体"/>
          <w:sz w:val="28"/>
          <w:szCs w:val="28"/>
        </w:rPr>
      </w:pPr>
    </w:p>
    <w:p>
      <w:pPr>
        <w:spacing w:line="380" w:lineRule="exact"/>
        <w:ind w:firstLine="560" w:firstLineChars="200"/>
        <w:rPr>
          <w:rFonts w:hint="eastAsia"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年      月      日</w:t>
      </w:r>
    </w:p>
    <w:p>
      <w:pPr>
        <w:spacing w:line="460" w:lineRule="exact"/>
        <w:jc w:val="center"/>
        <w:rPr>
          <w:rFonts w:eastAsia="黑体"/>
          <w:sz w:val="44"/>
          <w:szCs w:val="44"/>
        </w:rPr>
      </w:pPr>
    </w:p>
    <w:p>
      <w:pPr>
        <w:spacing w:line="460" w:lineRule="exact"/>
        <w:jc w:val="center"/>
        <w:rPr>
          <w:rFonts w:eastAsia="黑体"/>
          <w:sz w:val="44"/>
          <w:szCs w:val="44"/>
        </w:rPr>
      </w:pPr>
    </w:p>
    <w:p>
      <w:pPr>
        <w:widowControl/>
        <w:jc w:val="left"/>
        <w:rPr>
          <w:rFonts w:hint="eastAsia" w:ascii="宋体" w:hAnsi="宋体"/>
          <w:szCs w:val="21"/>
        </w:rPr>
      </w:pPr>
      <w:r>
        <w:rPr>
          <w:rFonts w:ascii="宋体" w:hAnsi="宋体"/>
          <w:szCs w:val="21"/>
        </w:rPr>
        <w:br w:type="page"/>
      </w:r>
    </w:p>
    <w:p>
      <w:pPr>
        <w:spacing w:line="460" w:lineRule="exact"/>
        <w:jc w:val="center"/>
        <w:rPr>
          <w:rFonts w:hint="eastAsia" w:ascii="宋体" w:hAnsi="宋体"/>
          <w:szCs w:val="21"/>
        </w:rPr>
      </w:pPr>
    </w:p>
    <w:p>
      <w:pPr>
        <w:pStyle w:val="31"/>
      </w:pPr>
      <w:bookmarkStart w:id="1523" w:name="_Toc256000410"/>
      <w:bookmarkStart w:id="1524" w:name="_Toc22761"/>
      <w:bookmarkStart w:id="1525" w:name="_Toc426495640"/>
      <w:bookmarkStart w:id="1526" w:name="_Toc173867059"/>
      <w:r>
        <w:rPr>
          <w:rFonts w:hint="eastAsia"/>
        </w:rPr>
        <w:t>投标总价扉页</w:t>
      </w:r>
      <w:bookmarkEnd w:id="1523"/>
      <w:bookmarkEnd w:id="1524"/>
      <w:bookmarkEnd w:id="1525"/>
      <w:bookmarkEnd w:id="1526"/>
    </w:p>
    <w:p>
      <w:pPr>
        <w:spacing w:line="380" w:lineRule="exact"/>
        <w:ind w:firstLine="480" w:firstLineChars="200"/>
        <w:rPr>
          <w:rFonts w:ascii="黑体" w:eastAsia="黑体"/>
          <w:sz w:val="24"/>
        </w:rPr>
      </w:pPr>
    </w:p>
    <w:p>
      <w:pPr>
        <w:spacing w:line="460" w:lineRule="exact"/>
        <w:jc w:val="center"/>
        <w:rPr>
          <w:rFonts w:eastAsia="黑体"/>
          <w:sz w:val="32"/>
          <w:u w:val="single"/>
        </w:rPr>
      </w:pPr>
      <w:r>
        <w:rPr>
          <w:rFonts w:hint="eastAsia" w:ascii="宋体" w:hAnsi="宋体" w:cs="宋体"/>
          <w:sz w:val="28"/>
          <w:szCs w:val="22"/>
          <w:u w:val="single"/>
        </w:rPr>
        <w:t xml:space="preserve">                            </w:t>
      </w:r>
      <w:r>
        <w:rPr>
          <w:rFonts w:hint="eastAsia" w:ascii="宋体" w:hAnsi="宋体" w:cs="宋体"/>
          <w:sz w:val="32"/>
        </w:rPr>
        <w:t>工程</w:t>
      </w:r>
    </w:p>
    <w:p>
      <w:pPr>
        <w:spacing w:line="380" w:lineRule="exact"/>
        <w:ind w:firstLine="480" w:firstLineChars="200"/>
        <w:rPr>
          <w:rFonts w:ascii="黑体" w:eastAsia="黑体"/>
          <w:sz w:val="24"/>
        </w:rPr>
      </w:pPr>
    </w:p>
    <w:p>
      <w:pPr>
        <w:spacing w:line="380" w:lineRule="exact"/>
        <w:ind w:firstLine="480" w:firstLineChars="200"/>
        <w:rPr>
          <w:rFonts w:ascii="黑体" w:eastAsia="黑体"/>
          <w:sz w:val="24"/>
        </w:rPr>
      </w:pPr>
    </w:p>
    <w:p>
      <w:pPr>
        <w:spacing w:after="624" w:afterLines="200" w:line="380" w:lineRule="exact"/>
        <w:ind w:firstLine="720" w:firstLineChars="200"/>
        <w:jc w:val="center"/>
        <w:rPr>
          <w:rFonts w:ascii="黑体" w:eastAsia="黑体"/>
          <w:spacing w:val="20"/>
          <w:sz w:val="32"/>
          <w:szCs w:val="32"/>
        </w:rPr>
      </w:pPr>
      <w:r>
        <w:rPr>
          <w:rFonts w:hint="eastAsia" w:ascii="黑体" w:eastAsia="黑体"/>
          <w:spacing w:val="20"/>
          <w:sz w:val="32"/>
          <w:szCs w:val="32"/>
        </w:rPr>
        <w:t>投标总价</w:t>
      </w:r>
    </w:p>
    <w:p>
      <w:pPr>
        <w:spacing w:line="600" w:lineRule="exact"/>
        <w:ind w:firstLine="420" w:firstLineChars="200"/>
        <w:rPr>
          <w:rFonts w:hint="eastAsia" w:ascii="宋体" w:hAnsi="宋体"/>
          <w:u w:val="single"/>
        </w:rPr>
      </w:pPr>
      <w:r>
        <w:rPr>
          <w:rFonts w:hint="eastAsia" w:ascii="宋体" w:hAnsi="宋体"/>
        </w:rPr>
        <w:t>招 标 人：</w:t>
      </w:r>
      <w:r>
        <w:rPr>
          <w:rFonts w:hint="eastAsia" w:ascii="宋体" w:hAnsi="宋体"/>
          <w:u w:val="single"/>
        </w:rPr>
        <w:t xml:space="preserve">                                                               </w:t>
      </w:r>
    </w:p>
    <w:p>
      <w:pPr>
        <w:spacing w:line="600" w:lineRule="exact"/>
        <w:ind w:firstLine="420" w:firstLineChars="200"/>
        <w:rPr>
          <w:rFonts w:hint="eastAsia" w:ascii="宋体" w:hAnsi="宋体"/>
        </w:rPr>
      </w:pPr>
      <w:r>
        <w:rPr>
          <w:rFonts w:hint="eastAsia" w:ascii="宋体" w:hAnsi="宋体"/>
        </w:rPr>
        <w:t>工程名称：</w:t>
      </w:r>
      <w:r>
        <w:rPr>
          <w:rFonts w:hint="eastAsia" w:ascii="宋体" w:hAnsi="宋体"/>
          <w:u w:val="single"/>
        </w:rPr>
        <w:t xml:space="preserve">                                                               </w:t>
      </w:r>
    </w:p>
    <w:p>
      <w:pPr>
        <w:spacing w:line="600" w:lineRule="exact"/>
        <w:ind w:firstLine="420" w:firstLineChars="200"/>
        <w:rPr>
          <w:rFonts w:hint="eastAsia"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rPr>
        <w:t xml:space="preserve">元   </w:t>
      </w:r>
    </w:p>
    <w:p>
      <w:pPr>
        <w:spacing w:line="600" w:lineRule="exact"/>
        <w:ind w:firstLine="1260" w:firstLineChars="600"/>
        <w:rPr>
          <w:rFonts w:hint="eastAsia" w:ascii="宋体" w:hAnsi="宋体"/>
          <w:u w:val="single"/>
        </w:rPr>
      </w:pPr>
      <w:r>
        <w:rPr>
          <w:rFonts w:hint="eastAsia" w:ascii="宋体" w:hAnsi="宋体"/>
        </w:rPr>
        <w:t>（大写） ：</w:t>
      </w:r>
      <w:r>
        <w:rPr>
          <w:rFonts w:hint="eastAsia" w:ascii="宋体" w:hAnsi="宋体"/>
          <w:u w:val="single"/>
        </w:rPr>
        <w:t xml:space="preserve">                                                   </w:t>
      </w:r>
      <w:r>
        <w:rPr>
          <w:rFonts w:hint="eastAsia" w:ascii="宋体" w:hAnsi="宋体"/>
        </w:rPr>
        <w:t xml:space="preserve">元   </w:t>
      </w:r>
    </w:p>
    <w:p>
      <w:pPr>
        <w:spacing w:line="600" w:lineRule="exact"/>
        <w:ind w:firstLine="1260" w:firstLineChars="600"/>
        <w:rPr>
          <w:rFonts w:hint="eastAsia" w:ascii="宋体" w:hAnsi="宋体"/>
        </w:rPr>
      </w:pPr>
    </w:p>
    <w:p>
      <w:pPr>
        <w:spacing w:line="320" w:lineRule="exact"/>
        <w:ind w:firstLine="420" w:firstLineChars="200"/>
        <w:rPr>
          <w:rFonts w:hint="eastAsia" w:ascii="宋体" w:hAnsi="宋体"/>
        </w:rPr>
      </w:pPr>
      <w:r>
        <w:rPr>
          <w:rFonts w:hint="eastAsia" w:ascii="宋体" w:hAnsi="宋体"/>
        </w:rPr>
        <w:t>投 标 人：</w:t>
      </w:r>
      <w:r>
        <w:rPr>
          <w:rFonts w:hint="eastAsia" w:ascii="宋体" w:hAnsi="宋体"/>
          <w:u w:val="single"/>
        </w:rPr>
        <w:t xml:space="preserve">                                                               </w:t>
      </w:r>
    </w:p>
    <w:p>
      <w:pPr>
        <w:spacing w:line="320" w:lineRule="exact"/>
        <w:ind w:firstLine="4200" w:firstLineChars="2000"/>
        <w:rPr>
          <w:rFonts w:hint="eastAsia" w:ascii="宋体" w:hAnsi="宋体"/>
        </w:rPr>
      </w:pPr>
      <w:r>
        <w:rPr>
          <w:rFonts w:hint="eastAsia" w:ascii="宋体" w:hAnsi="宋体"/>
        </w:rPr>
        <w:t>（单位盖章）</w:t>
      </w:r>
    </w:p>
    <w:p>
      <w:pPr>
        <w:spacing w:line="380" w:lineRule="exact"/>
        <w:ind w:firstLine="420" w:firstLineChars="200"/>
        <w:rPr>
          <w:rFonts w:hint="eastAsia" w:ascii="宋体" w:hAnsi="宋体"/>
        </w:rPr>
      </w:pPr>
    </w:p>
    <w:p>
      <w:pPr>
        <w:spacing w:after="93" w:afterLines="30" w:line="380" w:lineRule="exact"/>
        <w:ind w:firstLine="420" w:firstLineChars="200"/>
        <w:rPr>
          <w:rFonts w:hint="eastAsia" w:ascii="宋体" w:hAnsi="宋体"/>
        </w:rPr>
      </w:pPr>
      <w:r>
        <w:rPr>
          <w:rFonts w:hint="eastAsia" w:ascii="宋体" w:hAnsi="宋体"/>
        </w:rPr>
        <w:t>法定代表人</w:t>
      </w:r>
    </w:p>
    <w:p>
      <w:pPr>
        <w:spacing w:line="320" w:lineRule="exact"/>
        <w:ind w:firstLine="420" w:firstLineChars="200"/>
        <w:rPr>
          <w:rFonts w:hint="eastAsia" w:ascii="宋体" w:hAnsi="宋体"/>
          <w:u w:val="single"/>
        </w:rPr>
      </w:pPr>
      <w:r>
        <w:rPr>
          <w:rFonts w:hint="eastAsia" w:ascii="宋体" w:hAnsi="宋体"/>
        </w:rPr>
        <w:t>或其授权人：</w:t>
      </w:r>
      <w:r>
        <w:rPr>
          <w:rFonts w:hint="eastAsia" w:ascii="宋体" w:hAnsi="宋体"/>
          <w:u w:val="single"/>
        </w:rPr>
        <w:t xml:space="preserve">                                                             </w:t>
      </w:r>
    </w:p>
    <w:p>
      <w:pPr>
        <w:spacing w:line="320" w:lineRule="exact"/>
        <w:ind w:firstLine="3990" w:firstLineChars="1900"/>
        <w:rPr>
          <w:rFonts w:hint="eastAsia" w:ascii="宋体" w:hAnsi="宋体"/>
        </w:rPr>
      </w:pPr>
      <w:r>
        <w:rPr>
          <w:rFonts w:hint="eastAsia" w:ascii="宋体" w:hAnsi="宋体"/>
        </w:rPr>
        <w:t>（签字或盖章）</w:t>
      </w:r>
    </w:p>
    <w:p>
      <w:pPr>
        <w:spacing w:line="320" w:lineRule="exact"/>
        <w:ind w:firstLine="3990" w:firstLineChars="1900"/>
        <w:rPr>
          <w:rFonts w:hint="eastAsia" w:ascii="宋体" w:hAnsi="宋体"/>
        </w:rPr>
      </w:pPr>
    </w:p>
    <w:p>
      <w:pPr>
        <w:spacing w:line="320" w:lineRule="exact"/>
        <w:ind w:firstLine="3990" w:firstLineChars="1900"/>
        <w:rPr>
          <w:rFonts w:hint="eastAsia" w:ascii="宋体" w:hAnsi="宋体"/>
        </w:rPr>
      </w:pPr>
    </w:p>
    <w:p>
      <w:pPr>
        <w:spacing w:line="320" w:lineRule="exact"/>
        <w:ind w:firstLine="420" w:firstLineChars="200"/>
        <w:rPr>
          <w:rFonts w:hint="eastAsia" w:ascii="宋体" w:hAnsi="宋体"/>
        </w:rPr>
      </w:pPr>
      <w:r>
        <w:rPr>
          <w:rFonts w:hint="eastAsia" w:ascii="宋体" w:hAnsi="宋体"/>
        </w:rPr>
        <w:t>编制人：</w:t>
      </w:r>
      <w:r>
        <w:rPr>
          <w:rFonts w:hint="eastAsia" w:ascii="宋体" w:hAnsi="宋体"/>
          <w:u w:val="single"/>
        </w:rPr>
        <w:t xml:space="preserve">                                                                 </w:t>
      </w:r>
    </w:p>
    <w:p>
      <w:pPr>
        <w:spacing w:line="320" w:lineRule="exact"/>
        <w:ind w:firstLine="3570" w:firstLineChars="1700"/>
        <w:rPr>
          <w:rFonts w:hint="eastAsia" w:ascii="宋体" w:hAnsi="宋体"/>
        </w:rPr>
      </w:pPr>
      <w:r>
        <w:rPr>
          <w:rFonts w:hint="eastAsia" w:ascii="宋体" w:hAnsi="宋体"/>
        </w:rPr>
        <w:t>（造价人员签字或盖章）</w:t>
      </w:r>
    </w:p>
    <w:p>
      <w:pPr>
        <w:spacing w:line="380" w:lineRule="exact"/>
        <w:ind w:firstLine="420" w:firstLineChars="200"/>
        <w:rPr>
          <w:rFonts w:hint="eastAsia" w:ascii="宋体" w:hAnsi="宋体"/>
        </w:rPr>
      </w:pPr>
    </w:p>
    <w:p>
      <w:pPr>
        <w:spacing w:line="380" w:lineRule="exact"/>
        <w:ind w:firstLine="420" w:firstLineChars="200"/>
        <w:rPr>
          <w:rFonts w:hint="eastAsia" w:ascii="宋体" w:hAnsi="宋体"/>
        </w:rPr>
      </w:pPr>
    </w:p>
    <w:p>
      <w:pPr>
        <w:spacing w:line="380" w:lineRule="exact"/>
        <w:ind w:firstLine="420" w:firstLineChars="200"/>
        <w:rPr>
          <w:rFonts w:hint="eastAsia" w:ascii="宋体" w:hAnsi="宋体"/>
        </w:rPr>
      </w:pPr>
      <w:r>
        <w:rPr>
          <w:rFonts w:hint="eastAsia" w:ascii="宋体" w:hAnsi="宋体"/>
        </w:rPr>
        <w:t>编制时间：                        年      月      日</w:t>
      </w:r>
    </w:p>
    <w:p>
      <w:pPr>
        <w:spacing w:line="380" w:lineRule="exact"/>
        <w:ind w:firstLine="420" w:firstLineChars="200"/>
        <w:rPr>
          <w:rFonts w:ascii="黑体" w:eastAsia="黑体"/>
        </w:rPr>
      </w:pPr>
    </w:p>
    <w:p>
      <w:pPr>
        <w:spacing w:line="380" w:lineRule="exact"/>
        <w:ind w:firstLine="420" w:firstLineChars="200"/>
        <w:rPr>
          <w:rFonts w:ascii="黑体" w:eastAsia="黑体"/>
        </w:rPr>
      </w:pPr>
    </w:p>
    <w:p>
      <w:pPr>
        <w:spacing w:line="380" w:lineRule="exact"/>
        <w:ind w:firstLine="420" w:firstLineChars="200"/>
        <w:rPr>
          <w:rFonts w:hint="eastAsia" w:ascii="宋体" w:hAnsi="宋体"/>
        </w:rPr>
      </w:pPr>
      <w:r>
        <w:rPr>
          <w:rFonts w:hint="eastAsia" w:ascii="宋体" w:hAnsi="宋体"/>
        </w:rPr>
        <w:t>备注：1</w:t>
      </w:r>
      <w:r>
        <w:rPr>
          <w:rFonts w:ascii="宋体" w:hAnsi="宋体"/>
        </w:rPr>
        <w:t>.</w:t>
      </w:r>
      <w:r>
        <w:rPr>
          <w:rFonts w:hint="eastAsia" w:ascii="宋体" w:hAnsi="宋体"/>
        </w:rPr>
        <w:t>投标总价可按四舍五入精确到小数点后两位。</w:t>
      </w:r>
    </w:p>
    <w:p>
      <w:pPr>
        <w:spacing w:line="380" w:lineRule="exact"/>
        <w:ind w:left="1365" w:leftChars="200" w:hanging="945" w:hangingChars="450"/>
        <w:rPr>
          <w:rFonts w:hint="eastAsia" w:ascii="宋体" w:hAnsi="宋体"/>
        </w:rPr>
      </w:pPr>
      <w:r>
        <w:rPr>
          <w:rFonts w:hint="eastAsia" w:ascii="宋体" w:hAnsi="宋体"/>
        </w:rPr>
        <w:t xml:space="preserve">      2</w:t>
      </w:r>
      <w:r>
        <w:rPr>
          <w:rFonts w:ascii="宋体" w:hAnsi="宋体"/>
        </w:rPr>
        <w:t>.</w:t>
      </w:r>
      <w:r>
        <w:rPr>
          <w:rFonts w:hint="eastAsia" w:ascii="宋体" w:hAnsi="宋体"/>
        </w:rPr>
        <w:t>已标价工程量清单的内容和制作按第五章“工程量清单”和第二章“投标人须知”</w:t>
      </w:r>
      <w:r>
        <w:rPr>
          <w:rFonts w:hint="eastAsia"/>
        </w:rPr>
        <w:t xml:space="preserve"> </w:t>
      </w:r>
      <w:r>
        <w:rPr>
          <w:rFonts w:hint="eastAsia" w:ascii="宋体" w:hAnsi="宋体"/>
        </w:rPr>
        <w:t>第3.7.3（</w:t>
      </w:r>
      <w:r>
        <w:rPr>
          <w:rFonts w:ascii="宋体" w:hAnsi="宋体"/>
        </w:rPr>
        <w:t>5</w:t>
      </w:r>
      <w:r>
        <w:rPr>
          <w:rFonts w:hint="eastAsia" w:ascii="宋体" w:hAnsi="宋体"/>
        </w:rPr>
        <w:t>）目的要求填报和制作。</w:t>
      </w:r>
    </w:p>
    <w:p>
      <w:pPr>
        <w:sectPr>
          <w:footerReference r:id="rId58" w:type="default"/>
          <w:pgSz w:w="11906" w:h="16838"/>
          <w:pgMar w:top="1440" w:right="1800" w:bottom="1440" w:left="1800" w:header="851" w:footer="992" w:gutter="0"/>
          <w:cols w:space="425" w:num="1"/>
          <w:docGrid w:type="lines" w:linePitch="312" w:charSpace="0"/>
        </w:sectPr>
      </w:pPr>
    </w:p>
    <w:p>
      <w:pPr>
        <w:pStyle w:val="29"/>
        <w:spacing w:before="312" w:beforeLines="100" w:after="312" w:afterLines="100"/>
        <w:jc w:val="center"/>
        <w:rPr>
          <w:rFonts w:hint="eastAsia" w:ascii="黑体" w:hAnsi="宋体"/>
          <w:szCs w:val="28"/>
        </w:rPr>
      </w:pPr>
      <w:bookmarkStart w:id="1527" w:name="_Toc5291"/>
      <w:bookmarkStart w:id="1528" w:name="_Toc256000411"/>
      <w:bookmarkStart w:id="1529" w:name="_Toc14686"/>
      <w:r>
        <w:t>九</w:t>
      </w:r>
      <w:r>
        <w:rPr>
          <w:rFonts w:hint="eastAsia"/>
        </w:rPr>
        <w:t>、施工组织设计</w:t>
      </w:r>
      <w:bookmarkEnd w:id="1527"/>
      <w:bookmarkEnd w:id="1528"/>
      <w:bookmarkEnd w:id="1529"/>
    </w:p>
    <w:p>
      <w:pPr>
        <w:spacing w:line="420" w:lineRule="exact"/>
        <w:ind w:firstLine="420" w:firstLineChars="200"/>
        <w:rPr>
          <w:rFonts w:hint="eastAsia" w:ascii="宋体" w:hAnsi="宋体"/>
          <w:szCs w:val="21"/>
        </w:rPr>
      </w:pPr>
      <w:r>
        <w:rPr>
          <w:rFonts w:hint="eastAsia" w:ascii="宋体" w:hAnsi="宋体"/>
          <w:szCs w:val="21"/>
        </w:rPr>
        <w:t>1．投标人应根据招标文件和对现场的勘察情况，采用文字并结合图表形式，按照国家标准《建筑施工组织设计规范》（GB/T50502-2009）的要求编制本工程的施工组织设计，其要点如下：</w:t>
      </w:r>
    </w:p>
    <w:p>
      <w:pPr>
        <w:spacing w:line="420" w:lineRule="exact"/>
        <w:ind w:firstLine="420" w:firstLineChars="200"/>
        <w:rPr>
          <w:rFonts w:hint="eastAsia" w:ascii="宋体" w:hAnsi="宋体"/>
          <w:b/>
          <w:szCs w:val="21"/>
        </w:rPr>
      </w:pPr>
      <w:r>
        <w:rPr>
          <w:rFonts w:hint="eastAsia" w:ascii="宋体" w:hAnsi="宋体"/>
          <w:szCs w:val="21"/>
        </w:rPr>
        <w:t>（1）</w:t>
      </w:r>
      <w:r>
        <w:rPr>
          <w:rFonts w:hint="eastAsia" w:ascii="宋体" w:hAnsi="宋体"/>
          <w:b/>
          <w:szCs w:val="21"/>
        </w:rPr>
        <w:t>工程概况</w:t>
      </w:r>
    </w:p>
    <w:p>
      <w:pPr>
        <w:spacing w:line="420" w:lineRule="exact"/>
        <w:ind w:firstLine="945" w:firstLineChars="450"/>
        <w:rPr>
          <w:rFonts w:hint="eastAsia" w:ascii="宋体" w:hAnsi="宋体"/>
          <w:szCs w:val="21"/>
        </w:rPr>
      </w:pPr>
      <w:r>
        <w:rPr>
          <w:rFonts w:hint="eastAsia" w:ascii="宋体" w:hAnsi="宋体"/>
          <w:szCs w:val="21"/>
        </w:rPr>
        <w:t>包括工程主要情况、各专业设计简介、工程施工条件等；</w:t>
      </w:r>
    </w:p>
    <w:p>
      <w:pPr>
        <w:spacing w:line="420" w:lineRule="exact"/>
        <w:ind w:left="630" w:leftChars="200" w:hanging="210" w:hangingChars="100"/>
        <w:rPr>
          <w:rFonts w:hint="eastAsia" w:ascii="宋体" w:hAnsi="宋体"/>
          <w:szCs w:val="21"/>
        </w:rPr>
      </w:pPr>
      <w:r>
        <w:rPr>
          <w:rFonts w:hint="eastAsia" w:ascii="宋体" w:hAnsi="宋体"/>
          <w:szCs w:val="21"/>
        </w:rPr>
        <w:t>（2）</w:t>
      </w:r>
      <w:r>
        <w:rPr>
          <w:rFonts w:hint="eastAsia" w:ascii="宋体" w:hAnsi="宋体"/>
          <w:b/>
          <w:szCs w:val="21"/>
        </w:rPr>
        <w:t>施工部署</w:t>
      </w:r>
    </w:p>
    <w:p>
      <w:pPr>
        <w:spacing w:line="420" w:lineRule="exact"/>
        <w:ind w:left="962" w:leftChars="458"/>
        <w:rPr>
          <w:rFonts w:hint="eastAsia"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pPr>
        <w:spacing w:line="420" w:lineRule="exact"/>
        <w:ind w:left="630" w:leftChars="200" w:hanging="210" w:hangingChars="100"/>
        <w:rPr>
          <w:rFonts w:hint="eastAsia" w:ascii="宋体" w:hAnsi="宋体"/>
          <w:szCs w:val="21"/>
        </w:rPr>
      </w:pPr>
      <w:r>
        <w:rPr>
          <w:rFonts w:hint="eastAsia" w:ascii="宋体" w:hAnsi="宋体"/>
          <w:szCs w:val="21"/>
        </w:rPr>
        <w:t>（3）</w:t>
      </w:r>
      <w:r>
        <w:rPr>
          <w:rFonts w:hint="eastAsia" w:ascii="宋体" w:hAnsi="宋体"/>
          <w:b/>
          <w:szCs w:val="21"/>
        </w:rPr>
        <w:t>施工进度计划</w:t>
      </w:r>
    </w:p>
    <w:p>
      <w:pPr>
        <w:spacing w:line="420" w:lineRule="exact"/>
        <w:ind w:left="945" w:leftChars="450"/>
        <w:rPr>
          <w:rFonts w:hint="eastAsia" w:ascii="宋体" w:hAnsi="宋体"/>
          <w:szCs w:val="21"/>
        </w:rPr>
      </w:pPr>
      <w:r>
        <w:rPr>
          <w:rFonts w:hint="eastAsia" w:ascii="宋体" w:hAnsi="宋体"/>
          <w:szCs w:val="21"/>
        </w:rPr>
        <w:t>可采用网络图或横道图表示，并附必要说明，对于规模较大或较复杂的工程，宜采用网络图表示；</w:t>
      </w:r>
    </w:p>
    <w:p>
      <w:pPr>
        <w:spacing w:line="420" w:lineRule="exact"/>
        <w:ind w:left="630" w:leftChars="200" w:hanging="210" w:hangingChars="100"/>
        <w:rPr>
          <w:rFonts w:hint="eastAsia" w:ascii="宋体" w:hAnsi="宋体"/>
          <w:szCs w:val="21"/>
        </w:rPr>
      </w:pPr>
      <w:r>
        <w:rPr>
          <w:rFonts w:hint="eastAsia" w:ascii="宋体" w:hAnsi="宋体"/>
          <w:szCs w:val="21"/>
        </w:rPr>
        <w:t>（4）</w:t>
      </w:r>
      <w:r>
        <w:rPr>
          <w:rFonts w:hint="eastAsia" w:ascii="宋体" w:hAnsi="宋体"/>
          <w:b/>
          <w:szCs w:val="21"/>
        </w:rPr>
        <w:t>施工准备与资源配置计划</w:t>
      </w:r>
    </w:p>
    <w:p>
      <w:pPr>
        <w:spacing w:line="420" w:lineRule="exact"/>
        <w:ind w:left="945" w:leftChars="450"/>
        <w:rPr>
          <w:rFonts w:hint="eastAsia" w:ascii="宋体" w:hAnsi="宋体"/>
          <w:szCs w:val="21"/>
        </w:rPr>
      </w:pPr>
      <w:r>
        <w:rPr>
          <w:rFonts w:hint="eastAsia" w:ascii="宋体" w:hAnsi="宋体"/>
          <w:szCs w:val="21"/>
        </w:rPr>
        <w:t>施工准备包括技术准备、现场准备和资金准备；资源配置计划包括劳动力配置计划、主要工程材料和设备配置计划、主要周转材料和施工机具配置计划等；</w:t>
      </w:r>
    </w:p>
    <w:p>
      <w:pPr>
        <w:spacing w:line="420" w:lineRule="exact"/>
        <w:ind w:left="630" w:leftChars="200" w:hanging="210" w:hangingChars="100"/>
        <w:rPr>
          <w:rFonts w:hint="eastAsia" w:ascii="宋体" w:hAnsi="宋体"/>
          <w:szCs w:val="21"/>
        </w:rPr>
      </w:pPr>
      <w:r>
        <w:rPr>
          <w:rFonts w:hint="eastAsia" w:ascii="宋体" w:hAnsi="宋体"/>
          <w:szCs w:val="21"/>
        </w:rPr>
        <w:t>（5）</w:t>
      </w:r>
      <w:r>
        <w:rPr>
          <w:rFonts w:hint="eastAsia" w:ascii="宋体" w:hAnsi="宋体"/>
          <w:b/>
          <w:szCs w:val="21"/>
        </w:rPr>
        <w:t>主要施工方案</w:t>
      </w:r>
    </w:p>
    <w:p>
      <w:pPr>
        <w:spacing w:line="420" w:lineRule="exact"/>
        <w:ind w:left="945" w:leftChars="450"/>
        <w:rPr>
          <w:rFonts w:hint="eastAsia" w:ascii="宋体" w:hAnsi="宋体"/>
          <w:szCs w:val="21"/>
        </w:rPr>
      </w:pPr>
      <w:r>
        <w:rPr>
          <w:rFonts w:hint="eastAsia" w:ascii="宋体" w:hAnsi="宋体"/>
          <w:szCs w:val="21"/>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pPr>
        <w:spacing w:line="420" w:lineRule="exact"/>
        <w:ind w:left="630" w:leftChars="200" w:hanging="210" w:hangingChars="100"/>
        <w:rPr>
          <w:rFonts w:hint="eastAsia" w:ascii="宋体" w:hAnsi="宋体"/>
          <w:szCs w:val="21"/>
        </w:rPr>
      </w:pPr>
      <w:r>
        <w:rPr>
          <w:rFonts w:hint="eastAsia" w:ascii="宋体" w:hAnsi="宋体"/>
          <w:szCs w:val="21"/>
        </w:rPr>
        <w:t>（6）</w:t>
      </w:r>
      <w:r>
        <w:rPr>
          <w:rFonts w:hint="eastAsia" w:ascii="宋体" w:hAnsi="宋体"/>
          <w:b/>
          <w:szCs w:val="21"/>
        </w:rPr>
        <w:t>施工现场平面布置</w:t>
      </w:r>
    </w:p>
    <w:p>
      <w:pPr>
        <w:spacing w:line="420" w:lineRule="exact"/>
        <w:ind w:left="899" w:leftChars="428"/>
        <w:rPr>
          <w:rFonts w:hint="eastAsia" w:ascii="宋体" w:hAnsi="宋体"/>
          <w:szCs w:val="21"/>
        </w:rPr>
      </w:pPr>
      <w:r>
        <w:rPr>
          <w:rFonts w:hint="eastAsia" w:ascii="宋体" w:hAnsi="宋体"/>
          <w:szCs w:val="21"/>
        </w:rPr>
        <w:t>按不同施工阶段绘制施工现场平面布置图并附文字说明，说明施工场地状况；拟建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pPr>
        <w:spacing w:line="420" w:lineRule="exact"/>
        <w:ind w:left="630" w:leftChars="200" w:hanging="210" w:hangingChars="100"/>
        <w:rPr>
          <w:rFonts w:hint="eastAsia" w:ascii="宋体" w:hAnsi="宋体"/>
          <w:szCs w:val="21"/>
        </w:rPr>
      </w:pPr>
      <w:r>
        <w:rPr>
          <w:rFonts w:hint="eastAsia" w:ascii="宋体" w:hAnsi="宋体"/>
          <w:szCs w:val="21"/>
        </w:rPr>
        <w:t>（7）</w:t>
      </w:r>
      <w:r>
        <w:rPr>
          <w:rFonts w:hint="eastAsia" w:ascii="宋体" w:hAnsi="宋体"/>
          <w:b/>
          <w:szCs w:val="21"/>
        </w:rPr>
        <w:t>主要施工管理计划</w:t>
      </w:r>
    </w:p>
    <w:p>
      <w:pPr>
        <w:spacing w:line="420" w:lineRule="exact"/>
        <w:ind w:left="945" w:leftChars="450"/>
        <w:rPr>
          <w:rFonts w:hint="eastAsia" w:ascii="宋体" w:hAnsi="宋体"/>
          <w:szCs w:val="21"/>
        </w:rPr>
      </w:pPr>
      <w:r>
        <w:rPr>
          <w:rFonts w:hint="eastAsia" w:ascii="宋体" w:hAnsi="宋体"/>
          <w:szCs w:val="21"/>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pPr>
        <w:spacing w:line="420" w:lineRule="exact"/>
        <w:ind w:firstLine="420" w:firstLineChars="200"/>
        <w:rPr>
          <w:rFonts w:hint="eastAsia" w:ascii="宋体" w:hAnsi="宋体"/>
          <w:szCs w:val="21"/>
        </w:rPr>
      </w:pPr>
      <w:r>
        <w:rPr>
          <w:rFonts w:hint="eastAsia" w:ascii="宋体" w:hAnsi="宋体"/>
          <w:szCs w:val="21"/>
        </w:rPr>
        <w:t>2．施工组织设计除采用文字表述外可附下列图表，图表及格式要求附后。下述表格应按照章节内容，严格按给定的格式附在相应的章节中。</w:t>
      </w:r>
    </w:p>
    <w:p>
      <w:pPr>
        <w:spacing w:line="420" w:lineRule="exact"/>
        <w:ind w:firstLine="420" w:firstLineChars="200"/>
        <w:rPr>
          <w:rFonts w:hint="eastAsia" w:ascii="宋体" w:hAnsi="宋体"/>
          <w:szCs w:val="21"/>
        </w:rPr>
      </w:pPr>
      <w:r>
        <w:rPr>
          <w:rFonts w:hint="eastAsia" w:ascii="宋体" w:hAnsi="宋体"/>
          <w:szCs w:val="21"/>
        </w:rPr>
        <w:t>附表一  拟投入本工程的主要施工设备表</w:t>
      </w:r>
    </w:p>
    <w:p>
      <w:pPr>
        <w:spacing w:line="420" w:lineRule="exact"/>
        <w:ind w:firstLine="420" w:firstLineChars="200"/>
        <w:rPr>
          <w:rFonts w:hint="eastAsia" w:ascii="宋体" w:hAnsi="宋体"/>
          <w:szCs w:val="21"/>
        </w:rPr>
      </w:pPr>
      <w:r>
        <w:rPr>
          <w:rFonts w:hint="eastAsia" w:ascii="宋体" w:hAnsi="宋体"/>
          <w:szCs w:val="21"/>
        </w:rPr>
        <w:t>附表二  拟配备本工程的试验和检测仪器设备表</w:t>
      </w:r>
    </w:p>
    <w:p>
      <w:pPr>
        <w:spacing w:line="420" w:lineRule="exact"/>
        <w:ind w:firstLine="420" w:firstLineChars="200"/>
        <w:rPr>
          <w:rFonts w:hint="eastAsia" w:ascii="宋体" w:hAnsi="宋体"/>
          <w:szCs w:val="21"/>
        </w:rPr>
      </w:pPr>
      <w:r>
        <w:rPr>
          <w:rFonts w:hint="eastAsia" w:ascii="宋体" w:hAnsi="宋体"/>
          <w:szCs w:val="21"/>
        </w:rPr>
        <w:t>附表三  劳动力计划表</w:t>
      </w:r>
    </w:p>
    <w:p>
      <w:pPr>
        <w:spacing w:line="420" w:lineRule="exact"/>
        <w:ind w:firstLine="420" w:firstLineChars="200"/>
        <w:rPr>
          <w:rFonts w:hint="eastAsia" w:ascii="宋体" w:hAnsi="宋体"/>
          <w:szCs w:val="21"/>
        </w:rPr>
      </w:pPr>
      <w:r>
        <w:rPr>
          <w:rFonts w:hint="eastAsia" w:ascii="宋体" w:hAnsi="宋体"/>
          <w:szCs w:val="21"/>
        </w:rPr>
        <w:t>附表四  计划开、竣工日期和施工进度网络图</w:t>
      </w:r>
    </w:p>
    <w:p>
      <w:pPr>
        <w:spacing w:line="420" w:lineRule="exact"/>
        <w:ind w:firstLine="420" w:firstLineChars="200"/>
        <w:rPr>
          <w:rFonts w:hint="eastAsia" w:ascii="宋体" w:hAnsi="宋体"/>
          <w:szCs w:val="21"/>
        </w:rPr>
      </w:pPr>
      <w:r>
        <w:rPr>
          <w:rFonts w:hint="eastAsia" w:ascii="宋体" w:hAnsi="宋体"/>
          <w:szCs w:val="21"/>
        </w:rPr>
        <w:t>附表五  施工总平面图</w:t>
      </w:r>
    </w:p>
    <w:p>
      <w:pPr>
        <w:spacing w:line="420" w:lineRule="exact"/>
        <w:ind w:firstLine="420" w:firstLineChars="200"/>
        <w:rPr>
          <w:rFonts w:hint="eastAsia" w:ascii="宋体" w:hAnsi="宋体"/>
          <w:szCs w:val="21"/>
        </w:rPr>
      </w:pPr>
      <w:r>
        <w:rPr>
          <w:rFonts w:hint="eastAsia" w:ascii="宋体" w:hAnsi="宋体"/>
          <w:szCs w:val="21"/>
        </w:rPr>
        <w:t>附表六  临时用地表</w:t>
      </w:r>
    </w:p>
    <w:p>
      <w:pPr>
        <w:spacing w:before="156" w:beforeLines="50" w:after="312" w:afterLines="100" w:line="420" w:lineRule="exact"/>
        <w:rPr>
          <w:rFonts w:hint="eastAsia" w:ascii="黑体" w:hAnsi="宋体" w:eastAsia="黑体"/>
          <w:sz w:val="24"/>
        </w:rPr>
      </w:pPr>
    </w:p>
    <w:p>
      <w:pPr>
        <w:spacing w:before="156" w:beforeLines="50" w:after="312" w:afterLines="100" w:line="420" w:lineRule="exact"/>
        <w:rPr>
          <w:rFonts w:hint="eastAsia" w:ascii="黑体" w:hAnsi="宋体" w:eastAsia="黑体"/>
          <w:sz w:val="24"/>
        </w:rPr>
      </w:pPr>
    </w:p>
    <w:p>
      <w:pPr>
        <w:spacing w:before="156" w:beforeLines="50" w:after="312" w:afterLines="100" w:line="420" w:lineRule="exact"/>
        <w:rPr>
          <w:rFonts w:hint="eastAsia" w:ascii="黑体" w:hAnsi="宋体" w:eastAsia="黑体"/>
          <w:sz w:val="24"/>
        </w:rPr>
      </w:pPr>
    </w:p>
    <w:p>
      <w:pPr>
        <w:spacing w:before="156" w:beforeLines="50" w:after="312" w:afterLines="100" w:line="420" w:lineRule="exact"/>
        <w:rPr>
          <w:rFonts w:hint="eastAsia" w:ascii="黑体" w:hAnsi="宋体" w:eastAsia="黑体"/>
          <w:sz w:val="24"/>
        </w:rPr>
      </w:pPr>
    </w:p>
    <w:p>
      <w:pPr>
        <w:spacing w:before="156" w:beforeLines="50" w:after="312" w:afterLines="100" w:line="420" w:lineRule="exact"/>
        <w:rPr>
          <w:rFonts w:hint="eastAsia" w:ascii="黑体" w:hAnsi="宋体" w:eastAsia="黑体"/>
          <w:sz w:val="24"/>
        </w:rPr>
      </w:pPr>
      <w:r>
        <w:rPr>
          <w:rFonts w:ascii="黑体" w:hAnsi="宋体" w:eastAsia="黑体"/>
          <w:sz w:val="24"/>
        </w:rPr>
        <w:br w:type="page"/>
      </w:r>
    </w:p>
    <w:p>
      <w:pPr>
        <w:pStyle w:val="31"/>
        <w:rPr>
          <w:szCs w:val="24"/>
        </w:rPr>
      </w:pPr>
      <w:bookmarkStart w:id="1530" w:name="_Toc152264830"/>
      <w:bookmarkStart w:id="1531" w:name="_Toc256000412"/>
      <w:bookmarkStart w:id="1532" w:name="_Toc14311"/>
      <w:r>
        <w:rPr>
          <w:rFonts w:hint="eastAsia"/>
          <w:szCs w:val="24"/>
        </w:rPr>
        <w:t>附表一：拟投入本工程的主要施工设备表</w:t>
      </w:r>
      <w:bookmarkEnd w:id="1530"/>
      <w:bookmarkEnd w:id="1531"/>
      <w:bookmarkEnd w:id="153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pPr>
              <w:jc w:val="center"/>
              <w:rPr>
                <w:rFonts w:hint="eastAsia" w:ascii="宋体" w:hAnsi="宋体"/>
                <w:szCs w:val="21"/>
              </w:rPr>
            </w:pPr>
            <w:r>
              <w:rPr>
                <w:rFonts w:hint="eastAsia" w:ascii="宋体" w:hAnsi="宋体"/>
                <w:szCs w:val="21"/>
              </w:rPr>
              <w:t>序号</w:t>
            </w:r>
          </w:p>
        </w:tc>
        <w:tc>
          <w:tcPr>
            <w:tcW w:w="1064" w:type="dxa"/>
            <w:vAlign w:val="center"/>
          </w:tcPr>
          <w:p>
            <w:pPr>
              <w:jc w:val="center"/>
              <w:rPr>
                <w:rFonts w:hint="eastAsia" w:ascii="宋体" w:hAnsi="宋体"/>
                <w:szCs w:val="21"/>
              </w:rPr>
            </w:pPr>
            <w:r>
              <w:rPr>
                <w:rFonts w:hint="eastAsia" w:ascii="宋体" w:hAnsi="宋体"/>
                <w:szCs w:val="21"/>
              </w:rPr>
              <w:t>设备名称</w:t>
            </w:r>
          </w:p>
        </w:tc>
        <w:tc>
          <w:tcPr>
            <w:tcW w:w="672" w:type="dxa"/>
            <w:vAlign w:val="center"/>
          </w:tcPr>
          <w:p>
            <w:pPr>
              <w:jc w:val="center"/>
              <w:rPr>
                <w:rFonts w:hint="eastAsia" w:ascii="宋体" w:hAnsi="宋体"/>
                <w:szCs w:val="21"/>
              </w:rPr>
            </w:pPr>
            <w:r>
              <w:rPr>
                <w:rFonts w:hint="eastAsia" w:ascii="宋体" w:hAnsi="宋体"/>
                <w:szCs w:val="21"/>
              </w:rPr>
              <w:t>型号</w:t>
            </w:r>
          </w:p>
          <w:p>
            <w:pPr>
              <w:jc w:val="center"/>
              <w:rPr>
                <w:rFonts w:hint="eastAsia" w:ascii="宋体" w:hAnsi="宋体"/>
                <w:szCs w:val="21"/>
              </w:rPr>
            </w:pPr>
            <w:r>
              <w:rPr>
                <w:rFonts w:hint="eastAsia" w:ascii="宋体" w:hAnsi="宋体"/>
                <w:szCs w:val="21"/>
              </w:rPr>
              <w:t>规格</w:t>
            </w:r>
          </w:p>
        </w:tc>
        <w:tc>
          <w:tcPr>
            <w:tcW w:w="1022" w:type="dxa"/>
            <w:vAlign w:val="center"/>
          </w:tcPr>
          <w:p>
            <w:pPr>
              <w:jc w:val="center"/>
              <w:rPr>
                <w:rFonts w:hint="eastAsia" w:ascii="宋体" w:hAnsi="宋体"/>
                <w:szCs w:val="21"/>
              </w:rPr>
            </w:pPr>
            <w:r>
              <w:rPr>
                <w:rFonts w:hint="eastAsia" w:ascii="宋体" w:hAnsi="宋体"/>
                <w:szCs w:val="21"/>
              </w:rPr>
              <w:t>数  量</w:t>
            </w:r>
          </w:p>
        </w:tc>
        <w:tc>
          <w:tcPr>
            <w:tcW w:w="709" w:type="dxa"/>
            <w:vAlign w:val="center"/>
          </w:tcPr>
          <w:p>
            <w:pPr>
              <w:jc w:val="center"/>
              <w:rPr>
                <w:rFonts w:hint="eastAsia" w:ascii="宋体" w:hAnsi="宋体"/>
                <w:szCs w:val="21"/>
              </w:rPr>
            </w:pPr>
            <w:r>
              <w:rPr>
                <w:rFonts w:hint="eastAsia" w:ascii="宋体" w:hAnsi="宋体"/>
                <w:szCs w:val="21"/>
              </w:rPr>
              <w:t>国别</w:t>
            </w:r>
          </w:p>
          <w:p>
            <w:pPr>
              <w:jc w:val="center"/>
              <w:rPr>
                <w:rFonts w:hint="eastAsia" w:ascii="宋体" w:hAnsi="宋体"/>
                <w:szCs w:val="21"/>
              </w:rPr>
            </w:pPr>
            <w:r>
              <w:rPr>
                <w:rFonts w:hint="eastAsia" w:ascii="宋体" w:hAnsi="宋体"/>
                <w:szCs w:val="21"/>
              </w:rPr>
              <w:t>产地</w:t>
            </w:r>
          </w:p>
        </w:tc>
        <w:tc>
          <w:tcPr>
            <w:tcW w:w="709" w:type="dxa"/>
            <w:vAlign w:val="center"/>
          </w:tcPr>
          <w:p>
            <w:pPr>
              <w:jc w:val="center"/>
              <w:rPr>
                <w:rFonts w:hint="eastAsia" w:ascii="宋体" w:hAnsi="宋体"/>
                <w:szCs w:val="21"/>
              </w:rPr>
            </w:pPr>
            <w:r>
              <w:rPr>
                <w:rFonts w:hint="eastAsia" w:ascii="宋体" w:hAnsi="宋体"/>
                <w:szCs w:val="21"/>
              </w:rPr>
              <w:t>制造</w:t>
            </w:r>
          </w:p>
          <w:p>
            <w:pPr>
              <w:jc w:val="center"/>
              <w:rPr>
                <w:rFonts w:hint="eastAsia" w:ascii="宋体" w:hAnsi="宋体"/>
                <w:szCs w:val="21"/>
              </w:rPr>
            </w:pPr>
            <w:r>
              <w:rPr>
                <w:rFonts w:hint="eastAsia" w:ascii="宋体" w:hAnsi="宋体"/>
                <w:szCs w:val="21"/>
              </w:rPr>
              <w:t>年份</w:t>
            </w:r>
          </w:p>
        </w:tc>
        <w:tc>
          <w:tcPr>
            <w:tcW w:w="1176" w:type="dxa"/>
            <w:vAlign w:val="center"/>
          </w:tcPr>
          <w:p>
            <w:pPr>
              <w:jc w:val="center"/>
              <w:rPr>
                <w:rFonts w:hint="eastAsia" w:ascii="宋体" w:hAnsi="宋体"/>
                <w:szCs w:val="21"/>
              </w:rPr>
            </w:pPr>
            <w:r>
              <w:rPr>
                <w:rFonts w:hint="eastAsia" w:ascii="宋体" w:hAnsi="宋体"/>
                <w:szCs w:val="21"/>
              </w:rPr>
              <w:t>额定功率</w:t>
            </w:r>
          </w:p>
          <w:p>
            <w:pPr>
              <w:jc w:val="center"/>
              <w:rPr>
                <w:rFonts w:hint="eastAsia" w:ascii="宋体" w:hAnsi="宋体"/>
                <w:szCs w:val="21"/>
              </w:rPr>
            </w:pPr>
            <w:r>
              <w:rPr>
                <w:rFonts w:hint="eastAsia" w:ascii="宋体" w:hAnsi="宋体"/>
                <w:szCs w:val="21"/>
              </w:rPr>
              <w:t>（KW）</w:t>
            </w:r>
          </w:p>
        </w:tc>
        <w:tc>
          <w:tcPr>
            <w:tcW w:w="872" w:type="dxa"/>
            <w:vAlign w:val="center"/>
          </w:tcPr>
          <w:p>
            <w:pPr>
              <w:jc w:val="center"/>
              <w:rPr>
                <w:rFonts w:hint="eastAsia" w:ascii="宋体" w:hAnsi="宋体"/>
                <w:szCs w:val="21"/>
              </w:rPr>
            </w:pPr>
            <w:r>
              <w:rPr>
                <w:rFonts w:hint="eastAsia" w:ascii="宋体" w:hAnsi="宋体"/>
                <w:szCs w:val="21"/>
              </w:rPr>
              <w:t>生产</w:t>
            </w:r>
          </w:p>
          <w:p>
            <w:pPr>
              <w:jc w:val="center"/>
              <w:rPr>
                <w:rFonts w:hint="eastAsia" w:ascii="宋体" w:hAnsi="宋体"/>
                <w:szCs w:val="21"/>
              </w:rPr>
            </w:pPr>
            <w:r>
              <w:rPr>
                <w:rFonts w:hint="eastAsia" w:ascii="宋体" w:hAnsi="宋体"/>
                <w:szCs w:val="21"/>
              </w:rPr>
              <w:t>能力</w:t>
            </w:r>
          </w:p>
        </w:tc>
        <w:tc>
          <w:tcPr>
            <w:tcW w:w="872" w:type="dxa"/>
            <w:vAlign w:val="center"/>
          </w:tcPr>
          <w:p>
            <w:pPr>
              <w:jc w:val="center"/>
              <w:rPr>
                <w:rFonts w:hint="eastAsia" w:ascii="宋体" w:hAnsi="宋体"/>
                <w:szCs w:val="21"/>
              </w:rPr>
            </w:pPr>
            <w:r>
              <w:rPr>
                <w:rFonts w:hint="eastAsia" w:ascii="宋体" w:hAnsi="宋体"/>
                <w:szCs w:val="21"/>
              </w:rPr>
              <w:t>用于施</w:t>
            </w:r>
          </w:p>
          <w:p>
            <w:pPr>
              <w:jc w:val="center"/>
              <w:rPr>
                <w:rFonts w:hint="eastAsia" w:ascii="宋体" w:hAnsi="宋体"/>
                <w:szCs w:val="21"/>
              </w:rPr>
            </w:pPr>
            <w:r>
              <w:rPr>
                <w:rFonts w:hint="eastAsia" w:ascii="宋体" w:hAnsi="宋体"/>
                <w:szCs w:val="21"/>
              </w:rPr>
              <w:t>工部位</w:t>
            </w:r>
          </w:p>
        </w:tc>
        <w:tc>
          <w:tcPr>
            <w:tcW w:w="765" w:type="dxa"/>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szCs w:val="21"/>
              </w:rPr>
            </w:pPr>
          </w:p>
        </w:tc>
        <w:tc>
          <w:tcPr>
            <w:tcW w:w="1064" w:type="dxa"/>
            <w:vAlign w:val="center"/>
          </w:tcPr>
          <w:p>
            <w:pPr>
              <w:jc w:val="center"/>
              <w:rPr>
                <w:rFonts w:hint="eastAsia" w:ascii="宋体" w:hAnsi="宋体"/>
                <w:szCs w:val="21"/>
              </w:rPr>
            </w:pPr>
          </w:p>
        </w:tc>
        <w:tc>
          <w:tcPr>
            <w:tcW w:w="67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709" w:type="dxa"/>
            <w:vAlign w:val="center"/>
          </w:tcPr>
          <w:p>
            <w:pPr>
              <w:jc w:val="center"/>
              <w:rPr>
                <w:rFonts w:hint="eastAsia" w:ascii="宋体" w:hAnsi="宋体"/>
                <w:szCs w:val="21"/>
              </w:rPr>
            </w:pPr>
          </w:p>
        </w:tc>
        <w:tc>
          <w:tcPr>
            <w:tcW w:w="1176"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872" w:type="dxa"/>
            <w:vAlign w:val="center"/>
          </w:tcPr>
          <w:p>
            <w:pPr>
              <w:jc w:val="center"/>
              <w:rPr>
                <w:rFonts w:hint="eastAsia" w:ascii="宋体" w:hAnsi="宋体"/>
                <w:szCs w:val="21"/>
              </w:rPr>
            </w:pPr>
          </w:p>
        </w:tc>
        <w:tc>
          <w:tcPr>
            <w:tcW w:w="765" w:type="dxa"/>
            <w:vAlign w:val="center"/>
          </w:tcPr>
          <w:p>
            <w:pPr>
              <w:jc w:val="center"/>
              <w:rPr>
                <w:rFonts w:hint="eastAsia" w:ascii="宋体" w:hAnsi="宋体"/>
                <w:szCs w:val="21"/>
              </w:rPr>
            </w:pPr>
          </w:p>
        </w:tc>
      </w:tr>
    </w:tbl>
    <w:p>
      <w:pPr>
        <w:spacing w:line="420" w:lineRule="exact"/>
        <w:rPr>
          <w:rFonts w:hint="eastAsia" w:ascii="宋体" w:hAnsi="宋体"/>
          <w:szCs w:val="21"/>
        </w:rPr>
      </w:pPr>
    </w:p>
    <w:p>
      <w:pPr>
        <w:spacing w:line="420" w:lineRule="exact"/>
        <w:rPr>
          <w:rFonts w:hint="eastAsia" w:ascii="宋体" w:hAnsi="宋体"/>
          <w:szCs w:val="21"/>
        </w:rPr>
      </w:pPr>
      <w:r>
        <w:rPr>
          <w:rFonts w:ascii="宋体" w:hAnsi="宋体"/>
          <w:szCs w:val="21"/>
        </w:rPr>
        <w:br w:type="page"/>
      </w:r>
    </w:p>
    <w:p>
      <w:pPr>
        <w:pStyle w:val="31"/>
        <w:rPr>
          <w:rFonts w:hint="eastAsia" w:ascii="黑体" w:hAnsi="宋体"/>
          <w:szCs w:val="24"/>
        </w:rPr>
      </w:pPr>
      <w:bookmarkStart w:id="1533" w:name="_Toc152264831"/>
      <w:bookmarkStart w:id="1534" w:name="_Toc256000413"/>
      <w:bookmarkStart w:id="1535" w:name="_Toc453"/>
      <w:r>
        <w:rPr>
          <w:rFonts w:hint="eastAsia"/>
          <w:szCs w:val="24"/>
        </w:rPr>
        <w:t>附表二：拟配备本工程的试验和检测仪器设备表</w:t>
      </w:r>
      <w:bookmarkEnd w:id="1533"/>
      <w:bookmarkEnd w:id="1534"/>
      <w:bookmarkEnd w:id="1535"/>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22"/>
        <w:gridCol w:w="656"/>
        <w:gridCol w:w="982"/>
        <w:gridCol w:w="690"/>
        <w:gridCol w:w="690"/>
        <w:gridCol w:w="1126"/>
        <w:gridCol w:w="1577"/>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pPr>
              <w:jc w:val="center"/>
              <w:rPr>
                <w:rFonts w:hint="eastAsia" w:ascii="宋体" w:hAnsi="宋体"/>
                <w:szCs w:val="21"/>
              </w:rPr>
            </w:pPr>
            <w:r>
              <w:rPr>
                <w:rFonts w:hint="eastAsia" w:ascii="宋体" w:hAnsi="宋体"/>
                <w:szCs w:val="21"/>
              </w:rPr>
              <w:t>序号</w:t>
            </w:r>
          </w:p>
        </w:tc>
        <w:tc>
          <w:tcPr>
            <w:tcW w:w="1022" w:type="dxa"/>
            <w:vAlign w:val="center"/>
          </w:tcPr>
          <w:p>
            <w:pPr>
              <w:jc w:val="center"/>
              <w:rPr>
                <w:rFonts w:hint="eastAsia" w:ascii="宋体" w:hAnsi="宋体"/>
                <w:szCs w:val="21"/>
              </w:rPr>
            </w:pPr>
            <w:r>
              <w:rPr>
                <w:rFonts w:hint="eastAsia" w:ascii="宋体" w:hAnsi="宋体"/>
                <w:szCs w:val="21"/>
              </w:rPr>
              <w:t>仪器设备名称</w:t>
            </w:r>
          </w:p>
        </w:tc>
        <w:tc>
          <w:tcPr>
            <w:tcW w:w="656" w:type="dxa"/>
            <w:vAlign w:val="center"/>
          </w:tcPr>
          <w:p>
            <w:pPr>
              <w:jc w:val="center"/>
              <w:rPr>
                <w:rFonts w:hint="eastAsia" w:ascii="宋体" w:hAnsi="宋体"/>
                <w:szCs w:val="21"/>
              </w:rPr>
            </w:pPr>
            <w:r>
              <w:rPr>
                <w:rFonts w:hint="eastAsia" w:ascii="宋体" w:hAnsi="宋体"/>
                <w:szCs w:val="21"/>
              </w:rPr>
              <w:t>型号</w:t>
            </w:r>
          </w:p>
          <w:p>
            <w:pPr>
              <w:jc w:val="center"/>
              <w:rPr>
                <w:rFonts w:hint="eastAsia" w:ascii="宋体" w:hAnsi="宋体"/>
                <w:szCs w:val="21"/>
              </w:rPr>
            </w:pPr>
            <w:r>
              <w:rPr>
                <w:rFonts w:hint="eastAsia" w:ascii="宋体" w:hAnsi="宋体"/>
                <w:szCs w:val="21"/>
              </w:rPr>
              <w:t>规格</w:t>
            </w:r>
          </w:p>
        </w:tc>
        <w:tc>
          <w:tcPr>
            <w:tcW w:w="982" w:type="dxa"/>
            <w:vAlign w:val="center"/>
          </w:tcPr>
          <w:p>
            <w:pPr>
              <w:jc w:val="center"/>
              <w:rPr>
                <w:rFonts w:hint="eastAsia" w:ascii="宋体" w:hAnsi="宋体"/>
                <w:szCs w:val="21"/>
              </w:rPr>
            </w:pPr>
            <w:r>
              <w:rPr>
                <w:rFonts w:hint="eastAsia" w:ascii="宋体" w:hAnsi="宋体"/>
                <w:szCs w:val="21"/>
              </w:rPr>
              <w:t>数  量</w:t>
            </w:r>
          </w:p>
        </w:tc>
        <w:tc>
          <w:tcPr>
            <w:tcW w:w="690" w:type="dxa"/>
            <w:vAlign w:val="center"/>
          </w:tcPr>
          <w:p>
            <w:pPr>
              <w:jc w:val="center"/>
              <w:rPr>
                <w:rFonts w:hint="eastAsia" w:ascii="宋体" w:hAnsi="宋体"/>
                <w:szCs w:val="21"/>
              </w:rPr>
            </w:pPr>
            <w:r>
              <w:rPr>
                <w:rFonts w:hint="eastAsia" w:ascii="宋体" w:hAnsi="宋体"/>
                <w:szCs w:val="21"/>
              </w:rPr>
              <w:t>国别</w:t>
            </w:r>
          </w:p>
          <w:p>
            <w:pPr>
              <w:jc w:val="center"/>
              <w:rPr>
                <w:rFonts w:hint="eastAsia" w:ascii="宋体" w:hAnsi="宋体"/>
                <w:szCs w:val="21"/>
              </w:rPr>
            </w:pPr>
            <w:r>
              <w:rPr>
                <w:rFonts w:hint="eastAsia" w:ascii="宋体" w:hAnsi="宋体"/>
                <w:szCs w:val="21"/>
              </w:rPr>
              <w:t>产地</w:t>
            </w:r>
          </w:p>
        </w:tc>
        <w:tc>
          <w:tcPr>
            <w:tcW w:w="690" w:type="dxa"/>
            <w:vAlign w:val="center"/>
          </w:tcPr>
          <w:p>
            <w:pPr>
              <w:jc w:val="center"/>
              <w:rPr>
                <w:rFonts w:hint="eastAsia" w:ascii="宋体" w:hAnsi="宋体"/>
                <w:szCs w:val="21"/>
              </w:rPr>
            </w:pPr>
            <w:r>
              <w:rPr>
                <w:rFonts w:hint="eastAsia" w:ascii="宋体" w:hAnsi="宋体"/>
                <w:szCs w:val="21"/>
              </w:rPr>
              <w:t>制造</w:t>
            </w:r>
          </w:p>
          <w:p>
            <w:pPr>
              <w:jc w:val="center"/>
              <w:rPr>
                <w:rFonts w:hint="eastAsia" w:ascii="宋体" w:hAnsi="宋体"/>
                <w:szCs w:val="21"/>
              </w:rPr>
            </w:pPr>
            <w:r>
              <w:rPr>
                <w:rFonts w:hint="eastAsia" w:ascii="宋体" w:hAnsi="宋体"/>
                <w:szCs w:val="21"/>
              </w:rPr>
              <w:t>年份</w:t>
            </w:r>
          </w:p>
        </w:tc>
        <w:tc>
          <w:tcPr>
            <w:tcW w:w="1126" w:type="dxa"/>
            <w:vAlign w:val="center"/>
          </w:tcPr>
          <w:p>
            <w:pPr>
              <w:jc w:val="center"/>
              <w:rPr>
                <w:rFonts w:hint="eastAsia" w:ascii="宋体" w:hAnsi="宋体"/>
                <w:szCs w:val="21"/>
              </w:rPr>
            </w:pPr>
            <w:r>
              <w:rPr>
                <w:rFonts w:hint="eastAsia" w:ascii="宋体" w:hAnsi="宋体"/>
                <w:szCs w:val="21"/>
              </w:rPr>
              <w:t>已使用台</w:t>
            </w:r>
          </w:p>
          <w:p>
            <w:pPr>
              <w:jc w:val="center"/>
              <w:rPr>
                <w:rFonts w:hint="eastAsia" w:ascii="宋体" w:hAnsi="宋体"/>
                <w:szCs w:val="21"/>
              </w:rPr>
            </w:pPr>
            <w:r>
              <w:rPr>
                <w:rFonts w:hint="eastAsia" w:ascii="宋体" w:hAnsi="宋体"/>
                <w:szCs w:val="21"/>
              </w:rPr>
              <w:t>时    数</w:t>
            </w:r>
          </w:p>
        </w:tc>
        <w:tc>
          <w:tcPr>
            <w:tcW w:w="1577" w:type="dxa"/>
            <w:vAlign w:val="center"/>
          </w:tcPr>
          <w:p>
            <w:pPr>
              <w:jc w:val="center"/>
              <w:rPr>
                <w:rFonts w:hint="eastAsia" w:ascii="宋体" w:hAnsi="宋体"/>
                <w:szCs w:val="21"/>
              </w:rPr>
            </w:pPr>
            <w:r>
              <w:rPr>
                <w:rFonts w:hint="eastAsia" w:ascii="宋体" w:hAnsi="宋体"/>
                <w:szCs w:val="21"/>
              </w:rPr>
              <w:t>用  途</w:t>
            </w:r>
          </w:p>
        </w:tc>
        <w:tc>
          <w:tcPr>
            <w:tcW w:w="822" w:type="dxa"/>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szCs w:val="21"/>
              </w:rPr>
            </w:pPr>
          </w:p>
        </w:tc>
        <w:tc>
          <w:tcPr>
            <w:tcW w:w="1022" w:type="dxa"/>
            <w:vAlign w:val="center"/>
          </w:tcPr>
          <w:p>
            <w:pPr>
              <w:jc w:val="center"/>
              <w:rPr>
                <w:rFonts w:hint="eastAsia" w:ascii="宋体" w:hAnsi="宋体"/>
                <w:szCs w:val="21"/>
              </w:rPr>
            </w:pPr>
          </w:p>
        </w:tc>
        <w:tc>
          <w:tcPr>
            <w:tcW w:w="656" w:type="dxa"/>
            <w:vAlign w:val="center"/>
          </w:tcPr>
          <w:p>
            <w:pPr>
              <w:jc w:val="center"/>
              <w:rPr>
                <w:rFonts w:hint="eastAsia" w:ascii="宋体" w:hAnsi="宋体"/>
                <w:szCs w:val="21"/>
              </w:rPr>
            </w:pPr>
          </w:p>
        </w:tc>
        <w:tc>
          <w:tcPr>
            <w:tcW w:w="982"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690" w:type="dxa"/>
            <w:vAlign w:val="center"/>
          </w:tcPr>
          <w:p>
            <w:pPr>
              <w:jc w:val="center"/>
              <w:rPr>
                <w:rFonts w:hint="eastAsia" w:ascii="宋体" w:hAnsi="宋体"/>
                <w:szCs w:val="21"/>
              </w:rPr>
            </w:pPr>
          </w:p>
        </w:tc>
        <w:tc>
          <w:tcPr>
            <w:tcW w:w="1126" w:type="dxa"/>
            <w:vAlign w:val="center"/>
          </w:tcPr>
          <w:p>
            <w:pPr>
              <w:jc w:val="center"/>
              <w:rPr>
                <w:rFonts w:hint="eastAsia" w:ascii="宋体" w:hAnsi="宋体"/>
                <w:szCs w:val="21"/>
              </w:rPr>
            </w:pPr>
          </w:p>
        </w:tc>
        <w:tc>
          <w:tcPr>
            <w:tcW w:w="1577" w:type="dxa"/>
            <w:vAlign w:val="center"/>
          </w:tcPr>
          <w:p>
            <w:pPr>
              <w:jc w:val="center"/>
              <w:rPr>
                <w:rFonts w:hint="eastAsia" w:ascii="宋体" w:hAnsi="宋体"/>
                <w:szCs w:val="21"/>
              </w:rPr>
            </w:pPr>
          </w:p>
        </w:tc>
        <w:tc>
          <w:tcPr>
            <w:tcW w:w="822" w:type="dxa"/>
            <w:vAlign w:val="center"/>
          </w:tcPr>
          <w:p>
            <w:pPr>
              <w:jc w:val="center"/>
              <w:rPr>
                <w:rFonts w:hint="eastAsia" w:ascii="宋体" w:hAnsi="宋体"/>
                <w:szCs w:val="21"/>
              </w:rPr>
            </w:pPr>
          </w:p>
        </w:tc>
      </w:tr>
    </w:tbl>
    <w:p>
      <w:pPr>
        <w:spacing w:line="420" w:lineRule="exact"/>
        <w:rPr>
          <w:rFonts w:hint="eastAsia" w:ascii="宋体" w:hAnsi="宋体"/>
          <w:szCs w:val="21"/>
        </w:rPr>
      </w:pPr>
    </w:p>
    <w:p>
      <w:pPr>
        <w:spacing w:line="420" w:lineRule="exact"/>
        <w:rPr>
          <w:rFonts w:hint="eastAsia" w:ascii="宋体" w:hAnsi="宋体"/>
          <w:szCs w:val="21"/>
        </w:rPr>
      </w:pPr>
    </w:p>
    <w:p>
      <w:pPr>
        <w:spacing w:line="420" w:lineRule="exact"/>
        <w:rPr>
          <w:rFonts w:hint="eastAsia" w:ascii="宋体" w:hAnsi="宋体"/>
          <w:szCs w:val="21"/>
        </w:rPr>
      </w:pPr>
      <w:r>
        <w:rPr>
          <w:rFonts w:ascii="宋体" w:hAnsi="宋体"/>
          <w:szCs w:val="21"/>
        </w:rPr>
        <w:br w:type="page"/>
      </w:r>
    </w:p>
    <w:p>
      <w:pPr>
        <w:pStyle w:val="31"/>
        <w:rPr>
          <w:rFonts w:hint="eastAsia" w:ascii="黑体" w:hAnsi="宋体"/>
        </w:rPr>
      </w:pPr>
      <w:bookmarkStart w:id="1536" w:name="_Toc9262"/>
      <w:bookmarkStart w:id="1537" w:name="_Toc256000414"/>
      <w:bookmarkStart w:id="1538" w:name="_Toc152264832"/>
      <w:r>
        <w:rPr>
          <w:rFonts w:hint="eastAsia"/>
          <w:szCs w:val="24"/>
        </w:rPr>
        <w:t>附表三：劳动力计划表</w:t>
      </w:r>
      <w:bookmarkEnd w:id="1536"/>
      <w:bookmarkEnd w:id="1537"/>
      <w:bookmarkEnd w:id="1538"/>
    </w:p>
    <w:p>
      <w:pPr>
        <w:wordWrap w:val="0"/>
        <w:spacing w:line="420" w:lineRule="exact"/>
        <w:ind w:right="420"/>
        <w:jc w:val="right"/>
        <w:rPr>
          <w:rFonts w:hint="eastAsia" w:ascii="黑体" w:hAnsi="宋体" w:eastAsia="黑体"/>
          <w:szCs w:val="21"/>
        </w:rPr>
      </w:pPr>
      <w:r>
        <w:rPr>
          <w:rFonts w:hint="eastAsia" w:ascii="黑体" w:hAnsi="宋体" w:eastAsia="黑体"/>
          <w:szCs w:val="21"/>
        </w:rPr>
        <w:t xml:space="preserve">单位：人   </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01"/>
        <w:gridCol w:w="1051"/>
        <w:gridCol w:w="1051"/>
        <w:gridCol w:w="1051"/>
        <w:gridCol w:w="1051"/>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pPr>
              <w:jc w:val="center"/>
              <w:rPr>
                <w:rFonts w:hint="eastAsia" w:ascii="宋体" w:hAnsi="宋体"/>
                <w:szCs w:val="21"/>
              </w:rPr>
            </w:pPr>
            <w:r>
              <w:rPr>
                <w:rFonts w:hint="eastAsia" w:ascii="宋体" w:hAnsi="宋体"/>
                <w:szCs w:val="21"/>
              </w:rPr>
              <w:t>工种</w:t>
            </w:r>
          </w:p>
        </w:tc>
        <w:tc>
          <w:tcPr>
            <w:tcW w:w="7796" w:type="dxa"/>
            <w:gridSpan w:val="7"/>
            <w:vAlign w:val="center"/>
          </w:tcPr>
          <w:p>
            <w:pPr>
              <w:jc w:val="center"/>
              <w:rPr>
                <w:rFonts w:hint="eastAsia" w:ascii="宋体" w:hAnsi="宋体"/>
                <w:szCs w:val="21"/>
              </w:rPr>
            </w:pPr>
            <w:r>
              <w:rPr>
                <w:rFonts w:hint="eastAsia" w:ascii="宋体" w:hAnsi="宋体"/>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szCs w:val="21"/>
              </w:rPr>
            </w:pPr>
          </w:p>
        </w:tc>
        <w:tc>
          <w:tcPr>
            <w:tcW w:w="1418"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c>
          <w:tcPr>
            <w:tcW w:w="1063" w:type="dxa"/>
            <w:vAlign w:val="center"/>
          </w:tcPr>
          <w:p>
            <w:pPr>
              <w:jc w:val="center"/>
              <w:rPr>
                <w:rFonts w:hint="eastAsia" w:ascii="宋体" w:hAnsi="宋体"/>
                <w:szCs w:val="21"/>
              </w:rPr>
            </w:pPr>
          </w:p>
        </w:tc>
      </w:tr>
    </w:tbl>
    <w:p>
      <w:pPr>
        <w:spacing w:line="420" w:lineRule="exact"/>
        <w:rPr>
          <w:rFonts w:hint="eastAsia" w:ascii="宋体" w:hAnsi="宋体"/>
          <w:szCs w:val="21"/>
        </w:rPr>
      </w:pPr>
    </w:p>
    <w:p>
      <w:pPr>
        <w:spacing w:line="420" w:lineRule="exact"/>
        <w:rPr>
          <w:rFonts w:hint="eastAsia" w:ascii="宋体" w:hAnsi="宋体"/>
          <w:szCs w:val="21"/>
        </w:rPr>
      </w:pPr>
      <w:r>
        <w:rPr>
          <w:rFonts w:ascii="宋体" w:hAnsi="宋体"/>
          <w:szCs w:val="21"/>
        </w:rPr>
        <w:br w:type="page"/>
      </w:r>
    </w:p>
    <w:p>
      <w:pPr>
        <w:pStyle w:val="31"/>
        <w:rPr>
          <w:rFonts w:hint="eastAsia" w:ascii="黑体" w:hAnsi="宋体"/>
        </w:rPr>
      </w:pPr>
      <w:bookmarkStart w:id="1539" w:name="_Toc2968"/>
      <w:bookmarkStart w:id="1540" w:name="_Toc152264833"/>
      <w:bookmarkStart w:id="1541" w:name="_Toc256000415"/>
      <w:r>
        <w:rPr>
          <w:rFonts w:hint="eastAsia"/>
          <w:szCs w:val="24"/>
        </w:rPr>
        <w:t>附表四：计划开、竣工日期和施工进度网络图</w:t>
      </w:r>
      <w:bookmarkEnd w:id="1539"/>
      <w:bookmarkEnd w:id="1540"/>
      <w:bookmarkEnd w:id="1541"/>
    </w:p>
    <w:p>
      <w:pPr>
        <w:spacing w:line="420" w:lineRule="exact"/>
        <w:ind w:firstLine="420" w:firstLineChars="200"/>
        <w:rPr>
          <w:rFonts w:hint="eastAsia" w:ascii="宋体" w:hAnsi="宋体"/>
          <w:szCs w:val="21"/>
        </w:rPr>
      </w:pPr>
      <w:r>
        <w:rPr>
          <w:rFonts w:hint="eastAsia" w:ascii="宋体" w:hAnsi="宋体"/>
          <w:szCs w:val="21"/>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szCs w:val="21"/>
        </w:rPr>
      </w:pPr>
      <w:r>
        <w:rPr>
          <w:rFonts w:hint="eastAsia" w:ascii="宋体" w:hAnsi="宋体"/>
          <w:szCs w:val="21"/>
        </w:rPr>
        <w:t>2.施工进度表可采用网络图和（或）横道图表示。</w:t>
      </w: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r>
        <w:rPr>
          <w:rFonts w:ascii="宋体" w:hAnsi="宋体"/>
          <w:szCs w:val="21"/>
        </w:rPr>
        <w:br w:type="page"/>
      </w:r>
    </w:p>
    <w:p>
      <w:pPr>
        <w:pStyle w:val="31"/>
        <w:rPr>
          <w:rFonts w:hint="eastAsia" w:ascii="宋体" w:hAnsi="宋体"/>
          <w:szCs w:val="21"/>
        </w:rPr>
      </w:pPr>
      <w:bookmarkStart w:id="1542" w:name="_Toc152264834"/>
      <w:bookmarkStart w:id="1543" w:name="_Toc256000416"/>
      <w:bookmarkStart w:id="1544" w:name="_Toc15707"/>
      <w:r>
        <w:rPr>
          <w:rFonts w:hint="eastAsia"/>
          <w:szCs w:val="24"/>
        </w:rPr>
        <w:t>附表五：施工总平面图</w:t>
      </w:r>
      <w:bookmarkEnd w:id="1542"/>
      <w:bookmarkEnd w:id="1543"/>
      <w:bookmarkEnd w:id="1544"/>
    </w:p>
    <w:p>
      <w:pPr>
        <w:spacing w:line="420" w:lineRule="exact"/>
        <w:ind w:firstLine="420" w:firstLineChars="200"/>
        <w:rPr>
          <w:rFonts w:hint="eastAsia" w:ascii="宋体" w:hAnsi="宋体"/>
          <w:szCs w:val="21"/>
        </w:rPr>
      </w:pPr>
      <w:r>
        <w:rPr>
          <w:rFonts w:hint="eastAsia" w:ascii="宋体" w:hAnsi="宋体"/>
          <w:szCs w:val="21"/>
        </w:rPr>
        <w:t>投标人应递交一份施工总平面图，绘出现场临时设施布置图表并附文字说明，说明临时设施、加工车间、现场办公、设备及仓储、供电、供水、卫生、生活、道路、消防等设施的情况和布置。</w:t>
      </w: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p>
    <w:p>
      <w:pPr>
        <w:spacing w:line="420" w:lineRule="exact"/>
        <w:ind w:firstLine="420" w:firstLineChars="200"/>
        <w:rPr>
          <w:rFonts w:hint="eastAsia" w:ascii="宋体" w:hAnsi="宋体"/>
          <w:szCs w:val="21"/>
        </w:rPr>
      </w:pPr>
      <w:r>
        <w:rPr>
          <w:rFonts w:ascii="宋体" w:hAnsi="宋体"/>
          <w:szCs w:val="21"/>
        </w:rPr>
        <w:br w:type="page"/>
      </w:r>
    </w:p>
    <w:p>
      <w:pPr>
        <w:pStyle w:val="31"/>
        <w:rPr>
          <w:rFonts w:hint="eastAsia" w:ascii="黑体" w:hAnsi="宋体"/>
        </w:rPr>
      </w:pPr>
      <w:bookmarkStart w:id="1545" w:name="_Toc152264835"/>
      <w:bookmarkStart w:id="1546" w:name="_Toc256000417"/>
      <w:bookmarkStart w:id="1547" w:name="_Toc13368"/>
      <w:r>
        <w:rPr>
          <w:rFonts w:hint="eastAsia"/>
          <w:szCs w:val="24"/>
        </w:rPr>
        <w:t>附表六：临时用地表</w:t>
      </w:r>
      <w:bookmarkEnd w:id="1545"/>
      <w:bookmarkEnd w:id="1546"/>
      <w:bookmarkEnd w:id="1547"/>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59"/>
        <w:gridCol w:w="20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vAlign w:val="center"/>
          </w:tcPr>
          <w:p>
            <w:pPr>
              <w:jc w:val="center"/>
              <w:rPr>
                <w:rFonts w:hint="eastAsia" w:ascii="宋体" w:hAnsi="宋体"/>
                <w:szCs w:val="21"/>
              </w:rPr>
            </w:pPr>
            <w:r>
              <w:rPr>
                <w:rFonts w:hint="eastAsia" w:ascii="宋体" w:hAnsi="宋体"/>
                <w:szCs w:val="21"/>
              </w:rPr>
              <w:t>用  途</w:t>
            </w:r>
          </w:p>
        </w:tc>
        <w:tc>
          <w:tcPr>
            <w:tcW w:w="2079" w:type="dxa"/>
            <w:vAlign w:val="center"/>
          </w:tcPr>
          <w:p>
            <w:pPr>
              <w:jc w:val="center"/>
              <w:rPr>
                <w:rFonts w:hint="eastAsia" w:ascii="宋体" w:hAnsi="宋体"/>
                <w:szCs w:val="21"/>
              </w:rPr>
            </w:pPr>
            <w:r>
              <w:rPr>
                <w:rFonts w:hint="eastAsia" w:ascii="宋体" w:hAnsi="宋体"/>
                <w:szCs w:val="21"/>
              </w:rPr>
              <w:t>面 积（平方米）</w:t>
            </w:r>
          </w:p>
        </w:tc>
        <w:tc>
          <w:tcPr>
            <w:tcW w:w="2079" w:type="dxa"/>
            <w:vAlign w:val="center"/>
          </w:tcPr>
          <w:p>
            <w:pPr>
              <w:jc w:val="center"/>
              <w:rPr>
                <w:rFonts w:hint="eastAsia" w:ascii="宋体" w:hAnsi="宋体"/>
                <w:szCs w:val="21"/>
              </w:rPr>
            </w:pPr>
            <w:r>
              <w:rPr>
                <w:rFonts w:hint="eastAsia" w:ascii="宋体" w:hAnsi="宋体"/>
                <w:szCs w:val="21"/>
              </w:rPr>
              <w:t>位  置</w:t>
            </w:r>
          </w:p>
        </w:tc>
        <w:tc>
          <w:tcPr>
            <w:tcW w:w="2079" w:type="dxa"/>
            <w:vAlign w:val="center"/>
          </w:tcPr>
          <w:p>
            <w:pPr>
              <w:jc w:val="center"/>
              <w:rPr>
                <w:rFonts w:hint="eastAsia" w:ascii="宋体" w:hAnsi="宋体"/>
                <w:szCs w:val="21"/>
              </w:rPr>
            </w:pPr>
            <w:r>
              <w:rPr>
                <w:rFonts w:hint="eastAsia" w:ascii="宋体" w:hAnsi="宋体"/>
                <w:szCs w:val="21"/>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c>
          <w:tcPr>
            <w:tcW w:w="2079" w:type="dxa"/>
          </w:tcPr>
          <w:p>
            <w:pPr>
              <w:rPr>
                <w:rFonts w:hint="eastAsia" w:ascii="宋体" w:hAnsi="宋体"/>
                <w:szCs w:val="21"/>
              </w:rPr>
            </w:pPr>
          </w:p>
        </w:tc>
      </w:tr>
    </w:tbl>
    <w:p>
      <w:pPr>
        <w:sectPr>
          <w:footerReference r:id="rId59" w:type="default"/>
          <w:pgSz w:w="11906" w:h="16838"/>
          <w:pgMar w:top="1440" w:right="1800" w:bottom="1440" w:left="1800" w:header="851" w:footer="992" w:gutter="0"/>
          <w:cols w:space="425" w:num="1"/>
          <w:docGrid w:type="lines" w:linePitch="312" w:charSpace="0"/>
        </w:sectPr>
      </w:pPr>
    </w:p>
    <w:p>
      <w:pPr>
        <w:widowControl/>
        <w:snapToGrid w:val="0"/>
        <w:spacing w:line="360" w:lineRule="auto"/>
        <w:ind w:left="839"/>
        <w:jc w:val="left"/>
        <w:rPr>
          <w:rFonts w:hint="eastAsia" w:ascii="宋体" w:hAnsi="宋体" w:cs="宋体"/>
          <w:kern w:val="0"/>
          <w:szCs w:val="20"/>
          <w:lang w:bidi="ar"/>
        </w:rPr>
      </w:pPr>
    </w:p>
    <w:p>
      <w:pPr>
        <w:widowControl/>
        <w:snapToGrid w:val="0"/>
        <w:spacing w:line="360" w:lineRule="auto"/>
        <w:ind w:left="839"/>
        <w:jc w:val="left"/>
        <w:rPr>
          <w:rFonts w:hint="eastAsia" w:ascii="宋体" w:hAnsi="宋体" w:cs="宋体"/>
          <w:kern w:val="0"/>
          <w:szCs w:val="20"/>
          <w:lang w:bidi="ar"/>
        </w:rPr>
      </w:pPr>
    </w:p>
    <w:p>
      <w:pPr>
        <w:widowControl/>
        <w:snapToGrid w:val="0"/>
        <w:spacing w:line="360" w:lineRule="auto"/>
        <w:ind w:left="839"/>
        <w:jc w:val="left"/>
        <w:rPr>
          <w:rFonts w:hint="eastAsia" w:ascii="宋体" w:hAnsi="宋体" w:cs="宋体"/>
          <w:kern w:val="0"/>
          <w:szCs w:val="20"/>
          <w:lang w:bidi="ar"/>
        </w:rPr>
      </w:pPr>
    </w:p>
    <w:p>
      <w:pPr>
        <w:widowControl/>
        <w:snapToGrid w:val="0"/>
        <w:spacing w:line="360" w:lineRule="auto"/>
        <w:ind w:left="839"/>
        <w:jc w:val="left"/>
        <w:rPr>
          <w:rFonts w:hint="eastAsia" w:ascii="宋体" w:hAnsi="宋体" w:cs="宋体"/>
          <w:kern w:val="0"/>
          <w:szCs w:val="20"/>
          <w:lang w:bidi="ar"/>
        </w:rPr>
      </w:pPr>
    </w:p>
    <w:p>
      <w:pPr>
        <w:widowControl/>
        <w:snapToGrid w:val="0"/>
        <w:spacing w:line="360" w:lineRule="auto"/>
        <w:ind w:left="839"/>
        <w:jc w:val="left"/>
        <w:rPr>
          <w:rFonts w:hint="eastAsia" w:ascii="宋体" w:hAnsi="宋体" w:cs="宋体"/>
          <w:kern w:val="0"/>
          <w:szCs w:val="20"/>
          <w:lang w:bidi="ar"/>
        </w:rPr>
      </w:pPr>
    </w:p>
    <w:p>
      <w:pPr>
        <w:widowControl/>
        <w:snapToGrid w:val="0"/>
        <w:spacing w:line="360" w:lineRule="auto"/>
        <w:ind w:left="839"/>
        <w:jc w:val="left"/>
        <w:rPr>
          <w:rFonts w:hint="eastAsia" w:ascii="宋体" w:hAnsi="宋体" w:cs="宋体"/>
          <w:kern w:val="0"/>
          <w:szCs w:val="20"/>
          <w:lang w:bidi="ar"/>
        </w:rPr>
      </w:pPr>
    </w:p>
    <w:p>
      <w:pPr>
        <w:widowControl/>
        <w:snapToGrid w:val="0"/>
        <w:spacing w:line="360" w:lineRule="auto"/>
        <w:ind w:left="839"/>
        <w:jc w:val="center"/>
        <w:rPr>
          <w:rFonts w:hint="eastAsia" w:ascii="宋体" w:hAnsi="宋体" w:cs="宋体"/>
          <w:kern w:val="0"/>
          <w:szCs w:val="20"/>
          <w:lang w:bidi="ar"/>
        </w:rPr>
      </w:pPr>
    </w:p>
    <w:p>
      <w:pPr>
        <w:pStyle w:val="29"/>
        <w:jc w:val="center"/>
        <w:rPr>
          <w:rFonts w:hint="eastAsia" w:ascii="黑体" w:hAnsi="宋体"/>
          <w:szCs w:val="28"/>
        </w:rPr>
      </w:pPr>
      <w:bookmarkStart w:id="1548" w:name="_Toc149058114"/>
      <w:bookmarkStart w:id="1549" w:name="_Toc256000418"/>
      <w:bookmarkStart w:id="1550" w:name="_Toc7840"/>
      <w:r>
        <w:t>十</w:t>
      </w:r>
      <w:r>
        <w:rPr>
          <w:rFonts w:hint="eastAsia"/>
        </w:rPr>
        <w:t>、其他</w:t>
      </w:r>
      <w:bookmarkEnd w:id="1548"/>
      <w:r>
        <w:rPr>
          <w:rFonts w:hint="eastAsia"/>
        </w:rPr>
        <w:t>材料</w:t>
      </w:r>
      <w:bookmarkEnd w:id="1549"/>
      <w:bookmarkEnd w:id="1550"/>
    </w:p>
    <w:p>
      <w:pPr>
        <w:spacing w:line="500" w:lineRule="exact"/>
        <w:jc w:val="left"/>
        <w:rPr>
          <w:rFonts w:hint="eastAsia" w:ascii="宋体" w:hAnsi="宋体"/>
          <w:szCs w:val="21"/>
        </w:rPr>
      </w:pPr>
    </w:p>
    <w:p>
      <w:pPr>
        <w:rPr>
          <w:rFonts w:ascii="黑体" w:eastAsia="黑体"/>
          <w:sz w:val="24"/>
        </w:rPr>
      </w:pPr>
    </w:p>
    <w:p>
      <w:pPr>
        <w:rPr>
          <w:rFonts w:ascii="黑体" w:eastAsia="黑体"/>
          <w:sz w:val="24"/>
        </w:rPr>
      </w:pPr>
    </w:p>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5BAFA0-EFBF-424B-84CA-F17510AA0368}"/>
  </w:font>
  <w:font w:name="黑体">
    <w:panose1 w:val="02010609060101010101"/>
    <w:charset w:val="86"/>
    <w:family w:val="auto"/>
    <w:pitch w:val="default"/>
    <w:sig w:usb0="800002BF" w:usb1="38CF7CFA" w:usb2="00000016" w:usb3="00000000" w:csb0="00040001" w:csb1="00000000"/>
    <w:embedRegular r:id="rId2" w:fontKey="{8B0880E7-1A4A-4A14-8AC2-3079F55563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3" w:fontKey="{811D8FBE-D12C-46B5-9691-26911C12F341}"/>
  </w:font>
  <w:font w:name="仿宋_GB2312">
    <w:panose1 w:val="02010609030101010101"/>
    <w:charset w:val="86"/>
    <w:family w:val="modern"/>
    <w:pitch w:val="default"/>
    <w:sig w:usb0="00000001" w:usb1="080E0000" w:usb2="00000000" w:usb3="00000000" w:csb0="00040000" w:csb1="00000000"/>
    <w:embedRegular r:id="rId4" w:fontKey="{6E63BF2C-1FB9-4A41-BBE7-C11BC97151C3}"/>
  </w:font>
  <w:font w:name="Segoe UI Symbol">
    <w:panose1 w:val="020B0502040204020203"/>
    <w:charset w:val="00"/>
    <w:family w:val="swiss"/>
    <w:pitch w:val="default"/>
    <w:sig w:usb0="800001E3" w:usb1="1200FFEF" w:usb2="00040000" w:usb3="04000000" w:csb0="00000001" w:csb1="40000000"/>
    <w:embedRegular r:id="rId5" w:fontKey="{B0CF8930-A02D-4486-8ED4-8C0C1BDDEEF3}"/>
  </w:font>
  <w:font w:name="微软雅黑">
    <w:panose1 w:val="020B0503020204020204"/>
    <w:charset w:val="86"/>
    <w:family w:val="swiss"/>
    <w:pitch w:val="default"/>
    <w:sig w:usb0="80000287" w:usb1="2ACF3C50" w:usb2="00000016" w:usb3="00000000" w:csb0="0004001F" w:csb1="00000000"/>
    <w:embedRegular r:id="rId6" w:fontKey="{FE4817CB-7F77-4EA4-B90C-404C20FB22BC}"/>
  </w:font>
  <w:font w:name="仿宋">
    <w:panose1 w:val="02010609060101010101"/>
    <w:charset w:val="86"/>
    <w:family w:val="auto"/>
    <w:pitch w:val="default"/>
    <w:sig w:usb0="800002BF" w:usb1="38CF7CFA" w:usb2="00000016" w:usb3="00000000" w:csb0="00040001" w:csb1="00000000"/>
    <w:embedRegular r:id="rId7" w:fontKey="{E414FBFD-09D6-4DD7-AE93-8696106F2524}"/>
  </w:font>
  <w:font w:name="Cambria Math">
    <w:panose1 w:val="02040503050406030204"/>
    <w:charset w:val="00"/>
    <w:family w:val="roman"/>
    <w:pitch w:val="default"/>
    <w:sig w:usb0="E00006FF" w:usb1="420024FF" w:usb2="02000000" w:usb3="00000000" w:csb0="2000019F" w:csb1="00000000"/>
    <w:embedRegular r:id="rId8" w:fontKey="{E257946E-60A7-4323-8720-529A59A45599}"/>
  </w:font>
  <w:font w:name="楷体_GB2312">
    <w:panose1 w:val="02010609030101010101"/>
    <w:charset w:val="86"/>
    <w:family w:val="modern"/>
    <w:pitch w:val="default"/>
    <w:sig w:usb0="00000001" w:usb1="080E0000" w:usb2="00000000" w:usb3="00000000" w:csb0="00040000" w:csb1="00000000"/>
    <w:embedRegular r:id="rId9" w:fontKey="{CE9A8C5A-90E0-4B58-AEE1-AB7BCF94C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83</w:t>
    </w:r>
    <w:r>
      <w:rPr>
        <w:rStyle w:val="25"/>
        <w:rFonts w:hint="eastAsia" w:ascii="仿宋_GB2312" w:eastAsia="仿宋_GB2312"/>
        <w:sz w:val="21"/>
        <w:szCs w:val="21"/>
      </w:rPr>
      <w:fldChar w:fldCharType="end"/>
    </w:r>
  </w:p>
  <w:p>
    <w:pPr>
      <w:pStyle w:val="1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5"/>
      </w:rPr>
    </w:pPr>
    <w:r>
      <w:rPr>
        <w:rStyle w:val="25"/>
      </w:rPr>
      <w:fldChar w:fldCharType="begin"/>
    </w:r>
    <w:r>
      <w:rPr>
        <w:rStyle w:val="25"/>
      </w:rPr>
      <w:instrText xml:space="preserve">PAGE  </w:instrText>
    </w:r>
    <w:r>
      <w:rPr>
        <w:rStyle w:val="25"/>
      </w:rPr>
      <w:fldChar w:fldCharType="separate"/>
    </w:r>
    <w:r>
      <w:rPr>
        <w:rStyle w:val="25"/>
      </w:rPr>
      <w:fldChar w:fldCharType="end"/>
    </w:r>
  </w:p>
  <w:p>
    <w:pPr>
      <w:pStyle w:val="1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85</w:t>
    </w:r>
    <w:r>
      <w:rPr>
        <w:rStyle w:val="25"/>
        <w:rFonts w:hint="eastAsia" w:ascii="仿宋_GB2312" w:eastAsia="仿宋_GB2312"/>
        <w:sz w:val="21"/>
        <w:szCs w:val="21"/>
      </w:rPr>
      <w:fldChar w:fldCharType="end"/>
    </w:r>
  </w:p>
  <w:p>
    <w:pPr>
      <w:pStyle w:val="1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w:t>
    </w:r>
    <w:r>
      <w:rPr>
        <w:rFonts w:eastAsia="仿宋_GB2312"/>
        <w:sz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w:t>
    </w:r>
    <w:r>
      <w:rPr>
        <w:rFonts w:eastAsia="仿宋_GB2312"/>
        <w:sz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5"/>
        <w:rFonts w:ascii="仿宋_GB2312" w:eastAsia="仿宋_GB2312"/>
      </w:rPr>
    </w:pPr>
    <w:r>
      <w:rPr>
        <w:rStyle w:val="25"/>
        <w:rFonts w:hint="eastAsia" w:ascii="仿宋_GB2312" w:eastAsia="仿宋_GB2312"/>
      </w:rPr>
      <w:fldChar w:fldCharType="begin"/>
    </w:r>
    <w:r>
      <w:rPr>
        <w:rStyle w:val="25"/>
        <w:rFonts w:hint="eastAsia" w:ascii="仿宋_GB2312" w:eastAsia="仿宋_GB2312"/>
      </w:rPr>
      <w:instrText xml:space="preserve">PAGE  </w:instrText>
    </w:r>
    <w:r>
      <w:rPr>
        <w:rStyle w:val="25"/>
        <w:rFonts w:hint="eastAsia" w:ascii="仿宋_GB2312" w:eastAsia="仿宋_GB2312"/>
      </w:rPr>
      <w:fldChar w:fldCharType="separate"/>
    </w:r>
    <w:r>
      <w:rPr>
        <w:rStyle w:val="25"/>
        <w:rFonts w:hint="eastAsia" w:ascii="仿宋_GB2312" w:eastAsia="仿宋_GB2312"/>
      </w:rPr>
      <w:t>184</w:t>
    </w:r>
    <w:r>
      <w:rPr>
        <w:rStyle w:val="25"/>
        <w:rFonts w:hint="eastAsia" w:ascii="仿宋_GB2312" w:eastAsia="仿宋_GB2312"/>
      </w:rPr>
      <w:fldChar w:fldCharType="end"/>
    </w:r>
  </w:p>
  <w:p>
    <w:pPr>
      <w:pStyle w:val="1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11653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PGU1Y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0351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iXBcc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770498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f4a6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28061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JVBzg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26310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VTVYxAgAAXQQAAA4AAABkcnMvZTJvRG9jLnhtbK1UzY7TMBC+I/EO&#10;lu80aVdU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A1U1WMQIAAF0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99808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POt5k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392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pXwa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3P1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J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v9z9dKwIAAFUEAAAOAAAAAAAAAAEAIAAAAB8BAABkcnMvZTJvRG9jLnhtbFBLBQYAAAAABgAG&#10;AFkBAAC8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43510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7qKkk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9671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n2mug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518949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L9qg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57162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4thgDICAABe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401457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Dn34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943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7ZYqk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48256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k8lkc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37539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U6Bj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08427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yDTk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760500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RhE0xAgAAXQQAAA4AAABkcnMvZTJvRG9jLnhtbK1UzY7TMBC+I/EO&#10;lu80adGW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q0YRNMQIAAF0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487510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ByGp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30706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VINbM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306826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ptqE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5170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0Y83jICAABc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7311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PqMHHcwAgAAXQQAAA4AAAAAAAAAAQAgAAAAHwEAAGRycy9lMm9Eb2MueG1sUEsFBgAA&#10;AAAGAAYAWQEAAME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94443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t2bqNAIAAF0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42240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9mGzc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5946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ASk7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787460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RWa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58916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ufEUs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194090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4d+2jICAABd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31320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Si4ss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308599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RnzP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02496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zjwYyAgAAXQQAAA4AAABkcnMvZTJvRG9jLnhtbK1UzY7TMBC+I/EO&#10;lu80aYFVt2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knOPBjICAABd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6674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OE59czAgAAXg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67219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rBPK0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26990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X/9wI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263244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uEyuNAIAAF4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38</w:t>
    </w:r>
    <w:r>
      <w:rPr>
        <w:rStyle w:val="25"/>
        <w:rFonts w:hint="eastAsia" w:ascii="仿宋_GB2312" w:eastAsia="仿宋_GB2312"/>
        <w:sz w:val="21"/>
        <w:szCs w:val="21"/>
      </w:rPr>
      <w:fldChar w:fldCharType="end"/>
    </w:r>
  </w:p>
  <w:p>
    <w:pPr>
      <w:pStyle w:val="16"/>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41829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uibaNAIAAF0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680927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mEC+gzAgAAXQ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14114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0cSkjMQIAAF0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267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5"/>
      </w:rPr>
    </w:pPr>
    <w:r>
      <w:rPr>
        <w:rStyle w:val="25"/>
      </w:rPr>
      <w:fldChar w:fldCharType="begin"/>
    </w:r>
    <w:r>
      <w:rPr>
        <w:rStyle w:val="25"/>
      </w:rPr>
      <w:instrText xml:space="preserve">PAGE  </w:instrText>
    </w:r>
    <w:r>
      <w:rPr>
        <w:rStyle w:val="25"/>
      </w:rPr>
      <w:fldChar w:fldCharType="separate"/>
    </w:r>
    <w:r>
      <w:rPr>
        <w:rStyle w:val="25"/>
      </w:rPr>
      <w:t>1</w:t>
    </w:r>
    <w:r>
      <w:rPr>
        <w:rStyle w:val="25"/>
      </w:rPr>
      <w:fldChar w:fldCharType="end"/>
    </w:r>
  </w:p>
  <w:p>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734358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WtMDzUCAABeBAAADgAAAAAAAAABACAAAAAfAQAAZHJzL2Uyb0RvYy54bWxQ&#10;SwUGAAAAAAYABgBZAQAAxg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74893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Style w:val="25"/>
                              <w:rFonts w:ascii="仿宋_GB2312" w:eastAsia="仿宋_GB2312"/>
                            </w:rPr>
                          </w:pPr>
                          <w:r>
                            <w:rPr>
                              <w:rStyle w:val="25"/>
                              <w:rFonts w:hint="eastAsia" w:ascii="仿宋_GB2312" w:eastAsia="仿宋_GB2312"/>
                            </w:rPr>
                            <w:fldChar w:fldCharType="begin"/>
                          </w:r>
                          <w:r>
                            <w:rPr>
                              <w:rStyle w:val="25"/>
                              <w:rFonts w:hint="eastAsia" w:ascii="仿宋_GB2312" w:eastAsia="仿宋_GB2312"/>
                            </w:rPr>
                            <w:instrText xml:space="preserve">PAGE  </w:instrText>
                          </w:r>
                          <w:r>
                            <w:rPr>
                              <w:rStyle w:val="25"/>
                              <w:rFonts w:hint="eastAsia" w:ascii="仿宋_GB2312" w:eastAsia="仿宋_GB2312"/>
                            </w:rPr>
                            <w:fldChar w:fldCharType="separate"/>
                          </w:r>
                          <w:r>
                            <w:rPr>
                              <w:rStyle w:val="25"/>
                              <w:rFonts w:hint="eastAsia" w:ascii="仿宋_GB2312" w:eastAsia="仿宋_GB2312"/>
                            </w:rPr>
                            <w:t>65</w:t>
                          </w:r>
                          <w:r>
                            <w:rPr>
                              <w:rStyle w:val="25"/>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4chTqNAIAAF0EAAAOAAAAAAAAAAEAIAAAAB8BAABkcnMvZTJvRG9jLnhtbFBL&#10;BQYAAAAABgAGAFkBAADFBQAAAAA=&#10;">
              <v:fill on="f" focussize="0,0"/>
              <v:stroke on="f" weight="0.5pt"/>
              <v:imagedata o:title=""/>
              <o:lock v:ext="edit" aspectratio="f"/>
              <v:textbox inset="0mm,0mm,0mm,0mm" style="mso-fit-shape-to-text:t;">
                <w:txbxContent>
                  <w:p>
                    <w:pPr>
                      <w:pStyle w:val="16"/>
                      <w:rPr>
                        <w:rStyle w:val="25"/>
                        <w:rFonts w:ascii="仿宋_GB2312" w:eastAsia="仿宋_GB2312"/>
                      </w:rPr>
                    </w:pPr>
                    <w:r>
                      <w:rPr>
                        <w:rStyle w:val="25"/>
                        <w:rFonts w:hint="eastAsia" w:ascii="仿宋_GB2312" w:eastAsia="仿宋_GB2312"/>
                      </w:rPr>
                      <w:fldChar w:fldCharType="begin"/>
                    </w:r>
                    <w:r>
                      <w:rPr>
                        <w:rStyle w:val="25"/>
                        <w:rFonts w:hint="eastAsia" w:ascii="仿宋_GB2312" w:eastAsia="仿宋_GB2312"/>
                      </w:rPr>
                      <w:instrText xml:space="preserve">PAGE  </w:instrText>
                    </w:r>
                    <w:r>
                      <w:rPr>
                        <w:rStyle w:val="25"/>
                        <w:rFonts w:hint="eastAsia" w:ascii="仿宋_GB2312" w:eastAsia="仿宋_GB2312"/>
                      </w:rPr>
                      <w:fldChar w:fldCharType="separate"/>
                    </w:r>
                    <w:r>
                      <w:rPr>
                        <w:rStyle w:val="25"/>
                        <w:rFonts w:hint="eastAsia" w:ascii="仿宋_GB2312" w:eastAsia="仿宋_GB2312"/>
                      </w:rPr>
                      <w:t>65</w:t>
                    </w:r>
                    <w:r>
                      <w:rPr>
                        <w:rStyle w:val="25"/>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4A0B7"/>
    <w:multiLevelType w:val="singleLevel"/>
    <w:tmpl w:val="9F64A0B7"/>
    <w:lvl w:ilvl="0" w:tentative="0">
      <w:start w:val="1"/>
      <w:numFmt w:val="decimal"/>
      <w:suff w:val="nothing"/>
      <w:lvlText w:val="（%1）"/>
      <w:lvlJc w:val="left"/>
    </w:lvl>
  </w:abstractNum>
  <w:abstractNum w:abstractNumId="1">
    <w:nsid w:val="E8936489"/>
    <w:multiLevelType w:val="singleLevel"/>
    <w:tmpl w:val="E8936489"/>
    <w:lvl w:ilvl="0" w:tentative="0">
      <w:start w:val="1"/>
      <w:numFmt w:val="decimal"/>
      <w:lvlText w:val="%1."/>
      <w:lvlJc w:val="left"/>
      <w:pPr>
        <w:tabs>
          <w:tab w:val="left" w:pos="312"/>
        </w:tabs>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15A514A7"/>
    <w:multiLevelType w:val="multilevel"/>
    <w:tmpl w:val="15A51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54" w:hanging="420"/>
      </w:pPr>
    </w:lvl>
    <w:lvl w:ilvl="3" w:tentative="0">
      <w:start w:val="1"/>
      <w:numFmt w:val="decimal"/>
      <w:lvlText w:val="1.%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32FBD8"/>
    <w:multiLevelType w:val="singleLevel"/>
    <w:tmpl w:val="2932FBD8"/>
    <w:lvl w:ilvl="0" w:tentative="0">
      <w:start w:val="2"/>
      <w:numFmt w:val="decimal"/>
      <w:suff w:val="space"/>
      <w:lvlText w:val="%1."/>
      <w:lvlJc w:val="left"/>
    </w:lvl>
  </w:abstractNum>
  <w:abstractNum w:abstractNumId="5">
    <w:nsid w:val="2F1B8213"/>
    <w:multiLevelType w:val="singleLevel"/>
    <w:tmpl w:val="2F1B8213"/>
    <w:lvl w:ilvl="0" w:tentative="0">
      <w:start w:val="3"/>
      <w:numFmt w:val="chineseCounting"/>
      <w:suff w:val="space"/>
      <w:lvlText w:val="第%1部分"/>
      <w:lvlJc w:val="left"/>
      <w:rPr>
        <w:rFonts w:hint="eastAsia"/>
      </w:rPr>
    </w:lvl>
  </w:abstractNum>
  <w:abstractNum w:abstractNumId="6">
    <w:nsid w:val="38FD54D3"/>
    <w:multiLevelType w:val="singleLevel"/>
    <w:tmpl w:val="38FD54D3"/>
    <w:lvl w:ilvl="0" w:tentative="0">
      <w:start w:val="6"/>
      <w:numFmt w:val="decimal"/>
      <w:lvlText w:val="%1."/>
      <w:lvlJc w:val="left"/>
      <w:pPr>
        <w:tabs>
          <w:tab w:val="left" w:pos="312"/>
        </w:tabs>
      </w:pPr>
    </w:lvl>
  </w:abstractNum>
  <w:abstractNum w:abstractNumId="7">
    <w:nsid w:val="7DA90D9B"/>
    <w:multiLevelType w:val="multilevel"/>
    <w:tmpl w:val="7DA90D9B"/>
    <w:lvl w:ilvl="0" w:tentative="0">
      <w:start w:val="1"/>
      <w:numFmt w:val="decimal"/>
      <w:lvlText w:val="12.3.%1"/>
      <w:lvlJc w:val="left"/>
      <w:pPr>
        <w:ind w:left="900" w:hanging="420"/>
      </w:pPr>
      <w:rPr>
        <w:rFonts w:hint="eastAsia" w:ascii="宋体" w:hAnsi="宋体" w:eastAsia="宋体"/>
      </w:rPr>
    </w:lvl>
    <w:lvl w:ilvl="1" w:tentative="0">
      <w:start w:val="1"/>
      <w:numFmt w:val="lowerLetter"/>
      <w:lvlText w:val="%2)"/>
      <w:lvlJc w:val="left"/>
      <w:pPr>
        <w:ind w:left="1320" w:hanging="420"/>
      </w:pPr>
    </w:lvl>
    <w:lvl w:ilvl="2" w:tentative="0">
      <w:start w:val="1"/>
      <w:numFmt w:val="decimal"/>
      <w:lvlText w:val="1.1.%3"/>
      <w:lvlJc w:val="left"/>
      <w:pPr>
        <w:ind w:left="1740" w:hanging="420"/>
      </w:pPr>
      <w:rPr>
        <w:rFonts w:hint="eastAsia" w:ascii="宋体" w:hAnsi="宋体" w:eastAsia="宋体"/>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4"/>
  </w:num>
  <w:num w:numId="3">
    <w:abstractNumId w:val="1"/>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3NzA4ZTQ1Yzc0N2I0ZWUwZjQxMzgyNzc0MGE0MDgifQ=="/>
    <w:docVar w:name="KSO_WPS_MARK_KEY" w:val="1ee1cfb0-9732-4c32-a2b3-953fc5492c81"/>
  </w:docVars>
  <w:rsids>
    <w:rsidRoot w:val="00F77E14"/>
    <w:rsid w:val="00034FB7"/>
    <w:rsid w:val="000503DE"/>
    <w:rsid w:val="00097D41"/>
    <w:rsid w:val="000A2ABE"/>
    <w:rsid w:val="000A553A"/>
    <w:rsid w:val="000C601C"/>
    <w:rsid w:val="000C78E8"/>
    <w:rsid w:val="000E0F83"/>
    <w:rsid w:val="00182F41"/>
    <w:rsid w:val="00184D4D"/>
    <w:rsid w:val="001E3434"/>
    <w:rsid w:val="001E47CD"/>
    <w:rsid w:val="001E66DA"/>
    <w:rsid w:val="001F5146"/>
    <w:rsid w:val="00207ACA"/>
    <w:rsid w:val="0021554C"/>
    <w:rsid w:val="0023531C"/>
    <w:rsid w:val="00243C3D"/>
    <w:rsid w:val="002A3118"/>
    <w:rsid w:val="0040239F"/>
    <w:rsid w:val="00433B04"/>
    <w:rsid w:val="00441AE8"/>
    <w:rsid w:val="00457327"/>
    <w:rsid w:val="004838E3"/>
    <w:rsid w:val="00486EC9"/>
    <w:rsid w:val="004B4EF6"/>
    <w:rsid w:val="004E78E7"/>
    <w:rsid w:val="005312FB"/>
    <w:rsid w:val="00533728"/>
    <w:rsid w:val="005612D1"/>
    <w:rsid w:val="005B5412"/>
    <w:rsid w:val="005E36FA"/>
    <w:rsid w:val="005F77BA"/>
    <w:rsid w:val="00671DF7"/>
    <w:rsid w:val="00685F4F"/>
    <w:rsid w:val="006A4306"/>
    <w:rsid w:val="006A4852"/>
    <w:rsid w:val="007348B2"/>
    <w:rsid w:val="0076612C"/>
    <w:rsid w:val="00767960"/>
    <w:rsid w:val="00805A44"/>
    <w:rsid w:val="00807B3E"/>
    <w:rsid w:val="00810D0A"/>
    <w:rsid w:val="008276F1"/>
    <w:rsid w:val="00856F9C"/>
    <w:rsid w:val="00861CE5"/>
    <w:rsid w:val="00882D5B"/>
    <w:rsid w:val="008F4441"/>
    <w:rsid w:val="00931A1A"/>
    <w:rsid w:val="00961E2F"/>
    <w:rsid w:val="00984A25"/>
    <w:rsid w:val="009A0B50"/>
    <w:rsid w:val="009A4DC4"/>
    <w:rsid w:val="00A11ACD"/>
    <w:rsid w:val="00A138BB"/>
    <w:rsid w:val="00A75F60"/>
    <w:rsid w:val="00AA68DB"/>
    <w:rsid w:val="00AB48CF"/>
    <w:rsid w:val="00B1767B"/>
    <w:rsid w:val="00B72506"/>
    <w:rsid w:val="00BC7BDD"/>
    <w:rsid w:val="00BD2679"/>
    <w:rsid w:val="00C71C19"/>
    <w:rsid w:val="00C73B5C"/>
    <w:rsid w:val="00CC41BF"/>
    <w:rsid w:val="00CC7F7A"/>
    <w:rsid w:val="00D02CF6"/>
    <w:rsid w:val="00D12F50"/>
    <w:rsid w:val="00D33B46"/>
    <w:rsid w:val="00D857D4"/>
    <w:rsid w:val="00D85E66"/>
    <w:rsid w:val="00DB6256"/>
    <w:rsid w:val="00DD59C7"/>
    <w:rsid w:val="00DD627A"/>
    <w:rsid w:val="00DE412D"/>
    <w:rsid w:val="00DF512D"/>
    <w:rsid w:val="00E5315A"/>
    <w:rsid w:val="00E53F2C"/>
    <w:rsid w:val="00E552BE"/>
    <w:rsid w:val="00EA58DA"/>
    <w:rsid w:val="00EA76C9"/>
    <w:rsid w:val="00EF04BB"/>
    <w:rsid w:val="00F07823"/>
    <w:rsid w:val="00F51CCC"/>
    <w:rsid w:val="00F55D37"/>
    <w:rsid w:val="00F731AC"/>
    <w:rsid w:val="00F77E14"/>
    <w:rsid w:val="00FF022A"/>
    <w:rsid w:val="00FF03CF"/>
    <w:rsid w:val="00FF1B19"/>
    <w:rsid w:val="023A3DA5"/>
    <w:rsid w:val="02D86178"/>
    <w:rsid w:val="03311957"/>
    <w:rsid w:val="046F093C"/>
    <w:rsid w:val="04942E93"/>
    <w:rsid w:val="056B77C2"/>
    <w:rsid w:val="075F67FA"/>
    <w:rsid w:val="082779D0"/>
    <w:rsid w:val="0AAC459C"/>
    <w:rsid w:val="0B017256"/>
    <w:rsid w:val="0E6842BA"/>
    <w:rsid w:val="0F830BF1"/>
    <w:rsid w:val="114163F9"/>
    <w:rsid w:val="124741FF"/>
    <w:rsid w:val="12726129"/>
    <w:rsid w:val="127952CC"/>
    <w:rsid w:val="134E547E"/>
    <w:rsid w:val="1367781A"/>
    <w:rsid w:val="142D135B"/>
    <w:rsid w:val="168E07A2"/>
    <w:rsid w:val="176A04AF"/>
    <w:rsid w:val="18702CCD"/>
    <w:rsid w:val="188E2AC3"/>
    <w:rsid w:val="18BF42B0"/>
    <w:rsid w:val="1A803507"/>
    <w:rsid w:val="1BA11E64"/>
    <w:rsid w:val="1BAB065B"/>
    <w:rsid w:val="1CD01E19"/>
    <w:rsid w:val="1D654011"/>
    <w:rsid w:val="1DDD5FED"/>
    <w:rsid w:val="1DFD2ABE"/>
    <w:rsid w:val="1FB54301"/>
    <w:rsid w:val="20357582"/>
    <w:rsid w:val="206A7DEC"/>
    <w:rsid w:val="215A6C1F"/>
    <w:rsid w:val="217354F0"/>
    <w:rsid w:val="217D007D"/>
    <w:rsid w:val="22CD37D8"/>
    <w:rsid w:val="23517B9F"/>
    <w:rsid w:val="246224C3"/>
    <w:rsid w:val="24992363"/>
    <w:rsid w:val="25B5368C"/>
    <w:rsid w:val="26F75C33"/>
    <w:rsid w:val="270D0E39"/>
    <w:rsid w:val="272447CD"/>
    <w:rsid w:val="27C60B5C"/>
    <w:rsid w:val="27FA52AE"/>
    <w:rsid w:val="28262E00"/>
    <w:rsid w:val="29220014"/>
    <w:rsid w:val="294D53AD"/>
    <w:rsid w:val="299F5CE0"/>
    <w:rsid w:val="2AAD392A"/>
    <w:rsid w:val="2B5A166A"/>
    <w:rsid w:val="2B72528A"/>
    <w:rsid w:val="2C225E9E"/>
    <w:rsid w:val="2CEB4BC0"/>
    <w:rsid w:val="2E0F43B6"/>
    <w:rsid w:val="2E3B17AB"/>
    <w:rsid w:val="2E906D49"/>
    <w:rsid w:val="2FDA7A54"/>
    <w:rsid w:val="30F54260"/>
    <w:rsid w:val="311741D6"/>
    <w:rsid w:val="314D760D"/>
    <w:rsid w:val="31813D45"/>
    <w:rsid w:val="31D3641E"/>
    <w:rsid w:val="3255145A"/>
    <w:rsid w:val="33D2668F"/>
    <w:rsid w:val="349530CE"/>
    <w:rsid w:val="35BA2F2D"/>
    <w:rsid w:val="36032E3F"/>
    <w:rsid w:val="36161736"/>
    <w:rsid w:val="366D6A2D"/>
    <w:rsid w:val="375335FD"/>
    <w:rsid w:val="37E84794"/>
    <w:rsid w:val="38D21E2E"/>
    <w:rsid w:val="38F66E93"/>
    <w:rsid w:val="3931007A"/>
    <w:rsid w:val="39471243"/>
    <w:rsid w:val="39E02AF1"/>
    <w:rsid w:val="3BF2337F"/>
    <w:rsid w:val="3CB15CA6"/>
    <w:rsid w:val="3F1A47A7"/>
    <w:rsid w:val="3F4F2A01"/>
    <w:rsid w:val="40170111"/>
    <w:rsid w:val="40BA4B7E"/>
    <w:rsid w:val="419D5D74"/>
    <w:rsid w:val="420A4299"/>
    <w:rsid w:val="42725DD2"/>
    <w:rsid w:val="42C341BE"/>
    <w:rsid w:val="42D732CB"/>
    <w:rsid w:val="461F5CF9"/>
    <w:rsid w:val="488C3DC0"/>
    <w:rsid w:val="492B5006"/>
    <w:rsid w:val="496F3AF2"/>
    <w:rsid w:val="4A183171"/>
    <w:rsid w:val="4A1D4B6C"/>
    <w:rsid w:val="4A1F7E80"/>
    <w:rsid w:val="4A7A7CAF"/>
    <w:rsid w:val="4AFF69F2"/>
    <w:rsid w:val="4C043151"/>
    <w:rsid w:val="4CA31F52"/>
    <w:rsid w:val="4F043B94"/>
    <w:rsid w:val="4FA11734"/>
    <w:rsid w:val="50907EC2"/>
    <w:rsid w:val="52110F52"/>
    <w:rsid w:val="536D4072"/>
    <w:rsid w:val="551663CF"/>
    <w:rsid w:val="556223D2"/>
    <w:rsid w:val="55B94FAC"/>
    <w:rsid w:val="55DD5AFE"/>
    <w:rsid w:val="575D56C3"/>
    <w:rsid w:val="58DE5456"/>
    <w:rsid w:val="595F1B62"/>
    <w:rsid w:val="59F129D4"/>
    <w:rsid w:val="5A40521C"/>
    <w:rsid w:val="5A9029EC"/>
    <w:rsid w:val="5B3B100F"/>
    <w:rsid w:val="5B8439F4"/>
    <w:rsid w:val="5CE24ACF"/>
    <w:rsid w:val="5D2826A9"/>
    <w:rsid w:val="5DDE524A"/>
    <w:rsid w:val="5E2C27BF"/>
    <w:rsid w:val="5F7B6CC5"/>
    <w:rsid w:val="5F8F1727"/>
    <w:rsid w:val="607E51D2"/>
    <w:rsid w:val="61A3678D"/>
    <w:rsid w:val="627E0898"/>
    <w:rsid w:val="65D810A8"/>
    <w:rsid w:val="66301112"/>
    <w:rsid w:val="664B39FF"/>
    <w:rsid w:val="66BC48FC"/>
    <w:rsid w:val="66D06E06"/>
    <w:rsid w:val="678C42CF"/>
    <w:rsid w:val="684D1CB0"/>
    <w:rsid w:val="688E146D"/>
    <w:rsid w:val="68BB20F5"/>
    <w:rsid w:val="6A86594D"/>
    <w:rsid w:val="6B6209AB"/>
    <w:rsid w:val="6C146D8D"/>
    <w:rsid w:val="6C3E0099"/>
    <w:rsid w:val="6CFB1962"/>
    <w:rsid w:val="6D4E7DB2"/>
    <w:rsid w:val="6E150AE9"/>
    <w:rsid w:val="702951B3"/>
    <w:rsid w:val="704433BB"/>
    <w:rsid w:val="71917360"/>
    <w:rsid w:val="719E532A"/>
    <w:rsid w:val="71C0603C"/>
    <w:rsid w:val="72F511B7"/>
    <w:rsid w:val="7640018B"/>
    <w:rsid w:val="76C4228F"/>
    <w:rsid w:val="7A9D6554"/>
    <w:rsid w:val="7B1B5C3E"/>
    <w:rsid w:val="7C122133"/>
    <w:rsid w:val="7C745605"/>
    <w:rsid w:val="7DBC3D55"/>
    <w:rsid w:val="7FAB3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0"/>
    <w:qFormat/>
    <w:uiPriority w:val="0"/>
    <w:pPr>
      <w:keepNext/>
      <w:keepLines/>
      <w:spacing w:before="260" w:after="260" w:line="416" w:lineRule="auto"/>
      <w:outlineLvl w:val="2"/>
    </w:pPr>
    <w:rPr>
      <w:b/>
      <w:bCs/>
      <w:sz w:val="32"/>
      <w:szCs w:val="32"/>
    </w:rPr>
  </w:style>
  <w:style w:type="paragraph" w:styleId="7">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qFormat/>
    <w:uiPriority w:val="0"/>
    <w:pPr>
      <w:keepNext/>
      <w:keepLines/>
      <w:spacing w:before="280" w:after="290" w:line="372"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szCs w:val="20"/>
    </w:rPr>
  </w:style>
  <w:style w:type="paragraph" w:customStyle="1" w:styleId="3">
    <w:name w:val="目录 21"/>
    <w:next w:val="1"/>
    <w:qFormat/>
    <w:uiPriority w:val="0"/>
    <w:pPr>
      <w:wordWrap w:val="0"/>
      <w:ind w:left="425"/>
      <w:jc w:val="both"/>
    </w:pPr>
    <w:rPr>
      <w:rFonts w:ascii="Times New Roman" w:hAnsi="Times New Roman" w:eastAsia="宋体" w:cs="Times New Roman"/>
      <w:sz w:val="21"/>
      <w:lang w:val="en-US" w:eastAsia="zh-CN" w:bidi="ar-SA"/>
    </w:rPr>
  </w:style>
  <w:style w:type="paragraph" w:styleId="9">
    <w:name w:val="annotation text"/>
    <w:basedOn w:val="1"/>
    <w:qFormat/>
    <w:uiPriority w:val="0"/>
    <w:pPr>
      <w:jc w:val="left"/>
    </w:pPr>
  </w:style>
  <w:style w:type="paragraph" w:styleId="10">
    <w:name w:val="Body Text"/>
    <w:basedOn w:val="1"/>
    <w:next w:val="1"/>
    <w:qFormat/>
    <w:uiPriority w:val="0"/>
    <w:pPr>
      <w:spacing w:after="120"/>
    </w:pPr>
  </w:style>
  <w:style w:type="paragraph" w:styleId="11">
    <w:name w:val="toc 5"/>
    <w:basedOn w:val="1"/>
    <w:next w:val="1"/>
    <w:qFormat/>
    <w:uiPriority w:val="0"/>
    <w:pPr>
      <w:tabs>
        <w:tab w:val="right" w:leader="dot" w:pos="8296"/>
      </w:tabs>
      <w:ind w:left="1050" w:leftChars="500"/>
    </w:pPr>
  </w:style>
  <w:style w:type="paragraph" w:styleId="12">
    <w:name w:val="toc 3"/>
    <w:basedOn w:val="1"/>
    <w:next w:val="1"/>
    <w:qFormat/>
    <w:uiPriority w:val="0"/>
    <w:pPr>
      <w:ind w:left="480"/>
    </w:pPr>
  </w:style>
  <w:style w:type="paragraph" w:styleId="13">
    <w:name w:val="Plain Text"/>
    <w:basedOn w:val="1"/>
    <w:link w:val="32"/>
    <w:qFormat/>
    <w:uiPriority w:val="99"/>
    <w:pPr>
      <w:spacing w:line="305" w:lineRule="auto"/>
      <w:ind w:firstLine="420"/>
    </w:pPr>
    <w:rPr>
      <w:rFonts w:ascii="宋体" w:hAnsi="Courier New" w:cs="Courier New"/>
      <w:szCs w:val="21"/>
    </w:rPr>
  </w:style>
  <w:style w:type="paragraph" w:styleId="14">
    <w:name w:val="Body Text Indent 2"/>
    <w:basedOn w:val="15"/>
    <w:qFormat/>
    <w:uiPriority w:val="0"/>
    <w:pPr>
      <w:spacing w:after="120" w:line="480" w:lineRule="auto"/>
      <w:ind w:left="420" w:leftChars="200"/>
    </w:pPr>
  </w:style>
  <w:style w:type="paragraph" w:customStyle="1" w:styleId="15">
    <w:name w:val="正文_0_0"/>
    <w:next w:val="14"/>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rPr>
  </w:style>
  <w:style w:type="paragraph" w:styleId="18">
    <w:name w:val="toc 1"/>
    <w:basedOn w:val="1"/>
    <w:next w:val="1"/>
    <w:qFormat/>
    <w:uiPriority w:val="0"/>
  </w:style>
  <w:style w:type="paragraph" w:styleId="19">
    <w:name w:val="toc 4"/>
    <w:basedOn w:val="1"/>
    <w:next w:val="1"/>
    <w:qFormat/>
    <w:uiPriority w:val="0"/>
    <w:pPr>
      <w:tabs>
        <w:tab w:val="left" w:pos="1890"/>
        <w:tab w:val="right" w:leader="dot" w:pos="8296"/>
      </w:tabs>
      <w:ind w:left="630" w:leftChars="300"/>
    </w:pPr>
  </w:style>
  <w:style w:type="paragraph" w:styleId="20">
    <w:name w:val="toc 2"/>
    <w:basedOn w:val="1"/>
    <w:next w:val="1"/>
    <w:qFormat/>
    <w:uiPriority w:val="0"/>
    <w:pPr>
      <w:ind w:left="240"/>
    </w:pPr>
  </w:style>
  <w:style w:type="paragraph" w:styleId="21">
    <w:name w:val="Normal (Web)"/>
    <w:basedOn w:val="1"/>
    <w:qFormat/>
    <w:uiPriority w:val="0"/>
    <w:pPr>
      <w:spacing w:before="100" w:beforeAutospacing="1" w:after="100" w:afterAutospacing="1"/>
      <w:jc w:val="left"/>
    </w:pPr>
    <w:rPr>
      <w:rFonts w:ascii="宋体" w:hAnsi="宋体" w:cs="宋体"/>
      <w:kern w:val="0"/>
      <w:sz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style>
  <w:style w:type="character" w:styleId="26">
    <w:name w:val="Hyperlink"/>
    <w:basedOn w:val="24"/>
    <w:qFormat/>
    <w:uiPriority w:val="0"/>
    <w:rPr>
      <w:color w:val="0000FF"/>
      <w:u w:val="single"/>
    </w:rPr>
  </w:style>
  <w:style w:type="character" w:styleId="27">
    <w:name w:val="annotation reference"/>
    <w:basedOn w:val="24"/>
    <w:qFormat/>
    <w:uiPriority w:val="0"/>
    <w:rPr>
      <w:sz w:val="21"/>
      <w:szCs w:val="21"/>
    </w:rPr>
  </w:style>
  <w:style w:type="character" w:customStyle="1" w:styleId="28">
    <w:name w:val="标题 2 字符"/>
    <w:link w:val="5"/>
    <w:qFormat/>
    <w:uiPriority w:val="0"/>
    <w:rPr>
      <w:rFonts w:ascii="Arial" w:hAnsi="Arial" w:eastAsia="黑体" w:cs="Times New Roman"/>
      <w:b/>
      <w:bCs/>
      <w:kern w:val="2"/>
      <w:sz w:val="32"/>
      <w:szCs w:val="32"/>
      <w:lang w:eastAsia="zh-CN"/>
    </w:rPr>
  </w:style>
  <w:style w:type="paragraph" w:customStyle="1" w:styleId="29">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character" w:customStyle="1" w:styleId="30">
    <w:name w:val="标题 3 字符"/>
    <w:link w:val="6"/>
    <w:qFormat/>
    <w:uiPriority w:val="0"/>
    <w:rPr>
      <w:rFonts w:ascii="Times New Roman" w:hAnsi="Times New Roman" w:eastAsia="宋体" w:cs="Times New Roman"/>
      <w:b/>
      <w:bCs/>
      <w:kern w:val="2"/>
      <w:sz w:val="32"/>
      <w:szCs w:val="32"/>
      <w:lang w:eastAsia="zh-CN"/>
    </w:rPr>
  </w:style>
  <w:style w:type="paragraph" w:customStyle="1" w:styleId="31">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character" w:customStyle="1" w:styleId="32">
    <w:name w:val="纯文本 字符"/>
    <w:link w:val="13"/>
    <w:qFormat/>
    <w:uiPriority w:val="0"/>
    <w:rPr>
      <w:rFonts w:ascii="宋体" w:hAnsi="Courier New" w:eastAsia="宋体" w:cs="Courier New"/>
      <w:kern w:val="2"/>
      <w:sz w:val="21"/>
      <w:szCs w:val="21"/>
      <w:lang w:eastAsia="zh-CN"/>
    </w:rPr>
  </w:style>
  <w:style w:type="paragraph" w:customStyle="1" w:styleId="33">
    <w:name w:val="Table Text"/>
    <w:basedOn w:val="1"/>
    <w:semiHidden/>
    <w:qFormat/>
    <w:uiPriority w:val="0"/>
    <w:rPr>
      <w:rFonts w:ascii="宋体" w:hAnsi="宋体" w:cs="宋体"/>
      <w:szCs w:val="21"/>
      <w:lang w:eastAsia="en-US"/>
    </w:rPr>
  </w:style>
  <w:style w:type="paragraph" w:customStyle="1" w:styleId="3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35">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6">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7">
    <w:name w:val="_Style 10"/>
    <w:basedOn w:val="4"/>
    <w:next w:val="1"/>
    <w:qFormat/>
    <w:uiPriority w:val="0"/>
    <w:pPr>
      <w:outlineLvl w:val="9"/>
    </w:pPr>
  </w:style>
  <w:style w:type="paragraph" w:styleId="38">
    <w:name w:val="List Paragraph"/>
    <w:basedOn w:val="1"/>
    <w:qFormat/>
    <w:uiPriority w:val="0"/>
    <w:pPr>
      <w:ind w:firstLine="420" w:firstLineChars="200"/>
    </w:pPr>
  </w:style>
  <w:style w:type="paragraph" w:customStyle="1" w:styleId="39">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40">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41">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wmf"/><Relationship Id="rId7" Type="http://schemas.openxmlformats.org/officeDocument/2006/relationships/footer" Target="footer5.xml"/><Relationship Id="rId69" Type="http://schemas.openxmlformats.org/officeDocument/2006/relationships/oleObject" Target="embeddings/oleObject5.bin"/><Relationship Id="rId68" Type="http://schemas.openxmlformats.org/officeDocument/2006/relationships/image" Target="media/image4.wmf"/><Relationship Id="rId67" Type="http://schemas.openxmlformats.org/officeDocument/2006/relationships/oleObject" Target="embeddings/oleObject4.bin"/><Relationship Id="rId66" Type="http://schemas.openxmlformats.org/officeDocument/2006/relationships/image" Target="media/image3.wmf"/><Relationship Id="rId65" Type="http://schemas.openxmlformats.org/officeDocument/2006/relationships/oleObject" Target="embeddings/oleObject3.bin"/><Relationship Id="rId64" Type="http://schemas.openxmlformats.org/officeDocument/2006/relationships/image" Target="media/image2.wmf"/><Relationship Id="rId63" Type="http://schemas.openxmlformats.org/officeDocument/2006/relationships/oleObject" Target="embeddings/oleObject2.bin"/><Relationship Id="rId62" Type="http://schemas.openxmlformats.org/officeDocument/2006/relationships/image" Target="media/image1.wmf"/><Relationship Id="rId61" Type="http://schemas.openxmlformats.org/officeDocument/2006/relationships/oleObject" Target="embeddings/oleObject1.bin"/><Relationship Id="rId60" Type="http://schemas.openxmlformats.org/officeDocument/2006/relationships/theme" Target="theme/theme1.xml"/><Relationship Id="rId6" Type="http://schemas.openxmlformats.org/officeDocument/2006/relationships/footer" Target="footer4.xml"/><Relationship Id="rId59" Type="http://schemas.openxmlformats.org/officeDocument/2006/relationships/footer" Target="footer52.xml"/><Relationship Id="rId58" Type="http://schemas.openxmlformats.org/officeDocument/2006/relationships/footer" Target="footer51.xml"/><Relationship Id="rId57" Type="http://schemas.openxmlformats.org/officeDocument/2006/relationships/footer" Target="footer50.xml"/><Relationship Id="rId56" Type="http://schemas.openxmlformats.org/officeDocument/2006/relationships/header" Target="header5.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3.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2.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header" Target="header4.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3.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338</Pages>
  <Words>5594</Words>
  <Characters>6596</Characters>
  <Lines>1532</Lines>
  <Paragraphs>431</Paragraphs>
  <TotalTime>2</TotalTime>
  <ScaleCrop>false</ScaleCrop>
  <LinksUpToDate>false</LinksUpToDate>
  <CharactersWithSpaces>7248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2025-09-23T01:00:00Z</dcterms:created>
  <dc:creator>guang</dc:creator>
  <cp:lastModifiedBy>Zhengjialong.</cp:lastModifiedBy>
  <cp:lastPrinted>2025-10-11T05:08:00Z</cp:lastPrinted>
  <dcterms:modified xsi:type="dcterms:W3CDTF">2025-10-11T07:01:43Z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0D1787087778436D8CCB5F694A0686A5_13</vt:lpwstr>
  </property>
  <property fmtid="{D5CDD505-2E9C-101B-9397-08002B2CF9AE}" pid="3" name="KSOProductBuildVer">
    <vt:lpwstr>2052-12.1.0.16250</vt:lpwstr>
  </property>
  <property fmtid="{D5CDD505-2E9C-101B-9397-08002B2CF9AE}" pid="4" name="KSOTemplateDocerSaveRecord">
    <vt:lpwstr>eyJoZGlkIjoiMTk1ZmJhMjlhMjBkNWFmNWI5YjgxYjIzMjA3MDIwZmEiLCJ1c2VySWQiOiIyMDg1NzI3MDQifQ==</vt:lpwstr>
  </property>
</Properties>
</file>