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B64D40">
      <w:pPr>
        <w:spacing w:line="540" w:lineRule="exact"/>
        <w:ind w:firstLine="1600" w:firstLineChars="500"/>
        <w:rPr>
          <w:rFonts w:hint="eastAsia" w:ascii="宋体" w:hAnsi="宋体" w:eastAsia="宋体"/>
          <w:color w:val="auto"/>
          <w:sz w:val="32"/>
          <w:szCs w:val="32"/>
          <w:highlight w:val="none"/>
          <w:u w:val="none"/>
          <w:lang w:eastAsia="zh-CN"/>
        </w:rPr>
      </w:pPr>
    </w:p>
    <w:p w14:paraId="18CA0278">
      <w:pPr>
        <w:spacing w:line="540" w:lineRule="exact"/>
        <w:ind w:firstLine="1600" w:firstLineChars="500"/>
        <w:rPr>
          <w:rFonts w:ascii="宋体" w:hAnsi="宋体"/>
          <w:color w:val="auto"/>
          <w:sz w:val="32"/>
          <w:szCs w:val="32"/>
          <w:highlight w:val="none"/>
          <w:u w:val="none"/>
        </w:rPr>
      </w:pPr>
    </w:p>
    <w:p w14:paraId="4B2ED331">
      <w:pPr>
        <w:keepNext w:val="0"/>
        <w:keepLines w:val="0"/>
        <w:pageBreakBefore w:val="0"/>
        <w:widowControl w:val="0"/>
        <w:kinsoku/>
        <w:wordWrap/>
        <w:overflowPunct/>
        <w:topLinePunct w:val="0"/>
        <w:autoSpaceDE/>
        <w:autoSpaceDN/>
        <w:bidi w:val="0"/>
        <w:adjustRightInd/>
        <w:snapToGrid/>
        <w:spacing w:line="460" w:lineRule="exact"/>
        <w:ind w:firstLine="0"/>
        <w:jc w:val="center"/>
        <w:textAlignment w:val="auto"/>
        <w:rPr>
          <w:rFonts w:ascii="宋体" w:hAnsi="宋体"/>
          <w:color w:val="auto"/>
          <w:szCs w:val="21"/>
          <w:highlight w:val="none"/>
          <w:u w:val="none"/>
        </w:rPr>
      </w:pPr>
      <w:r>
        <w:rPr>
          <w:rFonts w:hint="eastAsia" w:ascii="Arial" w:hAnsi="Arial" w:cs="Arial"/>
          <w:b/>
          <w:bCs/>
          <w:color w:val="auto"/>
          <w:sz w:val="32"/>
          <w:szCs w:val="32"/>
          <w:highlight w:val="none"/>
          <w:u w:val="none"/>
          <w:lang w:eastAsia="zh-CN"/>
        </w:rPr>
        <w:t>中济智造产业基础设施配套项目一期EPC工程总承包</w:t>
      </w:r>
    </w:p>
    <w:p w14:paraId="581F0512">
      <w:pPr>
        <w:spacing w:line="460" w:lineRule="exact"/>
        <w:ind w:firstLine="437"/>
        <w:rPr>
          <w:rFonts w:ascii="宋体" w:hAnsi="宋体"/>
          <w:color w:val="auto"/>
          <w:szCs w:val="21"/>
          <w:highlight w:val="none"/>
          <w:u w:val="none"/>
        </w:rPr>
      </w:pPr>
    </w:p>
    <w:p w14:paraId="5E3CA01C">
      <w:pPr>
        <w:spacing w:line="540" w:lineRule="exact"/>
        <w:rPr>
          <w:rFonts w:ascii="宋体" w:hAnsi="宋体"/>
          <w:color w:val="auto"/>
          <w:szCs w:val="21"/>
          <w:highlight w:val="none"/>
          <w:u w:val="none"/>
        </w:rPr>
      </w:pPr>
    </w:p>
    <w:p w14:paraId="2243DAF8">
      <w:pPr>
        <w:spacing w:line="540" w:lineRule="exact"/>
        <w:rPr>
          <w:rFonts w:ascii="宋体" w:hAnsi="宋体"/>
          <w:color w:val="auto"/>
          <w:szCs w:val="21"/>
          <w:highlight w:val="none"/>
          <w:u w:val="none"/>
        </w:rPr>
      </w:pPr>
    </w:p>
    <w:p w14:paraId="22AD3D02">
      <w:pPr>
        <w:spacing w:line="540" w:lineRule="exact"/>
        <w:rPr>
          <w:rFonts w:ascii="宋体" w:hAnsi="宋体"/>
          <w:color w:val="auto"/>
          <w:szCs w:val="21"/>
          <w:highlight w:val="none"/>
          <w:u w:val="none"/>
        </w:rPr>
      </w:pPr>
    </w:p>
    <w:p w14:paraId="46526E52">
      <w:pPr>
        <w:jc w:val="center"/>
        <w:rPr>
          <w:rFonts w:ascii="黑体" w:hAnsi="宋体" w:eastAsia="黑体"/>
          <w:color w:val="auto"/>
          <w:sz w:val="72"/>
          <w:szCs w:val="72"/>
          <w:highlight w:val="none"/>
          <w:u w:val="none"/>
        </w:rPr>
      </w:pPr>
      <w:r>
        <w:rPr>
          <w:rFonts w:hint="eastAsia" w:ascii="黑体" w:hAnsi="宋体" w:eastAsia="黑体"/>
          <w:color w:val="auto"/>
          <w:sz w:val="72"/>
          <w:szCs w:val="72"/>
          <w:highlight w:val="none"/>
          <w:u w:val="none"/>
        </w:rPr>
        <w:t>招 标 文 件</w:t>
      </w:r>
    </w:p>
    <w:p w14:paraId="2199D74D">
      <w:pPr>
        <w:spacing w:line="540" w:lineRule="exact"/>
        <w:rPr>
          <w:rFonts w:ascii="黑体" w:eastAsia="黑体"/>
          <w:color w:val="auto"/>
          <w:sz w:val="28"/>
          <w:szCs w:val="28"/>
          <w:highlight w:val="none"/>
          <w:u w:val="none"/>
        </w:rPr>
      </w:pPr>
    </w:p>
    <w:p w14:paraId="48142AEE">
      <w:pPr>
        <w:spacing w:line="540" w:lineRule="exact"/>
        <w:ind w:left="0" w:leftChars="0"/>
        <w:jc w:val="center"/>
        <w:rPr>
          <w:rFonts w:ascii="宋体" w:hAnsi="宋体"/>
          <w:color w:val="auto"/>
          <w:szCs w:val="21"/>
          <w:highlight w:val="none"/>
          <w:u w:val="none"/>
        </w:rPr>
      </w:pPr>
      <w:r>
        <w:rPr>
          <w:rFonts w:hint="eastAsia" w:ascii="黑体" w:eastAsia="黑体"/>
          <w:color w:val="auto"/>
          <w:sz w:val="28"/>
          <w:szCs w:val="28"/>
          <w:highlight w:val="none"/>
          <w:u w:val="none"/>
        </w:rPr>
        <w:t>（标段唯一标识码：</w:t>
      </w:r>
      <w:r>
        <w:rPr>
          <w:rFonts w:hint="eastAsia" w:ascii="黑体" w:eastAsia="黑体"/>
          <w:color w:val="auto"/>
          <w:sz w:val="28"/>
          <w:szCs w:val="28"/>
          <w:highlight w:val="none"/>
          <w:u w:val="single"/>
          <w:lang w:val="en-US" w:eastAsia="zh-CN"/>
        </w:rPr>
        <w:t xml:space="preserve">                 </w:t>
      </w:r>
      <w:r>
        <w:rPr>
          <w:rFonts w:hint="eastAsia" w:ascii="黑体" w:eastAsia="黑体"/>
          <w:color w:val="auto"/>
          <w:sz w:val="28"/>
          <w:szCs w:val="28"/>
          <w:highlight w:val="none"/>
          <w:u w:val="none"/>
        </w:rPr>
        <w:t>）</w:t>
      </w:r>
    </w:p>
    <w:p w14:paraId="08A99BF7">
      <w:pPr>
        <w:spacing w:line="540" w:lineRule="exact"/>
        <w:ind w:left="0" w:leftChars="0"/>
        <w:jc w:val="center"/>
        <w:rPr>
          <w:rFonts w:hint="eastAsia" w:ascii="黑体" w:eastAsia="黑体"/>
          <w:color w:val="auto"/>
          <w:sz w:val="28"/>
          <w:szCs w:val="28"/>
          <w:highlight w:val="none"/>
          <w:u w:val="none"/>
        </w:rPr>
      </w:pPr>
      <w:r>
        <w:rPr>
          <w:rFonts w:hint="eastAsia" w:ascii="黑体" w:eastAsia="黑体"/>
          <w:color w:val="auto"/>
          <w:sz w:val="28"/>
          <w:szCs w:val="28"/>
          <w:highlight w:val="none"/>
          <w:u w:val="none"/>
        </w:rPr>
        <w:t>（标段编号：</w:t>
      </w:r>
      <w:r>
        <w:rPr>
          <w:rFonts w:hint="eastAsia" w:ascii="黑体" w:eastAsia="黑体"/>
          <w:color w:val="auto"/>
          <w:sz w:val="28"/>
          <w:szCs w:val="28"/>
          <w:highlight w:val="none"/>
          <w:u w:val="single"/>
          <w:lang w:val="en-US" w:eastAsia="zh-CN"/>
        </w:rPr>
        <w:t xml:space="preserve">                        </w:t>
      </w:r>
      <w:r>
        <w:rPr>
          <w:rFonts w:hint="eastAsia" w:ascii="黑体" w:eastAsia="黑体"/>
          <w:color w:val="auto"/>
          <w:sz w:val="28"/>
          <w:szCs w:val="28"/>
          <w:highlight w:val="none"/>
          <w:u w:val="none"/>
        </w:rPr>
        <w:t>）</w:t>
      </w:r>
    </w:p>
    <w:p w14:paraId="34BA32C1">
      <w:pPr>
        <w:spacing w:line="540" w:lineRule="exact"/>
        <w:ind w:firstLine="437"/>
        <w:rPr>
          <w:rFonts w:ascii="宋体" w:hAnsi="宋体"/>
          <w:color w:val="auto"/>
          <w:szCs w:val="21"/>
          <w:highlight w:val="none"/>
          <w:u w:val="none"/>
        </w:rPr>
      </w:pPr>
    </w:p>
    <w:p w14:paraId="32F8289B">
      <w:pPr>
        <w:spacing w:line="540" w:lineRule="exact"/>
        <w:ind w:firstLine="437"/>
        <w:rPr>
          <w:rFonts w:ascii="宋体" w:hAnsi="宋体"/>
          <w:color w:val="auto"/>
          <w:szCs w:val="21"/>
          <w:highlight w:val="none"/>
          <w:u w:val="none"/>
        </w:rPr>
      </w:pPr>
    </w:p>
    <w:p w14:paraId="40F2F385">
      <w:pPr>
        <w:spacing w:line="540" w:lineRule="exact"/>
        <w:ind w:firstLine="437"/>
        <w:rPr>
          <w:rFonts w:ascii="宋体" w:hAnsi="宋体"/>
          <w:color w:val="auto"/>
          <w:szCs w:val="21"/>
          <w:highlight w:val="none"/>
          <w:u w:val="none"/>
        </w:rPr>
      </w:pPr>
    </w:p>
    <w:p w14:paraId="2EDCCC46">
      <w:pPr>
        <w:spacing w:line="540" w:lineRule="exact"/>
        <w:ind w:firstLine="437"/>
        <w:rPr>
          <w:rFonts w:ascii="宋体" w:hAnsi="宋体"/>
          <w:color w:val="auto"/>
          <w:szCs w:val="21"/>
          <w:highlight w:val="none"/>
          <w:u w:val="none"/>
        </w:rPr>
      </w:pPr>
    </w:p>
    <w:p w14:paraId="147AD36D">
      <w:pPr>
        <w:spacing w:line="540" w:lineRule="exact"/>
        <w:ind w:firstLine="437"/>
        <w:rPr>
          <w:rFonts w:ascii="宋体" w:hAnsi="宋体"/>
          <w:color w:val="auto"/>
          <w:szCs w:val="21"/>
          <w:highlight w:val="none"/>
          <w:u w:val="none"/>
        </w:rPr>
      </w:pPr>
    </w:p>
    <w:p w14:paraId="6D05D671">
      <w:pPr>
        <w:spacing w:line="540" w:lineRule="exact"/>
        <w:ind w:firstLine="437"/>
        <w:rPr>
          <w:rFonts w:ascii="宋体" w:hAnsi="宋体"/>
          <w:color w:val="auto"/>
          <w:szCs w:val="21"/>
          <w:highlight w:val="none"/>
          <w:u w:val="none"/>
        </w:rPr>
      </w:pPr>
    </w:p>
    <w:p w14:paraId="5E3E0E0A">
      <w:pPr>
        <w:spacing w:line="540" w:lineRule="exact"/>
        <w:ind w:firstLine="437"/>
        <w:rPr>
          <w:rFonts w:ascii="宋体" w:hAnsi="宋体"/>
          <w:color w:val="auto"/>
          <w:szCs w:val="21"/>
          <w:highlight w:val="none"/>
          <w:u w:val="none"/>
        </w:rPr>
      </w:pPr>
    </w:p>
    <w:p w14:paraId="568CADC2">
      <w:pPr>
        <w:spacing w:line="360" w:lineRule="auto"/>
        <w:jc w:val="center"/>
        <w:rPr>
          <w:rFonts w:hint="eastAsia" w:ascii="黑体" w:hAnsi="黑体" w:eastAsia="黑体"/>
          <w:color w:val="auto"/>
          <w:sz w:val="28"/>
          <w:szCs w:val="28"/>
          <w:highlight w:val="none"/>
          <w:u w:val="none"/>
          <w:lang w:eastAsia="zh-CN"/>
        </w:rPr>
      </w:pPr>
      <w:r>
        <w:rPr>
          <w:rFonts w:hint="eastAsia" w:ascii="黑体" w:hAnsi="黑体" w:eastAsia="黑体"/>
          <w:color w:val="auto"/>
          <w:sz w:val="28"/>
          <w:szCs w:val="28"/>
          <w:highlight w:val="none"/>
          <w:u w:val="none"/>
        </w:rPr>
        <w:t>招标人</w:t>
      </w:r>
      <w:r>
        <w:rPr>
          <w:rFonts w:hint="eastAsia" w:ascii="黑体" w:hAnsi="黑体" w:eastAsia="黑体"/>
          <w:color w:val="auto"/>
          <w:sz w:val="28"/>
          <w:szCs w:val="28"/>
          <w:highlight w:val="none"/>
          <w:u w:val="none"/>
          <w:lang w:eastAsia="zh-CN"/>
        </w:rPr>
        <w:t>：营口国盛中济产业开发建设有限公司</w:t>
      </w:r>
      <w:r>
        <w:rPr>
          <w:rFonts w:hint="eastAsia" w:ascii="黑体" w:hAnsi="黑体" w:eastAsia="黑体"/>
          <w:color w:val="auto"/>
          <w:sz w:val="28"/>
          <w:szCs w:val="28"/>
          <w:highlight w:val="none"/>
          <w:u w:val="none"/>
        </w:rPr>
        <w:t>（盖章）</w:t>
      </w:r>
    </w:p>
    <w:p w14:paraId="4950082A">
      <w:pPr>
        <w:spacing w:line="360" w:lineRule="auto"/>
        <w:jc w:val="center"/>
        <w:rPr>
          <w:rFonts w:ascii="黑体" w:hAnsi="黑体" w:eastAsia="黑体"/>
          <w:color w:val="auto"/>
          <w:sz w:val="28"/>
          <w:szCs w:val="28"/>
          <w:highlight w:val="none"/>
          <w:u w:val="none"/>
        </w:rPr>
      </w:pPr>
      <w:r>
        <w:rPr>
          <w:rFonts w:hint="eastAsia" w:ascii="黑体" w:hAnsi="黑体" w:eastAsia="黑体"/>
          <w:color w:val="auto"/>
          <w:sz w:val="28"/>
          <w:szCs w:val="28"/>
          <w:highlight w:val="none"/>
          <w:u w:val="none"/>
        </w:rPr>
        <w:t>招标代理机构：辽宁咨发工程招标咨询服务有限公司（盖章）</w:t>
      </w:r>
    </w:p>
    <w:p w14:paraId="75642610">
      <w:pPr>
        <w:spacing w:line="360" w:lineRule="auto"/>
        <w:jc w:val="center"/>
        <w:rPr>
          <w:rFonts w:ascii="黑体" w:hAnsi="黑体" w:eastAsia="黑体"/>
          <w:color w:val="auto"/>
          <w:sz w:val="28"/>
          <w:szCs w:val="28"/>
          <w:highlight w:val="none"/>
          <w:u w:val="none"/>
        </w:rPr>
      </w:pPr>
    </w:p>
    <w:p w14:paraId="64B95804">
      <w:pPr>
        <w:jc w:val="center"/>
        <w:rPr>
          <w:color w:val="auto"/>
          <w:highlight w:val="none"/>
          <w:u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黑体" w:hAnsi="黑体" w:eastAsia="黑体"/>
          <w:color w:val="auto"/>
          <w:sz w:val="28"/>
          <w:szCs w:val="28"/>
          <w:highlight w:val="none"/>
          <w:u w:val="none"/>
        </w:rPr>
        <w:t>日    期：2025年</w:t>
      </w:r>
      <w:r>
        <w:rPr>
          <w:rFonts w:hint="eastAsia" w:ascii="黑体" w:hAnsi="黑体" w:eastAsia="黑体"/>
          <w:color w:val="auto"/>
          <w:sz w:val="28"/>
          <w:szCs w:val="28"/>
          <w:highlight w:val="none"/>
          <w:u w:val="none"/>
          <w:lang w:val="en-US" w:eastAsia="zh-CN"/>
        </w:rPr>
        <w:t xml:space="preserve">  </w:t>
      </w:r>
      <w:r>
        <w:rPr>
          <w:rFonts w:hint="eastAsia" w:ascii="黑体" w:hAnsi="黑体" w:eastAsia="黑体"/>
          <w:color w:val="auto"/>
          <w:sz w:val="28"/>
          <w:szCs w:val="28"/>
          <w:highlight w:val="none"/>
          <w:u w:val="none"/>
        </w:rPr>
        <w:t>月</w:t>
      </w:r>
      <w:r>
        <w:rPr>
          <w:rFonts w:hint="eastAsia" w:ascii="黑体" w:hAnsi="黑体" w:eastAsia="黑体"/>
          <w:color w:val="auto"/>
          <w:sz w:val="28"/>
          <w:szCs w:val="28"/>
          <w:highlight w:val="none"/>
          <w:u w:val="none"/>
          <w:lang w:val="en-US" w:eastAsia="zh-CN"/>
        </w:rPr>
        <w:t xml:space="preserve">  </w:t>
      </w:r>
      <w:r>
        <w:rPr>
          <w:rFonts w:hint="eastAsia" w:ascii="黑体" w:hAnsi="黑体" w:eastAsia="黑体"/>
          <w:color w:val="auto"/>
          <w:sz w:val="28"/>
          <w:szCs w:val="28"/>
          <w:highlight w:val="none"/>
          <w:u w:val="none"/>
        </w:rPr>
        <w:t>日</w:t>
      </w:r>
    </w:p>
    <w:p w14:paraId="07543A28">
      <w:pPr>
        <w:jc w:val="center"/>
        <w:rPr>
          <w:rFonts w:eastAsia="宋体"/>
          <w:b/>
          <w:color w:val="auto"/>
          <w:sz w:val="44"/>
          <w:highlight w:val="none"/>
        </w:rPr>
      </w:pPr>
      <w:bookmarkStart w:id="0" w:name="tableContents"/>
      <w:r>
        <w:rPr>
          <w:rFonts w:eastAsia="宋体"/>
          <w:b/>
          <w:color w:val="auto"/>
          <w:sz w:val="44"/>
          <w:highlight w:val="none"/>
        </w:rPr>
        <w:t>目录</w:t>
      </w:r>
    </w:p>
    <w:p w14:paraId="421C1286">
      <w:pPr>
        <w:pStyle w:val="19"/>
        <w:tabs>
          <w:tab w:val="right" w:leader="dot" w:pos="8306"/>
        </w:tabs>
        <w:rPr>
          <w:color w:val="auto"/>
          <w:highlight w:val="none"/>
        </w:rPr>
      </w:pPr>
      <w:r>
        <w:rPr>
          <w:rFonts w:eastAsia="宋体"/>
          <w:b w:val="0"/>
          <w:bCs w:val="0"/>
          <w:color w:val="auto"/>
          <w:sz w:val="44"/>
          <w:highlight w:val="none"/>
        </w:rPr>
        <w:fldChar w:fldCharType="begin"/>
      </w:r>
      <w:r>
        <w:rPr>
          <w:rFonts w:eastAsia="宋体"/>
          <w:b w:val="0"/>
          <w:bCs w:val="0"/>
          <w:color w:val="auto"/>
          <w:sz w:val="44"/>
          <w:highlight w:val="none"/>
        </w:rPr>
        <w:instrText xml:space="preserve">TOC \o "1-3" \h \z \u</w:instrText>
      </w:r>
      <w:r>
        <w:rPr>
          <w:rFonts w:eastAsia="宋体"/>
          <w:b w:val="0"/>
          <w:bCs w:val="0"/>
          <w:color w:val="auto"/>
          <w:sz w:val="44"/>
          <w:highlight w:val="none"/>
        </w:rPr>
        <w:fldChar w:fldCharType="separate"/>
      </w:r>
      <w:r>
        <w:rPr>
          <w:rFonts w:eastAsia="宋体"/>
          <w:bCs w:val="0"/>
          <w:color w:val="auto"/>
          <w:highlight w:val="none"/>
        </w:rPr>
        <w:fldChar w:fldCharType="begin"/>
      </w:r>
      <w:r>
        <w:rPr>
          <w:rFonts w:eastAsia="宋体"/>
          <w:bCs w:val="0"/>
          <w:color w:val="auto"/>
          <w:highlight w:val="none"/>
        </w:rPr>
        <w:instrText xml:space="preserve"> HYPERLINK \l _Toc24050 </w:instrText>
      </w:r>
      <w:r>
        <w:rPr>
          <w:rFonts w:eastAsia="宋体"/>
          <w:bCs w:val="0"/>
          <w:color w:val="auto"/>
          <w:highlight w:val="none"/>
        </w:rPr>
        <w:fldChar w:fldCharType="separate"/>
      </w:r>
      <w:r>
        <w:rPr>
          <w:rFonts w:hint="eastAsia" w:ascii="黑体" w:hAnsi="黑体" w:eastAsia="黑体"/>
          <w:bCs w:val="0"/>
          <w:color w:val="auto"/>
          <w:szCs w:val="48"/>
          <w:highlight w:val="none"/>
        </w:rPr>
        <w:t>第一卷</w:t>
      </w:r>
      <w:r>
        <w:rPr>
          <w:color w:val="auto"/>
          <w:highlight w:val="none"/>
        </w:rPr>
        <w:tab/>
      </w:r>
      <w:r>
        <w:rPr>
          <w:color w:val="auto"/>
          <w:highlight w:val="none"/>
        </w:rPr>
        <w:fldChar w:fldCharType="begin"/>
      </w:r>
      <w:r>
        <w:rPr>
          <w:color w:val="auto"/>
          <w:highlight w:val="none"/>
        </w:rPr>
        <w:instrText xml:space="preserve"> PAGEREF _Toc24050 \h </w:instrText>
      </w:r>
      <w:r>
        <w:rPr>
          <w:color w:val="auto"/>
          <w:highlight w:val="none"/>
        </w:rPr>
        <w:fldChar w:fldCharType="separate"/>
      </w:r>
      <w:r>
        <w:rPr>
          <w:color w:val="auto"/>
          <w:highlight w:val="none"/>
        </w:rPr>
        <w:t>1</w:t>
      </w:r>
      <w:r>
        <w:rPr>
          <w:color w:val="auto"/>
          <w:highlight w:val="none"/>
        </w:rPr>
        <w:fldChar w:fldCharType="end"/>
      </w:r>
      <w:r>
        <w:rPr>
          <w:rFonts w:eastAsia="宋体"/>
          <w:bCs w:val="0"/>
          <w:color w:val="auto"/>
          <w:highlight w:val="none"/>
        </w:rPr>
        <w:fldChar w:fldCharType="end"/>
      </w:r>
    </w:p>
    <w:p w14:paraId="675E008C">
      <w:pPr>
        <w:pStyle w:val="19"/>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_Toc529 </w:instrText>
      </w:r>
      <w:r>
        <w:rPr>
          <w:rFonts w:eastAsia="宋体"/>
          <w:bCs w:val="0"/>
          <w:color w:val="auto"/>
          <w:highlight w:val="none"/>
        </w:rPr>
        <w:fldChar w:fldCharType="separate"/>
      </w:r>
      <w:r>
        <w:rPr>
          <w:rFonts w:hint="eastAsia" w:ascii="黑体" w:hAnsi="黑体" w:eastAsia="黑体"/>
          <w:bCs w:val="0"/>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_Toc529 \h </w:instrText>
      </w:r>
      <w:r>
        <w:rPr>
          <w:color w:val="auto"/>
          <w:highlight w:val="none"/>
        </w:rPr>
        <w:fldChar w:fldCharType="separate"/>
      </w:r>
      <w:r>
        <w:rPr>
          <w:color w:val="auto"/>
          <w:highlight w:val="none"/>
        </w:rPr>
        <w:t>2</w:t>
      </w:r>
      <w:r>
        <w:rPr>
          <w:color w:val="auto"/>
          <w:highlight w:val="none"/>
        </w:rPr>
        <w:fldChar w:fldCharType="end"/>
      </w:r>
      <w:r>
        <w:rPr>
          <w:rFonts w:eastAsia="宋体"/>
          <w:bCs w:val="0"/>
          <w:color w:val="auto"/>
          <w:highlight w:val="none"/>
        </w:rPr>
        <w:fldChar w:fldCharType="end"/>
      </w:r>
    </w:p>
    <w:p w14:paraId="6A1D04A3">
      <w:pPr>
        <w:pStyle w:val="19"/>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_Toc17059 </w:instrText>
      </w:r>
      <w:r>
        <w:rPr>
          <w:rFonts w:eastAsia="宋体"/>
          <w:bCs w:val="0"/>
          <w:color w:val="auto"/>
          <w:highlight w:val="none"/>
        </w:rPr>
        <w:fldChar w:fldCharType="separate"/>
      </w:r>
      <w:r>
        <w:rPr>
          <w:rFonts w:ascii="黑体" w:hAnsi="黑体" w:eastAsia="黑体"/>
          <w:bCs w:val="0"/>
          <w:color w:val="auto"/>
          <w:highlight w:val="none"/>
        </w:rPr>
        <w:t>第</w:t>
      </w:r>
      <w:r>
        <w:rPr>
          <w:rFonts w:hint="eastAsia" w:ascii="黑体" w:hAnsi="黑体" w:eastAsia="黑体"/>
          <w:bCs w:val="0"/>
          <w:color w:val="auto"/>
          <w:highlight w:val="none"/>
          <w:lang w:val="en-US" w:eastAsia="zh-CN"/>
        </w:rPr>
        <w:t>二</w:t>
      </w:r>
      <w:r>
        <w:rPr>
          <w:rFonts w:ascii="黑体" w:hAnsi="黑体" w:eastAsia="黑体"/>
          <w:bCs w:val="0"/>
          <w:color w:val="auto"/>
          <w:highlight w:val="none"/>
        </w:rPr>
        <w:t>章</w:t>
      </w:r>
      <w:r>
        <w:rPr>
          <w:rFonts w:hint="eastAsia" w:ascii="黑体" w:hAnsi="黑体" w:eastAsia="黑体"/>
          <w:bCs w:val="0"/>
          <w:color w:val="auto"/>
          <w:highlight w:val="none"/>
          <w:lang w:val="en-US" w:eastAsia="zh-CN"/>
        </w:rPr>
        <w:t xml:space="preserve"> </w:t>
      </w:r>
      <w:r>
        <w:rPr>
          <w:rFonts w:hint="eastAsia" w:ascii="黑体" w:hAnsi="黑体" w:eastAsia="黑体"/>
          <w:bCs w:val="0"/>
          <w:color w:val="auto"/>
          <w:highlight w:val="none"/>
        </w:rPr>
        <w:t xml:space="preserve"> </w:t>
      </w:r>
      <w:r>
        <w:rPr>
          <w:rFonts w:hint="eastAsia" w:ascii="黑体" w:hAnsi="黑体" w:eastAsia="黑体"/>
          <w:bCs w:val="0"/>
          <w:color w:val="auto"/>
          <w:highlight w:val="none"/>
          <w:lang w:val="en-US" w:eastAsia="zh-CN"/>
        </w:rPr>
        <w:t>投标人须知</w:t>
      </w:r>
      <w:r>
        <w:rPr>
          <w:color w:val="auto"/>
          <w:highlight w:val="none"/>
        </w:rPr>
        <w:tab/>
      </w:r>
      <w:r>
        <w:rPr>
          <w:color w:val="auto"/>
          <w:highlight w:val="none"/>
        </w:rPr>
        <w:fldChar w:fldCharType="begin"/>
      </w:r>
      <w:r>
        <w:rPr>
          <w:color w:val="auto"/>
          <w:highlight w:val="none"/>
        </w:rPr>
        <w:instrText xml:space="preserve"> PAGEREF _Toc17059 \h </w:instrText>
      </w:r>
      <w:r>
        <w:rPr>
          <w:color w:val="auto"/>
          <w:highlight w:val="none"/>
        </w:rPr>
        <w:fldChar w:fldCharType="separate"/>
      </w:r>
      <w:r>
        <w:rPr>
          <w:color w:val="auto"/>
          <w:highlight w:val="none"/>
        </w:rPr>
        <w:t>6</w:t>
      </w:r>
      <w:r>
        <w:rPr>
          <w:color w:val="auto"/>
          <w:highlight w:val="none"/>
        </w:rPr>
        <w:fldChar w:fldCharType="end"/>
      </w:r>
      <w:r>
        <w:rPr>
          <w:rFonts w:eastAsia="宋体"/>
          <w:bCs w:val="0"/>
          <w:color w:val="auto"/>
          <w:highlight w:val="none"/>
        </w:rPr>
        <w:fldChar w:fldCharType="end"/>
      </w:r>
    </w:p>
    <w:p w14:paraId="075D3310">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_Toc28238 </w:instrText>
      </w:r>
      <w:r>
        <w:rPr>
          <w:rFonts w:eastAsia="宋体"/>
          <w:bCs w:val="0"/>
          <w:color w:val="auto"/>
          <w:highlight w:val="none"/>
        </w:rPr>
        <w:fldChar w:fldCharType="separate"/>
      </w:r>
      <w:r>
        <w:rPr>
          <w:rFonts w:hint="eastAsia"/>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_Toc28238 \h </w:instrText>
      </w:r>
      <w:r>
        <w:rPr>
          <w:color w:val="auto"/>
          <w:highlight w:val="none"/>
        </w:rPr>
        <w:fldChar w:fldCharType="separate"/>
      </w:r>
      <w:r>
        <w:rPr>
          <w:color w:val="auto"/>
          <w:highlight w:val="none"/>
        </w:rPr>
        <w:t>7</w:t>
      </w:r>
      <w:r>
        <w:rPr>
          <w:color w:val="auto"/>
          <w:highlight w:val="none"/>
        </w:rPr>
        <w:fldChar w:fldCharType="end"/>
      </w:r>
      <w:r>
        <w:rPr>
          <w:rFonts w:eastAsia="宋体"/>
          <w:bCs w:val="0"/>
          <w:color w:val="auto"/>
          <w:highlight w:val="none"/>
        </w:rPr>
        <w:fldChar w:fldCharType="end"/>
      </w:r>
    </w:p>
    <w:p w14:paraId="3BA891CB">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_Toc1687 </w:instrText>
      </w:r>
      <w:r>
        <w:rPr>
          <w:rFonts w:eastAsia="宋体"/>
          <w:bCs w:val="0"/>
          <w:color w:val="auto"/>
          <w:highlight w:val="none"/>
        </w:rPr>
        <w:fldChar w:fldCharType="separate"/>
      </w:r>
      <w:r>
        <w:rPr>
          <w:rFonts w:cs="Times New Roman"/>
          <w:color w:val="auto"/>
          <w:highlight w:val="none"/>
        </w:rPr>
        <w:t>投标人须知正文部分</w:t>
      </w:r>
      <w:r>
        <w:rPr>
          <w:color w:val="auto"/>
          <w:highlight w:val="none"/>
        </w:rPr>
        <w:tab/>
      </w:r>
      <w:r>
        <w:rPr>
          <w:color w:val="auto"/>
          <w:highlight w:val="none"/>
        </w:rPr>
        <w:fldChar w:fldCharType="begin"/>
      </w:r>
      <w:r>
        <w:rPr>
          <w:color w:val="auto"/>
          <w:highlight w:val="none"/>
        </w:rPr>
        <w:instrText xml:space="preserve"> PAGEREF _Toc1687 \h </w:instrText>
      </w:r>
      <w:r>
        <w:rPr>
          <w:color w:val="auto"/>
          <w:highlight w:val="none"/>
        </w:rPr>
        <w:fldChar w:fldCharType="separate"/>
      </w:r>
      <w:r>
        <w:rPr>
          <w:color w:val="auto"/>
          <w:highlight w:val="none"/>
        </w:rPr>
        <w:t>22</w:t>
      </w:r>
      <w:r>
        <w:rPr>
          <w:color w:val="auto"/>
          <w:highlight w:val="none"/>
        </w:rPr>
        <w:fldChar w:fldCharType="end"/>
      </w:r>
      <w:r>
        <w:rPr>
          <w:rFonts w:eastAsia="宋体"/>
          <w:bCs w:val="0"/>
          <w:color w:val="auto"/>
          <w:highlight w:val="none"/>
        </w:rPr>
        <w:fldChar w:fldCharType="end"/>
      </w:r>
    </w:p>
    <w:p w14:paraId="1CA55C32">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_Toc400 </w:instrText>
      </w:r>
      <w:r>
        <w:rPr>
          <w:rFonts w:eastAsia="宋体"/>
          <w:bCs w:val="0"/>
          <w:color w:val="auto"/>
          <w:highlight w:val="none"/>
        </w:rPr>
        <w:fldChar w:fldCharType="separate"/>
      </w:r>
      <w:r>
        <w:rPr>
          <w:rFonts w:cs="Times New Roman"/>
          <w:color w:val="auto"/>
          <w:highlight w:val="none"/>
        </w:rPr>
        <w:t>1.总则</w:t>
      </w:r>
      <w:r>
        <w:rPr>
          <w:color w:val="auto"/>
          <w:highlight w:val="none"/>
        </w:rPr>
        <w:tab/>
      </w:r>
      <w:r>
        <w:rPr>
          <w:color w:val="auto"/>
          <w:highlight w:val="none"/>
        </w:rPr>
        <w:fldChar w:fldCharType="begin"/>
      </w:r>
      <w:r>
        <w:rPr>
          <w:color w:val="auto"/>
          <w:highlight w:val="none"/>
        </w:rPr>
        <w:instrText xml:space="preserve"> PAGEREF _Toc400 \h </w:instrText>
      </w:r>
      <w:r>
        <w:rPr>
          <w:color w:val="auto"/>
          <w:highlight w:val="none"/>
        </w:rPr>
        <w:fldChar w:fldCharType="separate"/>
      </w:r>
      <w:r>
        <w:rPr>
          <w:color w:val="auto"/>
          <w:highlight w:val="none"/>
        </w:rPr>
        <w:t>22</w:t>
      </w:r>
      <w:r>
        <w:rPr>
          <w:color w:val="auto"/>
          <w:highlight w:val="none"/>
        </w:rPr>
        <w:fldChar w:fldCharType="end"/>
      </w:r>
      <w:r>
        <w:rPr>
          <w:rFonts w:eastAsia="宋体"/>
          <w:bCs w:val="0"/>
          <w:color w:val="auto"/>
          <w:highlight w:val="none"/>
        </w:rPr>
        <w:fldChar w:fldCharType="end"/>
      </w:r>
    </w:p>
    <w:p w14:paraId="44386EC9">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_Toc17435 </w:instrText>
      </w:r>
      <w:r>
        <w:rPr>
          <w:rFonts w:eastAsia="宋体"/>
          <w:bCs w:val="0"/>
          <w:color w:val="auto"/>
          <w:highlight w:val="none"/>
        </w:rPr>
        <w:fldChar w:fldCharType="separate"/>
      </w:r>
      <w:r>
        <w:rPr>
          <w:rFonts w:cs="Times New Roman"/>
          <w:color w:val="auto"/>
          <w:highlight w:val="none"/>
        </w:rPr>
        <w:t>1.1项目概况</w:t>
      </w:r>
      <w:r>
        <w:rPr>
          <w:color w:val="auto"/>
          <w:highlight w:val="none"/>
        </w:rPr>
        <w:tab/>
      </w:r>
      <w:r>
        <w:rPr>
          <w:color w:val="auto"/>
          <w:highlight w:val="none"/>
        </w:rPr>
        <w:fldChar w:fldCharType="begin"/>
      </w:r>
      <w:r>
        <w:rPr>
          <w:color w:val="auto"/>
          <w:highlight w:val="none"/>
        </w:rPr>
        <w:instrText xml:space="preserve"> PAGEREF _Toc17435 \h </w:instrText>
      </w:r>
      <w:r>
        <w:rPr>
          <w:color w:val="auto"/>
          <w:highlight w:val="none"/>
        </w:rPr>
        <w:fldChar w:fldCharType="separate"/>
      </w:r>
      <w:r>
        <w:rPr>
          <w:color w:val="auto"/>
          <w:highlight w:val="none"/>
        </w:rPr>
        <w:t>22</w:t>
      </w:r>
      <w:r>
        <w:rPr>
          <w:color w:val="auto"/>
          <w:highlight w:val="none"/>
        </w:rPr>
        <w:fldChar w:fldCharType="end"/>
      </w:r>
      <w:r>
        <w:rPr>
          <w:rFonts w:eastAsia="宋体"/>
          <w:bCs w:val="0"/>
          <w:color w:val="auto"/>
          <w:highlight w:val="none"/>
        </w:rPr>
        <w:fldChar w:fldCharType="end"/>
      </w:r>
    </w:p>
    <w:p w14:paraId="1FEA3B46">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_Toc9542 </w:instrText>
      </w:r>
      <w:r>
        <w:rPr>
          <w:rFonts w:eastAsia="宋体"/>
          <w:bCs w:val="0"/>
          <w:color w:val="auto"/>
          <w:highlight w:val="none"/>
        </w:rPr>
        <w:fldChar w:fldCharType="separate"/>
      </w:r>
      <w:r>
        <w:rPr>
          <w:rFonts w:cs="Times New Roman"/>
          <w:color w:val="auto"/>
          <w:highlight w:val="none"/>
        </w:rPr>
        <w:t>1.2 项目的资金来源和落实情况</w:t>
      </w:r>
      <w:r>
        <w:rPr>
          <w:color w:val="auto"/>
          <w:highlight w:val="none"/>
        </w:rPr>
        <w:tab/>
      </w:r>
      <w:r>
        <w:rPr>
          <w:color w:val="auto"/>
          <w:highlight w:val="none"/>
        </w:rPr>
        <w:fldChar w:fldCharType="begin"/>
      </w:r>
      <w:r>
        <w:rPr>
          <w:color w:val="auto"/>
          <w:highlight w:val="none"/>
        </w:rPr>
        <w:instrText xml:space="preserve"> PAGEREF _Toc9542 \h </w:instrText>
      </w:r>
      <w:r>
        <w:rPr>
          <w:color w:val="auto"/>
          <w:highlight w:val="none"/>
        </w:rPr>
        <w:fldChar w:fldCharType="separate"/>
      </w:r>
      <w:r>
        <w:rPr>
          <w:color w:val="auto"/>
          <w:highlight w:val="none"/>
        </w:rPr>
        <w:t>22</w:t>
      </w:r>
      <w:r>
        <w:rPr>
          <w:color w:val="auto"/>
          <w:highlight w:val="none"/>
        </w:rPr>
        <w:fldChar w:fldCharType="end"/>
      </w:r>
      <w:r>
        <w:rPr>
          <w:rFonts w:eastAsia="宋体"/>
          <w:bCs w:val="0"/>
          <w:color w:val="auto"/>
          <w:highlight w:val="none"/>
        </w:rPr>
        <w:fldChar w:fldCharType="end"/>
      </w:r>
    </w:p>
    <w:p w14:paraId="3B7008FB">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_Toc32212 </w:instrText>
      </w:r>
      <w:r>
        <w:rPr>
          <w:rFonts w:eastAsia="宋体"/>
          <w:bCs w:val="0"/>
          <w:color w:val="auto"/>
          <w:highlight w:val="none"/>
        </w:rPr>
        <w:fldChar w:fldCharType="separate"/>
      </w:r>
      <w:r>
        <w:rPr>
          <w:rFonts w:cs="Times New Roman"/>
          <w:color w:val="auto"/>
          <w:highlight w:val="none"/>
        </w:rPr>
        <w:t>1.3 招标范围、计划工期和质量标准</w:t>
      </w:r>
      <w:r>
        <w:rPr>
          <w:color w:val="auto"/>
          <w:highlight w:val="none"/>
        </w:rPr>
        <w:tab/>
      </w:r>
      <w:r>
        <w:rPr>
          <w:color w:val="auto"/>
          <w:highlight w:val="none"/>
        </w:rPr>
        <w:fldChar w:fldCharType="begin"/>
      </w:r>
      <w:r>
        <w:rPr>
          <w:color w:val="auto"/>
          <w:highlight w:val="none"/>
        </w:rPr>
        <w:instrText xml:space="preserve"> PAGEREF _Toc32212 \h </w:instrText>
      </w:r>
      <w:r>
        <w:rPr>
          <w:color w:val="auto"/>
          <w:highlight w:val="none"/>
        </w:rPr>
        <w:fldChar w:fldCharType="separate"/>
      </w:r>
      <w:r>
        <w:rPr>
          <w:color w:val="auto"/>
          <w:highlight w:val="none"/>
        </w:rPr>
        <w:t>22</w:t>
      </w:r>
      <w:r>
        <w:rPr>
          <w:color w:val="auto"/>
          <w:highlight w:val="none"/>
        </w:rPr>
        <w:fldChar w:fldCharType="end"/>
      </w:r>
      <w:r>
        <w:rPr>
          <w:rFonts w:eastAsia="宋体"/>
          <w:bCs w:val="0"/>
          <w:color w:val="auto"/>
          <w:highlight w:val="none"/>
        </w:rPr>
        <w:fldChar w:fldCharType="end"/>
      </w:r>
    </w:p>
    <w:p w14:paraId="52EA9768">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_Toc23723 </w:instrText>
      </w:r>
      <w:r>
        <w:rPr>
          <w:rFonts w:eastAsia="宋体"/>
          <w:bCs w:val="0"/>
          <w:color w:val="auto"/>
          <w:highlight w:val="none"/>
        </w:rPr>
        <w:fldChar w:fldCharType="separate"/>
      </w:r>
      <w:r>
        <w:rPr>
          <w:rFonts w:cs="Times New Roman"/>
          <w:color w:val="auto"/>
          <w:highlight w:val="none"/>
        </w:rPr>
        <w:t>1.4 投标人资格要求（适用于已进行资格预审的）</w:t>
      </w:r>
      <w:r>
        <w:rPr>
          <w:color w:val="auto"/>
          <w:highlight w:val="none"/>
        </w:rPr>
        <w:tab/>
      </w:r>
      <w:r>
        <w:rPr>
          <w:color w:val="auto"/>
          <w:highlight w:val="none"/>
        </w:rPr>
        <w:fldChar w:fldCharType="begin"/>
      </w:r>
      <w:r>
        <w:rPr>
          <w:color w:val="auto"/>
          <w:highlight w:val="none"/>
        </w:rPr>
        <w:instrText xml:space="preserve"> PAGEREF _Toc23723 \h </w:instrText>
      </w:r>
      <w:r>
        <w:rPr>
          <w:color w:val="auto"/>
          <w:highlight w:val="none"/>
        </w:rPr>
        <w:fldChar w:fldCharType="separate"/>
      </w:r>
      <w:r>
        <w:rPr>
          <w:color w:val="auto"/>
          <w:highlight w:val="none"/>
        </w:rPr>
        <w:t>22</w:t>
      </w:r>
      <w:r>
        <w:rPr>
          <w:color w:val="auto"/>
          <w:highlight w:val="none"/>
        </w:rPr>
        <w:fldChar w:fldCharType="end"/>
      </w:r>
      <w:r>
        <w:rPr>
          <w:rFonts w:eastAsia="宋体"/>
          <w:bCs w:val="0"/>
          <w:color w:val="auto"/>
          <w:highlight w:val="none"/>
        </w:rPr>
        <w:fldChar w:fldCharType="end"/>
      </w:r>
    </w:p>
    <w:p w14:paraId="4BDCB2E4">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_Toc12434 </w:instrText>
      </w:r>
      <w:r>
        <w:rPr>
          <w:rFonts w:eastAsia="宋体"/>
          <w:bCs w:val="0"/>
          <w:color w:val="auto"/>
          <w:highlight w:val="none"/>
        </w:rPr>
        <w:fldChar w:fldCharType="separate"/>
      </w:r>
      <w:r>
        <w:rPr>
          <w:rFonts w:cs="Times New Roman"/>
          <w:color w:val="auto"/>
          <w:highlight w:val="none"/>
        </w:rPr>
        <w:t>1.4 投标人资格要求（适用于未进行资格预审的）</w:t>
      </w:r>
      <w:r>
        <w:rPr>
          <w:color w:val="auto"/>
          <w:highlight w:val="none"/>
        </w:rPr>
        <w:tab/>
      </w:r>
      <w:r>
        <w:rPr>
          <w:color w:val="auto"/>
          <w:highlight w:val="none"/>
        </w:rPr>
        <w:fldChar w:fldCharType="begin"/>
      </w:r>
      <w:r>
        <w:rPr>
          <w:color w:val="auto"/>
          <w:highlight w:val="none"/>
        </w:rPr>
        <w:instrText xml:space="preserve"> PAGEREF _Toc12434 \h </w:instrText>
      </w:r>
      <w:r>
        <w:rPr>
          <w:color w:val="auto"/>
          <w:highlight w:val="none"/>
        </w:rPr>
        <w:fldChar w:fldCharType="separate"/>
      </w:r>
      <w:r>
        <w:rPr>
          <w:color w:val="auto"/>
          <w:highlight w:val="none"/>
        </w:rPr>
        <w:t>22</w:t>
      </w:r>
      <w:r>
        <w:rPr>
          <w:color w:val="auto"/>
          <w:highlight w:val="none"/>
        </w:rPr>
        <w:fldChar w:fldCharType="end"/>
      </w:r>
      <w:r>
        <w:rPr>
          <w:rFonts w:eastAsia="宋体"/>
          <w:bCs w:val="0"/>
          <w:color w:val="auto"/>
          <w:highlight w:val="none"/>
        </w:rPr>
        <w:fldChar w:fldCharType="end"/>
      </w:r>
    </w:p>
    <w:p w14:paraId="5C50B9E3">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_Toc9677 </w:instrText>
      </w:r>
      <w:r>
        <w:rPr>
          <w:rFonts w:eastAsia="宋体"/>
          <w:bCs w:val="0"/>
          <w:color w:val="auto"/>
          <w:highlight w:val="none"/>
        </w:rPr>
        <w:fldChar w:fldCharType="separate"/>
      </w:r>
      <w:r>
        <w:rPr>
          <w:rFonts w:cs="Times New Roman"/>
          <w:color w:val="auto"/>
          <w:highlight w:val="none"/>
        </w:rPr>
        <w:t>1.5 费用承担和设计成果补偿</w:t>
      </w:r>
      <w:r>
        <w:rPr>
          <w:color w:val="auto"/>
          <w:highlight w:val="none"/>
        </w:rPr>
        <w:tab/>
      </w:r>
      <w:r>
        <w:rPr>
          <w:color w:val="auto"/>
          <w:highlight w:val="none"/>
        </w:rPr>
        <w:fldChar w:fldCharType="begin"/>
      </w:r>
      <w:r>
        <w:rPr>
          <w:color w:val="auto"/>
          <w:highlight w:val="none"/>
        </w:rPr>
        <w:instrText xml:space="preserve"> PAGEREF _Toc9677 \h </w:instrText>
      </w:r>
      <w:r>
        <w:rPr>
          <w:color w:val="auto"/>
          <w:highlight w:val="none"/>
        </w:rPr>
        <w:fldChar w:fldCharType="separate"/>
      </w:r>
      <w:r>
        <w:rPr>
          <w:color w:val="auto"/>
          <w:highlight w:val="none"/>
        </w:rPr>
        <w:t>24</w:t>
      </w:r>
      <w:r>
        <w:rPr>
          <w:color w:val="auto"/>
          <w:highlight w:val="none"/>
        </w:rPr>
        <w:fldChar w:fldCharType="end"/>
      </w:r>
      <w:r>
        <w:rPr>
          <w:rFonts w:eastAsia="宋体"/>
          <w:bCs w:val="0"/>
          <w:color w:val="auto"/>
          <w:highlight w:val="none"/>
        </w:rPr>
        <w:fldChar w:fldCharType="end"/>
      </w:r>
    </w:p>
    <w:p w14:paraId="16818F65">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_Toc27837 </w:instrText>
      </w:r>
      <w:r>
        <w:rPr>
          <w:rFonts w:eastAsia="宋体"/>
          <w:bCs w:val="0"/>
          <w:color w:val="auto"/>
          <w:highlight w:val="none"/>
        </w:rPr>
        <w:fldChar w:fldCharType="separate"/>
      </w:r>
      <w:r>
        <w:rPr>
          <w:rFonts w:cs="Times New Roman"/>
          <w:color w:val="auto"/>
          <w:highlight w:val="none"/>
        </w:rPr>
        <w:t>1.6 保密</w:t>
      </w:r>
      <w:r>
        <w:rPr>
          <w:color w:val="auto"/>
          <w:highlight w:val="none"/>
        </w:rPr>
        <w:tab/>
      </w:r>
      <w:r>
        <w:rPr>
          <w:color w:val="auto"/>
          <w:highlight w:val="none"/>
        </w:rPr>
        <w:fldChar w:fldCharType="begin"/>
      </w:r>
      <w:r>
        <w:rPr>
          <w:color w:val="auto"/>
          <w:highlight w:val="none"/>
        </w:rPr>
        <w:instrText xml:space="preserve"> PAGEREF _Toc27837 \h </w:instrText>
      </w:r>
      <w:r>
        <w:rPr>
          <w:color w:val="auto"/>
          <w:highlight w:val="none"/>
        </w:rPr>
        <w:fldChar w:fldCharType="separate"/>
      </w:r>
      <w:r>
        <w:rPr>
          <w:color w:val="auto"/>
          <w:highlight w:val="none"/>
        </w:rPr>
        <w:t>24</w:t>
      </w:r>
      <w:r>
        <w:rPr>
          <w:color w:val="auto"/>
          <w:highlight w:val="none"/>
        </w:rPr>
        <w:fldChar w:fldCharType="end"/>
      </w:r>
      <w:r>
        <w:rPr>
          <w:rFonts w:eastAsia="宋体"/>
          <w:bCs w:val="0"/>
          <w:color w:val="auto"/>
          <w:highlight w:val="none"/>
        </w:rPr>
        <w:fldChar w:fldCharType="end"/>
      </w:r>
    </w:p>
    <w:p w14:paraId="0D970C05">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_Toc30649 </w:instrText>
      </w:r>
      <w:r>
        <w:rPr>
          <w:rFonts w:eastAsia="宋体"/>
          <w:bCs w:val="0"/>
          <w:color w:val="auto"/>
          <w:highlight w:val="none"/>
        </w:rPr>
        <w:fldChar w:fldCharType="separate"/>
      </w:r>
      <w:r>
        <w:rPr>
          <w:rFonts w:cs="Times New Roman"/>
          <w:color w:val="auto"/>
          <w:highlight w:val="none"/>
        </w:rPr>
        <w:t>1.7 语言文字</w:t>
      </w:r>
      <w:r>
        <w:rPr>
          <w:color w:val="auto"/>
          <w:highlight w:val="none"/>
        </w:rPr>
        <w:tab/>
      </w:r>
      <w:r>
        <w:rPr>
          <w:color w:val="auto"/>
          <w:highlight w:val="none"/>
        </w:rPr>
        <w:fldChar w:fldCharType="begin"/>
      </w:r>
      <w:r>
        <w:rPr>
          <w:color w:val="auto"/>
          <w:highlight w:val="none"/>
        </w:rPr>
        <w:instrText xml:space="preserve"> PAGEREF _Toc30649 \h </w:instrText>
      </w:r>
      <w:r>
        <w:rPr>
          <w:color w:val="auto"/>
          <w:highlight w:val="none"/>
        </w:rPr>
        <w:fldChar w:fldCharType="separate"/>
      </w:r>
      <w:r>
        <w:rPr>
          <w:color w:val="auto"/>
          <w:highlight w:val="none"/>
        </w:rPr>
        <w:t>24</w:t>
      </w:r>
      <w:r>
        <w:rPr>
          <w:color w:val="auto"/>
          <w:highlight w:val="none"/>
        </w:rPr>
        <w:fldChar w:fldCharType="end"/>
      </w:r>
      <w:r>
        <w:rPr>
          <w:rFonts w:eastAsia="宋体"/>
          <w:bCs w:val="0"/>
          <w:color w:val="auto"/>
          <w:highlight w:val="none"/>
        </w:rPr>
        <w:fldChar w:fldCharType="end"/>
      </w:r>
    </w:p>
    <w:p w14:paraId="191DCC7E">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_Toc31824 </w:instrText>
      </w:r>
      <w:r>
        <w:rPr>
          <w:rFonts w:eastAsia="宋体"/>
          <w:bCs w:val="0"/>
          <w:color w:val="auto"/>
          <w:highlight w:val="none"/>
        </w:rPr>
        <w:fldChar w:fldCharType="separate"/>
      </w:r>
      <w:r>
        <w:rPr>
          <w:rFonts w:cs="Times New Roman"/>
          <w:color w:val="auto"/>
          <w:highlight w:val="none"/>
        </w:rPr>
        <w:t>1.8 计量单位</w:t>
      </w:r>
      <w:r>
        <w:rPr>
          <w:color w:val="auto"/>
          <w:highlight w:val="none"/>
        </w:rPr>
        <w:tab/>
      </w:r>
      <w:r>
        <w:rPr>
          <w:color w:val="auto"/>
          <w:highlight w:val="none"/>
        </w:rPr>
        <w:fldChar w:fldCharType="begin"/>
      </w:r>
      <w:r>
        <w:rPr>
          <w:color w:val="auto"/>
          <w:highlight w:val="none"/>
        </w:rPr>
        <w:instrText xml:space="preserve"> PAGEREF _Toc31824 \h </w:instrText>
      </w:r>
      <w:r>
        <w:rPr>
          <w:color w:val="auto"/>
          <w:highlight w:val="none"/>
        </w:rPr>
        <w:fldChar w:fldCharType="separate"/>
      </w:r>
      <w:r>
        <w:rPr>
          <w:color w:val="auto"/>
          <w:highlight w:val="none"/>
        </w:rPr>
        <w:t>24</w:t>
      </w:r>
      <w:r>
        <w:rPr>
          <w:color w:val="auto"/>
          <w:highlight w:val="none"/>
        </w:rPr>
        <w:fldChar w:fldCharType="end"/>
      </w:r>
      <w:r>
        <w:rPr>
          <w:rFonts w:eastAsia="宋体"/>
          <w:bCs w:val="0"/>
          <w:color w:val="auto"/>
          <w:highlight w:val="none"/>
        </w:rPr>
        <w:fldChar w:fldCharType="end"/>
      </w:r>
    </w:p>
    <w:p w14:paraId="4F1C70C0">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_Toc28443 </w:instrText>
      </w:r>
      <w:r>
        <w:rPr>
          <w:rFonts w:eastAsia="宋体"/>
          <w:bCs w:val="0"/>
          <w:color w:val="auto"/>
          <w:highlight w:val="none"/>
        </w:rPr>
        <w:fldChar w:fldCharType="separate"/>
      </w:r>
      <w:r>
        <w:rPr>
          <w:rFonts w:cs="Times New Roman"/>
          <w:color w:val="auto"/>
          <w:highlight w:val="none"/>
        </w:rPr>
        <w:t>1.9 踏勘现场</w:t>
      </w:r>
      <w:r>
        <w:rPr>
          <w:color w:val="auto"/>
          <w:highlight w:val="none"/>
        </w:rPr>
        <w:tab/>
      </w:r>
      <w:r>
        <w:rPr>
          <w:color w:val="auto"/>
          <w:highlight w:val="none"/>
        </w:rPr>
        <w:fldChar w:fldCharType="begin"/>
      </w:r>
      <w:r>
        <w:rPr>
          <w:color w:val="auto"/>
          <w:highlight w:val="none"/>
        </w:rPr>
        <w:instrText xml:space="preserve"> PAGEREF _Toc28443 \h </w:instrText>
      </w:r>
      <w:r>
        <w:rPr>
          <w:color w:val="auto"/>
          <w:highlight w:val="none"/>
        </w:rPr>
        <w:fldChar w:fldCharType="separate"/>
      </w:r>
      <w:r>
        <w:rPr>
          <w:color w:val="auto"/>
          <w:highlight w:val="none"/>
        </w:rPr>
        <w:t>24</w:t>
      </w:r>
      <w:r>
        <w:rPr>
          <w:color w:val="auto"/>
          <w:highlight w:val="none"/>
        </w:rPr>
        <w:fldChar w:fldCharType="end"/>
      </w:r>
      <w:r>
        <w:rPr>
          <w:rFonts w:eastAsia="宋体"/>
          <w:bCs w:val="0"/>
          <w:color w:val="auto"/>
          <w:highlight w:val="none"/>
        </w:rPr>
        <w:fldChar w:fldCharType="end"/>
      </w:r>
    </w:p>
    <w:p w14:paraId="53E8A169">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_Toc375 </w:instrText>
      </w:r>
      <w:r>
        <w:rPr>
          <w:rFonts w:eastAsia="宋体"/>
          <w:bCs w:val="0"/>
          <w:color w:val="auto"/>
          <w:highlight w:val="none"/>
        </w:rPr>
        <w:fldChar w:fldCharType="separate"/>
      </w:r>
      <w:r>
        <w:rPr>
          <w:rFonts w:cs="Times New Roman"/>
          <w:color w:val="auto"/>
          <w:highlight w:val="none"/>
        </w:rPr>
        <w:t>1.10 投标预备会</w:t>
      </w:r>
      <w:r>
        <w:rPr>
          <w:color w:val="auto"/>
          <w:highlight w:val="none"/>
        </w:rPr>
        <w:tab/>
      </w:r>
      <w:r>
        <w:rPr>
          <w:color w:val="auto"/>
          <w:highlight w:val="none"/>
        </w:rPr>
        <w:fldChar w:fldCharType="begin"/>
      </w:r>
      <w:r>
        <w:rPr>
          <w:color w:val="auto"/>
          <w:highlight w:val="none"/>
        </w:rPr>
        <w:instrText xml:space="preserve"> PAGEREF _Toc375 \h </w:instrText>
      </w:r>
      <w:r>
        <w:rPr>
          <w:color w:val="auto"/>
          <w:highlight w:val="none"/>
        </w:rPr>
        <w:fldChar w:fldCharType="separate"/>
      </w:r>
      <w:r>
        <w:rPr>
          <w:color w:val="auto"/>
          <w:highlight w:val="none"/>
        </w:rPr>
        <w:t>24</w:t>
      </w:r>
      <w:r>
        <w:rPr>
          <w:color w:val="auto"/>
          <w:highlight w:val="none"/>
        </w:rPr>
        <w:fldChar w:fldCharType="end"/>
      </w:r>
      <w:r>
        <w:rPr>
          <w:rFonts w:eastAsia="宋体"/>
          <w:bCs w:val="0"/>
          <w:color w:val="auto"/>
          <w:highlight w:val="none"/>
        </w:rPr>
        <w:fldChar w:fldCharType="end"/>
      </w:r>
    </w:p>
    <w:p w14:paraId="474899AE">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_Toc1240 </w:instrText>
      </w:r>
      <w:r>
        <w:rPr>
          <w:rFonts w:eastAsia="宋体"/>
          <w:bCs w:val="0"/>
          <w:color w:val="auto"/>
          <w:highlight w:val="none"/>
        </w:rPr>
        <w:fldChar w:fldCharType="separate"/>
      </w:r>
      <w:r>
        <w:rPr>
          <w:rFonts w:cs="Times New Roman"/>
          <w:color w:val="auto"/>
          <w:highlight w:val="none"/>
        </w:rPr>
        <w:t>1.11 分包</w:t>
      </w:r>
      <w:r>
        <w:rPr>
          <w:color w:val="auto"/>
          <w:highlight w:val="none"/>
        </w:rPr>
        <w:tab/>
      </w:r>
      <w:r>
        <w:rPr>
          <w:color w:val="auto"/>
          <w:highlight w:val="none"/>
        </w:rPr>
        <w:fldChar w:fldCharType="begin"/>
      </w:r>
      <w:r>
        <w:rPr>
          <w:color w:val="auto"/>
          <w:highlight w:val="none"/>
        </w:rPr>
        <w:instrText xml:space="preserve"> PAGEREF _Toc1240 \h </w:instrText>
      </w:r>
      <w:r>
        <w:rPr>
          <w:color w:val="auto"/>
          <w:highlight w:val="none"/>
        </w:rPr>
        <w:fldChar w:fldCharType="separate"/>
      </w:r>
      <w:r>
        <w:rPr>
          <w:color w:val="auto"/>
          <w:highlight w:val="none"/>
        </w:rPr>
        <w:t>24</w:t>
      </w:r>
      <w:r>
        <w:rPr>
          <w:color w:val="auto"/>
          <w:highlight w:val="none"/>
        </w:rPr>
        <w:fldChar w:fldCharType="end"/>
      </w:r>
      <w:r>
        <w:rPr>
          <w:rFonts w:eastAsia="宋体"/>
          <w:bCs w:val="0"/>
          <w:color w:val="auto"/>
          <w:highlight w:val="none"/>
        </w:rPr>
        <w:fldChar w:fldCharType="end"/>
      </w:r>
    </w:p>
    <w:p w14:paraId="221C4090">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_Toc6985 </w:instrText>
      </w:r>
      <w:r>
        <w:rPr>
          <w:rFonts w:eastAsia="宋体"/>
          <w:bCs w:val="0"/>
          <w:color w:val="auto"/>
          <w:highlight w:val="none"/>
        </w:rPr>
        <w:fldChar w:fldCharType="separate"/>
      </w:r>
      <w:r>
        <w:rPr>
          <w:rFonts w:cs="Times New Roman"/>
          <w:color w:val="auto"/>
          <w:highlight w:val="none"/>
        </w:rPr>
        <w:t>1.12 偏离</w:t>
      </w:r>
      <w:r>
        <w:rPr>
          <w:color w:val="auto"/>
          <w:highlight w:val="none"/>
        </w:rPr>
        <w:tab/>
      </w:r>
      <w:r>
        <w:rPr>
          <w:color w:val="auto"/>
          <w:highlight w:val="none"/>
        </w:rPr>
        <w:fldChar w:fldCharType="begin"/>
      </w:r>
      <w:r>
        <w:rPr>
          <w:color w:val="auto"/>
          <w:highlight w:val="none"/>
        </w:rPr>
        <w:instrText xml:space="preserve"> PAGEREF _Toc6985 \h </w:instrText>
      </w:r>
      <w:r>
        <w:rPr>
          <w:color w:val="auto"/>
          <w:highlight w:val="none"/>
        </w:rPr>
        <w:fldChar w:fldCharType="separate"/>
      </w:r>
      <w:r>
        <w:rPr>
          <w:color w:val="auto"/>
          <w:highlight w:val="none"/>
        </w:rPr>
        <w:t>24</w:t>
      </w:r>
      <w:r>
        <w:rPr>
          <w:color w:val="auto"/>
          <w:highlight w:val="none"/>
        </w:rPr>
        <w:fldChar w:fldCharType="end"/>
      </w:r>
      <w:r>
        <w:rPr>
          <w:rFonts w:eastAsia="宋体"/>
          <w:bCs w:val="0"/>
          <w:color w:val="auto"/>
          <w:highlight w:val="none"/>
        </w:rPr>
        <w:fldChar w:fldCharType="end"/>
      </w:r>
    </w:p>
    <w:p w14:paraId="5112BD8B">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_Toc18019 </w:instrText>
      </w:r>
      <w:r>
        <w:rPr>
          <w:rFonts w:eastAsia="宋体"/>
          <w:bCs w:val="0"/>
          <w:color w:val="auto"/>
          <w:highlight w:val="none"/>
        </w:rPr>
        <w:fldChar w:fldCharType="separate"/>
      </w:r>
      <w:r>
        <w:rPr>
          <w:rFonts w:cs="Times New Roman"/>
          <w:color w:val="auto"/>
          <w:highlight w:val="none"/>
        </w:rPr>
        <w:t>2. 招标文件</w:t>
      </w:r>
      <w:r>
        <w:rPr>
          <w:color w:val="auto"/>
          <w:highlight w:val="none"/>
        </w:rPr>
        <w:tab/>
      </w:r>
      <w:r>
        <w:rPr>
          <w:color w:val="auto"/>
          <w:highlight w:val="none"/>
        </w:rPr>
        <w:fldChar w:fldCharType="begin"/>
      </w:r>
      <w:r>
        <w:rPr>
          <w:color w:val="auto"/>
          <w:highlight w:val="none"/>
        </w:rPr>
        <w:instrText xml:space="preserve"> PAGEREF _Toc18019 \h </w:instrText>
      </w:r>
      <w:r>
        <w:rPr>
          <w:color w:val="auto"/>
          <w:highlight w:val="none"/>
        </w:rPr>
        <w:fldChar w:fldCharType="separate"/>
      </w:r>
      <w:r>
        <w:rPr>
          <w:color w:val="auto"/>
          <w:highlight w:val="none"/>
        </w:rPr>
        <w:t>25</w:t>
      </w:r>
      <w:r>
        <w:rPr>
          <w:color w:val="auto"/>
          <w:highlight w:val="none"/>
        </w:rPr>
        <w:fldChar w:fldCharType="end"/>
      </w:r>
      <w:r>
        <w:rPr>
          <w:rFonts w:eastAsia="宋体"/>
          <w:bCs w:val="0"/>
          <w:color w:val="auto"/>
          <w:highlight w:val="none"/>
        </w:rPr>
        <w:fldChar w:fldCharType="end"/>
      </w:r>
    </w:p>
    <w:p w14:paraId="5A8B042E">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_Toc18751 </w:instrText>
      </w:r>
      <w:r>
        <w:rPr>
          <w:rFonts w:eastAsia="宋体"/>
          <w:bCs w:val="0"/>
          <w:color w:val="auto"/>
          <w:highlight w:val="none"/>
        </w:rPr>
        <w:fldChar w:fldCharType="separate"/>
      </w:r>
      <w:r>
        <w:rPr>
          <w:rFonts w:cs="Times New Roman"/>
          <w:color w:val="auto"/>
          <w:highlight w:val="none"/>
        </w:rPr>
        <w:t>2.1 招标文件的组成</w:t>
      </w:r>
      <w:r>
        <w:rPr>
          <w:color w:val="auto"/>
          <w:highlight w:val="none"/>
        </w:rPr>
        <w:tab/>
      </w:r>
      <w:r>
        <w:rPr>
          <w:color w:val="auto"/>
          <w:highlight w:val="none"/>
        </w:rPr>
        <w:fldChar w:fldCharType="begin"/>
      </w:r>
      <w:r>
        <w:rPr>
          <w:color w:val="auto"/>
          <w:highlight w:val="none"/>
        </w:rPr>
        <w:instrText xml:space="preserve"> PAGEREF _Toc18751 \h </w:instrText>
      </w:r>
      <w:r>
        <w:rPr>
          <w:color w:val="auto"/>
          <w:highlight w:val="none"/>
        </w:rPr>
        <w:fldChar w:fldCharType="separate"/>
      </w:r>
      <w:r>
        <w:rPr>
          <w:color w:val="auto"/>
          <w:highlight w:val="none"/>
        </w:rPr>
        <w:t>25</w:t>
      </w:r>
      <w:r>
        <w:rPr>
          <w:color w:val="auto"/>
          <w:highlight w:val="none"/>
        </w:rPr>
        <w:fldChar w:fldCharType="end"/>
      </w:r>
      <w:r>
        <w:rPr>
          <w:rFonts w:eastAsia="宋体"/>
          <w:bCs w:val="0"/>
          <w:color w:val="auto"/>
          <w:highlight w:val="none"/>
        </w:rPr>
        <w:fldChar w:fldCharType="end"/>
      </w:r>
    </w:p>
    <w:p w14:paraId="533FCAB3">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_Toc1506 </w:instrText>
      </w:r>
      <w:r>
        <w:rPr>
          <w:rFonts w:eastAsia="宋体"/>
          <w:bCs w:val="0"/>
          <w:color w:val="auto"/>
          <w:highlight w:val="none"/>
        </w:rPr>
        <w:fldChar w:fldCharType="separate"/>
      </w:r>
      <w:r>
        <w:rPr>
          <w:rFonts w:cs="Times New Roman"/>
          <w:color w:val="auto"/>
          <w:highlight w:val="none"/>
        </w:rPr>
        <w:t>2.2 招标文件的澄清</w:t>
      </w:r>
      <w:r>
        <w:rPr>
          <w:color w:val="auto"/>
          <w:highlight w:val="none"/>
        </w:rPr>
        <w:tab/>
      </w:r>
      <w:r>
        <w:rPr>
          <w:color w:val="auto"/>
          <w:highlight w:val="none"/>
        </w:rPr>
        <w:fldChar w:fldCharType="begin"/>
      </w:r>
      <w:r>
        <w:rPr>
          <w:color w:val="auto"/>
          <w:highlight w:val="none"/>
        </w:rPr>
        <w:instrText xml:space="preserve"> PAGEREF _Toc1506 \h </w:instrText>
      </w:r>
      <w:r>
        <w:rPr>
          <w:color w:val="auto"/>
          <w:highlight w:val="none"/>
        </w:rPr>
        <w:fldChar w:fldCharType="separate"/>
      </w:r>
      <w:r>
        <w:rPr>
          <w:color w:val="auto"/>
          <w:highlight w:val="none"/>
        </w:rPr>
        <w:t>25</w:t>
      </w:r>
      <w:r>
        <w:rPr>
          <w:color w:val="auto"/>
          <w:highlight w:val="none"/>
        </w:rPr>
        <w:fldChar w:fldCharType="end"/>
      </w:r>
      <w:r>
        <w:rPr>
          <w:rFonts w:eastAsia="宋体"/>
          <w:bCs w:val="0"/>
          <w:color w:val="auto"/>
          <w:highlight w:val="none"/>
        </w:rPr>
        <w:fldChar w:fldCharType="end"/>
      </w:r>
    </w:p>
    <w:p w14:paraId="5DDCCCB6">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_Toc26721 </w:instrText>
      </w:r>
      <w:r>
        <w:rPr>
          <w:rFonts w:eastAsia="宋体"/>
          <w:bCs w:val="0"/>
          <w:color w:val="auto"/>
          <w:highlight w:val="none"/>
        </w:rPr>
        <w:fldChar w:fldCharType="separate"/>
      </w:r>
      <w:r>
        <w:rPr>
          <w:rFonts w:cs="Times New Roman"/>
          <w:color w:val="auto"/>
          <w:highlight w:val="none"/>
        </w:rPr>
        <w:t>2.3 招标文件的修改</w:t>
      </w:r>
      <w:r>
        <w:rPr>
          <w:color w:val="auto"/>
          <w:highlight w:val="none"/>
        </w:rPr>
        <w:tab/>
      </w:r>
      <w:r>
        <w:rPr>
          <w:color w:val="auto"/>
          <w:highlight w:val="none"/>
        </w:rPr>
        <w:fldChar w:fldCharType="begin"/>
      </w:r>
      <w:r>
        <w:rPr>
          <w:color w:val="auto"/>
          <w:highlight w:val="none"/>
        </w:rPr>
        <w:instrText xml:space="preserve"> PAGEREF _Toc26721 \h </w:instrText>
      </w:r>
      <w:r>
        <w:rPr>
          <w:color w:val="auto"/>
          <w:highlight w:val="none"/>
        </w:rPr>
        <w:fldChar w:fldCharType="separate"/>
      </w:r>
      <w:r>
        <w:rPr>
          <w:color w:val="auto"/>
          <w:highlight w:val="none"/>
        </w:rPr>
        <w:t>25</w:t>
      </w:r>
      <w:r>
        <w:rPr>
          <w:color w:val="auto"/>
          <w:highlight w:val="none"/>
        </w:rPr>
        <w:fldChar w:fldCharType="end"/>
      </w:r>
      <w:r>
        <w:rPr>
          <w:rFonts w:eastAsia="宋体"/>
          <w:bCs w:val="0"/>
          <w:color w:val="auto"/>
          <w:highlight w:val="none"/>
        </w:rPr>
        <w:fldChar w:fldCharType="end"/>
      </w:r>
    </w:p>
    <w:p w14:paraId="7CD569E8">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_Toc27565 </w:instrText>
      </w:r>
      <w:r>
        <w:rPr>
          <w:rFonts w:eastAsia="宋体"/>
          <w:bCs w:val="0"/>
          <w:color w:val="auto"/>
          <w:highlight w:val="none"/>
        </w:rPr>
        <w:fldChar w:fldCharType="separate"/>
      </w:r>
      <w:r>
        <w:rPr>
          <w:rFonts w:cs="Times New Roman"/>
          <w:color w:val="auto"/>
          <w:highlight w:val="none"/>
        </w:rPr>
        <w:t>2.4 招标文件的异议</w:t>
      </w:r>
      <w:r>
        <w:rPr>
          <w:color w:val="auto"/>
          <w:highlight w:val="none"/>
        </w:rPr>
        <w:tab/>
      </w:r>
      <w:r>
        <w:rPr>
          <w:color w:val="auto"/>
          <w:highlight w:val="none"/>
        </w:rPr>
        <w:fldChar w:fldCharType="begin"/>
      </w:r>
      <w:r>
        <w:rPr>
          <w:color w:val="auto"/>
          <w:highlight w:val="none"/>
        </w:rPr>
        <w:instrText xml:space="preserve"> PAGEREF _Toc27565 \h </w:instrText>
      </w:r>
      <w:r>
        <w:rPr>
          <w:color w:val="auto"/>
          <w:highlight w:val="none"/>
        </w:rPr>
        <w:fldChar w:fldCharType="separate"/>
      </w:r>
      <w:r>
        <w:rPr>
          <w:color w:val="auto"/>
          <w:highlight w:val="none"/>
        </w:rPr>
        <w:t>25</w:t>
      </w:r>
      <w:r>
        <w:rPr>
          <w:color w:val="auto"/>
          <w:highlight w:val="none"/>
        </w:rPr>
        <w:fldChar w:fldCharType="end"/>
      </w:r>
      <w:r>
        <w:rPr>
          <w:rFonts w:eastAsia="宋体"/>
          <w:bCs w:val="0"/>
          <w:color w:val="auto"/>
          <w:highlight w:val="none"/>
        </w:rPr>
        <w:fldChar w:fldCharType="end"/>
      </w:r>
    </w:p>
    <w:p w14:paraId="016B2A57">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_Toc10909 </w:instrText>
      </w:r>
      <w:r>
        <w:rPr>
          <w:rFonts w:eastAsia="宋体"/>
          <w:bCs w:val="0"/>
          <w:color w:val="auto"/>
          <w:highlight w:val="none"/>
        </w:rPr>
        <w:fldChar w:fldCharType="separate"/>
      </w:r>
      <w:r>
        <w:rPr>
          <w:rFonts w:cs="Times New Roman"/>
          <w:color w:val="auto"/>
          <w:highlight w:val="none"/>
        </w:rPr>
        <w:t>3. 投标文件</w:t>
      </w:r>
      <w:r>
        <w:rPr>
          <w:color w:val="auto"/>
          <w:highlight w:val="none"/>
        </w:rPr>
        <w:tab/>
      </w:r>
      <w:r>
        <w:rPr>
          <w:color w:val="auto"/>
          <w:highlight w:val="none"/>
        </w:rPr>
        <w:fldChar w:fldCharType="begin"/>
      </w:r>
      <w:r>
        <w:rPr>
          <w:color w:val="auto"/>
          <w:highlight w:val="none"/>
        </w:rPr>
        <w:instrText xml:space="preserve"> PAGEREF _Toc10909 \h </w:instrText>
      </w:r>
      <w:r>
        <w:rPr>
          <w:color w:val="auto"/>
          <w:highlight w:val="none"/>
        </w:rPr>
        <w:fldChar w:fldCharType="separate"/>
      </w:r>
      <w:r>
        <w:rPr>
          <w:color w:val="auto"/>
          <w:highlight w:val="none"/>
        </w:rPr>
        <w:t>26</w:t>
      </w:r>
      <w:r>
        <w:rPr>
          <w:color w:val="auto"/>
          <w:highlight w:val="none"/>
        </w:rPr>
        <w:fldChar w:fldCharType="end"/>
      </w:r>
      <w:r>
        <w:rPr>
          <w:rFonts w:eastAsia="宋体"/>
          <w:bCs w:val="0"/>
          <w:color w:val="auto"/>
          <w:highlight w:val="none"/>
        </w:rPr>
        <w:fldChar w:fldCharType="end"/>
      </w:r>
    </w:p>
    <w:p w14:paraId="5AECA101">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_Toc18752 </w:instrText>
      </w:r>
      <w:r>
        <w:rPr>
          <w:rFonts w:eastAsia="宋体"/>
          <w:bCs w:val="0"/>
          <w:color w:val="auto"/>
          <w:highlight w:val="none"/>
        </w:rPr>
        <w:fldChar w:fldCharType="separate"/>
      </w:r>
      <w:r>
        <w:rPr>
          <w:rFonts w:cs="Times New Roman"/>
          <w:color w:val="auto"/>
          <w:highlight w:val="none"/>
        </w:rPr>
        <w:t>3.1 投标文件的组成</w:t>
      </w:r>
      <w:r>
        <w:rPr>
          <w:color w:val="auto"/>
          <w:highlight w:val="none"/>
        </w:rPr>
        <w:tab/>
      </w:r>
      <w:r>
        <w:rPr>
          <w:color w:val="auto"/>
          <w:highlight w:val="none"/>
        </w:rPr>
        <w:fldChar w:fldCharType="begin"/>
      </w:r>
      <w:r>
        <w:rPr>
          <w:color w:val="auto"/>
          <w:highlight w:val="none"/>
        </w:rPr>
        <w:instrText xml:space="preserve"> PAGEREF _Toc18752 \h </w:instrText>
      </w:r>
      <w:r>
        <w:rPr>
          <w:color w:val="auto"/>
          <w:highlight w:val="none"/>
        </w:rPr>
        <w:fldChar w:fldCharType="separate"/>
      </w:r>
      <w:r>
        <w:rPr>
          <w:color w:val="auto"/>
          <w:highlight w:val="none"/>
        </w:rPr>
        <w:t>26</w:t>
      </w:r>
      <w:r>
        <w:rPr>
          <w:color w:val="auto"/>
          <w:highlight w:val="none"/>
        </w:rPr>
        <w:fldChar w:fldCharType="end"/>
      </w:r>
      <w:r>
        <w:rPr>
          <w:rFonts w:eastAsia="宋体"/>
          <w:bCs w:val="0"/>
          <w:color w:val="auto"/>
          <w:highlight w:val="none"/>
        </w:rPr>
        <w:fldChar w:fldCharType="end"/>
      </w:r>
    </w:p>
    <w:p w14:paraId="6FB14C5D">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_Toc31027 </w:instrText>
      </w:r>
      <w:r>
        <w:rPr>
          <w:rFonts w:eastAsia="宋体"/>
          <w:bCs w:val="0"/>
          <w:color w:val="auto"/>
          <w:highlight w:val="none"/>
        </w:rPr>
        <w:fldChar w:fldCharType="separate"/>
      </w:r>
      <w:r>
        <w:rPr>
          <w:rFonts w:cs="Times New Roman"/>
          <w:color w:val="auto"/>
          <w:highlight w:val="none"/>
        </w:rPr>
        <w:t>3.2 投标报价</w:t>
      </w:r>
      <w:r>
        <w:rPr>
          <w:color w:val="auto"/>
          <w:highlight w:val="none"/>
        </w:rPr>
        <w:tab/>
      </w:r>
      <w:r>
        <w:rPr>
          <w:color w:val="auto"/>
          <w:highlight w:val="none"/>
        </w:rPr>
        <w:fldChar w:fldCharType="begin"/>
      </w:r>
      <w:r>
        <w:rPr>
          <w:color w:val="auto"/>
          <w:highlight w:val="none"/>
        </w:rPr>
        <w:instrText xml:space="preserve"> PAGEREF _Toc31027 \h </w:instrText>
      </w:r>
      <w:r>
        <w:rPr>
          <w:color w:val="auto"/>
          <w:highlight w:val="none"/>
        </w:rPr>
        <w:fldChar w:fldCharType="separate"/>
      </w:r>
      <w:r>
        <w:rPr>
          <w:color w:val="auto"/>
          <w:highlight w:val="none"/>
        </w:rPr>
        <w:t>26</w:t>
      </w:r>
      <w:r>
        <w:rPr>
          <w:color w:val="auto"/>
          <w:highlight w:val="none"/>
        </w:rPr>
        <w:fldChar w:fldCharType="end"/>
      </w:r>
      <w:r>
        <w:rPr>
          <w:rFonts w:eastAsia="宋体"/>
          <w:bCs w:val="0"/>
          <w:color w:val="auto"/>
          <w:highlight w:val="none"/>
        </w:rPr>
        <w:fldChar w:fldCharType="end"/>
      </w:r>
    </w:p>
    <w:p w14:paraId="02E1A91D">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_Toc11066 </w:instrText>
      </w:r>
      <w:r>
        <w:rPr>
          <w:rFonts w:eastAsia="宋体"/>
          <w:bCs w:val="0"/>
          <w:color w:val="auto"/>
          <w:highlight w:val="none"/>
        </w:rPr>
        <w:fldChar w:fldCharType="separate"/>
      </w:r>
      <w:r>
        <w:rPr>
          <w:rFonts w:cs="Times New Roman"/>
          <w:color w:val="auto"/>
          <w:highlight w:val="none"/>
        </w:rPr>
        <w:t>3.3 投标有效期</w:t>
      </w:r>
      <w:r>
        <w:rPr>
          <w:color w:val="auto"/>
          <w:highlight w:val="none"/>
        </w:rPr>
        <w:tab/>
      </w:r>
      <w:r>
        <w:rPr>
          <w:color w:val="auto"/>
          <w:highlight w:val="none"/>
        </w:rPr>
        <w:fldChar w:fldCharType="begin"/>
      </w:r>
      <w:r>
        <w:rPr>
          <w:color w:val="auto"/>
          <w:highlight w:val="none"/>
        </w:rPr>
        <w:instrText xml:space="preserve"> PAGEREF _Toc11066 \h </w:instrText>
      </w:r>
      <w:r>
        <w:rPr>
          <w:color w:val="auto"/>
          <w:highlight w:val="none"/>
        </w:rPr>
        <w:fldChar w:fldCharType="separate"/>
      </w:r>
      <w:r>
        <w:rPr>
          <w:color w:val="auto"/>
          <w:highlight w:val="none"/>
        </w:rPr>
        <w:t>27</w:t>
      </w:r>
      <w:r>
        <w:rPr>
          <w:color w:val="auto"/>
          <w:highlight w:val="none"/>
        </w:rPr>
        <w:fldChar w:fldCharType="end"/>
      </w:r>
      <w:r>
        <w:rPr>
          <w:rFonts w:eastAsia="宋体"/>
          <w:bCs w:val="0"/>
          <w:color w:val="auto"/>
          <w:highlight w:val="none"/>
        </w:rPr>
        <w:fldChar w:fldCharType="end"/>
      </w:r>
    </w:p>
    <w:p w14:paraId="0F195931">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_Toc24370 </w:instrText>
      </w:r>
      <w:r>
        <w:rPr>
          <w:rFonts w:eastAsia="宋体"/>
          <w:bCs w:val="0"/>
          <w:color w:val="auto"/>
          <w:highlight w:val="none"/>
        </w:rPr>
        <w:fldChar w:fldCharType="separate"/>
      </w:r>
      <w:r>
        <w:rPr>
          <w:rFonts w:cs="Times New Roman"/>
          <w:color w:val="auto"/>
          <w:highlight w:val="none"/>
        </w:rPr>
        <w:t>3.4 投标保证金</w:t>
      </w:r>
      <w:r>
        <w:rPr>
          <w:color w:val="auto"/>
          <w:highlight w:val="none"/>
        </w:rPr>
        <w:tab/>
      </w:r>
      <w:r>
        <w:rPr>
          <w:color w:val="auto"/>
          <w:highlight w:val="none"/>
        </w:rPr>
        <w:fldChar w:fldCharType="begin"/>
      </w:r>
      <w:r>
        <w:rPr>
          <w:color w:val="auto"/>
          <w:highlight w:val="none"/>
        </w:rPr>
        <w:instrText xml:space="preserve"> PAGEREF _Toc24370 \h </w:instrText>
      </w:r>
      <w:r>
        <w:rPr>
          <w:color w:val="auto"/>
          <w:highlight w:val="none"/>
        </w:rPr>
        <w:fldChar w:fldCharType="separate"/>
      </w:r>
      <w:r>
        <w:rPr>
          <w:color w:val="auto"/>
          <w:highlight w:val="none"/>
        </w:rPr>
        <w:t>27</w:t>
      </w:r>
      <w:r>
        <w:rPr>
          <w:color w:val="auto"/>
          <w:highlight w:val="none"/>
        </w:rPr>
        <w:fldChar w:fldCharType="end"/>
      </w:r>
      <w:r>
        <w:rPr>
          <w:rFonts w:eastAsia="宋体"/>
          <w:bCs w:val="0"/>
          <w:color w:val="auto"/>
          <w:highlight w:val="none"/>
        </w:rPr>
        <w:fldChar w:fldCharType="end"/>
      </w:r>
    </w:p>
    <w:p w14:paraId="4F58BA77">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_Toc30220 </w:instrText>
      </w:r>
      <w:r>
        <w:rPr>
          <w:rFonts w:eastAsia="宋体"/>
          <w:bCs w:val="0"/>
          <w:color w:val="auto"/>
          <w:highlight w:val="none"/>
        </w:rPr>
        <w:fldChar w:fldCharType="separate"/>
      </w:r>
      <w:r>
        <w:rPr>
          <w:rFonts w:cs="Times New Roman"/>
          <w:color w:val="auto"/>
          <w:highlight w:val="none"/>
        </w:rPr>
        <w:t>3.5 资格审查资料（适用于已进行资格预审的）</w:t>
      </w:r>
      <w:r>
        <w:rPr>
          <w:color w:val="auto"/>
          <w:highlight w:val="none"/>
        </w:rPr>
        <w:tab/>
      </w:r>
      <w:r>
        <w:rPr>
          <w:color w:val="auto"/>
          <w:highlight w:val="none"/>
        </w:rPr>
        <w:fldChar w:fldCharType="begin"/>
      </w:r>
      <w:r>
        <w:rPr>
          <w:color w:val="auto"/>
          <w:highlight w:val="none"/>
        </w:rPr>
        <w:instrText xml:space="preserve"> PAGEREF _Toc30220 \h </w:instrText>
      </w:r>
      <w:r>
        <w:rPr>
          <w:color w:val="auto"/>
          <w:highlight w:val="none"/>
        </w:rPr>
        <w:fldChar w:fldCharType="separate"/>
      </w:r>
      <w:r>
        <w:rPr>
          <w:color w:val="auto"/>
          <w:highlight w:val="none"/>
        </w:rPr>
        <w:t>27</w:t>
      </w:r>
      <w:r>
        <w:rPr>
          <w:color w:val="auto"/>
          <w:highlight w:val="none"/>
        </w:rPr>
        <w:fldChar w:fldCharType="end"/>
      </w:r>
      <w:r>
        <w:rPr>
          <w:rFonts w:eastAsia="宋体"/>
          <w:bCs w:val="0"/>
          <w:color w:val="auto"/>
          <w:highlight w:val="none"/>
        </w:rPr>
        <w:fldChar w:fldCharType="end"/>
      </w:r>
    </w:p>
    <w:p w14:paraId="6BD0F29C">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_Toc9833 </w:instrText>
      </w:r>
      <w:r>
        <w:rPr>
          <w:rFonts w:eastAsia="宋体"/>
          <w:bCs w:val="0"/>
          <w:color w:val="auto"/>
          <w:highlight w:val="none"/>
        </w:rPr>
        <w:fldChar w:fldCharType="separate"/>
      </w:r>
      <w:r>
        <w:rPr>
          <w:rFonts w:cs="Times New Roman"/>
          <w:color w:val="auto"/>
          <w:highlight w:val="none"/>
        </w:rPr>
        <w:t>3.5 资格审查资料</w:t>
      </w:r>
      <w:r>
        <w:rPr>
          <w:rFonts w:hint="eastAsia" w:cs="Times New Roman"/>
          <w:color w:val="auto"/>
          <w:highlight w:val="none"/>
        </w:rPr>
        <w:t>（适用于未进行资格预审的）</w:t>
      </w:r>
      <w:r>
        <w:rPr>
          <w:color w:val="auto"/>
          <w:highlight w:val="none"/>
        </w:rPr>
        <w:tab/>
      </w:r>
      <w:r>
        <w:rPr>
          <w:color w:val="auto"/>
          <w:highlight w:val="none"/>
        </w:rPr>
        <w:fldChar w:fldCharType="begin"/>
      </w:r>
      <w:r>
        <w:rPr>
          <w:color w:val="auto"/>
          <w:highlight w:val="none"/>
        </w:rPr>
        <w:instrText xml:space="preserve"> PAGEREF _Toc9833 \h </w:instrText>
      </w:r>
      <w:r>
        <w:rPr>
          <w:color w:val="auto"/>
          <w:highlight w:val="none"/>
        </w:rPr>
        <w:fldChar w:fldCharType="separate"/>
      </w:r>
      <w:r>
        <w:rPr>
          <w:color w:val="auto"/>
          <w:highlight w:val="none"/>
        </w:rPr>
        <w:t>27</w:t>
      </w:r>
      <w:r>
        <w:rPr>
          <w:color w:val="auto"/>
          <w:highlight w:val="none"/>
        </w:rPr>
        <w:fldChar w:fldCharType="end"/>
      </w:r>
      <w:r>
        <w:rPr>
          <w:rFonts w:eastAsia="宋体"/>
          <w:bCs w:val="0"/>
          <w:color w:val="auto"/>
          <w:highlight w:val="none"/>
        </w:rPr>
        <w:fldChar w:fldCharType="end"/>
      </w:r>
    </w:p>
    <w:p w14:paraId="130C4546">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_Toc20225 </w:instrText>
      </w:r>
      <w:r>
        <w:rPr>
          <w:rFonts w:eastAsia="宋体"/>
          <w:bCs w:val="0"/>
          <w:color w:val="auto"/>
          <w:highlight w:val="none"/>
        </w:rPr>
        <w:fldChar w:fldCharType="separate"/>
      </w:r>
      <w:r>
        <w:rPr>
          <w:rFonts w:cs="Times New Roman"/>
          <w:color w:val="auto"/>
          <w:highlight w:val="none"/>
        </w:rPr>
        <w:t>3.6 备选投标方案</w:t>
      </w:r>
      <w:r>
        <w:rPr>
          <w:color w:val="auto"/>
          <w:highlight w:val="none"/>
        </w:rPr>
        <w:tab/>
      </w:r>
      <w:r>
        <w:rPr>
          <w:color w:val="auto"/>
          <w:highlight w:val="none"/>
        </w:rPr>
        <w:fldChar w:fldCharType="begin"/>
      </w:r>
      <w:r>
        <w:rPr>
          <w:color w:val="auto"/>
          <w:highlight w:val="none"/>
        </w:rPr>
        <w:instrText xml:space="preserve"> PAGEREF _Toc20225 \h </w:instrText>
      </w:r>
      <w:r>
        <w:rPr>
          <w:color w:val="auto"/>
          <w:highlight w:val="none"/>
        </w:rPr>
        <w:fldChar w:fldCharType="separate"/>
      </w:r>
      <w:r>
        <w:rPr>
          <w:color w:val="auto"/>
          <w:highlight w:val="none"/>
        </w:rPr>
        <w:t>28</w:t>
      </w:r>
      <w:r>
        <w:rPr>
          <w:color w:val="auto"/>
          <w:highlight w:val="none"/>
        </w:rPr>
        <w:fldChar w:fldCharType="end"/>
      </w:r>
      <w:r>
        <w:rPr>
          <w:rFonts w:eastAsia="宋体"/>
          <w:bCs w:val="0"/>
          <w:color w:val="auto"/>
          <w:highlight w:val="none"/>
        </w:rPr>
        <w:fldChar w:fldCharType="end"/>
      </w:r>
    </w:p>
    <w:p w14:paraId="594FA785">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_Toc7905 </w:instrText>
      </w:r>
      <w:r>
        <w:rPr>
          <w:rFonts w:eastAsia="宋体"/>
          <w:bCs w:val="0"/>
          <w:color w:val="auto"/>
          <w:highlight w:val="none"/>
        </w:rPr>
        <w:fldChar w:fldCharType="separate"/>
      </w:r>
      <w:r>
        <w:rPr>
          <w:rFonts w:cs="Times New Roman"/>
          <w:color w:val="auto"/>
          <w:highlight w:val="none"/>
        </w:rPr>
        <w:t>3.7 投标文件的编制</w:t>
      </w:r>
      <w:r>
        <w:rPr>
          <w:color w:val="auto"/>
          <w:highlight w:val="none"/>
        </w:rPr>
        <w:tab/>
      </w:r>
      <w:r>
        <w:rPr>
          <w:color w:val="auto"/>
          <w:highlight w:val="none"/>
        </w:rPr>
        <w:fldChar w:fldCharType="begin"/>
      </w:r>
      <w:r>
        <w:rPr>
          <w:color w:val="auto"/>
          <w:highlight w:val="none"/>
        </w:rPr>
        <w:instrText xml:space="preserve"> PAGEREF _Toc7905 \h </w:instrText>
      </w:r>
      <w:r>
        <w:rPr>
          <w:color w:val="auto"/>
          <w:highlight w:val="none"/>
        </w:rPr>
        <w:fldChar w:fldCharType="separate"/>
      </w:r>
      <w:r>
        <w:rPr>
          <w:color w:val="auto"/>
          <w:highlight w:val="none"/>
        </w:rPr>
        <w:t>28</w:t>
      </w:r>
      <w:r>
        <w:rPr>
          <w:color w:val="auto"/>
          <w:highlight w:val="none"/>
        </w:rPr>
        <w:fldChar w:fldCharType="end"/>
      </w:r>
      <w:r>
        <w:rPr>
          <w:rFonts w:eastAsia="宋体"/>
          <w:bCs w:val="0"/>
          <w:color w:val="auto"/>
          <w:highlight w:val="none"/>
        </w:rPr>
        <w:fldChar w:fldCharType="end"/>
      </w:r>
    </w:p>
    <w:p w14:paraId="41D11186">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_Toc11838 </w:instrText>
      </w:r>
      <w:r>
        <w:rPr>
          <w:rFonts w:eastAsia="宋体"/>
          <w:bCs w:val="0"/>
          <w:color w:val="auto"/>
          <w:highlight w:val="none"/>
        </w:rPr>
        <w:fldChar w:fldCharType="separate"/>
      </w:r>
      <w:r>
        <w:rPr>
          <w:rFonts w:cs="Times New Roman"/>
          <w:color w:val="auto"/>
          <w:highlight w:val="none"/>
        </w:rPr>
        <w:t>4. 投标</w:t>
      </w:r>
      <w:r>
        <w:rPr>
          <w:color w:val="auto"/>
          <w:highlight w:val="none"/>
        </w:rPr>
        <w:tab/>
      </w:r>
      <w:r>
        <w:rPr>
          <w:color w:val="auto"/>
          <w:highlight w:val="none"/>
        </w:rPr>
        <w:fldChar w:fldCharType="begin"/>
      </w:r>
      <w:r>
        <w:rPr>
          <w:color w:val="auto"/>
          <w:highlight w:val="none"/>
        </w:rPr>
        <w:instrText xml:space="preserve"> PAGEREF _Toc11838 \h </w:instrText>
      </w:r>
      <w:r>
        <w:rPr>
          <w:color w:val="auto"/>
          <w:highlight w:val="none"/>
        </w:rPr>
        <w:fldChar w:fldCharType="separate"/>
      </w:r>
      <w:r>
        <w:rPr>
          <w:color w:val="auto"/>
          <w:highlight w:val="none"/>
        </w:rPr>
        <w:t>29</w:t>
      </w:r>
      <w:r>
        <w:rPr>
          <w:color w:val="auto"/>
          <w:highlight w:val="none"/>
        </w:rPr>
        <w:fldChar w:fldCharType="end"/>
      </w:r>
      <w:r>
        <w:rPr>
          <w:rFonts w:eastAsia="宋体"/>
          <w:bCs w:val="0"/>
          <w:color w:val="auto"/>
          <w:highlight w:val="none"/>
        </w:rPr>
        <w:fldChar w:fldCharType="end"/>
      </w:r>
    </w:p>
    <w:p w14:paraId="7205E22E">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_Toc12127 </w:instrText>
      </w:r>
      <w:r>
        <w:rPr>
          <w:rFonts w:eastAsia="宋体"/>
          <w:bCs w:val="0"/>
          <w:color w:val="auto"/>
          <w:highlight w:val="none"/>
        </w:rPr>
        <w:fldChar w:fldCharType="separate"/>
      </w:r>
      <w:r>
        <w:rPr>
          <w:rFonts w:cs="Times New Roman"/>
          <w:color w:val="auto"/>
          <w:highlight w:val="none"/>
        </w:rPr>
        <w:t>4.1 投标文件的加密</w:t>
      </w:r>
      <w:r>
        <w:rPr>
          <w:color w:val="auto"/>
          <w:highlight w:val="none"/>
        </w:rPr>
        <w:tab/>
      </w:r>
      <w:r>
        <w:rPr>
          <w:color w:val="auto"/>
          <w:highlight w:val="none"/>
        </w:rPr>
        <w:fldChar w:fldCharType="begin"/>
      </w:r>
      <w:r>
        <w:rPr>
          <w:color w:val="auto"/>
          <w:highlight w:val="none"/>
        </w:rPr>
        <w:instrText xml:space="preserve"> PAGEREF _Toc12127 \h </w:instrText>
      </w:r>
      <w:r>
        <w:rPr>
          <w:color w:val="auto"/>
          <w:highlight w:val="none"/>
        </w:rPr>
        <w:fldChar w:fldCharType="separate"/>
      </w:r>
      <w:r>
        <w:rPr>
          <w:color w:val="auto"/>
          <w:highlight w:val="none"/>
        </w:rPr>
        <w:t>29</w:t>
      </w:r>
      <w:r>
        <w:rPr>
          <w:color w:val="auto"/>
          <w:highlight w:val="none"/>
        </w:rPr>
        <w:fldChar w:fldCharType="end"/>
      </w:r>
      <w:r>
        <w:rPr>
          <w:rFonts w:eastAsia="宋体"/>
          <w:bCs w:val="0"/>
          <w:color w:val="auto"/>
          <w:highlight w:val="none"/>
        </w:rPr>
        <w:fldChar w:fldCharType="end"/>
      </w:r>
    </w:p>
    <w:p w14:paraId="325BAB00">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_Toc22978 </w:instrText>
      </w:r>
      <w:r>
        <w:rPr>
          <w:rFonts w:eastAsia="宋体"/>
          <w:bCs w:val="0"/>
          <w:color w:val="auto"/>
          <w:highlight w:val="none"/>
        </w:rPr>
        <w:fldChar w:fldCharType="separate"/>
      </w:r>
      <w:r>
        <w:rPr>
          <w:rFonts w:cs="Times New Roman"/>
          <w:color w:val="auto"/>
          <w:highlight w:val="none"/>
        </w:rPr>
        <w:t>4.2 投标文件的递交</w:t>
      </w:r>
      <w:r>
        <w:rPr>
          <w:color w:val="auto"/>
          <w:highlight w:val="none"/>
        </w:rPr>
        <w:tab/>
      </w:r>
      <w:r>
        <w:rPr>
          <w:color w:val="auto"/>
          <w:highlight w:val="none"/>
        </w:rPr>
        <w:fldChar w:fldCharType="begin"/>
      </w:r>
      <w:r>
        <w:rPr>
          <w:color w:val="auto"/>
          <w:highlight w:val="none"/>
        </w:rPr>
        <w:instrText xml:space="preserve"> PAGEREF _Toc22978 \h </w:instrText>
      </w:r>
      <w:r>
        <w:rPr>
          <w:color w:val="auto"/>
          <w:highlight w:val="none"/>
        </w:rPr>
        <w:fldChar w:fldCharType="separate"/>
      </w:r>
      <w:r>
        <w:rPr>
          <w:color w:val="auto"/>
          <w:highlight w:val="none"/>
        </w:rPr>
        <w:t>29</w:t>
      </w:r>
      <w:r>
        <w:rPr>
          <w:color w:val="auto"/>
          <w:highlight w:val="none"/>
        </w:rPr>
        <w:fldChar w:fldCharType="end"/>
      </w:r>
      <w:r>
        <w:rPr>
          <w:rFonts w:eastAsia="宋体"/>
          <w:bCs w:val="0"/>
          <w:color w:val="auto"/>
          <w:highlight w:val="none"/>
        </w:rPr>
        <w:fldChar w:fldCharType="end"/>
      </w:r>
    </w:p>
    <w:p w14:paraId="24C3DA46">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_Toc24306 </w:instrText>
      </w:r>
      <w:r>
        <w:rPr>
          <w:rFonts w:eastAsia="宋体"/>
          <w:bCs w:val="0"/>
          <w:color w:val="auto"/>
          <w:highlight w:val="none"/>
        </w:rPr>
        <w:fldChar w:fldCharType="separate"/>
      </w:r>
      <w:r>
        <w:rPr>
          <w:rFonts w:cs="Times New Roman"/>
          <w:color w:val="auto"/>
          <w:highlight w:val="none"/>
        </w:rPr>
        <w:t>4.3 投标文件的修改与撤回</w:t>
      </w:r>
      <w:r>
        <w:rPr>
          <w:color w:val="auto"/>
          <w:highlight w:val="none"/>
        </w:rPr>
        <w:tab/>
      </w:r>
      <w:r>
        <w:rPr>
          <w:color w:val="auto"/>
          <w:highlight w:val="none"/>
        </w:rPr>
        <w:fldChar w:fldCharType="begin"/>
      </w:r>
      <w:r>
        <w:rPr>
          <w:color w:val="auto"/>
          <w:highlight w:val="none"/>
        </w:rPr>
        <w:instrText xml:space="preserve"> PAGEREF _Toc24306 \h </w:instrText>
      </w:r>
      <w:r>
        <w:rPr>
          <w:color w:val="auto"/>
          <w:highlight w:val="none"/>
        </w:rPr>
        <w:fldChar w:fldCharType="separate"/>
      </w:r>
      <w:r>
        <w:rPr>
          <w:color w:val="auto"/>
          <w:highlight w:val="none"/>
        </w:rPr>
        <w:t>29</w:t>
      </w:r>
      <w:r>
        <w:rPr>
          <w:color w:val="auto"/>
          <w:highlight w:val="none"/>
        </w:rPr>
        <w:fldChar w:fldCharType="end"/>
      </w:r>
      <w:r>
        <w:rPr>
          <w:rFonts w:eastAsia="宋体"/>
          <w:bCs w:val="0"/>
          <w:color w:val="auto"/>
          <w:highlight w:val="none"/>
        </w:rPr>
        <w:fldChar w:fldCharType="end"/>
      </w:r>
    </w:p>
    <w:p w14:paraId="1B408164">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_Toc22855 </w:instrText>
      </w:r>
      <w:r>
        <w:rPr>
          <w:rFonts w:eastAsia="宋体"/>
          <w:bCs w:val="0"/>
          <w:color w:val="auto"/>
          <w:highlight w:val="none"/>
        </w:rPr>
        <w:fldChar w:fldCharType="separate"/>
      </w:r>
      <w:r>
        <w:rPr>
          <w:rFonts w:cs="Times New Roman"/>
          <w:color w:val="auto"/>
          <w:highlight w:val="none"/>
        </w:rPr>
        <w:t>5. 开标</w:t>
      </w:r>
      <w:r>
        <w:rPr>
          <w:color w:val="auto"/>
          <w:highlight w:val="none"/>
        </w:rPr>
        <w:tab/>
      </w:r>
      <w:r>
        <w:rPr>
          <w:color w:val="auto"/>
          <w:highlight w:val="none"/>
        </w:rPr>
        <w:fldChar w:fldCharType="begin"/>
      </w:r>
      <w:r>
        <w:rPr>
          <w:color w:val="auto"/>
          <w:highlight w:val="none"/>
        </w:rPr>
        <w:instrText xml:space="preserve"> PAGEREF _Toc22855 \h </w:instrText>
      </w:r>
      <w:r>
        <w:rPr>
          <w:color w:val="auto"/>
          <w:highlight w:val="none"/>
        </w:rPr>
        <w:fldChar w:fldCharType="separate"/>
      </w:r>
      <w:r>
        <w:rPr>
          <w:color w:val="auto"/>
          <w:highlight w:val="none"/>
        </w:rPr>
        <w:t>30</w:t>
      </w:r>
      <w:r>
        <w:rPr>
          <w:color w:val="auto"/>
          <w:highlight w:val="none"/>
        </w:rPr>
        <w:fldChar w:fldCharType="end"/>
      </w:r>
      <w:r>
        <w:rPr>
          <w:rFonts w:eastAsia="宋体"/>
          <w:bCs w:val="0"/>
          <w:color w:val="auto"/>
          <w:highlight w:val="none"/>
        </w:rPr>
        <w:fldChar w:fldCharType="end"/>
      </w:r>
    </w:p>
    <w:p w14:paraId="54A2191C">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_Toc18379 </w:instrText>
      </w:r>
      <w:r>
        <w:rPr>
          <w:rFonts w:eastAsia="宋体"/>
          <w:bCs w:val="0"/>
          <w:color w:val="auto"/>
          <w:highlight w:val="none"/>
        </w:rPr>
        <w:fldChar w:fldCharType="separate"/>
      </w:r>
      <w:r>
        <w:rPr>
          <w:rFonts w:cs="Times New Roman"/>
          <w:color w:val="auto"/>
          <w:highlight w:val="none"/>
        </w:rPr>
        <w:t>5.1 开标时间和地点</w:t>
      </w:r>
      <w:r>
        <w:rPr>
          <w:color w:val="auto"/>
          <w:highlight w:val="none"/>
        </w:rPr>
        <w:tab/>
      </w:r>
      <w:r>
        <w:rPr>
          <w:color w:val="auto"/>
          <w:highlight w:val="none"/>
        </w:rPr>
        <w:fldChar w:fldCharType="begin"/>
      </w:r>
      <w:r>
        <w:rPr>
          <w:color w:val="auto"/>
          <w:highlight w:val="none"/>
        </w:rPr>
        <w:instrText xml:space="preserve"> PAGEREF _Toc18379 \h </w:instrText>
      </w:r>
      <w:r>
        <w:rPr>
          <w:color w:val="auto"/>
          <w:highlight w:val="none"/>
        </w:rPr>
        <w:fldChar w:fldCharType="separate"/>
      </w:r>
      <w:r>
        <w:rPr>
          <w:color w:val="auto"/>
          <w:highlight w:val="none"/>
        </w:rPr>
        <w:t>30</w:t>
      </w:r>
      <w:r>
        <w:rPr>
          <w:color w:val="auto"/>
          <w:highlight w:val="none"/>
        </w:rPr>
        <w:fldChar w:fldCharType="end"/>
      </w:r>
      <w:r>
        <w:rPr>
          <w:rFonts w:eastAsia="宋体"/>
          <w:bCs w:val="0"/>
          <w:color w:val="auto"/>
          <w:highlight w:val="none"/>
        </w:rPr>
        <w:fldChar w:fldCharType="end"/>
      </w:r>
    </w:p>
    <w:p w14:paraId="121BD50D">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_Toc12844 </w:instrText>
      </w:r>
      <w:r>
        <w:rPr>
          <w:rFonts w:eastAsia="宋体"/>
          <w:bCs w:val="0"/>
          <w:color w:val="auto"/>
          <w:highlight w:val="none"/>
        </w:rPr>
        <w:fldChar w:fldCharType="separate"/>
      </w:r>
      <w:r>
        <w:rPr>
          <w:rFonts w:cs="Times New Roman"/>
          <w:color w:val="auto"/>
          <w:highlight w:val="none"/>
        </w:rPr>
        <w:t>5.2 开标程序</w:t>
      </w:r>
      <w:r>
        <w:rPr>
          <w:color w:val="auto"/>
          <w:highlight w:val="none"/>
        </w:rPr>
        <w:tab/>
      </w:r>
      <w:r>
        <w:rPr>
          <w:color w:val="auto"/>
          <w:highlight w:val="none"/>
        </w:rPr>
        <w:fldChar w:fldCharType="begin"/>
      </w:r>
      <w:r>
        <w:rPr>
          <w:color w:val="auto"/>
          <w:highlight w:val="none"/>
        </w:rPr>
        <w:instrText xml:space="preserve"> PAGEREF _Toc12844 \h </w:instrText>
      </w:r>
      <w:r>
        <w:rPr>
          <w:color w:val="auto"/>
          <w:highlight w:val="none"/>
        </w:rPr>
        <w:fldChar w:fldCharType="separate"/>
      </w:r>
      <w:r>
        <w:rPr>
          <w:color w:val="auto"/>
          <w:highlight w:val="none"/>
        </w:rPr>
        <w:t>30</w:t>
      </w:r>
      <w:r>
        <w:rPr>
          <w:color w:val="auto"/>
          <w:highlight w:val="none"/>
        </w:rPr>
        <w:fldChar w:fldCharType="end"/>
      </w:r>
      <w:r>
        <w:rPr>
          <w:rFonts w:eastAsia="宋体"/>
          <w:bCs w:val="0"/>
          <w:color w:val="auto"/>
          <w:highlight w:val="none"/>
        </w:rPr>
        <w:fldChar w:fldCharType="end"/>
      </w:r>
    </w:p>
    <w:p w14:paraId="4AFDB2B3">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_Toc9711 </w:instrText>
      </w:r>
      <w:r>
        <w:rPr>
          <w:rFonts w:eastAsia="宋体"/>
          <w:bCs w:val="0"/>
          <w:color w:val="auto"/>
          <w:highlight w:val="none"/>
        </w:rPr>
        <w:fldChar w:fldCharType="separate"/>
      </w:r>
      <w:r>
        <w:rPr>
          <w:rFonts w:cs="Times New Roman"/>
          <w:color w:val="auto"/>
          <w:highlight w:val="none"/>
        </w:rPr>
        <w:t>5.3 开标异议</w:t>
      </w:r>
      <w:r>
        <w:rPr>
          <w:color w:val="auto"/>
          <w:highlight w:val="none"/>
        </w:rPr>
        <w:tab/>
      </w:r>
      <w:r>
        <w:rPr>
          <w:color w:val="auto"/>
          <w:highlight w:val="none"/>
        </w:rPr>
        <w:fldChar w:fldCharType="begin"/>
      </w:r>
      <w:r>
        <w:rPr>
          <w:color w:val="auto"/>
          <w:highlight w:val="none"/>
        </w:rPr>
        <w:instrText xml:space="preserve"> PAGEREF _Toc9711 \h </w:instrText>
      </w:r>
      <w:r>
        <w:rPr>
          <w:color w:val="auto"/>
          <w:highlight w:val="none"/>
        </w:rPr>
        <w:fldChar w:fldCharType="separate"/>
      </w:r>
      <w:r>
        <w:rPr>
          <w:color w:val="auto"/>
          <w:highlight w:val="none"/>
        </w:rPr>
        <w:t>31</w:t>
      </w:r>
      <w:r>
        <w:rPr>
          <w:color w:val="auto"/>
          <w:highlight w:val="none"/>
        </w:rPr>
        <w:fldChar w:fldCharType="end"/>
      </w:r>
      <w:r>
        <w:rPr>
          <w:rFonts w:eastAsia="宋体"/>
          <w:bCs w:val="0"/>
          <w:color w:val="auto"/>
          <w:highlight w:val="none"/>
        </w:rPr>
        <w:fldChar w:fldCharType="end"/>
      </w:r>
    </w:p>
    <w:p w14:paraId="07CF328B">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_Toc29664 </w:instrText>
      </w:r>
      <w:r>
        <w:rPr>
          <w:rFonts w:eastAsia="宋体"/>
          <w:bCs w:val="0"/>
          <w:color w:val="auto"/>
          <w:highlight w:val="none"/>
        </w:rPr>
        <w:fldChar w:fldCharType="separate"/>
      </w:r>
      <w:r>
        <w:rPr>
          <w:rFonts w:cs="Times New Roman"/>
          <w:color w:val="auto"/>
          <w:highlight w:val="none"/>
        </w:rPr>
        <w:t>5.4 特殊情况的处置</w:t>
      </w:r>
      <w:r>
        <w:rPr>
          <w:color w:val="auto"/>
          <w:highlight w:val="none"/>
        </w:rPr>
        <w:tab/>
      </w:r>
      <w:r>
        <w:rPr>
          <w:color w:val="auto"/>
          <w:highlight w:val="none"/>
        </w:rPr>
        <w:fldChar w:fldCharType="begin"/>
      </w:r>
      <w:r>
        <w:rPr>
          <w:color w:val="auto"/>
          <w:highlight w:val="none"/>
        </w:rPr>
        <w:instrText xml:space="preserve"> PAGEREF _Toc29664 \h </w:instrText>
      </w:r>
      <w:r>
        <w:rPr>
          <w:color w:val="auto"/>
          <w:highlight w:val="none"/>
        </w:rPr>
        <w:fldChar w:fldCharType="separate"/>
      </w:r>
      <w:r>
        <w:rPr>
          <w:color w:val="auto"/>
          <w:highlight w:val="none"/>
        </w:rPr>
        <w:t>31</w:t>
      </w:r>
      <w:r>
        <w:rPr>
          <w:color w:val="auto"/>
          <w:highlight w:val="none"/>
        </w:rPr>
        <w:fldChar w:fldCharType="end"/>
      </w:r>
      <w:r>
        <w:rPr>
          <w:rFonts w:eastAsia="宋体"/>
          <w:bCs w:val="0"/>
          <w:color w:val="auto"/>
          <w:highlight w:val="none"/>
        </w:rPr>
        <w:fldChar w:fldCharType="end"/>
      </w:r>
    </w:p>
    <w:p w14:paraId="6BABDFFD">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_Toc2194 </w:instrText>
      </w:r>
      <w:r>
        <w:rPr>
          <w:rFonts w:eastAsia="宋体"/>
          <w:bCs w:val="0"/>
          <w:color w:val="auto"/>
          <w:highlight w:val="none"/>
        </w:rPr>
        <w:fldChar w:fldCharType="separate"/>
      </w:r>
      <w:r>
        <w:rPr>
          <w:rFonts w:cs="Times New Roman"/>
          <w:color w:val="auto"/>
          <w:highlight w:val="none"/>
        </w:rPr>
        <w:t>6. 评标</w:t>
      </w:r>
      <w:r>
        <w:rPr>
          <w:color w:val="auto"/>
          <w:highlight w:val="none"/>
        </w:rPr>
        <w:tab/>
      </w:r>
      <w:r>
        <w:rPr>
          <w:color w:val="auto"/>
          <w:highlight w:val="none"/>
        </w:rPr>
        <w:fldChar w:fldCharType="begin"/>
      </w:r>
      <w:r>
        <w:rPr>
          <w:color w:val="auto"/>
          <w:highlight w:val="none"/>
        </w:rPr>
        <w:instrText xml:space="preserve"> PAGEREF _Toc2194 \h </w:instrText>
      </w:r>
      <w:r>
        <w:rPr>
          <w:color w:val="auto"/>
          <w:highlight w:val="none"/>
        </w:rPr>
        <w:fldChar w:fldCharType="separate"/>
      </w:r>
      <w:r>
        <w:rPr>
          <w:color w:val="auto"/>
          <w:highlight w:val="none"/>
        </w:rPr>
        <w:t>31</w:t>
      </w:r>
      <w:r>
        <w:rPr>
          <w:color w:val="auto"/>
          <w:highlight w:val="none"/>
        </w:rPr>
        <w:fldChar w:fldCharType="end"/>
      </w:r>
      <w:r>
        <w:rPr>
          <w:rFonts w:eastAsia="宋体"/>
          <w:bCs w:val="0"/>
          <w:color w:val="auto"/>
          <w:highlight w:val="none"/>
        </w:rPr>
        <w:fldChar w:fldCharType="end"/>
      </w:r>
    </w:p>
    <w:p w14:paraId="59EB5F4E">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_Toc8284 </w:instrText>
      </w:r>
      <w:r>
        <w:rPr>
          <w:rFonts w:eastAsia="宋体"/>
          <w:bCs w:val="0"/>
          <w:color w:val="auto"/>
          <w:highlight w:val="none"/>
        </w:rPr>
        <w:fldChar w:fldCharType="separate"/>
      </w:r>
      <w:r>
        <w:rPr>
          <w:rFonts w:cs="Times New Roman"/>
          <w:color w:val="auto"/>
          <w:highlight w:val="none"/>
        </w:rPr>
        <w:t>6.1 评标委员会</w:t>
      </w:r>
      <w:r>
        <w:rPr>
          <w:color w:val="auto"/>
          <w:highlight w:val="none"/>
        </w:rPr>
        <w:tab/>
      </w:r>
      <w:r>
        <w:rPr>
          <w:color w:val="auto"/>
          <w:highlight w:val="none"/>
        </w:rPr>
        <w:fldChar w:fldCharType="begin"/>
      </w:r>
      <w:r>
        <w:rPr>
          <w:color w:val="auto"/>
          <w:highlight w:val="none"/>
        </w:rPr>
        <w:instrText xml:space="preserve"> PAGEREF _Toc8284 \h </w:instrText>
      </w:r>
      <w:r>
        <w:rPr>
          <w:color w:val="auto"/>
          <w:highlight w:val="none"/>
        </w:rPr>
        <w:fldChar w:fldCharType="separate"/>
      </w:r>
      <w:r>
        <w:rPr>
          <w:color w:val="auto"/>
          <w:highlight w:val="none"/>
        </w:rPr>
        <w:t>31</w:t>
      </w:r>
      <w:r>
        <w:rPr>
          <w:color w:val="auto"/>
          <w:highlight w:val="none"/>
        </w:rPr>
        <w:fldChar w:fldCharType="end"/>
      </w:r>
      <w:r>
        <w:rPr>
          <w:rFonts w:eastAsia="宋体"/>
          <w:bCs w:val="0"/>
          <w:color w:val="auto"/>
          <w:highlight w:val="none"/>
        </w:rPr>
        <w:fldChar w:fldCharType="end"/>
      </w:r>
    </w:p>
    <w:p w14:paraId="746194D9">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_Toc8976 </w:instrText>
      </w:r>
      <w:r>
        <w:rPr>
          <w:rFonts w:eastAsia="宋体"/>
          <w:bCs w:val="0"/>
          <w:color w:val="auto"/>
          <w:highlight w:val="none"/>
        </w:rPr>
        <w:fldChar w:fldCharType="separate"/>
      </w:r>
      <w:r>
        <w:rPr>
          <w:rFonts w:cs="Times New Roman"/>
          <w:color w:val="auto"/>
          <w:highlight w:val="none"/>
        </w:rPr>
        <w:t>6.2 评标原则</w:t>
      </w:r>
      <w:r>
        <w:rPr>
          <w:color w:val="auto"/>
          <w:highlight w:val="none"/>
        </w:rPr>
        <w:tab/>
      </w:r>
      <w:r>
        <w:rPr>
          <w:color w:val="auto"/>
          <w:highlight w:val="none"/>
        </w:rPr>
        <w:fldChar w:fldCharType="begin"/>
      </w:r>
      <w:r>
        <w:rPr>
          <w:color w:val="auto"/>
          <w:highlight w:val="none"/>
        </w:rPr>
        <w:instrText xml:space="preserve"> PAGEREF _Toc8976 \h </w:instrText>
      </w:r>
      <w:r>
        <w:rPr>
          <w:color w:val="auto"/>
          <w:highlight w:val="none"/>
        </w:rPr>
        <w:fldChar w:fldCharType="separate"/>
      </w:r>
      <w:r>
        <w:rPr>
          <w:color w:val="auto"/>
          <w:highlight w:val="none"/>
        </w:rPr>
        <w:t>32</w:t>
      </w:r>
      <w:r>
        <w:rPr>
          <w:color w:val="auto"/>
          <w:highlight w:val="none"/>
        </w:rPr>
        <w:fldChar w:fldCharType="end"/>
      </w:r>
      <w:r>
        <w:rPr>
          <w:rFonts w:eastAsia="宋体"/>
          <w:bCs w:val="0"/>
          <w:color w:val="auto"/>
          <w:highlight w:val="none"/>
        </w:rPr>
        <w:fldChar w:fldCharType="end"/>
      </w:r>
    </w:p>
    <w:p w14:paraId="55A85F53">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_Toc6572 </w:instrText>
      </w:r>
      <w:r>
        <w:rPr>
          <w:rFonts w:eastAsia="宋体"/>
          <w:bCs w:val="0"/>
          <w:color w:val="auto"/>
          <w:highlight w:val="none"/>
        </w:rPr>
        <w:fldChar w:fldCharType="separate"/>
      </w:r>
      <w:r>
        <w:rPr>
          <w:rFonts w:cs="Times New Roman"/>
          <w:color w:val="auto"/>
          <w:highlight w:val="none"/>
        </w:rPr>
        <w:t>6.3 评标</w:t>
      </w:r>
      <w:r>
        <w:rPr>
          <w:color w:val="auto"/>
          <w:highlight w:val="none"/>
        </w:rPr>
        <w:tab/>
      </w:r>
      <w:r>
        <w:rPr>
          <w:color w:val="auto"/>
          <w:highlight w:val="none"/>
        </w:rPr>
        <w:fldChar w:fldCharType="begin"/>
      </w:r>
      <w:r>
        <w:rPr>
          <w:color w:val="auto"/>
          <w:highlight w:val="none"/>
        </w:rPr>
        <w:instrText xml:space="preserve"> PAGEREF _Toc6572 \h </w:instrText>
      </w:r>
      <w:r>
        <w:rPr>
          <w:color w:val="auto"/>
          <w:highlight w:val="none"/>
        </w:rPr>
        <w:fldChar w:fldCharType="separate"/>
      </w:r>
      <w:r>
        <w:rPr>
          <w:color w:val="auto"/>
          <w:highlight w:val="none"/>
        </w:rPr>
        <w:t>32</w:t>
      </w:r>
      <w:r>
        <w:rPr>
          <w:color w:val="auto"/>
          <w:highlight w:val="none"/>
        </w:rPr>
        <w:fldChar w:fldCharType="end"/>
      </w:r>
      <w:r>
        <w:rPr>
          <w:rFonts w:eastAsia="宋体"/>
          <w:bCs w:val="0"/>
          <w:color w:val="auto"/>
          <w:highlight w:val="none"/>
        </w:rPr>
        <w:fldChar w:fldCharType="end"/>
      </w:r>
    </w:p>
    <w:p w14:paraId="334477FD">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_Toc25312 </w:instrText>
      </w:r>
      <w:r>
        <w:rPr>
          <w:rFonts w:eastAsia="宋体"/>
          <w:bCs w:val="0"/>
          <w:color w:val="auto"/>
          <w:highlight w:val="none"/>
        </w:rPr>
        <w:fldChar w:fldCharType="separate"/>
      </w:r>
      <w:r>
        <w:rPr>
          <w:rFonts w:cs="Times New Roman"/>
          <w:color w:val="auto"/>
          <w:highlight w:val="none"/>
        </w:rPr>
        <w:t>6.4 评标结果公示</w:t>
      </w:r>
      <w:r>
        <w:rPr>
          <w:color w:val="auto"/>
          <w:highlight w:val="none"/>
        </w:rPr>
        <w:tab/>
      </w:r>
      <w:r>
        <w:rPr>
          <w:color w:val="auto"/>
          <w:highlight w:val="none"/>
        </w:rPr>
        <w:fldChar w:fldCharType="begin"/>
      </w:r>
      <w:r>
        <w:rPr>
          <w:color w:val="auto"/>
          <w:highlight w:val="none"/>
        </w:rPr>
        <w:instrText xml:space="preserve"> PAGEREF _Toc25312 \h </w:instrText>
      </w:r>
      <w:r>
        <w:rPr>
          <w:color w:val="auto"/>
          <w:highlight w:val="none"/>
        </w:rPr>
        <w:fldChar w:fldCharType="separate"/>
      </w:r>
      <w:r>
        <w:rPr>
          <w:color w:val="auto"/>
          <w:highlight w:val="none"/>
        </w:rPr>
        <w:t>32</w:t>
      </w:r>
      <w:r>
        <w:rPr>
          <w:color w:val="auto"/>
          <w:highlight w:val="none"/>
        </w:rPr>
        <w:fldChar w:fldCharType="end"/>
      </w:r>
      <w:r>
        <w:rPr>
          <w:rFonts w:eastAsia="宋体"/>
          <w:bCs w:val="0"/>
          <w:color w:val="auto"/>
          <w:highlight w:val="none"/>
        </w:rPr>
        <w:fldChar w:fldCharType="end"/>
      </w:r>
    </w:p>
    <w:p w14:paraId="49BB9029">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_Toc17569 </w:instrText>
      </w:r>
      <w:r>
        <w:rPr>
          <w:rFonts w:eastAsia="宋体"/>
          <w:bCs w:val="0"/>
          <w:color w:val="auto"/>
          <w:highlight w:val="none"/>
        </w:rPr>
        <w:fldChar w:fldCharType="separate"/>
      </w:r>
      <w:r>
        <w:rPr>
          <w:rFonts w:cs="Times New Roman"/>
          <w:color w:val="auto"/>
          <w:highlight w:val="none"/>
        </w:rPr>
        <w:t>6.5 履约能力的核查（如有）</w:t>
      </w:r>
      <w:r>
        <w:rPr>
          <w:color w:val="auto"/>
          <w:highlight w:val="none"/>
        </w:rPr>
        <w:tab/>
      </w:r>
      <w:r>
        <w:rPr>
          <w:color w:val="auto"/>
          <w:highlight w:val="none"/>
        </w:rPr>
        <w:fldChar w:fldCharType="begin"/>
      </w:r>
      <w:r>
        <w:rPr>
          <w:color w:val="auto"/>
          <w:highlight w:val="none"/>
        </w:rPr>
        <w:instrText xml:space="preserve"> PAGEREF _Toc17569 \h </w:instrText>
      </w:r>
      <w:r>
        <w:rPr>
          <w:color w:val="auto"/>
          <w:highlight w:val="none"/>
        </w:rPr>
        <w:fldChar w:fldCharType="separate"/>
      </w:r>
      <w:r>
        <w:rPr>
          <w:color w:val="auto"/>
          <w:highlight w:val="none"/>
        </w:rPr>
        <w:t>32</w:t>
      </w:r>
      <w:r>
        <w:rPr>
          <w:color w:val="auto"/>
          <w:highlight w:val="none"/>
        </w:rPr>
        <w:fldChar w:fldCharType="end"/>
      </w:r>
      <w:r>
        <w:rPr>
          <w:rFonts w:eastAsia="宋体"/>
          <w:bCs w:val="0"/>
          <w:color w:val="auto"/>
          <w:highlight w:val="none"/>
        </w:rPr>
        <w:fldChar w:fldCharType="end"/>
      </w:r>
    </w:p>
    <w:p w14:paraId="69B6B86C">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_Toc23031 </w:instrText>
      </w:r>
      <w:r>
        <w:rPr>
          <w:rFonts w:eastAsia="宋体"/>
          <w:bCs w:val="0"/>
          <w:color w:val="auto"/>
          <w:highlight w:val="none"/>
        </w:rPr>
        <w:fldChar w:fldCharType="separate"/>
      </w:r>
      <w:r>
        <w:rPr>
          <w:rFonts w:cs="Times New Roman"/>
          <w:color w:val="auto"/>
          <w:highlight w:val="none"/>
        </w:rPr>
        <w:t>7. 合同授予</w:t>
      </w:r>
      <w:r>
        <w:rPr>
          <w:color w:val="auto"/>
          <w:highlight w:val="none"/>
        </w:rPr>
        <w:tab/>
      </w:r>
      <w:r>
        <w:rPr>
          <w:color w:val="auto"/>
          <w:highlight w:val="none"/>
        </w:rPr>
        <w:fldChar w:fldCharType="begin"/>
      </w:r>
      <w:r>
        <w:rPr>
          <w:color w:val="auto"/>
          <w:highlight w:val="none"/>
        </w:rPr>
        <w:instrText xml:space="preserve"> PAGEREF _Toc23031 \h </w:instrText>
      </w:r>
      <w:r>
        <w:rPr>
          <w:color w:val="auto"/>
          <w:highlight w:val="none"/>
        </w:rPr>
        <w:fldChar w:fldCharType="separate"/>
      </w:r>
      <w:r>
        <w:rPr>
          <w:color w:val="auto"/>
          <w:highlight w:val="none"/>
        </w:rPr>
        <w:t>32</w:t>
      </w:r>
      <w:r>
        <w:rPr>
          <w:color w:val="auto"/>
          <w:highlight w:val="none"/>
        </w:rPr>
        <w:fldChar w:fldCharType="end"/>
      </w:r>
      <w:r>
        <w:rPr>
          <w:rFonts w:eastAsia="宋体"/>
          <w:bCs w:val="0"/>
          <w:color w:val="auto"/>
          <w:highlight w:val="none"/>
        </w:rPr>
        <w:fldChar w:fldCharType="end"/>
      </w:r>
    </w:p>
    <w:p w14:paraId="49021A95">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_Toc21016 </w:instrText>
      </w:r>
      <w:r>
        <w:rPr>
          <w:rFonts w:eastAsia="宋体"/>
          <w:bCs w:val="0"/>
          <w:color w:val="auto"/>
          <w:highlight w:val="none"/>
        </w:rPr>
        <w:fldChar w:fldCharType="separate"/>
      </w:r>
      <w:r>
        <w:rPr>
          <w:rFonts w:cs="Times New Roman"/>
          <w:color w:val="auto"/>
          <w:highlight w:val="none"/>
        </w:rPr>
        <w:t>7.1 定标方式</w:t>
      </w:r>
      <w:r>
        <w:rPr>
          <w:color w:val="auto"/>
          <w:highlight w:val="none"/>
        </w:rPr>
        <w:tab/>
      </w:r>
      <w:r>
        <w:rPr>
          <w:color w:val="auto"/>
          <w:highlight w:val="none"/>
        </w:rPr>
        <w:fldChar w:fldCharType="begin"/>
      </w:r>
      <w:r>
        <w:rPr>
          <w:color w:val="auto"/>
          <w:highlight w:val="none"/>
        </w:rPr>
        <w:instrText xml:space="preserve"> PAGEREF _Toc21016 \h </w:instrText>
      </w:r>
      <w:r>
        <w:rPr>
          <w:color w:val="auto"/>
          <w:highlight w:val="none"/>
        </w:rPr>
        <w:fldChar w:fldCharType="separate"/>
      </w:r>
      <w:r>
        <w:rPr>
          <w:color w:val="auto"/>
          <w:highlight w:val="none"/>
        </w:rPr>
        <w:t>32</w:t>
      </w:r>
      <w:r>
        <w:rPr>
          <w:color w:val="auto"/>
          <w:highlight w:val="none"/>
        </w:rPr>
        <w:fldChar w:fldCharType="end"/>
      </w:r>
      <w:r>
        <w:rPr>
          <w:rFonts w:eastAsia="宋体"/>
          <w:bCs w:val="0"/>
          <w:color w:val="auto"/>
          <w:highlight w:val="none"/>
        </w:rPr>
        <w:fldChar w:fldCharType="end"/>
      </w:r>
    </w:p>
    <w:p w14:paraId="0729F88B">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_Toc18807 </w:instrText>
      </w:r>
      <w:r>
        <w:rPr>
          <w:rFonts w:eastAsia="宋体"/>
          <w:bCs w:val="0"/>
          <w:color w:val="auto"/>
          <w:highlight w:val="none"/>
        </w:rPr>
        <w:fldChar w:fldCharType="separate"/>
      </w:r>
      <w:r>
        <w:rPr>
          <w:rFonts w:cs="Times New Roman"/>
          <w:color w:val="auto"/>
          <w:highlight w:val="none"/>
        </w:rPr>
        <w:t>7.2 中标通知</w:t>
      </w:r>
      <w:r>
        <w:rPr>
          <w:color w:val="auto"/>
          <w:highlight w:val="none"/>
        </w:rPr>
        <w:tab/>
      </w:r>
      <w:r>
        <w:rPr>
          <w:color w:val="auto"/>
          <w:highlight w:val="none"/>
        </w:rPr>
        <w:fldChar w:fldCharType="begin"/>
      </w:r>
      <w:r>
        <w:rPr>
          <w:color w:val="auto"/>
          <w:highlight w:val="none"/>
        </w:rPr>
        <w:instrText xml:space="preserve"> PAGEREF _Toc18807 \h </w:instrText>
      </w:r>
      <w:r>
        <w:rPr>
          <w:color w:val="auto"/>
          <w:highlight w:val="none"/>
        </w:rPr>
        <w:fldChar w:fldCharType="separate"/>
      </w:r>
      <w:r>
        <w:rPr>
          <w:color w:val="auto"/>
          <w:highlight w:val="none"/>
        </w:rPr>
        <w:t>32</w:t>
      </w:r>
      <w:r>
        <w:rPr>
          <w:color w:val="auto"/>
          <w:highlight w:val="none"/>
        </w:rPr>
        <w:fldChar w:fldCharType="end"/>
      </w:r>
      <w:r>
        <w:rPr>
          <w:rFonts w:eastAsia="宋体"/>
          <w:bCs w:val="0"/>
          <w:color w:val="auto"/>
          <w:highlight w:val="none"/>
        </w:rPr>
        <w:fldChar w:fldCharType="end"/>
      </w:r>
    </w:p>
    <w:p w14:paraId="4B8FD6B6">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_Toc27522 </w:instrText>
      </w:r>
      <w:r>
        <w:rPr>
          <w:rFonts w:eastAsia="宋体"/>
          <w:bCs w:val="0"/>
          <w:color w:val="auto"/>
          <w:highlight w:val="none"/>
        </w:rPr>
        <w:fldChar w:fldCharType="separate"/>
      </w:r>
      <w:r>
        <w:rPr>
          <w:rFonts w:cs="Times New Roman"/>
          <w:color w:val="auto"/>
          <w:highlight w:val="none"/>
        </w:rPr>
        <w:t>7.3 履约担保</w:t>
      </w:r>
      <w:r>
        <w:rPr>
          <w:color w:val="auto"/>
          <w:highlight w:val="none"/>
        </w:rPr>
        <w:tab/>
      </w:r>
      <w:r>
        <w:rPr>
          <w:color w:val="auto"/>
          <w:highlight w:val="none"/>
        </w:rPr>
        <w:fldChar w:fldCharType="begin"/>
      </w:r>
      <w:r>
        <w:rPr>
          <w:color w:val="auto"/>
          <w:highlight w:val="none"/>
        </w:rPr>
        <w:instrText xml:space="preserve"> PAGEREF _Toc27522 \h </w:instrText>
      </w:r>
      <w:r>
        <w:rPr>
          <w:color w:val="auto"/>
          <w:highlight w:val="none"/>
        </w:rPr>
        <w:fldChar w:fldCharType="separate"/>
      </w:r>
      <w:r>
        <w:rPr>
          <w:color w:val="auto"/>
          <w:highlight w:val="none"/>
        </w:rPr>
        <w:t>33</w:t>
      </w:r>
      <w:r>
        <w:rPr>
          <w:color w:val="auto"/>
          <w:highlight w:val="none"/>
        </w:rPr>
        <w:fldChar w:fldCharType="end"/>
      </w:r>
      <w:r>
        <w:rPr>
          <w:rFonts w:eastAsia="宋体"/>
          <w:bCs w:val="0"/>
          <w:color w:val="auto"/>
          <w:highlight w:val="none"/>
        </w:rPr>
        <w:fldChar w:fldCharType="end"/>
      </w:r>
    </w:p>
    <w:p w14:paraId="553A736A">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_Toc13981 </w:instrText>
      </w:r>
      <w:r>
        <w:rPr>
          <w:rFonts w:eastAsia="宋体"/>
          <w:bCs w:val="0"/>
          <w:color w:val="auto"/>
          <w:highlight w:val="none"/>
        </w:rPr>
        <w:fldChar w:fldCharType="separate"/>
      </w:r>
      <w:r>
        <w:rPr>
          <w:rFonts w:cs="Times New Roman"/>
          <w:color w:val="auto"/>
          <w:highlight w:val="none"/>
        </w:rPr>
        <w:t>7.4 签订合同</w:t>
      </w:r>
      <w:r>
        <w:rPr>
          <w:color w:val="auto"/>
          <w:highlight w:val="none"/>
        </w:rPr>
        <w:tab/>
      </w:r>
      <w:r>
        <w:rPr>
          <w:color w:val="auto"/>
          <w:highlight w:val="none"/>
        </w:rPr>
        <w:fldChar w:fldCharType="begin"/>
      </w:r>
      <w:r>
        <w:rPr>
          <w:color w:val="auto"/>
          <w:highlight w:val="none"/>
        </w:rPr>
        <w:instrText xml:space="preserve"> PAGEREF _Toc13981 \h </w:instrText>
      </w:r>
      <w:r>
        <w:rPr>
          <w:color w:val="auto"/>
          <w:highlight w:val="none"/>
        </w:rPr>
        <w:fldChar w:fldCharType="separate"/>
      </w:r>
      <w:r>
        <w:rPr>
          <w:color w:val="auto"/>
          <w:highlight w:val="none"/>
        </w:rPr>
        <w:t>33</w:t>
      </w:r>
      <w:r>
        <w:rPr>
          <w:color w:val="auto"/>
          <w:highlight w:val="none"/>
        </w:rPr>
        <w:fldChar w:fldCharType="end"/>
      </w:r>
      <w:r>
        <w:rPr>
          <w:rFonts w:eastAsia="宋体"/>
          <w:bCs w:val="0"/>
          <w:color w:val="auto"/>
          <w:highlight w:val="none"/>
        </w:rPr>
        <w:fldChar w:fldCharType="end"/>
      </w:r>
    </w:p>
    <w:p w14:paraId="28D36A68">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_Toc9351 </w:instrText>
      </w:r>
      <w:r>
        <w:rPr>
          <w:rFonts w:eastAsia="宋体"/>
          <w:bCs w:val="0"/>
          <w:color w:val="auto"/>
          <w:highlight w:val="none"/>
        </w:rPr>
        <w:fldChar w:fldCharType="separate"/>
      </w:r>
      <w:r>
        <w:rPr>
          <w:rFonts w:cs="Times New Roman"/>
          <w:color w:val="auto"/>
          <w:highlight w:val="none"/>
        </w:rPr>
        <w:t>8. 重新招标、不再招标和终止招标</w:t>
      </w:r>
      <w:r>
        <w:rPr>
          <w:color w:val="auto"/>
          <w:highlight w:val="none"/>
        </w:rPr>
        <w:tab/>
      </w:r>
      <w:r>
        <w:rPr>
          <w:color w:val="auto"/>
          <w:highlight w:val="none"/>
        </w:rPr>
        <w:fldChar w:fldCharType="begin"/>
      </w:r>
      <w:r>
        <w:rPr>
          <w:color w:val="auto"/>
          <w:highlight w:val="none"/>
        </w:rPr>
        <w:instrText xml:space="preserve"> PAGEREF _Toc9351 \h </w:instrText>
      </w:r>
      <w:r>
        <w:rPr>
          <w:color w:val="auto"/>
          <w:highlight w:val="none"/>
        </w:rPr>
        <w:fldChar w:fldCharType="separate"/>
      </w:r>
      <w:r>
        <w:rPr>
          <w:color w:val="auto"/>
          <w:highlight w:val="none"/>
        </w:rPr>
        <w:t>33</w:t>
      </w:r>
      <w:r>
        <w:rPr>
          <w:color w:val="auto"/>
          <w:highlight w:val="none"/>
        </w:rPr>
        <w:fldChar w:fldCharType="end"/>
      </w:r>
      <w:r>
        <w:rPr>
          <w:rFonts w:eastAsia="宋体"/>
          <w:bCs w:val="0"/>
          <w:color w:val="auto"/>
          <w:highlight w:val="none"/>
        </w:rPr>
        <w:fldChar w:fldCharType="end"/>
      </w:r>
    </w:p>
    <w:p w14:paraId="232C24E7">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_Toc1095 </w:instrText>
      </w:r>
      <w:r>
        <w:rPr>
          <w:rFonts w:eastAsia="宋体"/>
          <w:bCs w:val="0"/>
          <w:color w:val="auto"/>
          <w:highlight w:val="none"/>
        </w:rPr>
        <w:fldChar w:fldCharType="separate"/>
      </w:r>
      <w:r>
        <w:rPr>
          <w:rFonts w:cs="Times New Roman"/>
          <w:color w:val="auto"/>
          <w:highlight w:val="none"/>
        </w:rPr>
        <w:t>8.1 重新招标</w:t>
      </w:r>
      <w:r>
        <w:rPr>
          <w:color w:val="auto"/>
          <w:highlight w:val="none"/>
        </w:rPr>
        <w:tab/>
      </w:r>
      <w:r>
        <w:rPr>
          <w:color w:val="auto"/>
          <w:highlight w:val="none"/>
        </w:rPr>
        <w:fldChar w:fldCharType="begin"/>
      </w:r>
      <w:r>
        <w:rPr>
          <w:color w:val="auto"/>
          <w:highlight w:val="none"/>
        </w:rPr>
        <w:instrText xml:space="preserve"> PAGEREF _Toc1095 \h </w:instrText>
      </w:r>
      <w:r>
        <w:rPr>
          <w:color w:val="auto"/>
          <w:highlight w:val="none"/>
        </w:rPr>
        <w:fldChar w:fldCharType="separate"/>
      </w:r>
      <w:r>
        <w:rPr>
          <w:color w:val="auto"/>
          <w:highlight w:val="none"/>
        </w:rPr>
        <w:t>33</w:t>
      </w:r>
      <w:r>
        <w:rPr>
          <w:color w:val="auto"/>
          <w:highlight w:val="none"/>
        </w:rPr>
        <w:fldChar w:fldCharType="end"/>
      </w:r>
      <w:r>
        <w:rPr>
          <w:rFonts w:eastAsia="宋体"/>
          <w:bCs w:val="0"/>
          <w:color w:val="auto"/>
          <w:highlight w:val="none"/>
        </w:rPr>
        <w:fldChar w:fldCharType="end"/>
      </w:r>
    </w:p>
    <w:p w14:paraId="2A6EB9E7">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_Toc25346 </w:instrText>
      </w:r>
      <w:r>
        <w:rPr>
          <w:rFonts w:eastAsia="宋体"/>
          <w:bCs w:val="0"/>
          <w:color w:val="auto"/>
          <w:highlight w:val="none"/>
        </w:rPr>
        <w:fldChar w:fldCharType="separate"/>
      </w:r>
      <w:r>
        <w:rPr>
          <w:rFonts w:cs="Times New Roman"/>
          <w:color w:val="auto"/>
          <w:highlight w:val="none"/>
        </w:rPr>
        <w:t>8.2 不再招标</w:t>
      </w:r>
      <w:r>
        <w:rPr>
          <w:color w:val="auto"/>
          <w:highlight w:val="none"/>
        </w:rPr>
        <w:tab/>
      </w:r>
      <w:r>
        <w:rPr>
          <w:color w:val="auto"/>
          <w:highlight w:val="none"/>
        </w:rPr>
        <w:fldChar w:fldCharType="begin"/>
      </w:r>
      <w:r>
        <w:rPr>
          <w:color w:val="auto"/>
          <w:highlight w:val="none"/>
        </w:rPr>
        <w:instrText xml:space="preserve"> PAGEREF _Toc25346 \h </w:instrText>
      </w:r>
      <w:r>
        <w:rPr>
          <w:color w:val="auto"/>
          <w:highlight w:val="none"/>
        </w:rPr>
        <w:fldChar w:fldCharType="separate"/>
      </w:r>
      <w:r>
        <w:rPr>
          <w:color w:val="auto"/>
          <w:highlight w:val="none"/>
        </w:rPr>
        <w:t>33</w:t>
      </w:r>
      <w:r>
        <w:rPr>
          <w:color w:val="auto"/>
          <w:highlight w:val="none"/>
        </w:rPr>
        <w:fldChar w:fldCharType="end"/>
      </w:r>
      <w:r>
        <w:rPr>
          <w:rFonts w:eastAsia="宋体"/>
          <w:bCs w:val="0"/>
          <w:color w:val="auto"/>
          <w:highlight w:val="none"/>
        </w:rPr>
        <w:fldChar w:fldCharType="end"/>
      </w:r>
    </w:p>
    <w:p w14:paraId="3E774E17">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_Toc7565 </w:instrText>
      </w:r>
      <w:r>
        <w:rPr>
          <w:rFonts w:eastAsia="宋体"/>
          <w:bCs w:val="0"/>
          <w:color w:val="auto"/>
          <w:highlight w:val="none"/>
        </w:rPr>
        <w:fldChar w:fldCharType="separate"/>
      </w:r>
      <w:r>
        <w:rPr>
          <w:rFonts w:cs="Times New Roman"/>
          <w:color w:val="auto"/>
          <w:highlight w:val="none"/>
        </w:rPr>
        <w:t>8.3 终止招标</w:t>
      </w:r>
      <w:r>
        <w:rPr>
          <w:color w:val="auto"/>
          <w:highlight w:val="none"/>
        </w:rPr>
        <w:tab/>
      </w:r>
      <w:r>
        <w:rPr>
          <w:color w:val="auto"/>
          <w:highlight w:val="none"/>
        </w:rPr>
        <w:fldChar w:fldCharType="begin"/>
      </w:r>
      <w:r>
        <w:rPr>
          <w:color w:val="auto"/>
          <w:highlight w:val="none"/>
        </w:rPr>
        <w:instrText xml:space="preserve"> PAGEREF _Toc7565 \h </w:instrText>
      </w:r>
      <w:r>
        <w:rPr>
          <w:color w:val="auto"/>
          <w:highlight w:val="none"/>
        </w:rPr>
        <w:fldChar w:fldCharType="separate"/>
      </w:r>
      <w:r>
        <w:rPr>
          <w:color w:val="auto"/>
          <w:highlight w:val="none"/>
        </w:rPr>
        <w:t>33</w:t>
      </w:r>
      <w:r>
        <w:rPr>
          <w:color w:val="auto"/>
          <w:highlight w:val="none"/>
        </w:rPr>
        <w:fldChar w:fldCharType="end"/>
      </w:r>
      <w:r>
        <w:rPr>
          <w:rFonts w:eastAsia="宋体"/>
          <w:bCs w:val="0"/>
          <w:color w:val="auto"/>
          <w:highlight w:val="none"/>
        </w:rPr>
        <w:fldChar w:fldCharType="end"/>
      </w:r>
    </w:p>
    <w:p w14:paraId="01983110">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_Toc14252 </w:instrText>
      </w:r>
      <w:r>
        <w:rPr>
          <w:rFonts w:eastAsia="宋体"/>
          <w:bCs w:val="0"/>
          <w:color w:val="auto"/>
          <w:highlight w:val="none"/>
        </w:rPr>
        <w:fldChar w:fldCharType="separate"/>
      </w:r>
      <w:r>
        <w:rPr>
          <w:rFonts w:cs="Times New Roman"/>
          <w:color w:val="auto"/>
          <w:highlight w:val="none"/>
        </w:rPr>
        <w:t>9. 纪律和监督</w:t>
      </w:r>
      <w:r>
        <w:rPr>
          <w:color w:val="auto"/>
          <w:highlight w:val="none"/>
        </w:rPr>
        <w:tab/>
      </w:r>
      <w:r>
        <w:rPr>
          <w:color w:val="auto"/>
          <w:highlight w:val="none"/>
        </w:rPr>
        <w:fldChar w:fldCharType="begin"/>
      </w:r>
      <w:r>
        <w:rPr>
          <w:color w:val="auto"/>
          <w:highlight w:val="none"/>
        </w:rPr>
        <w:instrText xml:space="preserve"> PAGEREF _Toc14252 \h </w:instrText>
      </w:r>
      <w:r>
        <w:rPr>
          <w:color w:val="auto"/>
          <w:highlight w:val="none"/>
        </w:rPr>
        <w:fldChar w:fldCharType="separate"/>
      </w:r>
      <w:r>
        <w:rPr>
          <w:color w:val="auto"/>
          <w:highlight w:val="none"/>
        </w:rPr>
        <w:t>34</w:t>
      </w:r>
      <w:r>
        <w:rPr>
          <w:color w:val="auto"/>
          <w:highlight w:val="none"/>
        </w:rPr>
        <w:fldChar w:fldCharType="end"/>
      </w:r>
      <w:r>
        <w:rPr>
          <w:rFonts w:eastAsia="宋体"/>
          <w:bCs w:val="0"/>
          <w:color w:val="auto"/>
          <w:highlight w:val="none"/>
        </w:rPr>
        <w:fldChar w:fldCharType="end"/>
      </w:r>
    </w:p>
    <w:p w14:paraId="46681DE2">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_Toc25151 </w:instrText>
      </w:r>
      <w:r>
        <w:rPr>
          <w:rFonts w:eastAsia="宋体"/>
          <w:bCs w:val="0"/>
          <w:color w:val="auto"/>
          <w:highlight w:val="none"/>
        </w:rPr>
        <w:fldChar w:fldCharType="separate"/>
      </w:r>
      <w:r>
        <w:rPr>
          <w:rFonts w:cs="Times New Roman"/>
          <w:color w:val="auto"/>
          <w:highlight w:val="none"/>
        </w:rPr>
        <w:t>9.1 对招标人的纪律要求</w:t>
      </w:r>
      <w:r>
        <w:rPr>
          <w:color w:val="auto"/>
          <w:highlight w:val="none"/>
        </w:rPr>
        <w:tab/>
      </w:r>
      <w:r>
        <w:rPr>
          <w:color w:val="auto"/>
          <w:highlight w:val="none"/>
        </w:rPr>
        <w:fldChar w:fldCharType="begin"/>
      </w:r>
      <w:r>
        <w:rPr>
          <w:color w:val="auto"/>
          <w:highlight w:val="none"/>
        </w:rPr>
        <w:instrText xml:space="preserve"> PAGEREF _Toc25151 \h </w:instrText>
      </w:r>
      <w:r>
        <w:rPr>
          <w:color w:val="auto"/>
          <w:highlight w:val="none"/>
        </w:rPr>
        <w:fldChar w:fldCharType="separate"/>
      </w:r>
      <w:r>
        <w:rPr>
          <w:color w:val="auto"/>
          <w:highlight w:val="none"/>
        </w:rPr>
        <w:t>34</w:t>
      </w:r>
      <w:r>
        <w:rPr>
          <w:color w:val="auto"/>
          <w:highlight w:val="none"/>
        </w:rPr>
        <w:fldChar w:fldCharType="end"/>
      </w:r>
      <w:r>
        <w:rPr>
          <w:rFonts w:eastAsia="宋体"/>
          <w:bCs w:val="0"/>
          <w:color w:val="auto"/>
          <w:highlight w:val="none"/>
        </w:rPr>
        <w:fldChar w:fldCharType="end"/>
      </w:r>
    </w:p>
    <w:p w14:paraId="48C2D3A5">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_Toc13602 </w:instrText>
      </w:r>
      <w:r>
        <w:rPr>
          <w:rFonts w:eastAsia="宋体"/>
          <w:bCs w:val="0"/>
          <w:color w:val="auto"/>
          <w:highlight w:val="none"/>
        </w:rPr>
        <w:fldChar w:fldCharType="separate"/>
      </w:r>
      <w:r>
        <w:rPr>
          <w:rFonts w:cs="Times New Roman"/>
          <w:color w:val="auto"/>
          <w:highlight w:val="none"/>
        </w:rPr>
        <w:t>9.2 对投标人的纪律要求</w:t>
      </w:r>
      <w:r>
        <w:rPr>
          <w:color w:val="auto"/>
          <w:highlight w:val="none"/>
        </w:rPr>
        <w:tab/>
      </w:r>
      <w:r>
        <w:rPr>
          <w:color w:val="auto"/>
          <w:highlight w:val="none"/>
        </w:rPr>
        <w:fldChar w:fldCharType="begin"/>
      </w:r>
      <w:r>
        <w:rPr>
          <w:color w:val="auto"/>
          <w:highlight w:val="none"/>
        </w:rPr>
        <w:instrText xml:space="preserve"> PAGEREF _Toc13602 \h </w:instrText>
      </w:r>
      <w:r>
        <w:rPr>
          <w:color w:val="auto"/>
          <w:highlight w:val="none"/>
        </w:rPr>
        <w:fldChar w:fldCharType="separate"/>
      </w:r>
      <w:r>
        <w:rPr>
          <w:color w:val="auto"/>
          <w:highlight w:val="none"/>
        </w:rPr>
        <w:t>34</w:t>
      </w:r>
      <w:r>
        <w:rPr>
          <w:color w:val="auto"/>
          <w:highlight w:val="none"/>
        </w:rPr>
        <w:fldChar w:fldCharType="end"/>
      </w:r>
      <w:r>
        <w:rPr>
          <w:rFonts w:eastAsia="宋体"/>
          <w:bCs w:val="0"/>
          <w:color w:val="auto"/>
          <w:highlight w:val="none"/>
        </w:rPr>
        <w:fldChar w:fldCharType="end"/>
      </w:r>
    </w:p>
    <w:p w14:paraId="5E850B4F">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_Toc19536 </w:instrText>
      </w:r>
      <w:r>
        <w:rPr>
          <w:rFonts w:eastAsia="宋体"/>
          <w:bCs w:val="0"/>
          <w:color w:val="auto"/>
          <w:highlight w:val="none"/>
        </w:rPr>
        <w:fldChar w:fldCharType="separate"/>
      </w:r>
      <w:r>
        <w:rPr>
          <w:rFonts w:cs="Times New Roman"/>
          <w:color w:val="auto"/>
          <w:highlight w:val="none"/>
        </w:rPr>
        <w:t>9.3 对评标委员会成员的纪律要求</w:t>
      </w:r>
      <w:r>
        <w:rPr>
          <w:color w:val="auto"/>
          <w:highlight w:val="none"/>
        </w:rPr>
        <w:tab/>
      </w:r>
      <w:r>
        <w:rPr>
          <w:color w:val="auto"/>
          <w:highlight w:val="none"/>
        </w:rPr>
        <w:fldChar w:fldCharType="begin"/>
      </w:r>
      <w:r>
        <w:rPr>
          <w:color w:val="auto"/>
          <w:highlight w:val="none"/>
        </w:rPr>
        <w:instrText xml:space="preserve"> PAGEREF _Toc19536 \h </w:instrText>
      </w:r>
      <w:r>
        <w:rPr>
          <w:color w:val="auto"/>
          <w:highlight w:val="none"/>
        </w:rPr>
        <w:fldChar w:fldCharType="separate"/>
      </w:r>
      <w:r>
        <w:rPr>
          <w:color w:val="auto"/>
          <w:highlight w:val="none"/>
        </w:rPr>
        <w:t>34</w:t>
      </w:r>
      <w:r>
        <w:rPr>
          <w:color w:val="auto"/>
          <w:highlight w:val="none"/>
        </w:rPr>
        <w:fldChar w:fldCharType="end"/>
      </w:r>
      <w:r>
        <w:rPr>
          <w:rFonts w:eastAsia="宋体"/>
          <w:bCs w:val="0"/>
          <w:color w:val="auto"/>
          <w:highlight w:val="none"/>
        </w:rPr>
        <w:fldChar w:fldCharType="end"/>
      </w:r>
    </w:p>
    <w:p w14:paraId="6DF7EE4F">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_Toc54 </w:instrText>
      </w:r>
      <w:r>
        <w:rPr>
          <w:rFonts w:eastAsia="宋体"/>
          <w:bCs w:val="0"/>
          <w:color w:val="auto"/>
          <w:highlight w:val="none"/>
        </w:rPr>
        <w:fldChar w:fldCharType="separate"/>
      </w:r>
      <w:r>
        <w:rPr>
          <w:rFonts w:cs="Times New Roman"/>
          <w:color w:val="auto"/>
          <w:highlight w:val="none"/>
        </w:rPr>
        <w:t>9.4 对与评标活动有关的工作人员的纪律要求</w:t>
      </w:r>
      <w:r>
        <w:rPr>
          <w:color w:val="auto"/>
          <w:highlight w:val="none"/>
        </w:rPr>
        <w:tab/>
      </w:r>
      <w:r>
        <w:rPr>
          <w:color w:val="auto"/>
          <w:highlight w:val="none"/>
        </w:rPr>
        <w:fldChar w:fldCharType="begin"/>
      </w:r>
      <w:r>
        <w:rPr>
          <w:color w:val="auto"/>
          <w:highlight w:val="none"/>
        </w:rPr>
        <w:instrText xml:space="preserve"> PAGEREF _Toc54 \h </w:instrText>
      </w:r>
      <w:r>
        <w:rPr>
          <w:color w:val="auto"/>
          <w:highlight w:val="none"/>
        </w:rPr>
        <w:fldChar w:fldCharType="separate"/>
      </w:r>
      <w:r>
        <w:rPr>
          <w:color w:val="auto"/>
          <w:highlight w:val="none"/>
        </w:rPr>
        <w:t>34</w:t>
      </w:r>
      <w:r>
        <w:rPr>
          <w:color w:val="auto"/>
          <w:highlight w:val="none"/>
        </w:rPr>
        <w:fldChar w:fldCharType="end"/>
      </w:r>
      <w:r>
        <w:rPr>
          <w:rFonts w:eastAsia="宋体"/>
          <w:bCs w:val="0"/>
          <w:color w:val="auto"/>
          <w:highlight w:val="none"/>
        </w:rPr>
        <w:fldChar w:fldCharType="end"/>
      </w:r>
    </w:p>
    <w:p w14:paraId="3C30655E">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_Toc15716 </w:instrText>
      </w:r>
      <w:r>
        <w:rPr>
          <w:rFonts w:eastAsia="宋体"/>
          <w:bCs w:val="0"/>
          <w:color w:val="auto"/>
          <w:highlight w:val="none"/>
        </w:rPr>
        <w:fldChar w:fldCharType="separate"/>
      </w:r>
      <w:r>
        <w:rPr>
          <w:rFonts w:cs="Times New Roman"/>
          <w:color w:val="auto"/>
          <w:highlight w:val="none"/>
        </w:rPr>
        <w:t>9.5 投诉</w:t>
      </w:r>
      <w:r>
        <w:rPr>
          <w:color w:val="auto"/>
          <w:highlight w:val="none"/>
        </w:rPr>
        <w:tab/>
      </w:r>
      <w:r>
        <w:rPr>
          <w:color w:val="auto"/>
          <w:highlight w:val="none"/>
        </w:rPr>
        <w:fldChar w:fldCharType="begin"/>
      </w:r>
      <w:r>
        <w:rPr>
          <w:color w:val="auto"/>
          <w:highlight w:val="none"/>
        </w:rPr>
        <w:instrText xml:space="preserve"> PAGEREF _Toc15716 \h </w:instrText>
      </w:r>
      <w:r>
        <w:rPr>
          <w:color w:val="auto"/>
          <w:highlight w:val="none"/>
        </w:rPr>
        <w:fldChar w:fldCharType="separate"/>
      </w:r>
      <w:r>
        <w:rPr>
          <w:color w:val="auto"/>
          <w:highlight w:val="none"/>
        </w:rPr>
        <w:t>34</w:t>
      </w:r>
      <w:r>
        <w:rPr>
          <w:color w:val="auto"/>
          <w:highlight w:val="none"/>
        </w:rPr>
        <w:fldChar w:fldCharType="end"/>
      </w:r>
      <w:r>
        <w:rPr>
          <w:rFonts w:eastAsia="宋体"/>
          <w:bCs w:val="0"/>
          <w:color w:val="auto"/>
          <w:highlight w:val="none"/>
        </w:rPr>
        <w:fldChar w:fldCharType="end"/>
      </w:r>
    </w:p>
    <w:p w14:paraId="5D1B228C">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_Toc27560 </w:instrText>
      </w:r>
      <w:r>
        <w:rPr>
          <w:rFonts w:eastAsia="宋体"/>
          <w:bCs w:val="0"/>
          <w:color w:val="auto"/>
          <w:highlight w:val="none"/>
        </w:rPr>
        <w:fldChar w:fldCharType="separate"/>
      </w:r>
      <w:r>
        <w:rPr>
          <w:rFonts w:cs="Times New Roman"/>
          <w:color w:val="auto"/>
          <w:highlight w:val="none"/>
        </w:rPr>
        <w:t>10. 需要补充的其他内容</w:t>
      </w:r>
      <w:r>
        <w:rPr>
          <w:color w:val="auto"/>
          <w:highlight w:val="none"/>
        </w:rPr>
        <w:tab/>
      </w:r>
      <w:r>
        <w:rPr>
          <w:color w:val="auto"/>
          <w:highlight w:val="none"/>
        </w:rPr>
        <w:fldChar w:fldCharType="begin"/>
      </w:r>
      <w:r>
        <w:rPr>
          <w:color w:val="auto"/>
          <w:highlight w:val="none"/>
        </w:rPr>
        <w:instrText xml:space="preserve"> PAGEREF _Toc27560 \h </w:instrText>
      </w:r>
      <w:r>
        <w:rPr>
          <w:color w:val="auto"/>
          <w:highlight w:val="none"/>
        </w:rPr>
        <w:fldChar w:fldCharType="separate"/>
      </w:r>
      <w:r>
        <w:rPr>
          <w:color w:val="auto"/>
          <w:highlight w:val="none"/>
        </w:rPr>
        <w:t>35</w:t>
      </w:r>
      <w:r>
        <w:rPr>
          <w:color w:val="auto"/>
          <w:highlight w:val="none"/>
        </w:rPr>
        <w:fldChar w:fldCharType="end"/>
      </w:r>
      <w:r>
        <w:rPr>
          <w:rFonts w:eastAsia="宋体"/>
          <w:bCs w:val="0"/>
          <w:color w:val="auto"/>
          <w:highlight w:val="none"/>
        </w:rPr>
        <w:fldChar w:fldCharType="end"/>
      </w:r>
    </w:p>
    <w:p w14:paraId="2D4E096A">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_Toc7720 </w:instrText>
      </w:r>
      <w:r>
        <w:rPr>
          <w:rFonts w:eastAsia="宋体"/>
          <w:bCs w:val="0"/>
          <w:color w:val="auto"/>
          <w:highlight w:val="none"/>
        </w:rPr>
        <w:fldChar w:fldCharType="separate"/>
      </w:r>
      <w:r>
        <w:rPr>
          <w:rFonts w:cs="Times New Roman"/>
          <w:color w:val="auto"/>
          <w:highlight w:val="none"/>
        </w:rPr>
        <w:t>10.1 词语定义</w:t>
      </w:r>
      <w:r>
        <w:rPr>
          <w:color w:val="auto"/>
          <w:highlight w:val="none"/>
        </w:rPr>
        <w:tab/>
      </w:r>
      <w:r>
        <w:rPr>
          <w:color w:val="auto"/>
          <w:highlight w:val="none"/>
        </w:rPr>
        <w:fldChar w:fldCharType="begin"/>
      </w:r>
      <w:r>
        <w:rPr>
          <w:color w:val="auto"/>
          <w:highlight w:val="none"/>
        </w:rPr>
        <w:instrText xml:space="preserve"> PAGEREF _Toc7720 \h </w:instrText>
      </w:r>
      <w:r>
        <w:rPr>
          <w:color w:val="auto"/>
          <w:highlight w:val="none"/>
        </w:rPr>
        <w:fldChar w:fldCharType="separate"/>
      </w:r>
      <w:r>
        <w:rPr>
          <w:color w:val="auto"/>
          <w:highlight w:val="none"/>
        </w:rPr>
        <w:t>35</w:t>
      </w:r>
      <w:r>
        <w:rPr>
          <w:color w:val="auto"/>
          <w:highlight w:val="none"/>
        </w:rPr>
        <w:fldChar w:fldCharType="end"/>
      </w:r>
      <w:r>
        <w:rPr>
          <w:rFonts w:eastAsia="宋体"/>
          <w:bCs w:val="0"/>
          <w:color w:val="auto"/>
          <w:highlight w:val="none"/>
        </w:rPr>
        <w:fldChar w:fldCharType="end"/>
      </w:r>
    </w:p>
    <w:p w14:paraId="11D2EB74">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_Toc17075 </w:instrText>
      </w:r>
      <w:r>
        <w:rPr>
          <w:rFonts w:eastAsia="宋体"/>
          <w:bCs w:val="0"/>
          <w:color w:val="auto"/>
          <w:highlight w:val="none"/>
        </w:rPr>
        <w:fldChar w:fldCharType="separate"/>
      </w:r>
      <w:r>
        <w:rPr>
          <w:rFonts w:cs="Times New Roman"/>
          <w:color w:val="auto"/>
          <w:highlight w:val="none"/>
        </w:rPr>
        <w:t>10.2 中标人的投标文件</w:t>
      </w:r>
      <w:r>
        <w:rPr>
          <w:color w:val="auto"/>
          <w:highlight w:val="none"/>
        </w:rPr>
        <w:tab/>
      </w:r>
      <w:r>
        <w:rPr>
          <w:color w:val="auto"/>
          <w:highlight w:val="none"/>
        </w:rPr>
        <w:fldChar w:fldCharType="begin"/>
      </w:r>
      <w:r>
        <w:rPr>
          <w:color w:val="auto"/>
          <w:highlight w:val="none"/>
        </w:rPr>
        <w:instrText xml:space="preserve"> PAGEREF _Toc17075 \h </w:instrText>
      </w:r>
      <w:r>
        <w:rPr>
          <w:color w:val="auto"/>
          <w:highlight w:val="none"/>
        </w:rPr>
        <w:fldChar w:fldCharType="separate"/>
      </w:r>
      <w:r>
        <w:rPr>
          <w:color w:val="auto"/>
          <w:highlight w:val="none"/>
        </w:rPr>
        <w:t>35</w:t>
      </w:r>
      <w:r>
        <w:rPr>
          <w:color w:val="auto"/>
          <w:highlight w:val="none"/>
        </w:rPr>
        <w:fldChar w:fldCharType="end"/>
      </w:r>
      <w:r>
        <w:rPr>
          <w:rFonts w:eastAsia="宋体"/>
          <w:bCs w:val="0"/>
          <w:color w:val="auto"/>
          <w:highlight w:val="none"/>
        </w:rPr>
        <w:fldChar w:fldCharType="end"/>
      </w:r>
    </w:p>
    <w:p w14:paraId="24C0B3EE">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_Toc16671 </w:instrText>
      </w:r>
      <w:r>
        <w:rPr>
          <w:rFonts w:eastAsia="宋体"/>
          <w:bCs w:val="0"/>
          <w:color w:val="auto"/>
          <w:highlight w:val="none"/>
        </w:rPr>
        <w:fldChar w:fldCharType="separate"/>
      </w:r>
      <w:r>
        <w:rPr>
          <w:rFonts w:cs="Times New Roman"/>
          <w:color w:val="auto"/>
          <w:highlight w:val="none"/>
        </w:rPr>
        <w:t>10.3 知识产权</w:t>
      </w:r>
      <w:r>
        <w:rPr>
          <w:color w:val="auto"/>
          <w:highlight w:val="none"/>
        </w:rPr>
        <w:tab/>
      </w:r>
      <w:r>
        <w:rPr>
          <w:color w:val="auto"/>
          <w:highlight w:val="none"/>
        </w:rPr>
        <w:fldChar w:fldCharType="begin"/>
      </w:r>
      <w:r>
        <w:rPr>
          <w:color w:val="auto"/>
          <w:highlight w:val="none"/>
        </w:rPr>
        <w:instrText xml:space="preserve"> PAGEREF _Toc16671 \h </w:instrText>
      </w:r>
      <w:r>
        <w:rPr>
          <w:color w:val="auto"/>
          <w:highlight w:val="none"/>
        </w:rPr>
        <w:fldChar w:fldCharType="separate"/>
      </w:r>
      <w:r>
        <w:rPr>
          <w:color w:val="auto"/>
          <w:highlight w:val="none"/>
        </w:rPr>
        <w:t>35</w:t>
      </w:r>
      <w:r>
        <w:rPr>
          <w:color w:val="auto"/>
          <w:highlight w:val="none"/>
        </w:rPr>
        <w:fldChar w:fldCharType="end"/>
      </w:r>
      <w:r>
        <w:rPr>
          <w:rFonts w:eastAsia="宋体"/>
          <w:bCs w:val="0"/>
          <w:color w:val="auto"/>
          <w:highlight w:val="none"/>
        </w:rPr>
        <w:fldChar w:fldCharType="end"/>
      </w:r>
    </w:p>
    <w:p w14:paraId="0B9E6DC3">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_Toc2305 </w:instrText>
      </w:r>
      <w:r>
        <w:rPr>
          <w:rFonts w:eastAsia="宋体"/>
          <w:bCs w:val="0"/>
          <w:color w:val="auto"/>
          <w:highlight w:val="none"/>
        </w:rPr>
        <w:fldChar w:fldCharType="separate"/>
      </w:r>
      <w:r>
        <w:rPr>
          <w:rFonts w:cs="Times New Roman"/>
          <w:color w:val="auto"/>
          <w:highlight w:val="none"/>
        </w:rPr>
        <w:t>10.4 同义词语</w:t>
      </w:r>
      <w:r>
        <w:rPr>
          <w:color w:val="auto"/>
          <w:highlight w:val="none"/>
        </w:rPr>
        <w:tab/>
      </w:r>
      <w:r>
        <w:rPr>
          <w:color w:val="auto"/>
          <w:highlight w:val="none"/>
        </w:rPr>
        <w:fldChar w:fldCharType="begin"/>
      </w:r>
      <w:r>
        <w:rPr>
          <w:color w:val="auto"/>
          <w:highlight w:val="none"/>
        </w:rPr>
        <w:instrText xml:space="preserve"> PAGEREF _Toc2305 \h </w:instrText>
      </w:r>
      <w:r>
        <w:rPr>
          <w:color w:val="auto"/>
          <w:highlight w:val="none"/>
        </w:rPr>
        <w:fldChar w:fldCharType="separate"/>
      </w:r>
      <w:r>
        <w:rPr>
          <w:color w:val="auto"/>
          <w:highlight w:val="none"/>
        </w:rPr>
        <w:t>35</w:t>
      </w:r>
      <w:r>
        <w:rPr>
          <w:color w:val="auto"/>
          <w:highlight w:val="none"/>
        </w:rPr>
        <w:fldChar w:fldCharType="end"/>
      </w:r>
      <w:r>
        <w:rPr>
          <w:rFonts w:eastAsia="宋体"/>
          <w:bCs w:val="0"/>
          <w:color w:val="auto"/>
          <w:highlight w:val="none"/>
        </w:rPr>
        <w:fldChar w:fldCharType="end"/>
      </w:r>
    </w:p>
    <w:p w14:paraId="3D4B2F40">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_Toc27822 </w:instrText>
      </w:r>
      <w:r>
        <w:rPr>
          <w:rFonts w:eastAsia="宋体"/>
          <w:bCs w:val="0"/>
          <w:color w:val="auto"/>
          <w:highlight w:val="none"/>
        </w:rPr>
        <w:fldChar w:fldCharType="separate"/>
      </w:r>
      <w:r>
        <w:rPr>
          <w:rFonts w:cs="Times New Roman"/>
          <w:color w:val="auto"/>
          <w:highlight w:val="none"/>
        </w:rPr>
        <w:t>10.5 解释权</w:t>
      </w:r>
      <w:r>
        <w:rPr>
          <w:color w:val="auto"/>
          <w:highlight w:val="none"/>
        </w:rPr>
        <w:tab/>
      </w:r>
      <w:r>
        <w:rPr>
          <w:color w:val="auto"/>
          <w:highlight w:val="none"/>
        </w:rPr>
        <w:fldChar w:fldCharType="begin"/>
      </w:r>
      <w:r>
        <w:rPr>
          <w:color w:val="auto"/>
          <w:highlight w:val="none"/>
        </w:rPr>
        <w:instrText xml:space="preserve"> PAGEREF _Toc27822 \h </w:instrText>
      </w:r>
      <w:r>
        <w:rPr>
          <w:color w:val="auto"/>
          <w:highlight w:val="none"/>
        </w:rPr>
        <w:fldChar w:fldCharType="separate"/>
      </w:r>
      <w:r>
        <w:rPr>
          <w:color w:val="auto"/>
          <w:highlight w:val="none"/>
        </w:rPr>
        <w:t>35</w:t>
      </w:r>
      <w:r>
        <w:rPr>
          <w:color w:val="auto"/>
          <w:highlight w:val="none"/>
        </w:rPr>
        <w:fldChar w:fldCharType="end"/>
      </w:r>
      <w:r>
        <w:rPr>
          <w:rFonts w:eastAsia="宋体"/>
          <w:bCs w:val="0"/>
          <w:color w:val="auto"/>
          <w:highlight w:val="none"/>
        </w:rPr>
        <w:fldChar w:fldCharType="end"/>
      </w:r>
    </w:p>
    <w:p w14:paraId="1DFF69AA">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_Toc17116 </w:instrText>
      </w:r>
      <w:r>
        <w:rPr>
          <w:rFonts w:eastAsia="宋体"/>
          <w:bCs w:val="0"/>
          <w:color w:val="auto"/>
          <w:highlight w:val="none"/>
        </w:rPr>
        <w:fldChar w:fldCharType="separate"/>
      </w:r>
      <w:r>
        <w:rPr>
          <w:rFonts w:cs="Times New Roman"/>
          <w:color w:val="auto"/>
          <w:highlight w:val="none"/>
        </w:rPr>
        <w:t>10.6 招标人补充的其他内容</w:t>
      </w:r>
      <w:r>
        <w:rPr>
          <w:color w:val="auto"/>
          <w:highlight w:val="none"/>
        </w:rPr>
        <w:tab/>
      </w:r>
      <w:r>
        <w:rPr>
          <w:color w:val="auto"/>
          <w:highlight w:val="none"/>
        </w:rPr>
        <w:fldChar w:fldCharType="begin"/>
      </w:r>
      <w:r>
        <w:rPr>
          <w:color w:val="auto"/>
          <w:highlight w:val="none"/>
        </w:rPr>
        <w:instrText xml:space="preserve"> PAGEREF _Toc17116 \h </w:instrText>
      </w:r>
      <w:r>
        <w:rPr>
          <w:color w:val="auto"/>
          <w:highlight w:val="none"/>
        </w:rPr>
        <w:fldChar w:fldCharType="separate"/>
      </w:r>
      <w:r>
        <w:rPr>
          <w:color w:val="auto"/>
          <w:highlight w:val="none"/>
        </w:rPr>
        <w:t>35</w:t>
      </w:r>
      <w:r>
        <w:rPr>
          <w:color w:val="auto"/>
          <w:highlight w:val="none"/>
        </w:rPr>
        <w:fldChar w:fldCharType="end"/>
      </w:r>
      <w:r>
        <w:rPr>
          <w:rFonts w:eastAsia="宋体"/>
          <w:bCs w:val="0"/>
          <w:color w:val="auto"/>
          <w:highlight w:val="none"/>
        </w:rPr>
        <w:fldChar w:fldCharType="end"/>
      </w:r>
    </w:p>
    <w:p w14:paraId="650D6422">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_Toc25375 </w:instrText>
      </w:r>
      <w:r>
        <w:rPr>
          <w:rFonts w:eastAsia="宋体"/>
          <w:bCs w:val="0"/>
          <w:color w:val="auto"/>
          <w:highlight w:val="none"/>
        </w:rPr>
        <w:fldChar w:fldCharType="separate"/>
      </w:r>
      <w:r>
        <w:rPr>
          <w:rFonts w:hint="eastAsia"/>
          <w:color w:val="auto"/>
          <w:szCs w:val="24"/>
          <w:highlight w:val="none"/>
        </w:rPr>
        <w:t>附表一：招标文件澄清申请函</w:t>
      </w:r>
      <w:r>
        <w:rPr>
          <w:color w:val="auto"/>
          <w:highlight w:val="none"/>
        </w:rPr>
        <w:tab/>
      </w:r>
      <w:r>
        <w:rPr>
          <w:color w:val="auto"/>
          <w:highlight w:val="none"/>
        </w:rPr>
        <w:fldChar w:fldCharType="begin"/>
      </w:r>
      <w:r>
        <w:rPr>
          <w:color w:val="auto"/>
          <w:highlight w:val="none"/>
        </w:rPr>
        <w:instrText xml:space="preserve"> PAGEREF _Toc25375 \h </w:instrText>
      </w:r>
      <w:r>
        <w:rPr>
          <w:color w:val="auto"/>
          <w:highlight w:val="none"/>
        </w:rPr>
        <w:fldChar w:fldCharType="separate"/>
      </w:r>
      <w:r>
        <w:rPr>
          <w:color w:val="auto"/>
          <w:highlight w:val="none"/>
        </w:rPr>
        <w:t>36</w:t>
      </w:r>
      <w:r>
        <w:rPr>
          <w:color w:val="auto"/>
          <w:highlight w:val="none"/>
        </w:rPr>
        <w:fldChar w:fldCharType="end"/>
      </w:r>
      <w:r>
        <w:rPr>
          <w:rFonts w:eastAsia="宋体"/>
          <w:bCs w:val="0"/>
          <w:color w:val="auto"/>
          <w:highlight w:val="none"/>
        </w:rPr>
        <w:fldChar w:fldCharType="end"/>
      </w:r>
    </w:p>
    <w:p w14:paraId="000484ED">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_Toc26276 </w:instrText>
      </w:r>
      <w:r>
        <w:rPr>
          <w:rFonts w:eastAsia="宋体"/>
          <w:bCs w:val="0"/>
          <w:color w:val="auto"/>
          <w:highlight w:val="none"/>
        </w:rPr>
        <w:fldChar w:fldCharType="separate"/>
      </w:r>
      <w:r>
        <w:rPr>
          <w:rFonts w:hint="eastAsia"/>
          <w:color w:val="auto"/>
          <w:szCs w:val="24"/>
          <w:highlight w:val="none"/>
        </w:rPr>
        <w:t>附表二：招标文件澄清通知</w:t>
      </w:r>
      <w:r>
        <w:rPr>
          <w:color w:val="auto"/>
          <w:highlight w:val="none"/>
        </w:rPr>
        <w:tab/>
      </w:r>
      <w:r>
        <w:rPr>
          <w:color w:val="auto"/>
          <w:highlight w:val="none"/>
        </w:rPr>
        <w:fldChar w:fldCharType="begin"/>
      </w:r>
      <w:r>
        <w:rPr>
          <w:color w:val="auto"/>
          <w:highlight w:val="none"/>
        </w:rPr>
        <w:instrText xml:space="preserve"> PAGEREF _Toc26276 \h </w:instrText>
      </w:r>
      <w:r>
        <w:rPr>
          <w:color w:val="auto"/>
          <w:highlight w:val="none"/>
        </w:rPr>
        <w:fldChar w:fldCharType="separate"/>
      </w:r>
      <w:r>
        <w:rPr>
          <w:color w:val="auto"/>
          <w:highlight w:val="none"/>
        </w:rPr>
        <w:t>37</w:t>
      </w:r>
      <w:r>
        <w:rPr>
          <w:color w:val="auto"/>
          <w:highlight w:val="none"/>
        </w:rPr>
        <w:fldChar w:fldCharType="end"/>
      </w:r>
      <w:r>
        <w:rPr>
          <w:rFonts w:eastAsia="宋体"/>
          <w:bCs w:val="0"/>
          <w:color w:val="auto"/>
          <w:highlight w:val="none"/>
        </w:rPr>
        <w:fldChar w:fldCharType="end"/>
      </w:r>
    </w:p>
    <w:p w14:paraId="65C79AC3">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_Toc2331 </w:instrText>
      </w:r>
      <w:r>
        <w:rPr>
          <w:rFonts w:eastAsia="宋体"/>
          <w:bCs w:val="0"/>
          <w:color w:val="auto"/>
          <w:highlight w:val="none"/>
        </w:rPr>
        <w:fldChar w:fldCharType="separate"/>
      </w:r>
      <w:r>
        <w:rPr>
          <w:rFonts w:hint="eastAsia"/>
          <w:color w:val="auto"/>
          <w:szCs w:val="24"/>
          <w:highlight w:val="none"/>
        </w:rPr>
        <w:t>附表三：招标文件修改通知</w:t>
      </w:r>
      <w:r>
        <w:rPr>
          <w:color w:val="auto"/>
          <w:highlight w:val="none"/>
        </w:rPr>
        <w:tab/>
      </w:r>
      <w:r>
        <w:rPr>
          <w:color w:val="auto"/>
          <w:highlight w:val="none"/>
        </w:rPr>
        <w:fldChar w:fldCharType="begin"/>
      </w:r>
      <w:r>
        <w:rPr>
          <w:color w:val="auto"/>
          <w:highlight w:val="none"/>
        </w:rPr>
        <w:instrText xml:space="preserve"> PAGEREF _Toc2331 \h </w:instrText>
      </w:r>
      <w:r>
        <w:rPr>
          <w:color w:val="auto"/>
          <w:highlight w:val="none"/>
        </w:rPr>
        <w:fldChar w:fldCharType="separate"/>
      </w:r>
      <w:r>
        <w:rPr>
          <w:color w:val="auto"/>
          <w:highlight w:val="none"/>
        </w:rPr>
        <w:t>38</w:t>
      </w:r>
      <w:r>
        <w:rPr>
          <w:color w:val="auto"/>
          <w:highlight w:val="none"/>
        </w:rPr>
        <w:fldChar w:fldCharType="end"/>
      </w:r>
      <w:r>
        <w:rPr>
          <w:rFonts w:eastAsia="宋体"/>
          <w:bCs w:val="0"/>
          <w:color w:val="auto"/>
          <w:highlight w:val="none"/>
        </w:rPr>
        <w:fldChar w:fldCharType="end"/>
      </w:r>
    </w:p>
    <w:p w14:paraId="35BBDA75">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_Toc19665 </w:instrText>
      </w:r>
      <w:r>
        <w:rPr>
          <w:rFonts w:eastAsia="宋体"/>
          <w:bCs w:val="0"/>
          <w:color w:val="auto"/>
          <w:highlight w:val="none"/>
        </w:rPr>
        <w:fldChar w:fldCharType="separate"/>
      </w:r>
      <w:r>
        <w:rPr>
          <w:rFonts w:hint="eastAsia"/>
          <w:color w:val="auto"/>
          <w:szCs w:val="24"/>
          <w:highlight w:val="none"/>
        </w:rPr>
        <w:t>附表四：投标文件递交电子签收凭证</w:t>
      </w:r>
      <w:r>
        <w:rPr>
          <w:color w:val="auto"/>
          <w:highlight w:val="none"/>
        </w:rPr>
        <w:tab/>
      </w:r>
      <w:r>
        <w:rPr>
          <w:color w:val="auto"/>
          <w:highlight w:val="none"/>
        </w:rPr>
        <w:fldChar w:fldCharType="begin"/>
      </w:r>
      <w:r>
        <w:rPr>
          <w:color w:val="auto"/>
          <w:highlight w:val="none"/>
        </w:rPr>
        <w:instrText xml:space="preserve"> PAGEREF _Toc19665 \h </w:instrText>
      </w:r>
      <w:r>
        <w:rPr>
          <w:color w:val="auto"/>
          <w:highlight w:val="none"/>
        </w:rPr>
        <w:fldChar w:fldCharType="separate"/>
      </w:r>
      <w:r>
        <w:rPr>
          <w:color w:val="auto"/>
          <w:highlight w:val="none"/>
        </w:rPr>
        <w:t>39</w:t>
      </w:r>
      <w:r>
        <w:rPr>
          <w:color w:val="auto"/>
          <w:highlight w:val="none"/>
        </w:rPr>
        <w:fldChar w:fldCharType="end"/>
      </w:r>
      <w:r>
        <w:rPr>
          <w:rFonts w:eastAsia="宋体"/>
          <w:bCs w:val="0"/>
          <w:color w:val="auto"/>
          <w:highlight w:val="none"/>
        </w:rPr>
        <w:fldChar w:fldCharType="end"/>
      </w:r>
    </w:p>
    <w:p w14:paraId="11056B3C">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_Toc10702 </w:instrText>
      </w:r>
      <w:r>
        <w:rPr>
          <w:rFonts w:eastAsia="宋体"/>
          <w:bCs w:val="0"/>
          <w:color w:val="auto"/>
          <w:highlight w:val="none"/>
        </w:rPr>
        <w:fldChar w:fldCharType="separate"/>
      </w:r>
      <w:r>
        <w:rPr>
          <w:rFonts w:hint="eastAsia"/>
          <w:color w:val="auto"/>
          <w:szCs w:val="24"/>
          <w:highlight w:val="none"/>
        </w:rPr>
        <w:t>附表五：开标记录表</w:t>
      </w:r>
      <w:r>
        <w:rPr>
          <w:color w:val="auto"/>
          <w:highlight w:val="none"/>
        </w:rPr>
        <w:tab/>
      </w:r>
      <w:r>
        <w:rPr>
          <w:color w:val="auto"/>
          <w:highlight w:val="none"/>
        </w:rPr>
        <w:fldChar w:fldCharType="begin"/>
      </w:r>
      <w:r>
        <w:rPr>
          <w:color w:val="auto"/>
          <w:highlight w:val="none"/>
        </w:rPr>
        <w:instrText xml:space="preserve"> PAGEREF _Toc10702 \h </w:instrText>
      </w:r>
      <w:r>
        <w:rPr>
          <w:color w:val="auto"/>
          <w:highlight w:val="none"/>
        </w:rPr>
        <w:fldChar w:fldCharType="separate"/>
      </w:r>
      <w:r>
        <w:rPr>
          <w:color w:val="auto"/>
          <w:highlight w:val="none"/>
        </w:rPr>
        <w:t>40</w:t>
      </w:r>
      <w:r>
        <w:rPr>
          <w:color w:val="auto"/>
          <w:highlight w:val="none"/>
        </w:rPr>
        <w:fldChar w:fldCharType="end"/>
      </w:r>
      <w:r>
        <w:rPr>
          <w:rFonts w:eastAsia="宋体"/>
          <w:bCs w:val="0"/>
          <w:color w:val="auto"/>
          <w:highlight w:val="none"/>
        </w:rPr>
        <w:fldChar w:fldCharType="end"/>
      </w:r>
    </w:p>
    <w:p w14:paraId="5721DD54">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_Toc24110 </w:instrText>
      </w:r>
      <w:r>
        <w:rPr>
          <w:rFonts w:eastAsia="宋体"/>
          <w:bCs w:val="0"/>
          <w:color w:val="auto"/>
          <w:highlight w:val="none"/>
        </w:rPr>
        <w:fldChar w:fldCharType="separate"/>
      </w:r>
      <w:r>
        <w:rPr>
          <w:rFonts w:hint="eastAsia"/>
          <w:color w:val="auto"/>
          <w:szCs w:val="24"/>
          <w:highlight w:val="none"/>
        </w:rPr>
        <w:t>附表六：投标文件问题澄清通知</w:t>
      </w:r>
      <w:r>
        <w:rPr>
          <w:color w:val="auto"/>
          <w:highlight w:val="none"/>
        </w:rPr>
        <w:tab/>
      </w:r>
      <w:r>
        <w:rPr>
          <w:color w:val="auto"/>
          <w:highlight w:val="none"/>
        </w:rPr>
        <w:fldChar w:fldCharType="begin"/>
      </w:r>
      <w:r>
        <w:rPr>
          <w:color w:val="auto"/>
          <w:highlight w:val="none"/>
        </w:rPr>
        <w:instrText xml:space="preserve"> PAGEREF _Toc24110 \h </w:instrText>
      </w:r>
      <w:r>
        <w:rPr>
          <w:color w:val="auto"/>
          <w:highlight w:val="none"/>
        </w:rPr>
        <w:fldChar w:fldCharType="separate"/>
      </w:r>
      <w:r>
        <w:rPr>
          <w:color w:val="auto"/>
          <w:highlight w:val="none"/>
        </w:rPr>
        <w:t>41</w:t>
      </w:r>
      <w:r>
        <w:rPr>
          <w:color w:val="auto"/>
          <w:highlight w:val="none"/>
        </w:rPr>
        <w:fldChar w:fldCharType="end"/>
      </w:r>
      <w:r>
        <w:rPr>
          <w:rFonts w:eastAsia="宋体"/>
          <w:bCs w:val="0"/>
          <w:color w:val="auto"/>
          <w:highlight w:val="none"/>
        </w:rPr>
        <w:fldChar w:fldCharType="end"/>
      </w:r>
    </w:p>
    <w:p w14:paraId="31ACD1EA">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_Toc21494 </w:instrText>
      </w:r>
      <w:r>
        <w:rPr>
          <w:rFonts w:eastAsia="宋体"/>
          <w:bCs w:val="0"/>
          <w:color w:val="auto"/>
          <w:highlight w:val="none"/>
        </w:rPr>
        <w:fldChar w:fldCharType="separate"/>
      </w:r>
      <w:r>
        <w:rPr>
          <w:rFonts w:hint="eastAsia"/>
          <w:color w:val="auto"/>
          <w:szCs w:val="24"/>
          <w:highlight w:val="none"/>
        </w:rPr>
        <w:t>附表七：投标文件问题的澄清</w:t>
      </w:r>
      <w:r>
        <w:rPr>
          <w:color w:val="auto"/>
          <w:highlight w:val="none"/>
        </w:rPr>
        <w:tab/>
      </w:r>
      <w:r>
        <w:rPr>
          <w:color w:val="auto"/>
          <w:highlight w:val="none"/>
        </w:rPr>
        <w:fldChar w:fldCharType="begin"/>
      </w:r>
      <w:r>
        <w:rPr>
          <w:color w:val="auto"/>
          <w:highlight w:val="none"/>
        </w:rPr>
        <w:instrText xml:space="preserve"> PAGEREF _Toc21494 \h </w:instrText>
      </w:r>
      <w:r>
        <w:rPr>
          <w:color w:val="auto"/>
          <w:highlight w:val="none"/>
        </w:rPr>
        <w:fldChar w:fldCharType="separate"/>
      </w:r>
      <w:r>
        <w:rPr>
          <w:color w:val="auto"/>
          <w:highlight w:val="none"/>
        </w:rPr>
        <w:t>42</w:t>
      </w:r>
      <w:r>
        <w:rPr>
          <w:color w:val="auto"/>
          <w:highlight w:val="none"/>
        </w:rPr>
        <w:fldChar w:fldCharType="end"/>
      </w:r>
      <w:r>
        <w:rPr>
          <w:rFonts w:eastAsia="宋体"/>
          <w:bCs w:val="0"/>
          <w:color w:val="auto"/>
          <w:highlight w:val="none"/>
        </w:rPr>
        <w:fldChar w:fldCharType="end"/>
      </w:r>
    </w:p>
    <w:p w14:paraId="43D2D657">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_Toc6938 </w:instrText>
      </w:r>
      <w:r>
        <w:rPr>
          <w:rFonts w:eastAsia="宋体"/>
          <w:bCs w:val="0"/>
          <w:color w:val="auto"/>
          <w:highlight w:val="none"/>
        </w:rPr>
        <w:fldChar w:fldCharType="separate"/>
      </w:r>
      <w:r>
        <w:rPr>
          <w:rFonts w:hint="eastAsia"/>
          <w:color w:val="auto"/>
          <w:szCs w:val="24"/>
          <w:highlight w:val="none"/>
        </w:rPr>
        <w:t>附表八：中标通知书</w:t>
      </w:r>
      <w:r>
        <w:rPr>
          <w:color w:val="auto"/>
          <w:highlight w:val="none"/>
        </w:rPr>
        <w:tab/>
      </w:r>
      <w:r>
        <w:rPr>
          <w:color w:val="auto"/>
          <w:highlight w:val="none"/>
        </w:rPr>
        <w:fldChar w:fldCharType="begin"/>
      </w:r>
      <w:r>
        <w:rPr>
          <w:color w:val="auto"/>
          <w:highlight w:val="none"/>
        </w:rPr>
        <w:instrText xml:space="preserve"> PAGEREF _Toc6938 \h </w:instrText>
      </w:r>
      <w:r>
        <w:rPr>
          <w:color w:val="auto"/>
          <w:highlight w:val="none"/>
        </w:rPr>
        <w:fldChar w:fldCharType="separate"/>
      </w:r>
      <w:r>
        <w:rPr>
          <w:color w:val="auto"/>
          <w:highlight w:val="none"/>
        </w:rPr>
        <w:t>43</w:t>
      </w:r>
      <w:r>
        <w:rPr>
          <w:color w:val="auto"/>
          <w:highlight w:val="none"/>
        </w:rPr>
        <w:fldChar w:fldCharType="end"/>
      </w:r>
      <w:r>
        <w:rPr>
          <w:rFonts w:eastAsia="宋体"/>
          <w:bCs w:val="0"/>
          <w:color w:val="auto"/>
          <w:highlight w:val="none"/>
        </w:rPr>
        <w:fldChar w:fldCharType="end"/>
      </w:r>
    </w:p>
    <w:p w14:paraId="178DA5DB">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_Toc26791 </w:instrText>
      </w:r>
      <w:r>
        <w:rPr>
          <w:rFonts w:eastAsia="宋体"/>
          <w:bCs w:val="0"/>
          <w:color w:val="auto"/>
          <w:highlight w:val="none"/>
        </w:rPr>
        <w:fldChar w:fldCharType="separate"/>
      </w:r>
      <w:r>
        <w:rPr>
          <w:rFonts w:hint="eastAsia"/>
          <w:color w:val="auto"/>
          <w:szCs w:val="24"/>
          <w:highlight w:val="none"/>
        </w:rPr>
        <w:t>附表九：中标结果通知书</w:t>
      </w:r>
      <w:r>
        <w:rPr>
          <w:color w:val="auto"/>
          <w:highlight w:val="none"/>
        </w:rPr>
        <w:tab/>
      </w:r>
      <w:r>
        <w:rPr>
          <w:color w:val="auto"/>
          <w:highlight w:val="none"/>
        </w:rPr>
        <w:fldChar w:fldCharType="begin"/>
      </w:r>
      <w:r>
        <w:rPr>
          <w:color w:val="auto"/>
          <w:highlight w:val="none"/>
        </w:rPr>
        <w:instrText xml:space="preserve"> PAGEREF _Toc26791 \h </w:instrText>
      </w:r>
      <w:r>
        <w:rPr>
          <w:color w:val="auto"/>
          <w:highlight w:val="none"/>
        </w:rPr>
        <w:fldChar w:fldCharType="separate"/>
      </w:r>
      <w:r>
        <w:rPr>
          <w:color w:val="auto"/>
          <w:highlight w:val="none"/>
        </w:rPr>
        <w:t>44</w:t>
      </w:r>
      <w:r>
        <w:rPr>
          <w:color w:val="auto"/>
          <w:highlight w:val="none"/>
        </w:rPr>
        <w:fldChar w:fldCharType="end"/>
      </w:r>
      <w:r>
        <w:rPr>
          <w:rFonts w:eastAsia="宋体"/>
          <w:bCs w:val="0"/>
          <w:color w:val="auto"/>
          <w:highlight w:val="none"/>
        </w:rPr>
        <w:fldChar w:fldCharType="end"/>
      </w:r>
    </w:p>
    <w:p w14:paraId="2804610F">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_Toc448 </w:instrText>
      </w:r>
      <w:r>
        <w:rPr>
          <w:rFonts w:eastAsia="宋体"/>
          <w:bCs w:val="0"/>
          <w:color w:val="auto"/>
          <w:highlight w:val="none"/>
        </w:rPr>
        <w:fldChar w:fldCharType="separate"/>
      </w:r>
      <w:r>
        <w:rPr>
          <w:rFonts w:hint="eastAsia"/>
          <w:color w:val="auto"/>
          <w:szCs w:val="24"/>
          <w:highlight w:val="none"/>
        </w:rPr>
        <w:t>附表十：异议书</w:t>
      </w:r>
      <w:r>
        <w:rPr>
          <w:color w:val="auto"/>
          <w:highlight w:val="none"/>
        </w:rPr>
        <w:tab/>
      </w:r>
      <w:r>
        <w:rPr>
          <w:color w:val="auto"/>
          <w:highlight w:val="none"/>
        </w:rPr>
        <w:fldChar w:fldCharType="begin"/>
      </w:r>
      <w:r>
        <w:rPr>
          <w:color w:val="auto"/>
          <w:highlight w:val="none"/>
        </w:rPr>
        <w:instrText xml:space="preserve"> PAGEREF _Toc448 \h </w:instrText>
      </w:r>
      <w:r>
        <w:rPr>
          <w:color w:val="auto"/>
          <w:highlight w:val="none"/>
        </w:rPr>
        <w:fldChar w:fldCharType="separate"/>
      </w:r>
      <w:r>
        <w:rPr>
          <w:color w:val="auto"/>
          <w:highlight w:val="none"/>
        </w:rPr>
        <w:t>45</w:t>
      </w:r>
      <w:r>
        <w:rPr>
          <w:color w:val="auto"/>
          <w:highlight w:val="none"/>
        </w:rPr>
        <w:fldChar w:fldCharType="end"/>
      </w:r>
      <w:r>
        <w:rPr>
          <w:rFonts w:eastAsia="宋体"/>
          <w:bCs w:val="0"/>
          <w:color w:val="auto"/>
          <w:highlight w:val="none"/>
        </w:rPr>
        <w:fldChar w:fldCharType="end"/>
      </w:r>
    </w:p>
    <w:p w14:paraId="0E9C8B26">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_Toc12582 </w:instrText>
      </w:r>
      <w:r>
        <w:rPr>
          <w:rFonts w:eastAsia="宋体"/>
          <w:bCs w:val="0"/>
          <w:color w:val="auto"/>
          <w:highlight w:val="none"/>
        </w:rPr>
        <w:fldChar w:fldCharType="separate"/>
      </w:r>
      <w:r>
        <w:rPr>
          <w:rFonts w:hint="eastAsia"/>
          <w:color w:val="auto"/>
          <w:szCs w:val="24"/>
          <w:highlight w:val="none"/>
        </w:rPr>
        <w:t>附表十一：异议答复函</w:t>
      </w:r>
      <w:r>
        <w:rPr>
          <w:color w:val="auto"/>
          <w:highlight w:val="none"/>
        </w:rPr>
        <w:tab/>
      </w:r>
      <w:r>
        <w:rPr>
          <w:color w:val="auto"/>
          <w:highlight w:val="none"/>
        </w:rPr>
        <w:fldChar w:fldCharType="begin"/>
      </w:r>
      <w:r>
        <w:rPr>
          <w:color w:val="auto"/>
          <w:highlight w:val="none"/>
        </w:rPr>
        <w:instrText xml:space="preserve"> PAGEREF _Toc12582 \h </w:instrText>
      </w:r>
      <w:r>
        <w:rPr>
          <w:color w:val="auto"/>
          <w:highlight w:val="none"/>
        </w:rPr>
        <w:fldChar w:fldCharType="separate"/>
      </w:r>
      <w:r>
        <w:rPr>
          <w:color w:val="auto"/>
          <w:highlight w:val="none"/>
        </w:rPr>
        <w:t>46</w:t>
      </w:r>
      <w:r>
        <w:rPr>
          <w:color w:val="auto"/>
          <w:highlight w:val="none"/>
        </w:rPr>
        <w:fldChar w:fldCharType="end"/>
      </w:r>
      <w:r>
        <w:rPr>
          <w:rFonts w:eastAsia="宋体"/>
          <w:bCs w:val="0"/>
          <w:color w:val="auto"/>
          <w:highlight w:val="none"/>
        </w:rPr>
        <w:fldChar w:fldCharType="end"/>
      </w:r>
    </w:p>
    <w:p w14:paraId="5C67091C">
      <w:pPr>
        <w:pStyle w:val="19"/>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_Toc29454 </w:instrText>
      </w:r>
      <w:r>
        <w:rPr>
          <w:rFonts w:eastAsia="宋体"/>
          <w:bCs w:val="0"/>
          <w:color w:val="auto"/>
          <w:highlight w:val="none"/>
        </w:rPr>
        <w:fldChar w:fldCharType="separate"/>
      </w:r>
      <w:r>
        <w:rPr>
          <w:rFonts w:ascii="黑体" w:hAnsi="黑体" w:eastAsia="黑体"/>
          <w:bCs w:val="0"/>
          <w:color w:val="auto"/>
          <w:highlight w:val="none"/>
        </w:rPr>
        <w:t>第三章</w:t>
      </w:r>
      <w:r>
        <w:rPr>
          <w:rFonts w:hint="eastAsia" w:ascii="黑体" w:hAnsi="黑体" w:eastAsia="黑体"/>
          <w:bCs w:val="0"/>
          <w:color w:val="auto"/>
          <w:highlight w:val="none"/>
        </w:rPr>
        <w:t xml:space="preserve"> </w:t>
      </w:r>
      <w:r>
        <w:rPr>
          <w:rFonts w:hint="eastAsia" w:ascii="黑体" w:hAnsi="黑体" w:eastAsia="黑体"/>
          <w:bCs w:val="0"/>
          <w:color w:val="auto"/>
          <w:highlight w:val="none"/>
          <w:lang w:val="en-US" w:eastAsia="zh-CN"/>
        </w:rPr>
        <w:t xml:space="preserve"> </w:t>
      </w:r>
      <w:r>
        <w:rPr>
          <w:rFonts w:ascii="黑体" w:hAnsi="黑体" w:eastAsia="黑体"/>
          <w:bCs w:val="0"/>
          <w:color w:val="auto"/>
          <w:highlight w:val="none"/>
        </w:rPr>
        <w:t>评标办法</w:t>
      </w:r>
      <w:r>
        <w:rPr>
          <w:color w:val="auto"/>
          <w:highlight w:val="none"/>
        </w:rPr>
        <w:tab/>
      </w:r>
      <w:r>
        <w:rPr>
          <w:color w:val="auto"/>
          <w:highlight w:val="none"/>
        </w:rPr>
        <w:fldChar w:fldCharType="begin"/>
      </w:r>
      <w:r>
        <w:rPr>
          <w:color w:val="auto"/>
          <w:highlight w:val="none"/>
        </w:rPr>
        <w:instrText xml:space="preserve"> PAGEREF _Toc29454 \h </w:instrText>
      </w:r>
      <w:r>
        <w:rPr>
          <w:color w:val="auto"/>
          <w:highlight w:val="none"/>
        </w:rPr>
        <w:fldChar w:fldCharType="separate"/>
      </w:r>
      <w:r>
        <w:rPr>
          <w:color w:val="auto"/>
          <w:highlight w:val="none"/>
        </w:rPr>
        <w:t>47</w:t>
      </w:r>
      <w:r>
        <w:rPr>
          <w:color w:val="auto"/>
          <w:highlight w:val="none"/>
        </w:rPr>
        <w:fldChar w:fldCharType="end"/>
      </w:r>
      <w:r>
        <w:rPr>
          <w:rFonts w:eastAsia="宋体"/>
          <w:bCs w:val="0"/>
          <w:color w:val="auto"/>
          <w:highlight w:val="none"/>
        </w:rPr>
        <w:fldChar w:fldCharType="end"/>
      </w:r>
    </w:p>
    <w:p w14:paraId="714E7CF9">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_Toc15482 </w:instrText>
      </w:r>
      <w:r>
        <w:rPr>
          <w:rFonts w:eastAsia="宋体"/>
          <w:bCs w:val="0"/>
          <w:color w:val="auto"/>
          <w:highlight w:val="none"/>
        </w:rPr>
        <w:fldChar w:fldCharType="separate"/>
      </w:r>
      <w:r>
        <w:rPr>
          <w:rFonts w:hint="eastAsia"/>
          <w:color w:val="auto"/>
          <w:highlight w:val="none"/>
        </w:rPr>
        <w:t>评标办法前附表（综合评估法）</w:t>
      </w:r>
      <w:r>
        <w:rPr>
          <w:color w:val="auto"/>
          <w:highlight w:val="none"/>
        </w:rPr>
        <w:tab/>
      </w:r>
      <w:r>
        <w:rPr>
          <w:color w:val="auto"/>
          <w:highlight w:val="none"/>
        </w:rPr>
        <w:fldChar w:fldCharType="begin"/>
      </w:r>
      <w:r>
        <w:rPr>
          <w:color w:val="auto"/>
          <w:highlight w:val="none"/>
        </w:rPr>
        <w:instrText xml:space="preserve"> PAGEREF _Toc15482 \h </w:instrText>
      </w:r>
      <w:r>
        <w:rPr>
          <w:color w:val="auto"/>
          <w:highlight w:val="none"/>
        </w:rPr>
        <w:fldChar w:fldCharType="separate"/>
      </w:r>
      <w:r>
        <w:rPr>
          <w:color w:val="auto"/>
          <w:highlight w:val="none"/>
        </w:rPr>
        <w:t>48</w:t>
      </w:r>
      <w:r>
        <w:rPr>
          <w:color w:val="auto"/>
          <w:highlight w:val="none"/>
        </w:rPr>
        <w:fldChar w:fldCharType="end"/>
      </w:r>
      <w:r>
        <w:rPr>
          <w:rFonts w:eastAsia="宋体"/>
          <w:bCs w:val="0"/>
          <w:color w:val="auto"/>
          <w:highlight w:val="none"/>
        </w:rPr>
        <w:fldChar w:fldCharType="end"/>
      </w:r>
    </w:p>
    <w:p w14:paraId="7AE3ED22">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_Toc29817 </w:instrText>
      </w:r>
      <w:r>
        <w:rPr>
          <w:rFonts w:eastAsia="宋体"/>
          <w:bCs w:val="0"/>
          <w:color w:val="auto"/>
          <w:highlight w:val="none"/>
        </w:rPr>
        <w:fldChar w:fldCharType="separate"/>
      </w:r>
      <w:r>
        <w:rPr>
          <w:rFonts w:hint="eastAsia"/>
          <w:color w:val="auto"/>
          <w:highlight w:val="none"/>
        </w:rPr>
        <w:t>评标办法正文部分</w:t>
      </w:r>
      <w:r>
        <w:rPr>
          <w:color w:val="auto"/>
          <w:highlight w:val="none"/>
        </w:rPr>
        <w:tab/>
      </w:r>
      <w:r>
        <w:rPr>
          <w:color w:val="auto"/>
          <w:highlight w:val="none"/>
        </w:rPr>
        <w:fldChar w:fldCharType="begin"/>
      </w:r>
      <w:r>
        <w:rPr>
          <w:color w:val="auto"/>
          <w:highlight w:val="none"/>
        </w:rPr>
        <w:instrText xml:space="preserve"> PAGEREF _Toc29817 \h </w:instrText>
      </w:r>
      <w:r>
        <w:rPr>
          <w:color w:val="auto"/>
          <w:highlight w:val="none"/>
        </w:rPr>
        <w:fldChar w:fldCharType="separate"/>
      </w:r>
      <w:r>
        <w:rPr>
          <w:color w:val="auto"/>
          <w:highlight w:val="none"/>
        </w:rPr>
        <w:t>55</w:t>
      </w:r>
      <w:r>
        <w:rPr>
          <w:color w:val="auto"/>
          <w:highlight w:val="none"/>
        </w:rPr>
        <w:fldChar w:fldCharType="end"/>
      </w:r>
      <w:r>
        <w:rPr>
          <w:rFonts w:eastAsia="宋体"/>
          <w:bCs w:val="0"/>
          <w:color w:val="auto"/>
          <w:highlight w:val="none"/>
        </w:rPr>
        <w:fldChar w:fldCharType="end"/>
      </w:r>
    </w:p>
    <w:p w14:paraId="5585E7E0">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_Toc2727 </w:instrText>
      </w:r>
      <w:r>
        <w:rPr>
          <w:rFonts w:eastAsia="宋体"/>
          <w:bCs w:val="0"/>
          <w:color w:val="auto"/>
          <w:highlight w:val="none"/>
        </w:rPr>
        <w:fldChar w:fldCharType="separate"/>
      </w:r>
      <w:r>
        <w:rPr>
          <w:rFonts w:hint="eastAsia" w:ascii="Times New Roman" w:hAnsi="Times New Roman" w:eastAsia="黑体"/>
          <w:color w:val="auto"/>
          <w:kern w:val="2"/>
          <w:highlight w:val="none"/>
          <w:lang w:bidi="ar"/>
        </w:rPr>
        <w:t>1.评标方法</w:t>
      </w:r>
      <w:r>
        <w:rPr>
          <w:color w:val="auto"/>
          <w:highlight w:val="none"/>
        </w:rPr>
        <w:tab/>
      </w:r>
      <w:r>
        <w:rPr>
          <w:color w:val="auto"/>
          <w:highlight w:val="none"/>
        </w:rPr>
        <w:fldChar w:fldCharType="begin"/>
      </w:r>
      <w:r>
        <w:rPr>
          <w:color w:val="auto"/>
          <w:highlight w:val="none"/>
        </w:rPr>
        <w:instrText xml:space="preserve"> PAGEREF _Toc2727 \h </w:instrText>
      </w:r>
      <w:r>
        <w:rPr>
          <w:color w:val="auto"/>
          <w:highlight w:val="none"/>
        </w:rPr>
        <w:fldChar w:fldCharType="separate"/>
      </w:r>
      <w:r>
        <w:rPr>
          <w:color w:val="auto"/>
          <w:highlight w:val="none"/>
        </w:rPr>
        <w:t>55</w:t>
      </w:r>
      <w:r>
        <w:rPr>
          <w:color w:val="auto"/>
          <w:highlight w:val="none"/>
        </w:rPr>
        <w:fldChar w:fldCharType="end"/>
      </w:r>
      <w:r>
        <w:rPr>
          <w:rFonts w:eastAsia="宋体"/>
          <w:bCs w:val="0"/>
          <w:color w:val="auto"/>
          <w:highlight w:val="none"/>
        </w:rPr>
        <w:fldChar w:fldCharType="end"/>
      </w:r>
    </w:p>
    <w:p w14:paraId="1FFFA92D">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_Toc23758 </w:instrText>
      </w:r>
      <w:r>
        <w:rPr>
          <w:rFonts w:eastAsia="宋体"/>
          <w:bCs w:val="0"/>
          <w:color w:val="auto"/>
          <w:highlight w:val="none"/>
        </w:rPr>
        <w:fldChar w:fldCharType="separate"/>
      </w:r>
      <w:r>
        <w:rPr>
          <w:rFonts w:hint="eastAsia" w:ascii="Times New Roman" w:hAnsi="Times New Roman" w:eastAsia="黑体"/>
          <w:color w:val="auto"/>
          <w:kern w:val="2"/>
          <w:highlight w:val="none"/>
          <w:lang w:bidi="ar"/>
        </w:rPr>
        <w:t>2.评审标准</w:t>
      </w:r>
      <w:r>
        <w:rPr>
          <w:color w:val="auto"/>
          <w:highlight w:val="none"/>
        </w:rPr>
        <w:tab/>
      </w:r>
      <w:r>
        <w:rPr>
          <w:color w:val="auto"/>
          <w:highlight w:val="none"/>
        </w:rPr>
        <w:fldChar w:fldCharType="begin"/>
      </w:r>
      <w:r>
        <w:rPr>
          <w:color w:val="auto"/>
          <w:highlight w:val="none"/>
        </w:rPr>
        <w:instrText xml:space="preserve"> PAGEREF _Toc23758 \h </w:instrText>
      </w:r>
      <w:r>
        <w:rPr>
          <w:color w:val="auto"/>
          <w:highlight w:val="none"/>
        </w:rPr>
        <w:fldChar w:fldCharType="separate"/>
      </w:r>
      <w:r>
        <w:rPr>
          <w:color w:val="auto"/>
          <w:highlight w:val="none"/>
        </w:rPr>
        <w:t>55</w:t>
      </w:r>
      <w:r>
        <w:rPr>
          <w:color w:val="auto"/>
          <w:highlight w:val="none"/>
        </w:rPr>
        <w:fldChar w:fldCharType="end"/>
      </w:r>
      <w:r>
        <w:rPr>
          <w:rFonts w:eastAsia="宋体"/>
          <w:bCs w:val="0"/>
          <w:color w:val="auto"/>
          <w:highlight w:val="none"/>
        </w:rPr>
        <w:fldChar w:fldCharType="end"/>
      </w:r>
    </w:p>
    <w:p w14:paraId="35C1DB6F">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_Toc31412 </w:instrText>
      </w:r>
      <w:r>
        <w:rPr>
          <w:rFonts w:eastAsia="宋体"/>
          <w:bCs w:val="0"/>
          <w:color w:val="auto"/>
          <w:highlight w:val="none"/>
        </w:rPr>
        <w:fldChar w:fldCharType="separate"/>
      </w:r>
      <w:r>
        <w:rPr>
          <w:rFonts w:hint="eastAsia" w:ascii="Times New Roman" w:hAnsi="Times New Roman" w:eastAsia="黑体"/>
          <w:color w:val="auto"/>
          <w:kern w:val="2"/>
          <w:highlight w:val="none"/>
          <w:lang w:bidi="ar"/>
        </w:rPr>
        <w:t>2.1初步评审标准</w:t>
      </w:r>
      <w:r>
        <w:rPr>
          <w:color w:val="auto"/>
          <w:highlight w:val="none"/>
        </w:rPr>
        <w:tab/>
      </w:r>
      <w:r>
        <w:rPr>
          <w:color w:val="auto"/>
          <w:highlight w:val="none"/>
        </w:rPr>
        <w:fldChar w:fldCharType="begin"/>
      </w:r>
      <w:r>
        <w:rPr>
          <w:color w:val="auto"/>
          <w:highlight w:val="none"/>
        </w:rPr>
        <w:instrText xml:space="preserve"> PAGEREF _Toc31412 \h </w:instrText>
      </w:r>
      <w:r>
        <w:rPr>
          <w:color w:val="auto"/>
          <w:highlight w:val="none"/>
        </w:rPr>
        <w:fldChar w:fldCharType="separate"/>
      </w:r>
      <w:r>
        <w:rPr>
          <w:color w:val="auto"/>
          <w:highlight w:val="none"/>
        </w:rPr>
        <w:t>55</w:t>
      </w:r>
      <w:r>
        <w:rPr>
          <w:color w:val="auto"/>
          <w:highlight w:val="none"/>
        </w:rPr>
        <w:fldChar w:fldCharType="end"/>
      </w:r>
      <w:r>
        <w:rPr>
          <w:rFonts w:eastAsia="宋体"/>
          <w:bCs w:val="0"/>
          <w:color w:val="auto"/>
          <w:highlight w:val="none"/>
        </w:rPr>
        <w:fldChar w:fldCharType="end"/>
      </w:r>
    </w:p>
    <w:p w14:paraId="7F8100CA">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_Toc11425 </w:instrText>
      </w:r>
      <w:r>
        <w:rPr>
          <w:rFonts w:eastAsia="宋体"/>
          <w:bCs w:val="0"/>
          <w:color w:val="auto"/>
          <w:highlight w:val="none"/>
        </w:rPr>
        <w:fldChar w:fldCharType="separate"/>
      </w:r>
      <w:r>
        <w:rPr>
          <w:rFonts w:hint="eastAsia" w:ascii="Times New Roman" w:hAnsi="Times New Roman" w:eastAsia="黑体"/>
          <w:color w:val="auto"/>
          <w:kern w:val="2"/>
          <w:highlight w:val="none"/>
          <w:lang w:bidi="ar"/>
        </w:rPr>
        <w:t>2.2分值构成与评分标准</w:t>
      </w:r>
      <w:r>
        <w:rPr>
          <w:color w:val="auto"/>
          <w:highlight w:val="none"/>
        </w:rPr>
        <w:tab/>
      </w:r>
      <w:r>
        <w:rPr>
          <w:color w:val="auto"/>
          <w:highlight w:val="none"/>
        </w:rPr>
        <w:fldChar w:fldCharType="begin"/>
      </w:r>
      <w:r>
        <w:rPr>
          <w:color w:val="auto"/>
          <w:highlight w:val="none"/>
        </w:rPr>
        <w:instrText xml:space="preserve"> PAGEREF _Toc11425 \h </w:instrText>
      </w:r>
      <w:r>
        <w:rPr>
          <w:color w:val="auto"/>
          <w:highlight w:val="none"/>
        </w:rPr>
        <w:fldChar w:fldCharType="separate"/>
      </w:r>
      <w:r>
        <w:rPr>
          <w:color w:val="auto"/>
          <w:highlight w:val="none"/>
        </w:rPr>
        <w:t>55</w:t>
      </w:r>
      <w:r>
        <w:rPr>
          <w:color w:val="auto"/>
          <w:highlight w:val="none"/>
        </w:rPr>
        <w:fldChar w:fldCharType="end"/>
      </w:r>
      <w:r>
        <w:rPr>
          <w:rFonts w:eastAsia="宋体"/>
          <w:bCs w:val="0"/>
          <w:color w:val="auto"/>
          <w:highlight w:val="none"/>
        </w:rPr>
        <w:fldChar w:fldCharType="end"/>
      </w:r>
    </w:p>
    <w:p w14:paraId="120FBEE6">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_Toc23016 </w:instrText>
      </w:r>
      <w:r>
        <w:rPr>
          <w:rFonts w:eastAsia="宋体"/>
          <w:bCs w:val="0"/>
          <w:color w:val="auto"/>
          <w:highlight w:val="none"/>
        </w:rPr>
        <w:fldChar w:fldCharType="separate"/>
      </w:r>
      <w:r>
        <w:rPr>
          <w:rFonts w:hint="eastAsia"/>
          <w:color w:val="auto"/>
          <w:highlight w:val="none"/>
        </w:rPr>
        <w:t>3.评标程序</w:t>
      </w:r>
      <w:r>
        <w:rPr>
          <w:color w:val="auto"/>
          <w:highlight w:val="none"/>
        </w:rPr>
        <w:tab/>
      </w:r>
      <w:r>
        <w:rPr>
          <w:color w:val="auto"/>
          <w:highlight w:val="none"/>
        </w:rPr>
        <w:fldChar w:fldCharType="begin"/>
      </w:r>
      <w:r>
        <w:rPr>
          <w:color w:val="auto"/>
          <w:highlight w:val="none"/>
        </w:rPr>
        <w:instrText xml:space="preserve"> PAGEREF _Toc23016 \h </w:instrText>
      </w:r>
      <w:r>
        <w:rPr>
          <w:color w:val="auto"/>
          <w:highlight w:val="none"/>
        </w:rPr>
        <w:fldChar w:fldCharType="separate"/>
      </w:r>
      <w:r>
        <w:rPr>
          <w:color w:val="auto"/>
          <w:highlight w:val="none"/>
        </w:rPr>
        <w:t>55</w:t>
      </w:r>
      <w:r>
        <w:rPr>
          <w:color w:val="auto"/>
          <w:highlight w:val="none"/>
        </w:rPr>
        <w:fldChar w:fldCharType="end"/>
      </w:r>
      <w:r>
        <w:rPr>
          <w:rFonts w:eastAsia="宋体"/>
          <w:bCs w:val="0"/>
          <w:color w:val="auto"/>
          <w:highlight w:val="none"/>
        </w:rPr>
        <w:fldChar w:fldCharType="end"/>
      </w:r>
    </w:p>
    <w:p w14:paraId="4C056E01">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_Toc5914 </w:instrText>
      </w:r>
      <w:r>
        <w:rPr>
          <w:rFonts w:eastAsia="宋体"/>
          <w:bCs w:val="0"/>
          <w:color w:val="auto"/>
          <w:highlight w:val="none"/>
        </w:rPr>
        <w:fldChar w:fldCharType="separate"/>
      </w:r>
      <w:r>
        <w:rPr>
          <w:rFonts w:hint="eastAsia" w:ascii="Times New Roman" w:hAnsi="Times New Roman" w:eastAsia="黑体"/>
          <w:color w:val="auto"/>
          <w:kern w:val="2"/>
          <w:highlight w:val="none"/>
          <w:lang w:bidi="ar"/>
        </w:rPr>
        <w:t>3.1初步评审</w:t>
      </w:r>
      <w:r>
        <w:rPr>
          <w:color w:val="auto"/>
          <w:highlight w:val="none"/>
        </w:rPr>
        <w:tab/>
      </w:r>
      <w:r>
        <w:rPr>
          <w:color w:val="auto"/>
          <w:highlight w:val="none"/>
        </w:rPr>
        <w:fldChar w:fldCharType="begin"/>
      </w:r>
      <w:r>
        <w:rPr>
          <w:color w:val="auto"/>
          <w:highlight w:val="none"/>
        </w:rPr>
        <w:instrText xml:space="preserve"> PAGEREF _Toc5914 \h </w:instrText>
      </w:r>
      <w:r>
        <w:rPr>
          <w:color w:val="auto"/>
          <w:highlight w:val="none"/>
        </w:rPr>
        <w:fldChar w:fldCharType="separate"/>
      </w:r>
      <w:r>
        <w:rPr>
          <w:color w:val="auto"/>
          <w:highlight w:val="none"/>
        </w:rPr>
        <w:t>55</w:t>
      </w:r>
      <w:r>
        <w:rPr>
          <w:color w:val="auto"/>
          <w:highlight w:val="none"/>
        </w:rPr>
        <w:fldChar w:fldCharType="end"/>
      </w:r>
      <w:r>
        <w:rPr>
          <w:rFonts w:eastAsia="宋体"/>
          <w:bCs w:val="0"/>
          <w:color w:val="auto"/>
          <w:highlight w:val="none"/>
        </w:rPr>
        <w:fldChar w:fldCharType="end"/>
      </w:r>
    </w:p>
    <w:p w14:paraId="5D152252">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_Toc9697 </w:instrText>
      </w:r>
      <w:r>
        <w:rPr>
          <w:rFonts w:eastAsia="宋体"/>
          <w:bCs w:val="0"/>
          <w:color w:val="auto"/>
          <w:highlight w:val="none"/>
        </w:rPr>
        <w:fldChar w:fldCharType="separate"/>
      </w:r>
      <w:r>
        <w:rPr>
          <w:rFonts w:hint="eastAsia" w:ascii="Times New Roman" w:hAnsi="Times New Roman" w:eastAsia="黑体"/>
          <w:color w:val="auto"/>
          <w:kern w:val="2"/>
          <w:highlight w:val="none"/>
          <w:lang w:bidi="ar"/>
        </w:rPr>
        <w:t>3.2详细评审</w:t>
      </w:r>
      <w:r>
        <w:rPr>
          <w:color w:val="auto"/>
          <w:highlight w:val="none"/>
        </w:rPr>
        <w:tab/>
      </w:r>
      <w:r>
        <w:rPr>
          <w:color w:val="auto"/>
          <w:highlight w:val="none"/>
        </w:rPr>
        <w:fldChar w:fldCharType="begin"/>
      </w:r>
      <w:r>
        <w:rPr>
          <w:color w:val="auto"/>
          <w:highlight w:val="none"/>
        </w:rPr>
        <w:instrText xml:space="preserve"> PAGEREF _Toc9697 \h </w:instrText>
      </w:r>
      <w:r>
        <w:rPr>
          <w:color w:val="auto"/>
          <w:highlight w:val="none"/>
        </w:rPr>
        <w:fldChar w:fldCharType="separate"/>
      </w:r>
      <w:r>
        <w:rPr>
          <w:color w:val="auto"/>
          <w:highlight w:val="none"/>
        </w:rPr>
        <w:t>56</w:t>
      </w:r>
      <w:r>
        <w:rPr>
          <w:color w:val="auto"/>
          <w:highlight w:val="none"/>
        </w:rPr>
        <w:fldChar w:fldCharType="end"/>
      </w:r>
      <w:r>
        <w:rPr>
          <w:rFonts w:eastAsia="宋体"/>
          <w:bCs w:val="0"/>
          <w:color w:val="auto"/>
          <w:highlight w:val="none"/>
        </w:rPr>
        <w:fldChar w:fldCharType="end"/>
      </w:r>
    </w:p>
    <w:p w14:paraId="53BF559A">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_Toc9767 </w:instrText>
      </w:r>
      <w:r>
        <w:rPr>
          <w:rFonts w:eastAsia="宋体"/>
          <w:bCs w:val="0"/>
          <w:color w:val="auto"/>
          <w:highlight w:val="none"/>
        </w:rPr>
        <w:fldChar w:fldCharType="separate"/>
      </w:r>
      <w:r>
        <w:rPr>
          <w:rFonts w:hint="eastAsia" w:ascii="Times New Roman" w:hAnsi="Times New Roman" w:eastAsia="黑体"/>
          <w:color w:val="auto"/>
          <w:kern w:val="2"/>
          <w:highlight w:val="none"/>
          <w:lang w:bidi="ar"/>
        </w:rPr>
        <w:t>3.3投标文件的澄清和补正</w:t>
      </w:r>
      <w:r>
        <w:rPr>
          <w:color w:val="auto"/>
          <w:highlight w:val="none"/>
        </w:rPr>
        <w:tab/>
      </w:r>
      <w:r>
        <w:rPr>
          <w:color w:val="auto"/>
          <w:highlight w:val="none"/>
        </w:rPr>
        <w:fldChar w:fldCharType="begin"/>
      </w:r>
      <w:r>
        <w:rPr>
          <w:color w:val="auto"/>
          <w:highlight w:val="none"/>
        </w:rPr>
        <w:instrText xml:space="preserve"> PAGEREF _Toc9767 \h </w:instrText>
      </w:r>
      <w:r>
        <w:rPr>
          <w:color w:val="auto"/>
          <w:highlight w:val="none"/>
        </w:rPr>
        <w:fldChar w:fldCharType="separate"/>
      </w:r>
      <w:r>
        <w:rPr>
          <w:color w:val="auto"/>
          <w:highlight w:val="none"/>
        </w:rPr>
        <w:t>57</w:t>
      </w:r>
      <w:r>
        <w:rPr>
          <w:color w:val="auto"/>
          <w:highlight w:val="none"/>
        </w:rPr>
        <w:fldChar w:fldCharType="end"/>
      </w:r>
      <w:r>
        <w:rPr>
          <w:rFonts w:eastAsia="宋体"/>
          <w:bCs w:val="0"/>
          <w:color w:val="auto"/>
          <w:highlight w:val="none"/>
        </w:rPr>
        <w:fldChar w:fldCharType="end"/>
      </w:r>
    </w:p>
    <w:p w14:paraId="0CA2C606">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_Toc24690 </w:instrText>
      </w:r>
      <w:r>
        <w:rPr>
          <w:rFonts w:eastAsia="宋体"/>
          <w:bCs w:val="0"/>
          <w:color w:val="auto"/>
          <w:highlight w:val="none"/>
        </w:rPr>
        <w:fldChar w:fldCharType="separate"/>
      </w:r>
      <w:r>
        <w:rPr>
          <w:rFonts w:hint="eastAsia" w:ascii="Times New Roman" w:hAnsi="Times New Roman" w:eastAsia="黑体"/>
          <w:color w:val="auto"/>
          <w:kern w:val="2"/>
          <w:highlight w:val="none"/>
          <w:lang w:bidi="ar"/>
        </w:rPr>
        <w:t>3.4评标结果</w:t>
      </w:r>
      <w:r>
        <w:rPr>
          <w:color w:val="auto"/>
          <w:highlight w:val="none"/>
        </w:rPr>
        <w:tab/>
      </w:r>
      <w:r>
        <w:rPr>
          <w:color w:val="auto"/>
          <w:highlight w:val="none"/>
        </w:rPr>
        <w:fldChar w:fldCharType="begin"/>
      </w:r>
      <w:r>
        <w:rPr>
          <w:color w:val="auto"/>
          <w:highlight w:val="none"/>
        </w:rPr>
        <w:instrText xml:space="preserve"> PAGEREF _Toc24690 \h </w:instrText>
      </w:r>
      <w:r>
        <w:rPr>
          <w:color w:val="auto"/>
          <w:highlight w:val="none"/>
        </w:rPr>
        <w:fldChar w:fldCharType="separate"/>
      </w:r>
      <w:r>
        <w:rPr>
          <w:color w:val="auto"/>
          <w:highlight w:val="none"/>
        </w:rPr>
        <w:t>57</w:t>
      </w:r>
      <w:r>
        <w:rPr>
          <w:color w:val="auto"/>
          <w:highlight w:val="none"/>
        </w:rPr>
        <w:fldChar w:fldCharType="end"/>
      </w:r>
      <w:r>
        <w:rPr>
          <w:rFonts w:eastAsia="宋体"/>
          <w:bCs w:val="0"/>
          <w:color w:val="auto"/>
          <w:highlight w:val="none"/>
        </w:rPr>
        <w:fldChar w:fldCharType="end"/>
      </w:r>
    </w:p>
    <w:p w14:paraId="075DEAD8">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_Toc32105 </w:instrText>
      </w:r>
      <w:r>
        <w:rPr>
          <w:rFonts w:eastAsia="宋体"/>
          <w:bCs w:val="0"/>
          <w:color w:val="auto"/>
          <w:highlight w:val="none"/>
        </w:rPr>
        <w:fldChar w:fldCharType="separate"/>
      </w:r>
      <w:r>
        <w:rPr>
          <w:rFonts w:hint="eastAsia"/>
          <w:color w:val="auto"/>
          <w:szCs w:val="24"/>
          <w:highlight w:val="none"/>
        </w:rPr>
        <w:t>附件A：评标详细程序</w:t>
      </w:r>
      <w:r>
        <w:rPr>
          <w:color w:val="auto"/>
          <w:highlight w:val="none"/>
        </w:rPr>
        <w:tab/>
      </w:r>
      <w:r>
        <w:rPr>
          <w:color w:val="auto"/>
          <w:highlight w:val="none"/>
        </w:rPr>
        <w:fldChar w:fldCharType="begin"/>
      </w:r>
      <w:r>
        <w:rPr>
          <w:color w:val="auto"/>
          <w:highlight w:val="none"/>
        </w:rPr>
        <w:instrText xml:space="preserve"> PAGEREF _Toc32105 \h </w:instrText>
      </w:r>
      <w:r>
        <w:rPr>
          <w:color w:val="auto"/>
          <w:highlight w:val="none"/>
        </w:rPr>
        <w:fldChar w:fldCharType="separate"/>
      </w:r>
      <w:r>
        <w:rPr>
          <w:color w:val="auto"/>
          <w:highlight w:val="none"/>
        </w:rPr>
        <w:t>58</w:t>
      </w:r>
      <w:r>
        <w:rPr>
          <w:color w:val="auto"/>
          <w:highlight w:val="none"/>
        </w:rPr>
        <w:fldChar w:fldCharType="end"/>
      </w:r>
      <w:r>
        <w:rPr>
          <w:rFonts w:eastAsia="宋体"/>
          <w:bCs w:val="0"/>
          <w:color w:val="auto"/>
          <w:highlight w:val="none"/>
        </w:rPr>
        <w:fldChar w:fldCharType="end"/>
      </w:r>
    </w:p>
    <w:p w14:paraId="0F1D1B43">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_Toc1360 </w:instrText>
      </w:r>
      <w:r>
        <w:rPr>
          <w:rFonts w:eastAsia="宋体"/>
          <w:bCs w:val="0"/>
          <w:color w:val="auto"/>
          <w:highlight w:val="none"/>
        </w:rPr>
        <w:fldChar w:fldCharType="separate"/>
      </w:r>
      <w:r>
        <w:rPr>
          <w:rFonts w:hint="eastAsia" w:ascii="宋体" w:hAnsi="宋体" w:eastAsia="宋体" w:cs="宋体"/>
          <w:color w:val="auto"/>
          <w:szCs w:val="24"/>
          <w:highlight w:val="none"/>
        </w:rPr>
        <w:t>附件B：否决投标的条件</w:t>
      </w:r>
      <w:r>
        <w:rPr>
          <w:color w:val="auto"/>
          <w:highlight w:val="none"/>
        </w:rPr>
        <w:tab/>
      </w:r>
      <w:r>
        <w:rPr>
          <w:color w:val="auto"/>
          <w:highlight w:val="none"/>
        </w:rPr>
        <w:fldChar w:fldCharType="begin"/>
      </w:r>
      <w:r>
        <w:rPr>
          <w:color w:val="auto"/>
          <w:highlight w:val="none"/>
        </w:rPr>
        <w:instrText xml:space="preserve"> PAGEREF _Toc1360 \h </w:instrText>
      </w:r>
      <w:r>
        <w:rPr>
          <w:color w:val="auto"/>
          <w:highlight w:val="none"/>
        </w:rPr>
        <w:fldChar w:fldCharType="separate"/>
      </w:r>
      <w:r>
        <w:rPr>
          <w:color w:val="auto"/>
          <w:highlight w:val="none"/>
        </w:rPr>
        <w:t>65</w:t>
      </w:r>
      <w:r>
        <w:rPr>
          <w:color w:val="auto"/>
          <w:highlight w:val="none"/>
        </w:rPr>
        <w:fldChar w:fldCharType="end"/>
      </w:r>
      <w:r>
        <w:rPr>
          <w:rFonts w:eastAsia="宋体"/>
          <w:bCs w:val="0"/>
          <w:color w:val="auto"/>
          <w:highlight w:val="none"/>
        </w:rPr>
        <w:fldChar w:fldCharType="end"/>
      </w:r>
    </w:p>
    <w:p w14:paraId="222012F0">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_Toc2188 </w:instrText>
      </w:r>
      <w:r>
        <w:rPr>
          <w:rFonts w:eastAsia="宋体"/>
          <w:bCs w:val="0"/>
          <w:color w:val="auto"/>
          <w:highlight w:val="none"/>
        </w:rPr>
        <w:fldChar w:fldCharType="separate"/>
      </w:r>
      <w:r>
        <w:rPr>
          <w:rFonts w:hint="eastAsia" w:ascii="黑体" w:eastAsia="黑体" w:cs="黑体"/>
          <w:color w:val="auto"/>
          <w:kern w:val="2"/>
          <w:highlight w:val="none"/>
          <w:lang w:bidi="ar"/>
        </w:rPr>
        <w:t>B0.总  则</w:t>
      </w:r>
      <w:r>
        <w:rPr>
          <w:color w:val="auto"/>
          <w:highlight w:val="none"/>
        </w:rPr>
        <w:tab/>
      </w:r>
      <w:r>
        <w:rPr>
          <w:color w:val="auto"/>
          <w:highlight w:val="none"/>
        </w:rPr>
        <w:fldChar w:fldCharType="begin"/>
      </w:r>
      <w:r>
        <w:rPr>
          <w:color w:val="auto"/>
          <w:highlight w:val="none"/>
        </w:rPr>
        <w:instrText xml:space="preserve"> PAGEREF _Toc2188 \h </w:instrText>
      </w:r>
      <w:r>
        <w:rPr>
          <w:color w:val="auto"/>
          <w:highlight w:val="none"/>
        </w:rPr>
        <w:fldChar w:fldCharType="separate"/>
      </w:r>
      <w:r>
        <w:rPr>
          <w:color w:val="auto"/>
          <w:highlight w:val="none"/>
        </w:rPr>
        <w:t>65</w:t>
      </w:r>
      <w:r>
        <w:rPr>
          <w:color w:val="auto"/>
          <w:highlight w:val="none"/>
        </w:rPr>
        <w:fldChar w:fldCharType="end"/>
      </w:r>
      <w:r>
        <w:rPr>
          <w:rFonts w:eastAsia="宋体"/>
          <w:bCs w:val="0"/>
          <w:color w:val="auto"/>
          <w:highlight w:val="none"/>
        </w:rPr>
        <w:fldChar w:fldCharType="end"/>
      </w:r>
    </w:p>
    <w:p w14:paraId="56A4C988">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_Toc3777 </w:instrText>
      </w:r>
      <w:r>
        <w:rPr>
          <w:rFonts w:eastAsia="宋体"/>
          <w:bCs w:val="0"/>
          <w:color w:val="auto"/>
          <w:highlight w:val="none"/>
        </w:rPr>
        <w:fldChar w:fldCharType="separate"/>
      </w:r>
      <w:r>
        <w:rPr>
          <w:rFonts w:hint="eastAsia" w:ascii="黑体" w:eastAsia="黑体" w:cs="黑体"/>
          <w:color w:val="auto"/>
          <w:kern w:val="2"/>
          <w:highlight w:val="none"/>
          <w:lang w:bidi="ar"/>
        </w:rPr>
        <w:t>B1.否决投标的条件</w:t>
      </w:r>
      <w:r>
        <w:rPr>
          <w:color w:val="auto"/>
          <w:highlight w:val="none"/>
        </w:rPr>
        <w:tab/>
      </w:r>
      <w:r>
        <w:rPr>
          <w:color w:val="auto"/>
          <w:highlight w:val="none"/>
        </w:rPr>
        <w:fldChar w:fldCharType="begin"/>
      </w:r>
      <w:r>
        <w:rPr>
          <w:color w:val="auto"/>
          <w:highlight w:val="none"/>
        </w:rPr>
        <w:instrText xml:space="preserve"> PAGEREF _Toc3777 \h </w:instrText>
      </w:r>
      <w:r>
        <w:rPr>
          <w:color w:val="auto"/>
          <w:highlight w:val="none"/>
        </w:rPr>
        <w:fldChar w:fldCharType="separate"/>
      </w:r>
      <w:r>
        <w:rPr>
          <w:color w:val="auto"/>
          <w:highlight w:val="none"/>
        </w:rPr>
        <w:t>65</w:t>
      </w:r>
      <w:r>
        <w:rPr>
          <w:color w:val="auto"/>
          <w:highlight w:val="none"/>
        </w:rPr>
        <w:fldChar w:fldCharType="end"/>
      </w:r>
      <w:r>
        <w:rPr>
          <w:rFonts w:eastAsia="宋体"/>
          <w:bCs w:val="0"/>
          <w:color w:val="auto"/>
          <w:highlight w:val="none"/>
        </w:rPr>
        <w:fldChar w:fldCharType="end"/>
      </w:r>
    </w:p>
    <w:p w14:paraId="6A1103BB">
      <w:pPr>
        <w:pStyle w:val="19"/>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_Toc21722 </w:instrText>
      </w:r>
      <w:r>
        <w:rPr>
          <w:rFonts w:eastAsia="宋体"/>
          <w:bCs w:val="0"/>
          <w:color w:val="auto"/>
          <w:highlight w:val="none"/>
        </w:rPr>
        <w:fldChar w:fldCharType="separate"/>
      </w:r>
      <w:r>
        <w:rPr>
          <w:rFonts w:hint="eastAsia" w:ascii="黑体" w:hAnsi="黑体" w:eastAsia="黑体"/>
          <w:bCs w:val="0"/>
          <w:color w:val="auto"/>
          <w:highlight w:val="none"/>
        </w:rPr>
        <w:t>第四章  合同条款及格式</w:t>
      </w:r>
      <w:r>
        <w:rPr>
          <w:color w:val="auto"/>
          <w:highlight w:val="none"/>
        </w:rPr>
        <w:tab/>
      </w:r>
      <w:r>
        <w:rPr>
          <w:color w:val="auto"/>
          <w:highlight w:val="none"/>
        </w:rPr>
        <w:fldChar w:fldCharType="begin"/>
      </w:r>
      <w:r>
        <w:rPr>
          <w:color w:val="auto"/>
          <w:highlight w:val="none"/>
        </w:rPr>
        <w:instrText xml:space="preserve"> PAGEREF _Toc21722 \h </w:instrText>
      </w:r>
      <w:r>
        <w:rPr>
          <w:color w:val="auto"/>
          <w:highlight w:val="none"/>
        </w:rPr>
        <w:fldChar w:fldCharType="separate"/>
      </w:r>
      <w:r>
        <w:rPr>
          <w:color w:val="auto"/>
          <w:highlight w:val="none"/>
        </w:rPr>
        <w:t>88</w:t>
      </w:r>
      <w:r>
        <w:rPr>
          <w:color w:val="auto"/>
          <w:highlight w:val="none"/>
        </w:rPr>
        <w:fldChar w:fldCharType="end"/>
      </w:r>
      <w:r>
        <w:rPr>
          <w:rFonts w:eastAsia="宋体"/>
          <w:bCs w:val="0"/>
          <w:color w:val="auto"/>
          <w:highlight w:val="none"/>
        </w:rPr>
        <w:fldChar w:fldCharType="end"/>
      </w:r>
    </w:p>
    <w:p w14:paraId="2CFB432D">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_Toc6388 </w:instrText>
      </w:r>
      <w:r>
        <w:rPr>
          <w:rFonts w:eastAsia="宋体"/>
          <w:bCs w:val="0"/>
          <w:color w:val="auto"/>
          <w:highlight w:val="none"/>
        </w:rPr>
        <w:fldChar w:fldCharType="separate"/>
      </w:r>
      <w:r>
        <w:rPr>
          <w:rFonts w:hint="eastAsia" w:ascii="华文中宋" w:hAnsi="华文中宋" w:eastAsia="华文中宋"/>
          <w:bCs/>
          <w:color w:val="auto"/>
          <w:kern w:val="44"/>
          <w:szCs w:val="52"/>
          <w:highlight w:val="none"/>
          <w:lang w:val="zh-CN"/>
        </w:rPr>
        <w:t>第一部分</w:t>
      </w:r>
      <w:r>
        <w:rPr>
          <w:rFonts w:ascii="华文中宋" w:hAnsi="华文中宋" w:eastAsia="华文中宋"/>
          <w:bCs/>
          <w:color w:val="auto"/>
          <w:kern w:val="44"/>
          <w:szCs w:val="52"/>
          <w:highlight w:val="none"/>
          <w:lang w:val="zh-CN"/>
        </w:rPr>
        <w:t xml:space="preserve"> </w:t>
      </w:r>
      <w:r>
        <w:rPr>
          <w:rFonts w:hint="eastAsia" w:ascii="华文中宋" w:hAnsi="华文中宋" w:eastAsia="华文中宋"/>
          <w:bCs/>
          <w:color w:val="auto"/>
          <w:kern w:val="44"/>
          <w:szCs w:val="52"/>
          <w:highlight w:val="none"/>
          <w:lang w:val="zh-CN"/>
        </w:rPr>
        <w:t>合同协议书</w:t>
      </w:r>
      <w:r>
        <w:rPr>
          <w:color w:val="auto"/>
          <w:highlight w:val="none"/>
        </w:rPr>
        <w:tab/>
      </w:r>
      <w:r>
        <w:rPr>
          <w:color w:val="auto"/>
          <w:highlight w:val="none"/>
        </w:rPr>
        <w:fldChar w:fldCharType="begin"/>
      </w:r>
      <w:r>
        <w:rPr>
          <w:color w:val="auto"/>
          <w:highlight w:val="none"/>
        </w:rPr>
        <w:instrText xml:space="preserve"> PAGEREF _Toc6388 \h </w:instrText>
      </w:r>
      <w:r>
        <w:rPr>
          <w:color w:val="auto"/>
          <w:highlight w:val="none"/>
        </w:rPr>
        <w:fldChar w:fldCharType="separate"/>
      </w:r>
      <w:r>
        <w:rPr>
          <w:color w:val="auto"/>
          <w:highlight w:val="none"/>
        </w:rPr>
        <w:t>89</w:t>
      </w:r>
      <w:r>
        <w:rPr>
          <w:color w:val="auto"/>
          <w:highlight w:val="none"/>
        </w:rPr>
        <w:fldChar w:fldCharType="end"/>
      </w:r>
      <w:r>
        <w:rPr>
          <w:rFonts w:eastAsia="宋体"/>
          <w:bCs w:val="0"/>
          <w:color w:val="auto"/>
          <w:highlight w:val="none"/>
        </w:rPr>
        <w:fldChar w:fldCharType="end"/>
      </w:r>
    </w:p>
    <w:p w14:paraId="409B5173">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_Toc13028 </w:instrText>
      </w:r>
      <w:r>
        <w:rPr>
          <w:rFonts w:eastAsia="宋体"/>
          <w:bCs w:val="0"/>
          <w:color w:val="auto"/>
          <w:highlight w:val="none"/>
        </w:rPr>
        <w:fldChar w:fldCharType="separate"/>
      </w:r>
      <w:r>
        <w:rPr>
          <w:rFonts w:hint="eastAsia" w:ascii="华文中宋" w:hAnsi="华文中宋" w:eastAsia="华文中宋"/>
          <w:bCs/>
          <w:color w:val="auto"/>
          <w:kern w:val="44"/>
          <w:szCs w:val="52"/>
          <w:highlight w:val="none"/>
          <w:lang w:val="zh-CN"/>
        </w:rPr>
        <w:t>第二部分</w:t>
      </w:r>
      <w:r>
        <w:rPr>
          <w:rFonts w:ascii="华文中宋" w:hAnsi="华文中宋" w:eastAsia="华文中宋"/>
          <w:bCs/>
          <w:color w:val="auto"/>
          <w:kern w:val="44"/>
          <w:szCs w:val="52"/>
          <w:highlight w:val="none"/>
          <w:lang w:val="zh-CN"/>
        </w:rPr>
        <w:t xml:space="preserve"> </w:t>
      </w:r>
      <w:r>
        <w:rPr>
          <w:rFonts w:hint="eastAsia" w:ascii="华文中宋" w:hAnsi="华文中宋" w:eastAsia="华文中宋"/>
          <w:bCs/>
          <w:color w:val="auto"/>
          <w:kern w:val="44"/>
          <w:szCs w:val="52"/>
          <w:highlight w:val="none"/>
          <w:lang w:val="zh-CN"/>
        </w:rPr>
        <w:t>通用合同条件</w:t>
      </w:r>
      <w:r>
        <w:rPr>
          <w:color w:val="auto"/>
          <w:highlight w:val="none"/>
        </w:rPr>
        <w:tab/>
      </w:r>
      <w:r>
        <w:rPr>
          <w:color w:val="auto"/>
          <w:highlight w:val="none"/>
        </w:rPr>
        <w:fldChar w:fldCharType="begin"/>
      </w:r>
      <w:r>
        <w:rPr>
          <w:color w:val="auto"/>
          <w:highlight w:val="none"/>
        </w:rPr>
        <w:instrText xml:space="preserve"> PAGEREF _Toc13028 \h </w:instrText>
      </w:r>
      <w:r>
        <w:rPr>
          <w:color w:val="auto"/>
          <w:highlight w:val="none"/>
        </w:rPr>
        <w:fldChar w:fldCharType="separate"/>
      </w:r>
      <w:r>
        <w:rPr>
          <w:color w:val="auto"/>
          <w:highlight w:val="none"/>
        </w:rPr>
        <w:t>94</w:t>
      </w:r>
      <w:r>
        <w:rPr>
          <w:color w:val="auto"/>
          <w:highlight w:val="none"/>
        </w:rPr>
        <w:fldChar w:fldCharType="end"/>
      </w:r>
      <w:r>
        <w:rPr>
          <w:rFonts w:eastAsia="宋体"/>
          <w:bCs w:val="0"/>
          <w:color w:val="auto"/>
          <w:highlight w:val="none"/>
        </w:rPr>
        <w:fldChar w:fldCharType="end"/>
      </w:r>
    </w:p>
    <w:p w14:paraId="26946C95">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_Toc16761 </w:instrText>
      </w:r>
      <w:r>
        <w:rPr>
          <w:rFonts w:eastAsia="宋体"/>
          <w:bCs w:val="0"/>
          <w:color w:val="auto"/>
          <w:highlight w:val="none"/>
        </w:rPr>
        <w:fldChar w:fldCharType="separate"/>
      </w:r>
      <w:r>
        <w:rPr>
          <w:rFonts w:hint="eastAsia" w:ascii="华文中宋" w:hAnsi="华文中宋" w:eastAsia="华文中宋"/>
          <w:bCs/>
          <w:color w:val="auto"/>
          <w:kern w:val="44"/>
          <w:szCs w:val="52"/>
          <w:highlight w:val="none"/>
          <w:lang w:val="zh-CN" w:eastAsia="zh-CN"/>
        </w:rPr>
        <w:t>第三部分 专用合同条件</w:t>
      </w:r>
      <w:r>
        <w:rPr>
          <w:color w:val="auto"/>
          <w:highlight w:val="none"/>
        </w:rPr>
        <w:tab/>
      </w:r>
      <w:r>
        <w:rPr>
          <w:color w:val="auto"/>
          <w:highlight w:val="none"/>
        </w:rPr>
        <w:fldChar w:fldCharType="begin"/>
      </w:r>
      <w:r>
        <w:rPr>
          <w:color w:val="auto"/>
          <w:highlight w:val="none"/>
        </w:rPr>
        <w:instrText xml:space="preserve"> PAGEREF _Toc16761 \h </w:instrText>
      </w:r>
      <w:r>
        <w:rPr>
          <w:color w:val="auto"/>
          <w:highlight w:val="none"/>
        </w:rPr>
        <w:fldChar w:fldCharType="separate"/>
      </w:r>
      <w:r>
        <w:rPr>
          <w:color w:val="auto"/>
          <w:highlight w:val="none"/>
        </w:rPr>
        <w:t>148</w:t>
      </w:r>
      <w:r>
        <w:rPr>
          <w:color w:val="auto"/>
          <w:highlight w:val="none"/>
        </w:rPr>
        <w:fldChar w:fldCharType="end"/>
      </w:r>
      <w:r>
        <w:rPr>
          <w:rFonts w:eastAsia="宋体"/>
          <w:bCs w:val="0"/>
          <w:color w:val="auto"/>
          <w:highlight w:val="none"/>
        </w:rPr>
        <w:fldChar w:fldCharType="end"/>
      </w:r>
    </w:p>
    <w:p w14:paraId="77B460F4">
      <w:pPr>
        <w:pStyle w:val="19"/>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_Toc23839 </w:instrText>
      </w:r>
      <w:r>
        <w:rPr>
          <w:rFonts w:eastAsia="宋体"/>
          <w:bCs w:val="0"/>
          <w:color w:val="auto"/>
          <w:highlight w:val="none"/>
        </w:rPr>
        <w:fldChar w:fldCharType="separate"/>
      </w:r>
      <w:r>
        <w:rPr>
          <w:rFonts w:hint="eastAsia" w:ascii="黑体" w:hAnsi="黑体" w:eastAsia="黑体"/>
          <w:bCs w:val="0"/>
          <w:color w:val="auto"/>
          <w:szCs w:val="48"/>
          <w:highlight w:val="none"/>
        </w:rPr>
        <w:t>第二卷</w:t>
      </w:r>
      <w:r>
        <w:rPr>
          <w:color w:val="auto"/>
          <w:highlight w:val="none"/>
        </w:rPr>
        <w:tab/>
      </w:r>
      <w:r>
        <w:rPr>
          <w:color w:val="auto"/>
          <w:highlight w:val="none"/>
        </w:rPr>
        <w:fldChar w:fldCharType="begin"/>
      </w:r>
      <w:r>
        <w:rPr>
          <w:color w:val="auto"/>
          <w:highlight w:val="none"/>
        </w:rPr>
        <w:instrText xml:space="preserve"> PAGEREF _Toc23839 \h </w:instrText>
      </w:r>
      <w:r>
        <w:rPr>
          <w:color w:val="auto"/>
          <w:highlight w:val="none"/>
        </w:rPr>
        <w:fldChar w:fldCharType="separate"/>
      </w:r>
      <w:r>
        <w:rPr>
          <w:color w:val="auto"/>
          <w:highlight w:val="none"/>
        </w:rPr>
        <w:t>192</w:t>
      </w:r>
      <w:r>
        <w:rPr>
          <w:color w:val="auto"/>
          <w:highlight w:val="none"/>
        </w:rPr>
        <w:fldChar w:fldCharType="end"/>
      </w:r>
      <w:r>
        <w:rPr>
          <w:rFonts w:eastAsia="宋体"/>
          <w:bCs w:val="0"/>
          <w:color w:val="auto"/>
          <w:highlight w:val="none"/>
        </w:rPr>
        <w:fldChar w:fldCharType="end"/>
      </w:r>
    </w:p>
    <w:p w14:paraId="5372C3D4">
      <w:pPr>
        <w:pStyle w:val="19"/>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_Toc4626 </w:instrText>
      </w:r>
      <w:r>
        <w:rPr>
          <w:rFonts w:eastAsia="宋体"/>
          <w:bCs w:val="0"/>
          <w:color w:val="auto"/>
          <w:highlight w:val="none"/>
        </w:rPr>
        <w:fldChar w:fldCharType="separate"/>
      </w:r>
      <w:r>
        <w:rPr>
          <w:rFonts w:ascii="黑体" w:hAnsi="黑体" w:eastAsia="黑体"/>
          <w:bCs w:val="0"/>
          <w:color w:val="auto"/>
          <w:highlight w:val="none"/>
        </w:rPr>
        <w:t>第</w:t>
      </w:r>
      <w:r>
        <w:rPr>
          <w:rFonts w:hint="eastAsia" w:ascii="黑体" w:hAnsi="黑体" w:eastAsia="黑体"/>
          <w:bCs w:val="0"/>
          <w:color w:val="auto"/>
          <w:highlight w:val="none"/>
          <w:lang w:val="en-US" w:eastAsia="zh-CN"/>
        </w:rPr>
        <w:t>五</w:t>
      </w:r>
      <w:r>
        <w:rPr>
          <w:rFonts w:ascii="黑体" w:hAnsi="黑体" w:eastAsia="黑体"/>
          <w:bCs w:val="0"/>
          <w:color w:val="auto"/>
          <w:highlight w:val="none"/>
        </w:rPr>
        <w:t>章</w:t>
      </w:r>
      <w:r>
        <w:rPr>
          <w:rFonts w:hint="eastAsia" w:ascii="黑体" w:hAnsi="黑体" w:eastAsia="黑体"/>
          <w:bCs w:val="0"/>
          <w:color w:val="auto"/>
          <w:highlight w:val="none"/>
          <w:lang w:val="en-US" w:eastAsia="zh-CN"/>
        </w:rPr>
        <w:t xml:space="preserve"> </w:t>
      </w:r>
      <w:r>
        <w:rPr>
          <w:rFonts w:hint="eastAsia" w:ascii="黑体" w:hAnsi="黑体" w:eastAsia="黑体"/>
          <w:bCs w:val="0"/>
          <w:color w:val="auto"/>
          <w:highlight w:val="none"/>
        </w:rPr>
        <w:t xml:space="preserve"> </w:t>
      </w:r>
      <w:r>
        <w:rPr>
          <w:rFonts w:hint="eastAsia" w:ascii="黑体" w:hAnsi="黑体" w:eastAsia="黑体"/>
          <w:bCs w:val="0"/>
          <w:color w:val="auto"/>
          <w:highlight w:val="none"/>
          <w:lang w:val="en-US" w:eastAsia="zh-CN"/>
        </w:rPr>
        <w:t>发包人要求</w:t>
      </w:r>
      <w:r>
        <w:rPr>
          <w:color w:val="auto"/>
          <w:highlight w:val="none"/>
        </w:rPr>
        <w:tab/>
      </w:r>
      <w:r>
        <w:rPr>
          <w:color w:val="auto"/>
          <w:highlight w:val="none"/>
        </w:rPr>
        <w:fldChar w:fldCharType="begin"/>
      </w:r>
      <w:r>
        <w:rPr>
          <w:color w:val="auto"/>
          <w:highlight w:val="none"/>
        </w:rPr>
        <w:instrText xml:space="preserve"> PAGEREF _Toc4626 \h </w:instrText>
      </w:r>
      <w:r>
        <w:rPr>
          <w:color w:val="auto"/>
          <w:highlight w:val="none"/>
        </w:rPr>
        <w:fldChar w:fldCharType="separate"/>
      </w:r>
      <w:r>
        <w:rPr>
          <w:color w:val="auto"/>
          <w:highlight w:val="none"/>
        </w:rPr>
        <w:t>193</w:t>
      </w:r>
      <w:r>
        <w:rPr>
          <w:color w:val="auto"/>
          <w:highlight w:val="none"/>
        </w:rPr>
        <w:fldChar w:fldCharType="end"/>
      </w:r>
      <w:r>
        <w:rPr>
          <w:rFonts w:eastAsia="宋体"/>
          <w:bCs w:val="0"/>
          <w:color w:val="auto"/>
          <w:highlight w:val="none"/>
        </w:rPr>
        <w:fldChar w:fldCharType="end"/>
      </w:r>
    </w:p>
    <w:p w14:paraId="1C50FAF6">
      <w:pPr>
        <w:pStyle w:val="19"/>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_Toc579 </w:instrText>
      </w:r>
      <w:r>
        <w:rPr>
          <w:rFonts w:eastAsia="宋体"/>
          <w:bCs w:val="0"/>
          <w:color w:val="auto"/>
          <w:highlight w:val="none"/>
        </w:rPr>
        <w:fldChar w:fldCharType="separate"/>
      </w:r>
      <w:r>
        <w:rPr>
          <w:rFonts w:hint="eastAsia" w:ascii="黑体" w:hAnsi="黑体" w:eastAsia="黑体"/>
          <w:bCs w:val="0"/>
          <w:color w:val="auto"/>
          <w:highlight w:val="none"/>
        </w:rPr>
        <w:t>第</w:t>
      </w:r>
      <w:r>
        <w:rPr>
          <w:rFonts w:hint="eastAsia" w:ascii="黑体" w:hAnsi="黑体" w:eastAsia="黑体"/>
          <w:bCs w:val="0"/>
          <w:color w:val="auto"/>
          <w:highlight w:val="none"/>
          <w:lang w:val="en-US" w:eastAsia="zh-CN"/>
        </w:rPr>
        <w:t>六</w:t>
      </w:r>
      <w:r>
        <w:rPr>
          <w:rFonts w:hint="eastAsia" w:ascii="黑体" w:hAnsi="黑体" w:eastAsia="黑体"/>
          <w:bCs w:val="0"/>
          <w:color w:val="auto"/>
          <w:highlight w:val="none"/>
        </w:rPr>
        <w:t xml:space="preserve">章  </w:t>
      </w:r>
      <w:r>
        <w:rPr>
          <w:rFonts w:hint="eastAsia" w:ascii="黑体" w:hAnsi="黑体" w:eastAsia="黑体"/>
          <w:bCs w:val="0"/>
          <w:color w:val="auto"/>
          <w:highlight w:val="none"/>
          <w:lang w:val="en-US" w:eastAsia="zh-CN"/>
        </w:rPr>
        <w:t>发包人提供的材料</w:t>
      </w:r>
      <w:r>
        <w:rPr>
          <w:color w:val="auto"/>
          <w:highlight w:val="none"/>
        </w:rPr>
        <w:tab/>
      </w:r>
      <w:r>
        <w:rPr>
          <w:color w:val="auto"/>
          <w:highlight w:val="none"/>
        </w:rPr>
        <w:fldChar w:fldCharType="begin"/>
      </w:r>
      <w:r>
        <w:rPr>
          <w:color w:val="auto"/>
          <w:highlight w:val="none"/>
        </w:rPr>
        <w:instrText xml:space="preserve"> PAGEREF _Toc579 \h </w:instrText>
      </w:r>
      <w:r>
        <w:rPr>
          <w:color w:val="auto"/>
          <w:highlight w:val="none"/>
        </w:rPr>
        <w:fldChar w:fldCharType="separate"/>
      </w:r>
      <w:r>
        <w:rPr>
          <w:color w:val="auto"/>
          <w:highlight w:val="none"/>
        </w:rPr>
        <w:t>217</w:t>
      </w:r>
      <w:r>
        <w:rPr>
          <w:color w:val="auto"/>
          <w:highlight w:val="none"/>
        </w:rPr>
        <w:fldChar w:fldCharType="end"/>
      </w:r>
      <w:r>
        <w:rPr>
          <w:rFonts w:eastAsia="宋体"/>
          <w:bCs w:val="0"/>
          <w:color w:val="auto"/>
          <w:highlight w:val="none"/>
        </w:rPr>
        <w:fldChar w:fldCharType="end"/>
      </w:r>
    </w:p>
    <w:p w14:paraId="04D15469">
      <w:pPr>
        <w:pStyle w:val="19"/>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_Toc6079 </w:instrText>
      </w:r>
      <w:r>
        <w:rPr>
          <w:rFonts w:eastAsia="宋体"/>
          <w:bCs w:val="0"/>
          <w:color w:val="auto"/>
          <w:highlight w:val="none"/>
        </w:rPr>
        <w:fldChar w:fldCharType="separate"/>
      </w:r>
      <w:r>
        <w:rPr>
          <w:rFonts w:hint="eastAsia" w:ascii="黑体" w:hAnsi="黑体" w:eastAsia="黑体"/>
          <w:bCs w:val="0"/>
          <w:color w:val="auto"/>
          <w:szCs w:val="48"/>
          <w:highlight w:val="none"/>
        </w:rPr>
        <w:t>第三卷</w:t>
      </w:r>
      <w:r>
        <w:rPr>
          <w:color w:val="auto"/>
          <w:highlight w:val="none"/>
        </w:rPr>
        <w:tab/>
      </w:r>
      <w:r>
        <w:rPr>
          <w:color w:val="auto"/>
          <w:highlight w:val="none"/>
        </w:rPr>
        <w:fldChar w:fldCharType="begin"/>
      </w:r>
      <w:r>
        <w:rPr>
          <w:color w:val="auto"/>
          <w:highlight w:val="none"/>
        </w:rPr>
        <w:instrText xml:space="preserve"> PAGEREF _Toc6079 \h </w:instrText>
      </w:r>
      <w:r>
        <w:rPr>
          <w:color w:val="auto"/>
          <w:highlight w:val="none"/>
        </w:rPr>
        <w:fldChar w:fldCharType="separate"/>
      </w:r>
      <w:r>
        <w:rPr>
          <w:color w:val="auto"/>
          <w:highlight w:val="none"/>
        </w:rPr>
        <w:t>219</w:t>
      </w:r>
      <w:r>
        <w:rPr>
          <w:color w:val="auto"/>
          <w:highlight w:val="none"/>
        </w:rPr>
        <w:fldChar w:fldCharType="end"/>
      </w:r>
      <w:r>
        <w:rPr>
          <w:rFonts w:eastAsia="宋体"/>
          <w:bCs w:val="0"/>
          <w:color w:val="auto"/>
          <w:highlight w:val="none"/>
        </w:rPr>
        <w:fldChar w:fldCharType="end"/>
      </w:r>
    </w:p>
    <w:p w14:paraId="7B4AA690">
      <w:pPr>
        <w:pStyle w:val="19"/>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_Toc11152 </w:instrText>
      </w:r>
      <w:r>
        <w:rPr>
          <w:rFonts w:eastAsia="宋体"/>
          <w:bCs w:val="0"/>
          <w:color w:val="auto"/>
          <w:highlight w:val="none"/>
        </w:rPr>
        <w:fldChar w:fldCharType="separate"/>
      </w:r>
      <w:r>
        <w:rPr>
          <w:rFonts w:hint="default" w:ascii="黑体" w:hAnsi="宋体" w:eastAsia="黑体" w:cs="黑体"/>
          <w:bCs w:val="0"/>
          <w:color w:val="auto"/>
          <w:kern w:val="44"/>
          <w:szCs w:val="32"/>
          <w:highlight w:val="none"/>
        </w:rPr>
        <w:t>第</w:t>
      </w:r>
      <w:r>
        <w:rPr>
          <w:rFonts w:hint="eastAsia" w:ascii="黑体" w:hAnsi="宋体" w:eastAsia="黑体" w:cs="黑体"/>
          <w:bCs w:val="0"/>
          <w:color w:val="auto"/>
          <w:kern w:val="44"/>
          <w:szCs w:val="32"/>
          <w:highlight w:val="none"/>
          <w:lang w:val="en-US" w:eastAsia="zh-CN"/>
        </w:rPr>
        <w:t>七</w:t>
      </w:r>
      <w:r>
        <w:rPr>
          <w:rFonts w:hint="default" w:ascii="黑体" w:hAnsi="宋体" w:eastAsia="黑体" w:cs="黑体"/>
          <w:bCs w:val="0"/>
          <w:color w:val="auto"/>
          <w:kern w:val="44"/>
          <w:szCs w:val="32"/>
          <w:highlight w:val="none"/>
        </w:rPr>
        <w:t>章  投标文件格式</w:t>
      </w:r>
      <w:r>
        <w:rPr>
          <w:color w:val="auto"/>
          <w:highlight w:val="none"/>
        </w:rPr>
        <w:tab/>
      </w:r>
      <w:r>
        <w:rPr>
          <w:color w:val="auto"/>
          <w:highlight w:val="none"/>
        </w:rPr>
        <w:fldChar w:fldCharType="begin"/>
      </w:r>
      <w:r>
        <w:rPr>
          <w:color w:val="auto"/>
          <w:highlight w:val="none"/>
        </w:rPr>
        <w:instrText xml:space="preserve"> PAGEREF _Toc11152 \h </w:instrText>
      </w:r>
      <w:r>
        <w:rPr>
          <w:color w:val="auto"/>
          <w:highlight w:val="none"/>
        </w:rPr>
        <w:fldChar w:fldCharType="separate"/>
      </w:r>
      <w:r>
        <w:rPr>
          <w:color w:val="auto"/>
          <w:highlight w:val="none"/>
        </w:rPr>
        <w:t>220</w:t>
      </w:r>
      <w:r>
        <w:rPr>
          <w:color w:val="auto"/>
          <w:highlight w:val="none"/>
        </w:rPr>
        <w:fldChar w:fldCharType="end"/>
      </w:r>
      <w:r>
        <w:rPr>
          <w:rFonts w:eastAsia="宋体"/>
          <w:bCs w:val="0"/>
          <w:color w:val="auto"/>
          <w:highlight w:val="none"/>
        </w:rPr>
        <w:fldChar w:fldCharType="end"/>
      </w:r>
    </w:p>
    <w:p w14:paraId="79045911">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_Toc8195 </w:instrText>
      </w:r>
      <w:r>
        <w:rPr>
          <w:rFonts w:eastAsia="宋体"/>
          <w:bCs w:val="0"/>
          <w:color w:val="auto"/>
          <w:highlight w:val="none"/>
        </w:rPr>
        <w:fldChar w:fldCharType="separate"/>
      </w:r>
      <w:r>
        <w:rPr>
          <w:rFonts w:hint="eastAsia"/>
          <w:color w:val="auto"/>
          <w:highlight w:val="none"/>
        </w:rPr>
        <w:t>目    录</w:t>
      </w:r>
      <w:r>
        <w:rPr>
          <w:color w:val="auto"/>
          <w:highlight w:val="none"/>
        </w:rPr>
        <w:tab/>
      </w:r>
      <w:r>
        <w:rPr>
          <w:color w:val="auto"/>
          <w:highlight w:val="none"/>
        </w:rPr>
        <w:fldChar w:fldCharType="begin"/>
      </w:r>
      <w:r>
        <w:rPr>
          <w:color w:val="auto"/>
          <w:highlight w:val="none"/>
        </w:rPr>
        <w:instrText xml:space="preserve"> PAGEREF _Toc8195 \h </w:instrText>
      </w:r>
      <w:r>
        <w:rPr>
          <w:color w:val="auto"/>
          <w:highlight w:val="none"/>
        </w:rPr>
        <w:fldChar w:fldCharType="separate"/>
      </w:r>
      <w:r>
        <w:rPr>
          <w:color w:val="auto"/>
          <w:highlight w:val="none"/>
        </w:rPr>
        <w:t>222</w:t>
      </w:r>
      <w:r>
        <w:rPr>
          <w:color w:val="auto"/>
          <w:highlight w:val="none"/>
        </w:rPr>
        <w:fldChar w:fldCharType="end"/>
      </w:r>
      <w:r>
        <w:rPr>
          <w:rFonts w:eastAsia="宋体"/>
          <w:bCs w:val="0"/>
          <w:color w:val="auto"/>
          <w:highlight w:val="none"/>
        </w:rPr>
        <w:fldChar w:fldCharType="end"/>
      </w:r>
    </w:p>
    <w:p w14:paraId="1FF691CA">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_Toc27880 </w:instrText>
      </w:r>
      <w:r>
        <w:rPr>
          <w:rFonts w:eastAsia="宋体"/>
          <w:bCs w:val="0"/>
          <w:color w:val="auto"/>
          <w:highlight w:val="none"/>
        </w:rPr>
        <w:fldChar w:fldCharType="separate"/>
      </w:r>
      <w:r>
        <w:rPr>
          <w:rFonts w:hint="default" w:ascii="黑体" w:hAnsi="宋体" w:cs="黑体"/>
          <w:bCs w:val="0"/>
          <w:color w:val="auto"/>
          <w:kern w:val="2"/>
          <w:szCs w:val="28"/>
          <w:highlight w:val="none"/>
        </w:rPr>
        <w:t>一</w:t>
      </w:r>
      <w:r>
        <w:rPr>
          <w:rFonts w:hint="eastAsia" w:ascii="黑体" w:hAnsi="宋体" w:eastAsia="黑体" w:cs="黑体"/>
          <w:bCs w:val="0"/>
          <w:color w:val="auto"/>
          <w:kern w:val="2"/>
          <w:szCs w:val="28"/>
          <w:highlight w:val="none"/>
        </w:rPr>
        <w:t>、投标函及投标函附录等</w:t>
      </w:r>
      <w:r>
        <w:rPr>
          <w:color w:val="auto"/>
          <w:highlight w:val="none"/>
        </w:rPr>
        <w:tab/>
      </w:r>
      <w:r>
        <w:rPr>
          <w:color w:val="auto"/>
          <w:highlight w:val="none"/>
        </w:rPr>
        <w:fldChar w:fldCharType="begin"/>
      </w:r>
      <w:r>
        <w:rPr>
          <w:color w:val="auto"/>
          <w:highlight w:val="none"/>
        </w:rPr>
        <w:instrText xml:space="preserve"> PAGEREF _Toc27880 \h </w:instrText>
      </w:r>
      <w:r>
        <w:rPr>
          <w:color w:val="auto"/>
          <w:highlight w:val="none"/>
        </w:rPr>
        <w:fldChar w:fldCharType="separate"/>
      </w:r>
      <w:r>
        <w:rPr>
          <w:color w:val="auto"/>
          <w:highlight w:val="none"/>
        </w:rPr>
        <w:t>223</w:t>
      </w:r>
      <w:r>
        <w:rPr>
          <w:color w:val="auto"/>
          <w:highlight w:val="none"/>
        </w:rPr>
        <w:fldChar w:fldCharType="end"/>
      </w:r>
      <w:r>
        <w:rPr>
          <w:rFonts w:eastAsia="宋体"/>
          <w:bCs w:val="0"/>
          <w:color w:val="auto"/>
          <w:highlight w:val="none"/>
        </w:rPr>
        <w:fldChar w:fldCharType="end"/>
      </w:r>
    </w:p>
    <w:p w14:paraId="0AFD4C8E">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_Toc6571 </w:instrText>
      </w:r>
      <w:r>
        <w:rPr>
          <w:rFonts w:eastAsia="宋体"/>
          <w:bCs w:val="0"/>
          <w:color w:val="auto"/>
          <w:highlight w:val="none"/>
        </w:rPr>
        <w:fldChar w:fldCharType="separate"/>
      </w:r>
      <w:r>
        <w:rPr>
          <w:rFonts w:hint="eastAsia"/>
          <w:color w:val="auto"/>
          <w:szCs w:val="28"/>
          <w:highlight w:val="none"/>
          <w:lang w:eastAsia="zh-CN"/>
        </w:rPr>
        <w:t>（</w:t>
      </w:r>
      <w:r>
        <w:rPr>
          <w:rFonts w:hint="default"/>
          <w:color w:val="auto"/>
          <w:szCs w:val="28"/>
          <w:highlight w:val="none"/>
        </w:rPr>
        <w:t>一</w:t>
      </w:r>
      <w:r>
        <w:rPr>
          <w:rFonts w:hint="eastAsia"/>
          <w:color w:val="auto"/>
          <w:szCs w:val="28"/>
          <w:highlight w:val="none"/>
          <w:lang w:eastAsia="zh-CN"/>
        </w:rPr>
        <w:t>）</w:t>
      </w:r>
      <w:r>
        <w:rPr>
          <w:rFonts w:hint="eastAsia"/>
          <w:color w:val="auto"/>
          <w:szCs w:val="28"/>
          <w:highlight w:val="none"/>
        </w:rPr>
        <w:t>投标函</w:t>
      </w:r>
      <w:r>
        <w:rPr>
          <w:color w:val="auto"/>
          <w:highlight w:val="none"/>
        </w:rPr>
        <w:tab/>
      </w:r>
      <w:r>
        <w:rPr>
          <w:color w:val="auto"/>
          <w:highlight w:val="none"/>
        </w:rPr>
        <w:fldChar w:fldCharType="begin"/>
      </w:r>
      <w:r>
        <w:rPr>
          <w:color w:val="auto"/>
          <w:highlight w:val="none"/>
        </w:rPr>
        <w:instrText xml:space="preserve"> PAGEREF _Toc6571 \h </w:instrText>
      </w:r>
      <w:r>
        <w:rPr>
          <w:color w:val="auto"/>
          <w:highlight w:val="none"/>
        </w:rPr>
        <w:fldChar w:fldCharType="separate"/>
      </w:r>
      <w:r>
        <w:rPr>
          <w:color w:val="auto"/>
          <w:highlight w:val="none"/>
        </w:rPr>
        <w:t>224</w:t>
      </w:r>
      <w:r>
        <w:rPr>
          <w:color w:val="auto"/>
          <w:highlight w:val="none"/>
        </w:rPr>
        <w:fldChar w:fldCharType="end"/>
      </w:r>
      <w:r>
        <w:rPr>
          <w:rFonts w:eastAsia="宋体"/>
          <w:bCs w:val="0"/>
          <w:color w:val="auto"/>
          <w:highlight w:val="none"/>
        </w:rPr>
        <w:fldChar w:fldCharType="end"/>
      </w:r>
    </w:p>
    <w:p w14:paraId="0548CA71">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_Toc25209 </w:instrText>
      </w:r>
      <w:r>
        <w:rPr>
          <w:rFonts w:eastAsia="宋体"/>
          <w:bCs w:val="0"/>
          <w:color w:val="auto"/>
          <w:highlight w:val="none"/>
        </w:rPr>
        <w:fldChar w:fldCharType="separate"/>
      </w:r>
      <w:r>
        <w:rPr>
          <w:rFonts w:hint="eastAsia" w:cs="宋体"/>
          <w:color w:val="auto"/>
          <w:szCs w:val="28"/>
          <w:highlight w:val="none"/>
          <w:lang w:eastAsia="zh-CN"/>
        </w:rPr>
        <w:t>（</w:t>
      </w:r>
      <w:r>
        <w:rPr>
          <w:rFonts w:hint="default" w:cs="宋体"/>
          <w:color w:val="auto"/>
          <w:szCs w:val="28"/>
          <w:highlight w:val="none"/>
        </w:rPr>
        <w:t>二</w:t>
      </w:r>
      <w:r>
        <w:rPr>
          <w:rFonts w:hint="eastAsia" w:cs="宋体"/>
          <w:color w:val="auto"/>
          <w:szCs w:val="28"/>
          <w:highlight w:val="none"/>
          <w:lang w:eastAsia="zh-CN"/>
        </w:rPr>
        <w:t>）</w:t>
      </w:r>
      <w:r>
        <w:rPr>
          <w:rFonts w:hint="eastAsia" w:cs="宋体"/>
          <w:color w:val="auto"/>
          <w:szCs w:val="28"/>
          <w:highlight w:val="none"/>
        </w:rPr>
        <w:t>投标函附录</w:t>
      </w:r>
      <w:r>
        <w:rPr>
          <w:color w:val="auto"/>
          <w:highlight w:val="none"/>
        </w:rPr>
        <w:tab/>
      </w:r>
      <w:r>
        <w:rPr>
          <w:color w:val="auto"/>
          <w:highlight w:val="none"/>
        </w:rPr>
        <w:fldChar w:fldCharType="begin"/>
      </w:r>
      <w:r>
        <w:rPr>
          <w:color w:val="auto"/>
          <w:highlight w:val="none"/>
        </w:rPr>
        <w:instrText xml:space="preserve"> PAGEREF _Toc25209 \h </w:instrText>
      </w:r>
      <w:r>
        <w:rPr>
          <w:color w:val="auto"/>
          <w:highlight w:val="none"/>
        </w:rPr>
        <w:fldChar w:fldCharType="separate"/>
      </w:r>
      <w:r>
        <w:rPr>
          <w:color w:val="auto"/>
          <w:highlight w:val="none"/>
        </w:rPr>
        <w:t>226</w:t>
      </w:r>
      <w:r>
        <w:rPr>
          <w:color w:val="auto"/>
          <w:highlight w:val="none"/>
        </w:rPr>
        <w:fldChar w:fldCharType="end"/>
      </w:r>
      <w:r>
        <w:rPr>
          <w:rFonts w:eastAsia="宋体"/>
          <w:bCs w:val="0"/>
          <w:color w:val="auto"/>
          <w:highlight w:val="none"/>
        </w:rPr>
        <w:fldChar w:fldCharType="end"/>
      </w:r>
    </w:p>
    <w:p w14:paraId="4C361500">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_Toc16000 </w:instrText>
      </w:r>
      <w:r>
        <w:rPr>
          <w:rFonts w:eastAsia="宋体"/>
          <w:bCs w:val="0"/>
          <w:color w:val="auto"/>
          <w:highlight w:val="none"/>
        </w:rPr>
        <w:fldChar w:fldCharType="separate"/>
      </w:r>
      <w:r>
        <w:rPr>
          <w:rFonts w:hint="eastAsia" w:cs="宋体"/>
          <w:color w:val="auto"/>
          <w:szCs w:val="28"/>
          <w:highlight w:val="none"/>
          <w:lang w:eastAsia="zh-CN"/>
        </w:rPr>
        <w:t>（</w:t>
      </w:r>
      <w:r>
        <w:rPr>
          <w:rFonts w:hint="default" w:cs="宋体"/>
          <w:color w:val="auto"/>
          <w:szCs w:val="28"/>
          <w:highlight w:val="none"/>
        </w:rPr>
        <w:t>三</w:t>
      </w:r>
      <w:r>
        <w:rPr>
          <w:rFonts w:hint="eastAsia" w:cs="宋体"/>
          <w:color w:val="auto"/>
          <w:szCs w:val="28"/>
          <w:highlight w:val="none"/>
          <w:lang w:eastAsia="zh-CN"/>
        </w:rPr>
        <w:t>）</w:t>
      </w:r>
      <w:r>
        <w:rPr>
          <w:rFonts w:hint="eastAsia" w:cs="宋体"/>
          <w:color w:val="auto"/>
          <w:szCs w:val="28"/>
          <w:highlight w:val="none"/>
        </w:rPr>
        <w:t>告知承诺函</w:t>
      </w:r>
      <w:r>
        <w:rPr>
          <w:color w:val="auto"/>
          <w:highlight w:val="none"/>
        </w:rPr>
        <w:tab/>
      </w:r>
      <w:r>
        <w:rPr>
          <w:color w:val="auto"/>
          <w:highlight w:val="none"/>
        </w:rPr>
        <w:fldChar w:fldCharType="begin"/>
      </w:r>
      <w:r>
        <w:rPr>
          <w:color w:val="auto"/>
          <w:highlight w:val="none"/>
        </w:rPr>
        <w:instrText xml:space="preserve"> PAGEREF _Toc16000 \h </w:instrText>
      </w:r>
      <w:r>
        <w:rPr>
          <w:color w:val="auto"/>
          <w:highlight w:val="none"/>
        </w:rPr>
        <w:fldChar w:fldCharType="separate"/>
      </w:r>
      <w:r>
        <w:rPr>
          <w:color w:val="auto"/>
          <w:highlight w:val="none"/>
        </w:rPr>
        <w:t>227</w:t>
      </w:r>
      <w:r>
        <w:rPr>
          <w:color w:val="auto"/>
          <w:highlight w:val="none"/>
        </w:rPr>
        <w:fldChar w:fldCharType="end"/>
      </w:r>
      <w:r>
        <w:rPr>
          <w:rFonts w:eastAsia="宋体"/>
          <w:bCs w:val="0"/>
          <w:color w:val="auto"/>
          <w:highlight w:val="none"/>
        </w:rPr>
        <w:fldChar w:fldCharType="end"/>
      </w:r>
    </w:p>
    <w:p w14:paraId="33EB5B83">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_Toc23559 </w:instrText>
      </w:r>
      <w:r>
        <w:rPr>
          <w:rFonts w:eastAsia="宋体"/>
          <w:bCs w:val="0"/>
          <w:color w:val="auto"/>
          <w:highlight w:val="none"/>
        </w:rPr>
        <w:fldChar w:fldCharType="separate"/>
      </w:r>
      <w:r>
        <w:rPr>
          <w:rFonts w:hint="eastAsia"/>
          <w:color w:val="auto"/>
          <w:szCs w:val="28"/>
          <w:highlight w:val="none"/>
          <w:lang w:eastAsia="zh-CN"/>
        </w:rPr>
        <w:t>（</w:t>
      </w:r>
      <w:r>
        <w:rPr>
          <w:rFonts w:hint="eastAsia"/>
          <w:color w:val="auto"/>
          <w:szCs w:val="28"/>
          <w:highlight w:val="none"/>
        </w:rPr>
        <w:t>四</w:t>
      </w:r>
      <w:r>
        <w:rPr>
          <w:rFonts w:hint="eastAsia"/>
          <w:color w:val="auto"/>
          <w:szCs w:val="28"/>
          <w:highlight w:val="none"/>
          <w:lang w:eastAsia="zh-CN"/>
        </w:rPr>
        <w:t>）</w:t>
      </w:r>
      <w:r>
        <w:rPr>
          <w:rFonts w:hint="eastAsia"/>
          <w:color w:val="auto"/>
          <w:szCs w:val="28"/>
          <w:highlight w:val="none"/>
        </w:rPr>
        <w:t>声明函</w:t>
      </w:r>
      <w:r>
        <w:rPr>
          <w:color w:val="auto"/>
          <w:highlight w:val="none"/>
        </w:rPr>
        <w:tab/>
      </w:r>
      <w:r>
        <w:rPr>
          <w:color w:val="auto"/>
          <w:highlight w:val="none"/>
        </w:rPr>
        <w:fldChar w:fldCharType="begin"/>
      </w:r>
      <w:r>
        <w:rPr>
          <w:color w:val="auto"/>
          <w:highlight w:val="none"/>
        </w:rPr>
        <w:instrText xml:space="preserve"> PAGEREF _Toc23559 \h </w:instrText>
      </w:r>
      <w:r>
        <w:rPr>
          <w:color w:val="auto"/>
          <w:highlight w:val="none"/>
        </w:rPr>
        <w:fldChar w:fldCharType="separate"/>
      </w:r>
      <w:r>
        <w:rPr>
          <w:color w:val="auto"/>
          <w:highlight w:val="none"/>
        </w:rPr>
        <w:t>228</w:t>
      </w:r>
      <w:r>
        <w:rPr>
          <w:color w:val="auto"/>
          <w:highlight w:val="none"/>
        </w:rPr>
        <w:fldChar w:fldCharType="end"/>
      </w:r>
      <w:r>
        <w:rPr>
          <w:rFonts w:eastAsia="宋体"/>
          <w:bCs w:val="0"/>
          <w:color w:val="auto"/>
          <w:highlight w:val="none"/>
        </w:rPr>
        <w:fldChar w:fldCharType="end"/>
      </w:r>
    </w:p>
    <w:p w14:paraId="3813ADB0">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_Toc12231 </w:instrText>
      </w:r>
      <w:r>
        <w:rPr>
          <w:rFonts w:eastAsia="宋体"/>
          <w:bCs w:val="0"/>
          <w:color w:val="auto"/>
          <w:highlight w:val="none"/>
        </w:rPr>
        <w:fldChar w:fldCharType="separate"/>
      </w:r>
      <w:r>
        <w:rPr>
          <w:rFonts w:hint="default" w:ascii="黑体" w:hAnsi="宋体" w:cs="黑体"/>
          <w:bCs w:val="0"/>
          <w:color w:val="auto"/>
          <w:kern w:val="2"/>
          <w:szCs w:val="28"/>
          <w:highlight w:val="none"/>
        </w:rPr>
        <w:t>二</w:t>
      </w:r>
      <w:r>
        <w:rPr>
          <w:rFonts w:hint="eastAsia" w:ascii="黑体" w:hAnsi="宋体" w:eastAsia="黑体" w:cs="黑体"/>
          <w:bCs w:val="0"/>
          <w:color w:val="auto"/>
          <w:kern w:val="2"/>
          <w:szCs w:val="28"/>
          <w:highlight w:val="none"/>
        </w:rPr>
        <w:t>、法定代表人身份证明或授权委托书</w:t>
      </w:r>
      <w:r>
        <w:rPr>
          <w:color w:val="auto"/>
          <w:highlight w:val="none"/>
        </w:rPr>
        <w:tab/>
      </w:r>
      <w:r>
        <w:rPr>
          <w:color w:val="auto"/>
          <w:highlight w:val="none"/>
        </w:rPr>
        <w:fldChar w:fldCharType="begin"/>
      </w:r>
      <w:r>
        <w:rPr>
          <w:color w:val="auto"/>
          <w:highlight w:val="none"/>
        </w:rPr>
        <w:instrText xml:space="preserve"> PAGEREF _Toc12231 \h </w:instrText>
      </w:r>
      <w:r>
        <w:rPr>
          <w:color w:val="auto"/>
          <w:highlight w:val="none"/>
        </w:rPr>
        <w:fldChar w:fldCharType="separate"/>
      </w:r>
      <w:r>
        <w:rPr>
          <w:color w:val="auto"/>
          <w:highlight w:val="none"/>
        </w:rPr>
        <w:t>229</w:t>
      </w:r>
      <w:r>
        <w:rPr>
          <w:color w:val="auto"/>
          <w:highlight w:val="none"/>
        </w:rPr>
        <w:fldChar w:fldCharType="end"/>
      </w:r>
      <w:r>
        <w:rPr>
          <w:rFonts w:eastAsia="宋体"/>
          <w:bCs w:val="0"/>
          <w:color w:val="auto"/>
          <w:highlight w:val="none"/>
        </w:rPr>
        <w:fldChar w:fldCharType="end"/>
      </w:r>
    </w:p>
    <w:p w14:paraId="039AB2EA">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_Toc11259 </w:instrText>
      </w:r>
      <w:r>
        <w:rPr>
          <w:rFonts w:eastAsia="宋体"/>
          <w:bCs w:val="0"/>
          <w:color w:val="auto"/>
          <w:highlight w:val="none"/>
        </w:rPr>
        <w:fldChar w:fldCharType="separate"/>
      </w:r>
      <w:r>
        <w:rPr>
          <w:rFonts w:hint="eastAsia"/>
          <w:color w:val="auto"/>
          <w:szCs w:val="28"/>
          <w:highlight w:val="none"/>
          <w:lang w:val="en-US" w:eastAsia="zh-CN"/>
        </w:rPr>
        <w:t>（</w:t>
      </w:r>
      <w:r>
        <w:rPr>
          <w:rFonts w:hint="default"/>
          <w:color w:val="auto"/>
          <w:szCs w:val="28"/>
          <w:highlight w:val="none"/>
          <w:lang w:val="en-US" w:eastAsia="zh-CN"/>
        </w:rPr>
        <w:t>一</w:t>
      </w:r>
      <w:r>
        <w:rPr>
          <w:rFonts w:hint="eastAsia"/>
          <w:color w:val="auto"/>
          <w:szCs w:val="28"/>
          <w:highlight w:val="none"/>
          <w:lang w:val="en-US" w:eastAsia="zh-CN"/>
        </w:rPr>
        <w:t>）法定代表人身份证明</w:t>
      </w:r>
      <w:r>
        <w:rPr>
          <w:color w:val="auto"/>
          <w:highlight w:val="none"/>
        </w:rPr>
        <w:tab/>
      </w:r>
      <w:r>
        <w:rPr>
          <w:color w:val="auto"/>
          <w:highlight w:val="none"/>
        </w:rPr>
        <w:fldChar w:fldCharType="begin"/>
      </w:r>
      <w:r>
        <w:rPr>
          <w:color w:val="auto"/>
          <w:highlight w:val="none"/>
        </w:rPr>
        <w:instrText xml:space="preserve"> PAGEREF _Toc11259 \h </w:instrText>
      </w:r>
      <w:r>
        <w:rPr>
          <w:color w:val="auto"/>
          <w:highlight w:val="none"/>
        </w:rPr>
        <w:fldChar w:fldCharType="separate"/>
      </w:r>
      <w:r>
        <w:rPr>
          <w:color w:val="auto"/>
          <w:highlight w:val="none"/>
        </w:rPr>
        <w:t>230</w:t>
      </w:r>
      <w:r>
        <w:rPr>
          <w:color w:val="auto"/>
          <w:highlight w:val="none"/>
        </w:rPr>
        <w:fldChar w:fldCharType="end"/>
      </w:r>
      <w:r>
        <w:rPr>
          <w:rFonts w:eastAsia="宋体"/>
          <w:bCs w:val="0"/>
          <w:color w:val="auto"/>
          <w:highlight w:val="none"/>
        </w:rPr>
        <w:fldChar w:fldCharType="end"/>
      </w:r>
    </w:p>
    <w:p w14:paraId="37BC2008">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_Toc7093 </w:instrText>
      </w:r>
      <w:r>
        <w:rPr>
          <w:rFonts w:eastAsia="宋体"/>
          <w:bCs w:val="0"/>
          <w:color w:val="auto"/>
          <w:highlight w:val="none"/>
        </w:rPr>
        <w:fldChar w:fldCharType="separate"/>
      </w:r>
      <w:r>
        <w:rPr>
          <w:rFonts w:hint="eastAsia"/>
          <w:color w:val="auto"/>
          <w:szCs w:val="28"/>
          <w:highlight w:val="none"/>
          <w:lang w:eastAsia="zh-CN"/>
        </w:rPr>
        <w:t>（</w:t>
      </w:r>
      <w:r>
        <w:rPr>
          <w:rFonts w:hint="default"/>
          <w:color w:val="auto"/>
          <w:szCs w:val="28"/>
          <w:highlight w:val="none"/>
          <w:lang w:eastAsia="zh-CN"/>
        </w:rPr>
        <w:t>二</w:t>
      </w:r>
      <w:r>
        <w:rPr>
          <w:rFonts w:hint="eastAsia"/>
          <w:color w:val="auto"/>
          <w:szCs w:val="28"/>
          <w:highlight w:val="none"/>
          <w:lang w:eastAsia="zh-CN"/>
        </w:rPr>
        <w:t>）授权委托书</w:t>
      </w:r>
      <w:r>
        <w:rPr>
          <w:color w:val="auto"/>
          <w:highlight w:val="none"/>
        </w:rPr>
        <w:tab/>
      </w:r>
      <w:r>
        <w:rPr>
          <w:color w:val="auto"/>
          <w:highlight w:val="none"/>
        </w:rPr>
        <w:fldChar w:fldCharType="begin"/>
      </w:r>
      <w:r>
        <w:rPr>
          <w:color w:val="auto"/>
          <w:highlight w:val="none"/>
        </w:rPr>
        <w:instrText xml:space="preserve"> PAGEREF _Toc7093 \h </w:instrText>
      </w:r>
      <w:r>
        <w:rPr>
          <w:color w:val="auto"/>
          <w:highlight w:val="none"/>
        </w:rPr>
        <w:fldChar w:fldCharType="separate"/>
      </w:r>
      <w:r>
        <w:rPr>
          <w:color w:val="auto"/>
          <w:highlight w:val="none"/>
        </w:rPr>
        <w:t>231</w:t>
      </w:r>
      <w:r>
        <w:rPr>
          <w:color w:val="auto"/>
          <w:highlight w:val="none"/>
        </w:rPr>
        <w:fldChar w:fldCharType="end"/>
      </w:r>
      <w:r>
        <w:rPr>
          <w:rFonts w:eastAsia="宋体"/>
          <w:bCs w:val="0"/>
          <w:color w:val="auto"/>
          <w:highlight w:val="none"/>
        </w:rPr>
        <w:fldChar w:fldCharType="end"/>
      </w:r>
    </w:p>
    <w:p w14:paraId="2E9DE6C9">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_Toc32625 </w:instrText>
      </w:r>
      <w:r>
        <w:rPr>
          <w:rFonts w:eastAsia="宋体"/>
          <w:bCs w:val="0"/>
          <w:color w:val="auto"/>
          <w:highlight w:val="none"/>
        </w:rPr>
        <w:fldChar w:fldCharType="separate"/>
      </w:r>
      <w:r>
        <w:rPr>
          <w:rFonts w:hint="default"/>
          <w:color w:val="auto"/>
          <w:highlight w:val="none"/>
        </w:rPr>
        <w:t>三</w:t>
      </w:r>
      <w:r>
        <w:rPr>
          <w:rFonts w:hint="eastAsia"/>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_Toc32625 \h </w:instrText>
      </w:r>
      <w:r>
        <w:rPr>
          <w:color w:val="auto"/>
          <w:highlight w:val="none"/>
        </w:rPr>
        <w:fldChar w:fldCharType="separate"/>
      </w:r>
      <w:r>
        <w:rPr>
          <w:color w:val="auto"/>
          <w:highlight w:val="none"/>
        </w:rPr>
        <w:t>232</w:t>
      </w:r>
      <w:r>
        <w:rPr>
          <w:color w:val="auto"/>
          <w:highlight w:val="none"/>
        </w:rPr>
        <w:fldChar w:fldCharType="end"/>
      </w:r>
      <w:r>
        <w:rPr>
          <w:rFonts w:eastAsia="宋体"/>
          <w:bCs w:val="0"/>
          <w:color w:val="auto"/>
          <w:highlight w:val="none"/>
        </w:rPr>
        <w:fldChar w:fldCharType="end"/>
      </w:r>
    </w:p>
    <w:p w14:paraId="7DCFAFD8">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_Toc23471 </w:instrText>
      </w:r>
      <w:r>
        <w:rPr>
          <w:rFonts w:eastAsia="宋体"/>
          <w:bCs w:val="0"/>
          <w:color w:val="auto"/>
          <w:highlight w:val="none"/>
        </w:rPr>
        <w:fldChar w:fldCharType="separate"/>
      </w:r>
      <w:r>
        <w:rPr>
          <w:rFonts w:hint="default"/>
          <w:color w:val="auto"/>
          <w:highlight w:val="none"/>
        </w:rPr>
        <w:t>四</w:t>
      </w:r>
      <w:r>
        <w:rPr>
          <w:rFonts w:hint="eastAsia"/>
          <w:color w:val="auto"/>
          <w:highlight w:val="none"/>
        </w:rPr>
        <w:t>、联合体协议书</w:t>
      </w:r>
      <w:r>
        <w:rPr>
          <w:color w:val="auto"/>
          <w:highlight w:val="none"/>
        </w:rPr>
        <w:tab/>
      </w:r>
      <w:r>
        <w:rPr>
          <w:color w:val="auto"/>
          <w:highlight w:val="none"/>
        </w:rPr>
        <w:fldChar w:fldCharType="begin"/>
      </w:r>
      <w:r>
        <w:rPr>
          <w:color w:val="auto"/>
          <w:highlight w:val="none"/>
        </w:rPr>
        <w:instrText xml:space="preserve"> PAGEREF _Toc23471 \h </w:instrText>
      </w:r>
      <w:r>
        <w:rPr>
          <w:color w:val="auto"/>
          <w:highlight w:val="none"/>
        </w:rPr>
        <w:fldChar w:fldCharType="separate"/>
      </w:r>
      <w:r>
        <w:rPr>
          <w:color w:val="auto"/>
          <w:highlight w:val="none"/>
        </w:rPr>
        <w:t>233</w:t>
      </w:r>
      <w:r>
        <w:rPr>
          <w:color w:val="auto"/>
          <w:highlight w:val="none"/>
        </w:rPr>
        <w:fldChar w:fldCharType="end"/>
      </w:r>
      <w:r>
        <w:rPr>
          <w:rFonts w:eastAsia="宋体"/>
          <w:bCs w:val="0"/>
          <w:color w:val="auto"/>
          <w:highlight w:val="none"/>
        </w:rPr>
        <w:fldChar w:fldCharType="end"/>
      </w:r>
    </w:p>
    <w:p w14:paraId="0E5FBB51">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_Toc4113 </w:instrText>
      </w:r>
      <w:r>
        <w:rPr>
          <w:rFonts w:eastAsia="宋体"/>
          <w:bCs w:val="0"/>
          <w:color w:val="auto"/>
          <w:highlight w:val="none"/>
        </w:rPr>
        <w:fldChar w:fldCharType="separate"/>
      </w:r>
      <w:r>
        <w:rPr>
          <w:rFonts w:hint="default"/>
          <w:color w:val="auto"/>
          <w:highlight w:val="none"/>
        </w:rPr>
        <w:t>五</w:t>
      </w:r>
      <w:r>
        <w:rPr>
          <w:rFonts w:hint="eastAsia"/>
          <w:color w:val="auto"/>
          <w:highlight w:val="none"/>
        </w:rPr>
        <w:t>、</w:t>
      </w:r>
      <w:r>
        <w:rPr>
          <w:rFonts w:hint="eastAsia"/>
          <w:color w:val="auto"/>
          <w:highlight w:val="none"/>
          <w:lang w:val="en-US" w:eastAsia="zh-CN"/>
        </w:rPr>
        <w:t>价格清单</w:t>
      </w:r>
      <w:r>
        <w:rPr>
          <w:color w:val="auto"/>
          <w:highlight w:val="none"/>
        </w:rPr>
        <w:tab/>
      </w:r>
      <w:r>
        <w:rPr>
          <w:color w:val="auto"/>
          <w:highlight w:val="none"/>
        </w:rPr>
        <w:fldChar w:fldCharType="begin"/>
      </w:r>
      <w:r>
        <w:rPr>
          <w:color w:val="auto"/>
          <w:highlight w:val="none"/>
        </w:rPr>
        <w:instrText xml:space="preserve"> PAGEREF _Toc4113 \h </w:instrText>
      </w:r>
      <w:r>
        <w:rPr>
          <w:color w:val="auto"/>
          <w:highlight w:val="none"/>
        </w:rPr>
        <w:fldChar w:fldCharType="separate"/>
      </w:r>
      <w:r>
        <w:rPr>
          <w:color w:val="auto"/>
          <w:highlight w:val="none"/>
        </w:rPr>
        <w:t>235</w:t>
      </w:r>
      <w:r>
        <w:rPr>
          <w:color w:val="auto"/>
          <w:highlight w:val="none"/>
        </w:rPr>
        <w:fldChar w:fldCharType="end"/>
      </w:r>
      <w:r>
        <w:rPr>
          <w:rFonts w:eastAsia="宋体"/>
          <w:bCs w:val="0"/>
          <w:color w:val="auto"/>
          <w:highlight w:val="none"/>
        </w:rPr>
        <w:fldChar w:fldCharType="end"/>
      </w:r>
    </w:p>
    <w:p w14:paraId="1937EDDA">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_Toc14663 </w:instrText>
      </w:r>
      <w:r>
        <w:rPr>
          <w:rFonts w:eastAsia="宋体"/>
          <w:bCs w:val="0"/>
          <w:color w:val="auto"/>
          <w:highlight w:val="none"/>
        </w:rPr>
        <w:fldChar w:fldCharType="separate"/>
      </w:r>
      <w:r>
        <w:rPr>
          <w:rFonts w:hint="default"/>
          <w:bCs w:val="0"/>
          <w:color w:val="auto"/>
          <w:szCs w:val="28"/>
          <w:highlight w:val="none"/>
        </w:rPr>
        <w:t>六</w:t>
      </w:r>
      <w:r>
        <w:rPr>
          <w:rFonts w:hint="eastAsia" w:ascii="Arial" w:hAnsi="Arial"/>
          <w:bCs w:val="0"/>
          <w:color w:val="auto"/>
          <w:szCs w:val="28"/>
          <w:highlight w:val="none"/>
        </w:rPr>
        <w:t>、承包人建议书</w:t>
      </w:r>
      <w:r>
        <w:rPr>
          <w:color w:val="auto"/>
          <w:highlight w:val="none"/>
        </w:rPr>
        <w:tab/>
      </w:r>
      <w:r>
        <w:rPr>
          <w:color w:val="auto"/>
          <w:highlight w:val="none"/>
        </w:rPr>
        <w:fldChar w:fldCharType="begin"/>
      </w:r>
      <w:r>
        <w:rPr>
          <w:color w:val="auto"/>
          <w:highlight w:val="none"/>
        </w:rPr>
        <w:instrText xml:space="preserve"> PAGEREF _Toc14663 \h </w:instrText>
      </w:r>
      <w:r>
        <w:rPr>
          <w:color w:val="auto"/>
          <w:highlight w:val="none"/>
        </w:rPr>
        <w:fldChar w:fldCharType="separate"/>
      </w:r>
      <w:r>
        <w:rPr>
          <w:color w:val="auto"/>
          <w:highlight w:val="none"/>
        </w:rPr>
        <w:t>236</w:t>
      </w:r>
      <w:r>
        <w:rPr>
          <w:color w:val="auto"/>
          <w:highlight w:val="none"/>
        </w:rPr>
        <w:fldChar w:fldCharType="end"/>
      </w:r>
      <w:r>
        <w:rPr>
          <w:rFonts w:eastAsia="宋体"/>
          <w:bCs w:val="0"/>
          <w:color w:val="auto"/>
          <w:highlight w:val="none"/>
        </w:rPr>
        <w:fldChar w:fldCharType="end"/>
      </w:r>
    </w:p>
    <w:p w14:paraId="3AEBAF37">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_Toc17800 </w:instrText>
      </w:r>
      <w:r>
        <w:rPr>
          <w:rFonts w:eastAsia="宋体"/>
          <w:bCs w:val="0"/>
          <w:color w:val="auto"/>
          <w:highlight w:val="none"/>
        </w:rPr>
        <w:fldChar w:fldCharType="separate"/>
      </w:r>
      <w:r>
        <w:rPr>
          <w:rFonts w:hint="default"/>
          <w:bCs w:val="0"/>
          <w:color w:val="auto"/>
          <w:szCs w:val="28"/>
          <w:highlight w:val="none"/>
        </w:rPr>
        <w:t>七</w:t>
      </w:r>
      <w:r>
        <w:rPr>
          <w:rFonts w:hint="eastAsia" w:ascii="Arial" w:hAnsi="Arial"/>
          <w:bCs w:val="0"/>
          <w:color w:val="auto"/>
          <w:szCs w:val="28"/>
          <w:highlight w:val="none"/>
        </w:rPr>
        <w:t>、承包人实施方案</w:t>
      </w:r>
      <w:r>
        <w:rPr>
          <w:color w:val="auto"/>
          <w:highlight w:val="none"/>
        </w:rPr>
        <w:tab/>
      </w:r>
      <w:r>
        <w:rPr>
          <w:color w:val="auto"/>
          <w:highlight w:val="none"/>
        </w:rPr>
        <w:fldChar w:fldCharType="begin"/>
      </w:r>
      <w:r>
        <w:rPr>
          <w:color w:val="auto"/>
          <w:highlight w:val="none"/>
        </w:rPr>
        <w:instrText xml:space="preserve"> PAGEREF _Toc17800 \h </w:instrText>
      </w:r>
      <w:r>
        <w:rPr>
          <w:color w:val="auto"/>
          <w:highlight w:val="none"/>
        </w:rPr>
        <w:fldChar w:fldCharType="separate"/>
      </w:r>
      <w:r>
        <w:rPr>
          <w:color w:val="auto"/>
          <w:highlight w:val="none"/>
        </w:rPr>
        <w:t>237</w:t>
      </w:r>
      <w:r>
        <w:rPr>
          <w:color w:val="auto"/>
          <w:highlight w:val="none"/>
        </w:rPr>
        <w:fldChar w:fldCharType="end"/>
      </w:r>
      <w:r>
        <w:rPr>
          <w:rFonts w:eastAsia="宋体"/>
          <w:bCs w:val="0"/>
          <w:color w:val="auto"/>
          <w:highlight w:val="none"/>
        </w:rPr>
        <w:fldChar w:fldCharType="end"/>
      </w:r>
    </w:p>
    <w:p w14:paraId="2BD89166">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_Toc14414 </w:instrText>
      </w:r>
      <w:r>
        <w:rPr>
          <w:rFonts w:eastAsia="宋体"/>
          <w:bCs w:val="0"/>
          <w:color w:val="auto"/>
          <w:highlight w:val="none"/>
        </w:rPr>
        <w:fldChar w:fldCharType="separate"/>
      </w:r>
      <w:r>
        <w:rPr>
          <w:rFonts w:hint="default"/>
          <w:color w:val="auto"/>
          <w:highlight w:val="none"/>
        </w:rPr>
        <w:t>八</w:t>
      </w:r>
      <w:r>
        <w:rPr>
          <w:rFonts w:hint="eastAsia"/>
          <w:color w:val="auto"/>
          <w:highlight w:val="none"/>
        </w:rPr>
        <w:t>、资格审查资料</w:t>
      </w:r>
      <w:r>
        <w:rPr>
          <w:color w:val="auto"/>
          <w:highlight w:val="none"/>
        </w:rPr>
        <w:tab/>
      </w:r>
      <w:r>
        <w:rPr>
          <w:color w:val="auto"/>
          <w:highlight w:val="none"/>
        </w:rPr>
        <w:fldChar w:fldCharType="begin"/>
      </w:r>
      <w:r>
        <w:rPr>
          <w:color w:val="auto"/>
          <w:highlight w:val="none"/>
        </w:rPr>
        <w:instrText xml:space="preserve"> PAGEREF _Toc14414 \h </w:instrText>
      </w:r>
      <w:r>
        <w:rPr>
          <w:color w:val="auto"/>
          <w:highlight w:val="none"/>
        </w:rPr>
        <w:fldChar w:fldCharType="separate"/>
      </w:r>
      <w:r>
        <w:rPr>
          <w:color w:val="auto"/>
          <w:highlight w:val="none"/>
        </w:rPr>
        <w:t>238</w:t>
      </w:r>
      <w:r>
        <w:rPr>
          <w:color w:val="auto"/>
          <w:highlight w:val="none"/>
        </w:rPr>
        <w:fldChar w:fldCharType="end"/>
      </w:r>
      <w:r>
        <w:rPr>
          <w:rFonts w:eastAsia="宋体"/>
          <w:bCs w:val="0"/>
          <w:color w:val="auto"/>
          <w:highlight w:val="none"/>
        </w:rPr>
        <w:fldChar w:fldCharType="end"/>
      </w:r>
    </w:p>
    <w:p w14:paraId="5F7E2201">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_Toc19406 </w:instrText>
      </w:r>
      <w:r>
        <w:rPr>
          <w:rFonts w:eastAsia="宋体"/>
          <w:bCs w:val="0"/>
          <w:color w:val="auto"/>
          <w:highlight w:val="none"/>
        </w:rPr>
        <w:fldChar w:fldCharType="separate"/>
      </w:r>
      <w:r>
        <w:rPr>
          <w:rFonts w:hint="eastAsia"/>
          <w:color w:val="auto"/>
          <w:szCs w:val="24"/>
          <w:highlight w:val="none"/>
          <w:lang w:eastAsia="zh-CN"/>
        </w:rPr>
        <w:t>（</w:t>
      </w:r>
      <w:r>
        <w:rPr>
          <w:rFonts w:hint="default"/>
          <w:color w:val="auto"/>
          <w:szCs w:val="24"/>
          <w:highlight w:val="none"/>
        </w:rPr>
        <w:t>一</w:t>
      </w:r>
      <w:r>
        <w:rPr>
          <w:rFonts w:hint="eastAsia"/>
          <w:color w:val="auto"/>
          <w:szCs w:val="24"/>
          <w:highlight w:val="none"/>
          <w:lang w:eastAsia="zh-CN"/>
        </w:rPr>
        <w:t>）</w:t>
      </w:r>
      <w:r>
        <w:rPr>
          <w:rFonts w:hint="eastAsia"/>
          <w:color w:val="auto"/>
          <w:szCs w:val="24"/>
          <w:highlight w:val="none"/>
        </w:rPr>
        <w:t>投标人基本情况</w:t>
      </w:r>
      <w:r>
        <w:rPr>
          <w:color w:val="auto"/>
          <w:highlight w:val="none"/>
        </w:rPr>
        <w:tab/>
      </w:r>
      <w:r>
        <w:rPr>
          <w:color w:val="auto"/>
          <w:highlight w:val="none"/>
        </w:rPr>
        <w:fldChar w:fldCharType="begin"/>
      </w:r>
      <w:r>
        <w:rPr>
          <w:color w:val="auto"/>
          <w:highlight w:val="none"/>
        </w:rPr>
        <w:instrText xml:space="preserve"> PAGEREF _Toc19406 \h </w:instrText>
      </w:r>
      <w:r>
        <w:rPr>
          <w:color w:val="auto"/>
          <w:highlight w:val="none"/>
        </w:rPr>
        <w:fldChar w:fldCharType="separate"/>
      </w:r>
      <w:r>
        <w:rPr>
          <w:color w:val="auto"/>
          <w:highlight w:val="none"/>
        </w:rPr>
        <w:t>239</w:t>
      </w:r>
      <w:r>
        <w:rPr>
          <w:color w:val="auto"/>
          <w:highlight w:val="none"/>
        </w:rPr>
        <w:fldChar w:fldCharType="end"/>
      </w:r>
      <w:r>
        <w:rPr>
          <w:rFonts w:eastAsia="宋体"/>
          <w:bCs w:val="0"/>
          <w:color w:val="auto"/>
          <w:highlight w:val="none"/>
        </w:rPr>
        <w:fldChar w:fldCharType="end"/>
      </w:r>
    </w:p>
    <w:p w14:paraId="3C77E6DE">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_Toc30342 </w:instrText>
      </w:r>
      <w:r>
        <w:rPr>
          <w:rFonts w:eastAsia="宋体"/>
          <w:bCs w:val="0"/>
          <w:color w:val="auto"/>
          <w:highlight w:val="none"/>
        </w:rPr>
        <w:fldChar w:fldCharType="separate"/>
      </w:r>
      <w:r>
        <w:rPr>
          <w:rFonts w:hint="eastAsia"/>
          <w:color w:val="auto"/>
          <w:szCs w:val="24"/>
          <w:highlight w:val="none"/>
          <w:lang w:eastAsia="zh-CN"/>
        </w:rPr>
        <w:t>（</w:t>
      </w:r>
      <w:r>
        <w:rPr>
          <w:rFonts w:hint="default"/>
          <w:color w:val="auto"/>
          <w:szCs w:val="24"/>
          <w:highlight w:val="none"/>
        </w:rPr>
        <w:t>二</w:t>
      </w:r>
      <w:r>
        <w:rPr>
          <w:rFonts w:hint="eastAsia"/>
          <w:color w:val="auto"/>
          <w:szCs w:val="24"/>
          <w:highlight w:val="none"/>
          <w:lang w:eastAsia="zh-CN"/>
        </w:rPr>
        <w:t>）</w:t>
      </w:r>
      <w:r>
        <w:rPr>
          <w:rFonts w:hint="eastAsia"/>
          <w:color w:val="auto"/>
          <w:szCs w:val="24"/>
          <w:highlight w:val="none"/>
        </w:rPr>
        <w:t>近年财务状况</w:t>
      </w:r>
      <w:r>
        <w:rPr>
          <w:rFonts w:hint="eastAsia"/>
          <w:color w:val="auto"/>
          <w:szCs w:val="24"/>
          <w:highlight w:val="none"/>
          <w:lang w:val="en-US" w:eastAsia="zh-CN"/>
        </w:rPr>
        <w:t>表</w:t>
      </w:r>
      <w:r>
        <w:rPr>
          <w:color w:val="auto"/>
          <w:highlight w:val="none"/>
        </w:rPr>
        <w:tab/>
      </w:r>
      <w:r>
        <w:rPr>
          <w:color w:val="auto"/>
          <w:highlight w:val="none"/>
        </w:rPr>
        <w:fldChar w:fldCharType="begin"/>
      </w:r>
      <w:r>
        <w:rPr>
          <w:color w:val="auto"/>
          <w:highlight w:val="none"/>
        </w:rPr>
        <w:instrText xml:space="preserve"> PAGEREF _Toc30342 \h </w:instrText>
      </w:r>
      <w:r>
        <w:rPr>
          <w:color w:val="auto"/>
          <w:highlight w:val="none"/>
        </w:rPr>
        <w:fldChar w:fldCharType="separate"/>
      </w:r>
      <w:r>
        <w:rPr>
          <w:color w:val="auto"/>
          <w:highlight w:val="none"/>
        </w:rPr>
        <w:t>248</w:t>
      </w:r>
      <w:r>
        <w:rPr>
          <w:color w:val="auto"/>
          <w:highlight w:val="none"/>
        </w:rPr>
        <w:fldChar w:fldCharType="end"/>
      </w:r>
      <w:r>
        <w:rPr>
          <w:rFonts w:eastAsia="宋体"/>
          <w:bCs w:val="0"/>
          <w:color w:val="auto"/>
          <w:highlight w:val="none"/>
        </w:rPr>
        <w:fldChar w:fldCharType="end"/>
      </w:r>
    </w:p>
    <w:p w14:paraId="01BF4A04">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_Toc3235 </w:instrText>
      </w:r>
      <w:r>
        <w:rPr>
          <w:rFonts w:eastAsia="宋体"/>
          <w:bCs w:val="0"/>
          <w:color w:val="auto"/>
          <w:highlight w:val="none"/>
        </w:rPr>
        <w:fldChar w:fldCharType="separate"/>
      </w:r>
      <w:r>
        <w:rPr>
          <w:rFonts w:hint="eastAsia"/>
          <w:color w:val="auto"/>
          <w:szCs w:val="24"/>
          <w:highlight w:val="none"/>
          <w:lang w:eastAsia="zh-CN"/>
        </w:rPr>
        <w:t>（</w:t>
      </w:r>
      <w:r>
        <w:rPr>
          <w:rFonts w:hint="default"/>
          <w:color w:val="auto"/>
          <w:szCs w:val="24"/>
          <w:highlight w:val="none"/>
        </w:rPr>
        <w:t>三</w:t>
      </w:r>
      <w:r>
        <w:rPr>
          <w:rFonts w:hint="eastAsia"/>
          <w:color w:val="auto"/>
          <w:szCs w:val="24"/>
          <w:highlight w:val="none"/>
          <w:lang w:eastAsia="zh-CN"/>
        </w:rPr>
        <w:t>）</w:t>
      </w:r>
      <w:r>
        <w:rPr>
          <w:rFonts w:hint="eastAsia"/>
          <w:color w:val="auto"/>
          <w:szCs w:val="24"/>
          <w:highlight w:val="none"/>
        </w:rPr>
        <w:t>近年完成的类似项目情况</w:t>
      </w:r>
      <w:r>
        <w:rPr>
          <w:color w:val="auto"/>
          <w:highlight w:val="none"/>
        </w:rPr>
        <w:tab/>
      </w:r>
      <w:r>
        <w:rPr>
          <w:color w:val="auto"/>
          <w:highlight w:val="none"/>
        </w:rPr>
        <w:fldChar w:fldCharType="begin"/>
      </w:r>
      <w:r>
        <w:rPr>
          <w:color w:val="auto"/>
          <w:highlight w:val="none"/>
        </w:rPr>
        <w:instrText xml:space="preserve"> PAGEREF _Toc3235 \h </w:instrText>
      </w:r>
      <w:r>
        <w:rPr>
          <w:color w:val="auto"/>
          <w:highlight w:val="none"/>
        </w:rPr>
        <w:fldChar w:fldCharType="separate"/>
      </w:r>
      <w:r>
        <w:rPr>
          <w:color w:val="auto"/>
          <w:highlight w:val="none"/>
        </w:rPr>
        <w:t>249</w:t>
      </w:r>
      <w:r>
        <w:rPr>
          <w:color w:val="auto"/>
          <w:highlight w:val="none"/>
        </w:rPr>
        <w:fldChar w:fldCharType="end"/>
      </w:r>
      <w:r>
        <w:rPr>
          <w:rFonts w:eastAsia="宋体"/>
          <w:bCs w:val="0"/>
          <w:color w:val="auto"/>
          <w:highlight w:val="none"/>
        </w:rPr>
        <w:fldChar w:fldCharType="end"/>
      </w:r>
    </w:p>
    <w:p w14:paraId="463C9450">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_Toc30124 </w:instrText>
      </w:r>
      <w:r>
        <w:rPr>
          <w:rFonts w:eastAsia="宋体"/>
          <w:bCs w:val="0"/>
          <w:color w:val="auto"/>
          <w:highlight w:val="none"/>
        </w:rPr>
        <w:fldChar w:fldCharType="separate"/>
      </w:r>
      <w:r>
        <w:rPr>
          <w:rFonts w:hint="eastAsia"/>
          <w:color w:val="auto"/>
          <w:szCs w:val="24"/>
          <w:highlight w:val="none"/>
          <w:lang w:eastAsia="zh-CN"/>
        </w:rPr>
        <w:t>（</w:t>
      </w:r>
      <w:r>
        <w:rPr>
          <w:rFonts w:hint="eastAsia"/>
          <w:color w:val="auto"/>
          <w:szCs w:val="24"/>
          <w:highlight w:val="none"/>
          <w:lang w:val="en-US" w:eastAsia="zh-CN"/>
        </w:rPr>
        <w:t>四</w:t>
      </w:r>
      <w:r>
        <w:rPr>
          <w:rFonts w:hint="eastAsia"/>
          <w:color w:val="auto"/>
          <w:szCs w:val="24"/>
          <w:highlight w:val="none"/>
          <w:lang w:eastAsia="zh-CN"/>
        </w:rPr>
        <w:t>）</w:t>
      </w:r>
      <w:r>
        <w:rPr>
          <w:rFonts w:hint="eastAsia"/>
          <w:color w:val="auto"/>
          <w:szCs w:val="24"/>
          <w:highlight w:val="none"/>
        </w:rPr>
        <w:t>企业信誉情况</w:t>
      </w:r>
      <w:r>
        <w:rPr>
          <w:color w:val="auto"/>
          <w:highlight w:val="none"/>
        </w:rPr>
        <w:tab/>
      </w:r>
      <w:r>
        <w:rPr>
          <w:color w:val="auto"/>
          <w:highlight w:val="none"/>
        </w:rPr>
        <w:fldChar w:fldCharType="begin"/>
      </w:r>
      <w:r>
        <w:rPr>
          <w:color w:val="auto"/>
          <w:highlight w:val="none"/>
        </w:rPr>
        <w:instrText xml:space="preserve"> PAGEREF _Toc30124 \h </w:instrText>
      </w:r>
      <w:r>
        <w:rPr>
          <w:color w:val="auto"/>
          <w:highlight w:val="none"/>
        </w:rPr>
        <w:fldChar w:fldCharType="separate"/>
      </w:r>
      <w:r>
        <w:rPr>
          <w:color w:val="auto"/>
          <w:highlight w:val="none"/>
        </w:rPr>
        <w:t>251</w:t>
      </w:r>
      <w:r>
        <w:rPr>
          <w:color w:val="auto"/>
          <w:highlight w:val="none"/>
        </w:rPr>
        <w:fldChar w:fldCharType="end"/>
      </w:r>
      <w:r>
        <w:rPr>
          <w:rFonts w:eastAsia="宋体"/>
          <w:bCs w:val="0"/>
          <w:color w:val="auto"/>
          <w:highlight w:val="none"/>
        </w:rPr>
        <w:fldChar w:fldCharType="end"/>
      </w:r>
    </w:p>
    <w:p w14:paraId="74689165">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_Toc11750 </w:instrText>
      </w:r>
      <w:r>
        <w:rPr>
          <w:rFonts w:eastAsia="宋体"/>
          <w:bCs w:val="0"/>
          <w:color w:val="auto"/>
          <w:highlight w:val="none"/>
        </w:rPr>
        <w:fldChar w:fldCharType="separate"/>
      </w:r>
      <w:r>
        <w:rPr>
          <w:rFonts w:hint="eastAsia"/>
          <w:color w:val="auto"/>
          <w:szCs w:val="28"/>
          <w:highlight w:val="none"/>
          <w:lang w:eastAsia="zh-CN"/>
        </w:rPr>
        <w:t>（</w:t>
      </w:r>
      <w:r>
        <w:rPr>
          <w:rFonts w:hint="eastAsia"/>
          <w:color w:val="auto"/>
          <w:szCs w:val="28"/>
          <w:highlight w:val="none"/>
          <w:lang w:val="en-US" w:eastAsia="zh-CN"/>
        </w:rPr>
        <w:t>五</w:t>
      </w:r>
      <w:r>
        <w:rPr>
          <w:rFonts w:hint="eastAsia"/>
          <w:color w:val="auto"/>
          <w:szCs w:val="28"/>
          <w:highlight w:val="none"/>
          <w:lang w:eastAsia="zh-CN"/>
        </w:rPr>
        <w:t>）</w:t>
      </w:r>
      <w:r>
        <w:rPr>
          <w:rFonts w:hint="eastAsia"/>
          <w:color w:val="auto"/>
          <w:szCs w:val="28"/>
          <w:highlight w:val="none"/>
        </w:rPr>
        <w:t>承诺书</w:t>
      </w:r>
      <w:r>
        <w:rPr>
          <w:color w:val="auto"/>
          <w:highlight w:val="none"/>
        </w:rPr>
        <w:tab/>
      </w:r>
      <w:r>
        <w:rPr>
          <w:color w:val="auto"/>
          <w:highlight w:val="none"/>
        </w:rPr>
        <w:fldChar w:fldCharType="begin"/>
      </w:r>
      <w:r>
        <w:rPr>
          <w:color w:val="auto"/>
          <w:highlight w:val="none"/>
        </w:rPr>
        <w:instrText xml:space="preserve"> PAGEREF _Toc11750 \h </w:instrText>
      </w:r>
      <w:r>
        <w:rPr>
          <w:color w:val="auto"/>
          <w:highlight w:val="none"/>
        </w:rPr>
        <w:fldChar w:fldCharType="separate"/>
      </w:r>
      <w:r>
        <w:rPr>
          <w:color w:val="auto"/>
          <w:highlight w:val="none"/>
        </w:rPr>
        <w:t>253</w:t>
      </w:r>
      <w:r>
        <w:rPr>
          <w:color w:val="auto"/>
          <w:highlight w:val="none"/>
        </w:rPr>
        <w:fldChar w:fldCharType="end"/>
      </w:r>
      <w:r>
        <w:rPr>
          <w:rFonts w:eastAsia="宋体"/>
          <w:bCs w:val="0"/>
          <w:color w:val="auto"/>
          <w:highlight w:val="none"/>
        </w:rPr>
        <w:fldChar w:fldCharType="end"/>
      </w:r>
    </w:p>
    <w:p w14:paraId="1F588623">
      <w:pPr>
        <w:pStyle w:val="20"/>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_Toc2794 </w:instrText>
      </w:r>
      <w:r>
        <w:rPr>
          <w:rFonts w:eastAsia="宋体"/>
          <w:bCs w:val="0"/>
          <w:color w:val="auto"/>
          <w:highlight w:val="none"/>
        </w:rPr>
        <w:fldChar w:fldCharType="separate"/>
      </w:r>
      <w:r>
        <w:rPr>
          <w:rFonts w:hint="default"/>
          <w:color w:val="auto"/>
          <w:highlight w:val="none"/>
        </w:rPr>
        <w:t>九</w:t>
      </w:r>
      <w:r>
        <w:rPr>
          <w:rFonts w:hint="eastAsia"/>
          <w:color w:val="auto"/>
          <w:highlight w:val="none"/>
        </w:rPr>
        <w:t>、其他</w:t>
      </w:r>
      <w:r>
        <w:rPr>
          <w:rFonts w:hint="eastAsia"/>
          <w:color w:val="auto"/>
          <w:highlight w:val="none"/>
          <w:lang w:val="en-US" w:eastAsia="zh-CN"/>
        </w:rPr>
        <w:t>材料</w:t>
      </w:r>
      <w:r>
        <w:rPr>
          <w:color w:val="auto"/>
          <w:highlight w:val="none"/>
        </w:rPr>
        <w:tab/>
      </w:r>
      <w:r>
        <w:rPr>
          <w:color w:val="auto"/>
          <w:highlight w:val="none"/>
        </w:rPr>
        <w:fldChar w:fldCharType="begin"/>
      </w:r>
      <w:r>
        <w:rPr>
          <w:color w:val="auto"/>
          <w:highlight w:val="none"/>
        </w:rPr>
        <w:instrText xml:space="preserve"> PAGEREF _Toc2794 \h </w:instrText>
      </w:r>
      <w:r>
        <w:rPr>
          <w:color w:val="auto"/>
          <w:highlight w:val="none"/>
        </w:rPr>
        <w:fldChar w:fldCharType="separate"/>
      </w:r>
      <w:r>
        <w:rPr>
          <w:color w:val="auto"/>
          <w:highlight w:val="none"/>
        </w:rPr>
        <w:t>254</w:t>
      </w:r>
      <w:r>
        <w:rPr>
          <w:color w:val="auto"/>
          <w:highlight w:val="none"/>
        </w:rPr>
        <w:fldChar w:fldCharType="end"/>
      </w:r>
      <w:r>
        <w:rPr>
          <w:rFonts w:eastAsia="宋体"/>
          <w:bCs w:val="0"/>
          <w:color w:val="auto"/>
          <w:highlight w:val="none"/>
        </w:rPr>
        <w:fldChar w:fldCharType="end"/>
      </w:r>
    </w:p>
    <w:p w14:paraId="026A5052">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_Toc948 </w:instrText>
      </w:r>
      <w:r>
        <w:rPr>
          <w:rFonts w:eastAsia="宋体"/>
          <w:bCs w:val="0"/>
          <w:color w:val="auto"/>
          <w:highlight w:val="none"/>
        </w:rPr>
        <w:fldChar w:fldCharType="separate"/>
      </w:r>
      <w:r>
        <w:rPr>
          <w:rFonts w:hint="eastAsia" w:ascii="宋体" w:eastAsia="宋体"/>
          <w:bCs/>
          <w:color w:val="auto"/>
          <w:szCs w:val="24"/>
          <w:highlight w:val="none"/>
          <w:lang w:eastAsia="zh-CN"/>
        </w:rPr>
        <w:t>（</w:t>
      </w:r>
      <w:r>
        <w:rPr>
          <w:rFonts w:hint="eastAsia" w:ascii="宋体" w:eastAsia="宋体"/>
          <w:bCs/>
          <w:color w:val="auto"/>
          <w:szCs w:val="24"/>
          <w:highlight w:val="none"/>
          <w:lang w:val="en-US" w:eastAsia="zh-CN"/>
        </w:rPr>
        <w:t>1</w:t>
      </w:r>
      <w:r>
        <w:rPr>
          <w:rFonts w:hint="eastAsia" w:ascii="宋体" w:eastAsia="宋体"/>
          <w:bCs/>
          <w:color w:val="auto"/>
          <w:szCs w:val="24"/>
          <w:highlight w:val="none"/>
          <w:lang w:eastAsia="zh-CN"/>
        </w:rPr>
        <w:t>）</w:t>
      </w:r>
      <w:r>
        <w:rPr>
          <w:rFonts w:hint="eastAsia" w:ascii="宋体" w:eastAsia="宋体"/>
          <w:bCs/>
          <w:color w:val="auto"/>
          <w:szCs w:val="24"/>
          <w:highlight w:val="none"/>
        </w:rPr>
        <w:t>投标人对合同的保留意见</w:t>
      </w:r>
      <w:r>
        <w:rPr>
          <w:color w:val="auto"/>
          <w:highlight w:val="none"/>
        </w:rPr>
        <w:tab/>
      </w:r>
      <w:r>
        <w:rPr>
          <w:color w:val="auto"/>
          <w:highlight w:val="none"/>
        </w:rPr>
        <w:fldChar w:fldCharType="begin"/>
      </w:r>
      <w:r>
        <w:rPr>
          <w:color w:val="auto"/>
          <w:highlight w:val="none"/>
        </w:rPr>
        <w:instrText xml:space="preserve"> PAGEREF _Toc948 \h </w:instrText>
      </w:r>
      <w:r>
        <w:rPr>
          <w:color w:val="auto"/>
          <w:highlight w:val="none"/>
        </w:rPr>
        <w:fldChar w:fldCharType="separate"/>
      </w:r>
      <w:r>
        <w:rPr>
          <w:color w:val="auto"/>
          <w:highlight w:val="none"/>
        </w:rPr>
        <w:t>255</w:t>
      </w:r>
      <w:r>
        <w:rPr>
          <w:color w:val="auto"/>
          <w:highlight w:val="none"/>
        </w:rPr>
        <w:fldChar w:fldCharType="end"/>
      </w:r>
      <w:r>
        <w:rPr>
          <w:rFonts w:eastAsia="宋体"/>
          <w:bCs w:val="0"/>
          <w:color w:val="auto"/>
          <w:highlight w:val="none"/>
        </w:rPr>
        <w:fldChar w:fldCharType="end"/>
      </w:r>
    </w:p>
    <w:p w14:paraId="09AF9455">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_Toc18182 </w:instrText>
      </w:r>
      <w:r>
        <w:rPr>
          <w:rFonts w:eastAsia="宋体"/>
          <w:bCs w:val="0"/>
          <w:color w:val="auto"/>
          <w:highlight w:val="none"/>
        </w:rPr>
        <w:fldChar w:fldCharType="separate"/>
      </w:r>
      <w:r>
        <w:rPr>
          <w:rFonts w:hint="eastAsia" w:ascii="宋体" w:eastAsia="宋体"/>
          <w:bCs/>
          <w:color w:val="auto"/>
          <w:szCs w:val="24"/>
          <w:highlight w:val="none"/>
        </w:rPr>
        <w:t>（</w:t>
      </w:r>
      <w:r>
        <w:rPr>
          <w:rFonts w:hint="eastAsia" w:ascii="宋体" w:eastAsia="宋体"/>
          <w:bCs/>
          <w:color w:val="auto"/>
          <w:szCs w:val="24"/>
          <w:highlight w:val="none"/>
          <w:lang w:val="en-US" w:eastAsia="zh-CN"/>
        </w:rPr>
        <w:t>2</w:t>
      </w:r>
      <w:r>
        <w:rPr>
          <w:rFonts w:hint="eastAsia" w:ascii="宋体" w:eastAsia="宋体"/>
          <w:bCs/>
          <w:color w:val="auto"/>
          <w:szCs w:val="24"/>
          <w:highlight w:val="none"/>
        </w:rPr>
        <w:t>）投标承诺书</w:t>
      </w:r>
      <w:r>
        <w:rPr>
          <w:color w:val="auto"/>
          <w:highlight w:val="none"/>
        </w:rPr>
        <w:tab/>
      </w:r>
      <w:r>
        <w:rPr>
          <w:color w:val="auto"/>
          <w:highlight w:val="none"/>
        </w:rPr>
        <w:fldChar w:fldCharType="begin"/>
      </w:r>
      <w:r>
        <w:rPr>
          <w:color w:val="auto"/>
          <w:highlight w:val="none"/>
        </w:rPr>
        <w:instrText xml:space="preserve"> PAGEREF _Toc18182 \h </w:instrText>
      </w:r>
      <w:r>
        <w:rPr>
          <w:color w:val="auto"/>
          <w:highlight w:val="none"/>
        </w:rPr>
        <w:fldChar w:fldCharType="separate"/>
      </w:r>
      <w:r>
        <w:rPr>
          <w:color w:val="auto"/>
          <w:highlight w:val="none"/>
        </w:rPr>
        <w:t>256</w:t>
      </w:r>
      <w:r>
        <w:rPr>
          <w:color w:val="auto"/>
          <w:highlight w:val="none"/>
        </w:rPr>
        <w:fldChar w:fldCharType="end"/>
      </w:r>
      <w:r>
        <w:rPr>
          <w:rFonts w:eastAsia="宋体"/>
          <w:bCs w:val="0"/>
          <w:color w:val="auto"/>
          <w:highlight w:val="none"/>
        </w:rPr>
        <w:fldChar w:fldCharType="end"/>
      </w:r>
    </w:p>
    <w:p w14:paraId="7AFA2644">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_Toc7280 </w:instrText>
      </w:r>
      <w:r>
        <w:rPr>
          <w:rFonts w:eastAsia="宋体"/>
          <w:bCs w:val="0"/>
          <w:color w:val="auto"/>
          <w:highlight w:val="none"/>
        </w:rPr>
        <w:fldChar w:fldCharType="separate"/>
      </w:r>
      <w:r>
        <w:rPr>
          <w:rFonts w:hint="eastAsia" w:ascii="宋体" w:hAnsi="宋体" w:cs="宋体"/>
          <w:bCs/>
          <w:color w:val="auto"/>
          <w:highlight w:val="none"/>
        </w:rPr>
        <w:t>（</w:t>
      </w:r>
      <w:r>
        <w:rPr>
          <w:rFonts w:hint="eastAsia" w:ascii="宋体" w:hAnsi="宋体" w:cs="宋体"/>
          <w:bCs/>
          <w:color w:val="auto"/>
          <w:highlight w:val="none"/>
          <w:lang w:val="en-US" w:eastAsia="zh-CN"/>
        </w:rPr>
        <w:t>3</w:t>
      </w:r>
      <w:r>
        <w:rPr>
          <w:rFonts w:hint="eastAsia" w:ascii="宋体" w:hAnsi="宋体" w:cs="宋体"/>
          <w:bCs/>
          <w:color w:val="auto"/>
          <w:highlight w:val="none"/>
        </w:rPr>
        <w:t>）项目经理投标承诺</w:t>
      </w:r>
      <w:r>
        <w:rPr>
          <w:color w:val="auto"/>
          <w:highlight w:val="none"/>
        </w:rPr>
        <w:tab/>
      </w:r>
      <w:r>
        <w:rPr>
          <w:color w:val="auto"/>
          <w:highlight w:val="none"/>
        </w:rPr>
        <w:fldChar w:fldCharType="begin"/>
      </w:r>
      <w:r>
        <w:rPr>
          <w:color w:val="auto"/>
          <w:highlight w:val="none"/>
        </w:rPr>
        <w:instrText xml:space="preserve"> PAGEREF _Toc7280 \h </w:instrText>
      </w:r>
      <w:r>
        <w:rPr>
          <w:color w:val="auto"/>
          <w:highlight w:val="none"/>
        </w:rPr>
        <w:fldChar w:fldCharType="separate"/>
      </w:r>
      <w:r>
        <w:rPr>
          <w:color w:val="auto"/>
          <w:highlight w:val="none"/>
        </w:rPr>
        <w:t>258</w:t>
      </w:r>
      <w:r>
        <w:rPr>
          <w:color w:val="auto"/>
          <w:highlight w:val="none"/>
        </w:rPr>
        <w:fldChar w:fldCharType="end"/>
      </w:r>
      <w:r>
        <w:rPr>
          <w:rFonts w:eastAsia="宋体"/>
          <w:bCs w:val="0"/>
          <w:color w:val="auto"/>
          <w:highlight w:val="none"/>
        </w:rPr>
        <w:fldChar w:fldCharType="end"/>
      </w:r>
    </w:p>
    <w:p w14:paraId="69AAE311">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_Toc1213 </w:instrText>
      </w:r>
      <w:r>
        <w:rPr>
          <w:rFonts w:eastAsia="宋体"/>
          <w:bCs w:val="0"/>
          <w:color w:val="auto"/>
          <w:highlight w:val="none"/>
        </w:rPr>
        <w:fldChar w:fldCharType="separate"/>
      </w:r>
      <w:r>
        <w:rPr>
          <w:rFonts w:hint="eastAsia" w:ascii="宋体" w:hAnsi="宋体" w:cs="宋体"/>
          <w:bCs/>
          <w:color w:val="auto"/>
          <w:highlight w:val="none"/>
        </w:rPr>
        <w:t>（</w:t>
      </w:r>
      <w:r>
        <w:rPr>
          <w:rFonts w:hint="eastAsia" w:ascii="宋体" w:hAnsi="宋体" w:cs="宋体"/>
          <w:bCs/>
          <w:color w:val="auto"/>
          <w:highlight w:val="none"/>
          <w:lang w:val="en-US" w:eastAsia="zh-CN"/>
        </w:rPr>
        <w:t>4</w:t>
      </w:r>
      <w:r>
        <w:rPr>
          <w:rFonts w:hint="eastAsia" w:ascii="宋体" w:hAnsi="宋体" w:cs="宋体"/>
          <w:bCs/>
          <w:color w:val="auto"/>
          <w:highlight w:val="none"/>
        </w:rPr>
        <w:t>）施工负责人投标承诺</w:t>
      </w:r>
      <w:r>
        <w:rPr>
          <w:color w:val="auto"/>
          <w:highlight w:val="none"/>
        </w:rPr>
        <w:tab/>
      </w:r>
      <w:r>
        <w:rPr>
          <w:color w:val="auto"/>
          <w:highlight w:val="none"/>
        </w:rPr>
        <w:fldChar w:fldCharType="begin"/>
      </w:r>
      <w:r>
        <w:rPr>
          <w:color w:val="auto"/>
          <w:highlight w:val="none"/>
        </w:rPr>
        <w:instrText xml:space="preserve"> PAGEREF _Toc1213 \h </w:instrText>
      </w:r>
      <w:r>
        <w:rPr>
          <w:color w:val="auto"/>
          <w:highlight w:val="none"/>
        </w:rPr>
        <w:fldChar w:fldCharType="separate"/>
      </w:r>
      <w:r>
        <w:rPr>
          <w:color w:val="auto"/>
          <w:highlight w:val="none"/>
        </w:rPr>
        <w:t>259</w:t>
      </w:r>
      <w:r>
        <w:rPr>
          <w:color w:val="auto"/>
          <w:highlight w:val="none"/>
        </w:rPr>
        <w:fldChar w:fldCharType="end"/>
      </w:r>
      <w:r>
        <w:rPr>
          <w:rFonts w:eastAsia="宋体"/>
          <w:bCs w:val="0"/>
          <w:color w:val="auto"/>
          <w:highlight w:val="none"/>
        </w:rPr>
        <w:fldChar w:fldCharType="end"/>
      </w:r>
    </w:p>
    <w:p w14:paraId="438FF7C9">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_Toc32296 </w:instrText>
      </w:r>
      <w:r>
        <w:rPr>
          <w:rFonts w:eastAsia="宋体"/>
          <w:bCs w:val="0"/>
          <w:color w:val="auto"/>
          <w:highlight w:val="none"/>
        </w:rPr>
        <w:fldChar w:fldCharType="separate"/>
      </w:r>
      <w:r>
        <w:rPr>
          <w:rFonts w:hint="eastAsia" w:ascii="宋体" w:hAnsi="宋体" w:cs="宋体"/>
          <w:bCs/>
          <w:color w:val="auto"/>
          <w:highlight w:val="none"/>
        </w:rPr>
        <w:t>（</w:t>
      </w:r>
      <w:r>
        <w:rPr>
          <w:rFonts w:hint="eastAsia" w:ascii="宋体" w:hAnsi="宋体" w:cs="宋体"/>
          <w:bCs/>
          <w:color w:val="auto"/>
          <w:highlight w:val="none"/>
          <w:lang w:val="en-US" w:eastAsia="zh-CN"/>
        </w:rPr>
        <w:t>5</w:t>
      </w:r>
      <w:r>
        <w:rPr>
          <w:rFonts w:hint="eastAsia" w:ascii="宋体" w:hAnsi="宋体" w:cs="宋体"/>
          <w:bCs/>
          <w:color w:val="auto"/>
          <w:highlight w:val="none"/>
        </w:rPr>
        <w:t>）设计负责人投标承诺</w:t>
      </w:r>
      <w:r>
        <w:rPr>
          <w:color w:val="auto"/>
          <w:highlight w:val="none"/>
        </w:rPr>
        <w:tab/>
      </w:r>
      <w:r>
        <w:rPr>
          <w:color w:val="auto"/>
          <w:highlight w:val="none"/>
        </w:rPr>
        <w:fldChar w:fldCharType="begin"/>
      </w:r>
      <w:r>
        <w:rPr>
          <w:color w:val="auto"/>
          <w:highlight w:val="none"/>
        </w:rPr>
        <w:instrText xml:space="preserve"> PAGEREF _Toc32296 \h </w:instrText>
      </w:r>
      <w:r>
        <w:rPr>
          <w:color w:val="auto"/>
          <w:highlight w:val="none"/>
        </w:rPr>
        <w:fldChar w:fldCharType="separate"/>
      </w:r>
      <w:r>
        <w:rPr>
          <w:color w:val="auto"/>
          <w:highlight w:val="none"/>
        </w:rPr>
        <w:t>260</w:t>
      </w:r>
      <w:r>
        <w:rPr>
          <w:color w:val="auto"/>
          <w:highlight w:val="none"/>
        </w:rPr>
        <w:fldChar w:fldCharType="end"/>
      </w:r>
      <w:r>
        <w:rPr>
          <w:rFonts w:eastAsia="宋体"/>
          <w:bCs w:val="0"/>
          <w:color w:val="auto"/>
          <w:highlight w:val="none"/>
        </w:rPr>
        <w:fldChar w:fldCharType="end"/>
      </w:r>
    </w:p>
    <w:p w14:paraId="212B4290">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_Toc30500 </w:instrText>
      </w:r>
      <w:r>
        <w:rPr>
          <w:rFonts w:eastAsia="宋体"/>
          <w:bCs w:val="0"/>
          <w:color w:val="auto"/>
          <w:highlight w:val="none"/>
        </w:rPr>
        <w:fldChar w:fldCharType="separate"/>
      </w:r>
      <w:r>
        <w:rPr>
          <w:rFonts w:hint="eastAsia" w:ascii="宋体" w:hAnsi="宋体" w:eastAsia="宋体" w:cs="宋体"/>
          <w:bCs/>
          <w:color w:val="auto"/>
          <w:kern w:val="2"/>
          <w:szCs w:val="24"/>
          <w:highlight w:val="none"/>
          <w:lang w:val="en-US" w:eastAsia="zh-CN" w:bidi="ar-SA"/>
        </w:rPr>
        <w:t>（6）保密承诺书</w:t>
      </w:r>
      <w:r>
        <w:rPr>
          <w:color w:val="auto"/>
          <w:highlight w:val="none"/>
        </w:rPr>
        <w:tab/>
      </w:r>
      <w:r>
        <w:rPr>
          <w:color w:val="auto"/>
          <w:highlight w:val="none"/>
        </w:rPr>
        <w:fldChar w:fldCharType="begin"/>
      </w:r>
      <w:r>
        <w:rPr>
          <w:color w:val="auto"/>
          <w:highlight w:val="none"/>
        </w:rPr>
        <w:instrText xml:space="preserve"> PAGEREF _Toc30500 \h </w:instrText>
      </w:r>
      <w:r>
        <w:rPr>
          <w:color w:val="auto"/>
          <w:highlight w:val="none"/>
        </w:rPr>
        <w:fldChar w:fldCharType="separate"/>
      </w:r>
      <w:r>
        <w:rPr>
          <w:color w:val="auto"/>
          <w:highlight w:val="none"/>
        </w:rPr>
        <w:t>261</w:t>
      </w:r>
      <w:r>
        <w:rPr>
          <w:color w:val="auto"/>
          <w:highlight w:val="none"/>
        </w:rPr>
        <w:fldChar w:fldCharType="end"/>
      </w:r>
      <w:r>
        <w:rPr>
          <w:rFonts w:eastAsia="宋体"/>
          <w:bCs w:val="0"/>
          <w:color w:val="auto"/>
          <w:highlight w:val="none"/>
        </w:rPr>
        <w:fldChar w:fldCharType="end"/>
      </w:r>
    </w:p>
    <w:p w14:paraId="013A5A7C">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_Toc10218 </w:instrText>
      </w:r>
      <w:r>
        <w:rPr>
          <w:rFonts w:eastAsia="宋体"/>
          <w:bCs w:val="0"/>
          <w:color w:val="auto"/>
          <w:highlight w:val="none"/>
        </w:rPr>
        <w:fldChar w:fldCharType="separate"/>
      </w:r>
      <w:r>
        <w:rPr>
          <w:rFonts w:hint="eastAsia" w:ascii="宋体" w:hAnsi="宋体" w:eastAsia="宋体" w:cs="宋体"/>
          <w:bCs/>
          <w:color w:val="auto"/>
          <w:kern w:val="2"/>
          <w:szCs w:val="24"/>
          <w:highlight w:val="none"/>
          <w:lang w:val="en-US" w:eastAsia="zh-CN" w:bidi="ar-SA"/>
        </w:rPr>
        <w:t>（7）不拖欠农民工工资的承诺</w:t>
      </w:r>
      <w:r>
        <w:rPr>
          <w:color w:val="auto"/>
          <w:highlight w:val="none"/>
        </w:rPr>
        <w:tab/>
      </w:r>
      <w:r>
        <w:rPr>
          <w:color w:val="auto"/>
          <w:highlight w:val="none"/>
        </w:rPr>
        <w:fldChar w:fldCharType="begin"/>
      </w:r>
      <w:r>
        <w:rPr>
          <w:color w:val="auto"/>
          <w:highlight w:val="none"/>
        </w:rPr>
        <w:instrText xml:space="preserve"> PAGEREF _Toc10218 \h </w:instrText>
      </w:r>
      <w:r>
        <w:rPr>
          <w:color w:val="auto"/>
          <w:highlight w:val="none"/>
        </w:rPr>
        <w:fldChar w:fldCharType="separate"/>
      </w:r>
      <w:r>
        <w:rPr>
          <w:color w:val="auto"/>
          <w:highlight w:val="none"/>
        </w:rPr>
        <w:t>263</w:t>
      </w:r>
      <w:r>
        <w:rPr>
          <w:color w:val="auto"/>
          <w:highlight w:val="none"/>
        </w:rPr>
        <w:fldChar w:fldCharType="end"/>
      </w:r>
      <w:r>
        <w:rPr>
          <w:rFonts w:eastAsia="宋体"/>
          <w:bCs w:val="0"/>
          <w:color w:val="auto"/>
          <w:highlight w:val="none"/>
        </w:rPr>
        <w:fldChar w:fldCharType="end"/>
      </w:r>
    </w:p>
    <w:p w14:paraId="23D6C06A">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_Toc8213 </w:instrText>
      </w:r>
      <w:r>
        <w:rPr>
          <w:rFonts w:eastAsia="宋体"/>
          <w:bCs w:val="0"/>
          <w:color w:val="auto"/>
          <w:highlight w:val="none"/>
        </w:rPr>
        <w:fldChar w:fldCharType="separate"/>
      </w:r>
      <w:r>
        <w:rPr>
          <w:rFonts w:hint="eastAsia" w:ascii="宋体" w:hAnsi="宋体" w:cs="宋体"/>
          <w:iCs w:val="0"/>
          <w:color w:val="auto"/>
          <w:kern w:val="1"/>
          <w:highlight w:val="none"/>
          <w:lang w:val="en-US" w:eastAsia="zh-CN"/>
        </w:rPr>
        <w:t>（8）未</w:t>
      </w:r>
      <w:r>
        <w:rPr>
          <w:rFonts w:hint="eastAsia" w:ascii="宋体" w:hAnsi="宋体" w:cs="宋体"/>
          <w:iCs w:val="0"/>
          <w:color w:val="auto"/>
          <w:kern w:val="1"/>
          <w:highlight w:val="none"/>
        </w:rPr>
        <w:t>被列入“国家企业信用信息公示系统”（ www.gsxt.gov.cn）严重违法失信企业名单截图；截图示例：查询路径：国家企业信用信息公示系统-</w:t>
      </w:r>
      <w:r>
        <w:rPr>
          <w:rFonts w:hint="eastAsia" w:ascii="宋体" w:hAnsi="宋体" w:cs="宋体"/>
          <w:iCs w:val="0"/>
          <w:color w:val="auto"/>
          <w:kern w:val="1"/>
          <w:highlight w:val="none"/>
          <w:lang w:val="en-US" w:eastAsia="zh-CN"/>
        </w:rPr>
        <w:t>输入投标单位名称-查询-列入严重违法失信名单（黑名单）</w:t>
      </w:r>
      <w:r>
        <w:rPr>
          <w:color w:val="auto"/>
          <w:highlight w:val="none"/>
        </w:rPr>
        <w:tab/>
      </w:r>
      <w:r>
        <w:rPr>
          <w:color w:val="auto"/>
          <w:highlight w:val="none"/>
        </w:rPr>
        <w:fldChar w:fldCharType="begin"/>
      </w:r>
      <w:r>
        <w:rPr>
          <w:color w:val="auto"/>
          <w:highlight w:val="none"/>
        </w:rPr>
        <w:instrText xml:space="preserve"> PAGEREF _Toc8213 \h </w:instrText>
      </w:r>
      <w:r>
        <w:rPr>
          <w:color w:val="auto"/>
          <w:highlight w:val="none"/>
        </w:rPr>
        <w:fldChar w:fldCharType="separate"/>
      </w:r>
      <w:r>
        <w:rPr>
          <w:color w:val="auto"/>
          <w:highlight w:val="none"/>
        </w:rPr>
        <w:t>264</w:t>
      </w:r>
      <w:r>
        <w:rPr>
          <w:color w:val="auto"/>
          <w:highlight w:val="none"/>
        </w:rPr>
        <w:fldChar w:fldCharType="end"/>
      </w:r>
      <w:r>
        <w:rPr>
          <w:rFonts w:eastAsia="宋体"/>
          <w:bCs w:val="0"/>
          <w:color w:val="auto"/>
          <w:highlight w:val="none"/>
        </w:rPr>
        <w:fldChar w:fldCharType="end"/>
      </w:r>
    </w:p>
    <w:p w14:paraId="58B7B281">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_Toc16142 </w:instrText>
      </w:r>
      <w:r>
        <w:rPr>
          <w:rFonts w:eastAsia="宋体"/>
          <w:bCs w:val="0"/>
          <w:color w:val="auto"/>
          <w:highlight w:val="none"/>
        </w:rPr>
        <w:fldChar w:fldCharType="separate"/>
      </w:r>
      <w:r>
        <w:rPr>
          <w:rFonts w:hint="eastAsia" w:ascii="宋体" w:hAnsi="宋体" w:cs="宋体"/>
          <w:bCs/>
          <w:iCs w:val="0"/>
          <w:color w:val="auto"/>
          <w:kern w:val="1"/>
          <w:highlight w:val="none"/>
        </w:rPr>
        <w:t>（</w:t>
      </w:r>
      <w:r>
        <w:rPr>
          <w:rFonts w:hint="eastAsia" w:ascii="宋体" w:hAnsi="宋体" w:cs="宋体"/>
          <w:bCs/>
          <w:iCs w:val="0"/>
          <w:color w:val="auto"/>
          <w:kern w:val="1"/>
          <w:highlight w:val="none"/>
          <w:lang w:val="en-US" w:eastAsia="zh-CN"/>
        </w:rPr>
        <w:t>9</w:t>
      </w:r>
      <w:r>
        <w:rPr>
          <w:rFonts w:hint="eastAsia" w:ascii="宋体" w:hAnsi="宋体" w:cs="宋体"/>
          <w:bCs/>
          <w:iCs w:val="0"/>
          <w:color w:val="auto"/>
          <w:kern w:val="1"/>
          <w:highlight w:val="none"/>
        </w:rPr>
        <w:t>）未被列入“信用中国”网站失信被执行人</w:t>
      </w:r>
      <w:r>
        <w:rPr>
          <w:rFonts w:hint="eastAsia" w:ascii="宋体" w:hAnsi="宋体" w:cs="宋体"/>
          <w:iCs w:val="0"/>
          <w:color w:val="auto"/>
          <w:kern w:val="1"/>
          <w:highlight w:val="none"/>
        </w:rPr>
        <w:t>名单截图；</w:t>
      </w:r>
      <w:r>
        <w:rPr>
          <w:color w:val="auto"/>
          <w:highlight w:val="none"/>
        </w:rPr>
        <w:tab/>
      </w:r>
      <w:r>
        <w:rPr>
          <w:color w:val="auto"/>
          <w:highlight w:val="none"/>
        </w:rPr>
        <w:fldChar w:fldCharType="begin"/>
      </w:r>
      <w:r>
        <w:rPr>
          <w:color w:val="auto"/>
          <w:highlight w:val="none"/>
        </w:rPr>
        <w:instrText xml:space="preserve"> PAGEREF _Toc16142 \h </w:instrText>
      </w:r>
      <w:r>
        <w:rPr>
          <w:color w:val="auto"/>
          <w:highlight w:val="none"/>
        </w:rPr>
        <w:fldChar w:fldCharType="separate"/>
      </w:r>
      <w:r>
        <w:rPr>
          <w:color w:val="auto"/>
          <w:highlight w:val="none"/>
        </w:rPr>
        <w:t>265</w:t>
      </w:r>
      <w:r>
        <w:rPr>
          <w:color w:val="auto"/>
          <w:highlight w:val="none"/>
        </w:rPr>
        <w:fldChar w:fldCharType="end"/>
      </w:r>
      <w:r>
        <w:rPr>
          <w:rFonts w:eastAsia="宋体"/>
          <w:bCs w:val="0"/>
          <w:color w:val="auto"/>
          <w:highlight w:val="none"/>
        </w:rPr>
        <w:fldChar w:fldCharType="end"/>
      </w:r>
    </w:p>
    <w:p w14:paraId="4956D2A2">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_Toc5863 </w:instrText>
      </w:r>
      <w:r>
        <w:rPr>
          <w:rFonts w:eastAsia="宋体"/>
          <w:bCs w:val="0"/>
          <w:color w:val="auto"/>
          <w:highlight w:val="none"/>
        </w:rPr>
        <w:fldChar w:fldCharType="separate"/>
      </w:r>
      <w:r>
        <w:rPr>
          <w:rFonts w:hint="eastAsia" w:ascii="宋体" w:hAnsi="宋体" w:eastAsia="宋体" w:cs="宋体"/>
          <w:bCs/>
          <w:iCs w:val="0"/>
          <w:color w:val="auto"/>
          <w:kern w:val="1"/>
          <w:highlight w:val="none"/>
        </w:rPr>
        <w:t>（</w:t>
      </w:r>
      <w:r>
        <w:rPr>
          <w:rFonts w:hint="eastAsia" w:ascii="宋体" w:hAnsi="宋体" w:eastAsia="宋体" w:cs="宋体"/>
          <w:bCs/>
          <w:iCs w:val="0"/>
          <w:color w:val="auto"/>
          <w:kern w:val="1"/>
          <w:highlight w:val="none"/>
          <w:lang w:val="en-US" w:eastAsia="zh-CN"/>
        </w:rPr>
        <w:t>10</w:t>
      </w:r>
      <w:r>
        <w:rPr>
          <w:rFonts w:hint="eastAsia" w:ascii="宋体" w:hAnsi="宋体" w:eastAsia="宋体" w:cs="宋体"/>
          <w:bCs/>
          <w:iCs w:val="0"/>
          <w:color w:val="auto"/>
          <w:kern w:val="1"/>
          <w:highlight w:val="none"/>
        </w:rPr>
        <w:t>）</w:t>
      </w:r>
      <w:r>
        <w:rPr>
          <w:rFonts w:hint="eastAsia" w:ascii="宋体" w:hAnsi="宋体" w:eastAsia="宋体" w:cs="宋体"/>
          <w:bCs/>
          <w:iCs w:val="0"/>
          <w:color w:val="auto"/>
          <w:kern w:val="1"/>
          <w:szCs w:val="24"/>
          <w:highlight w:val="none"/>
        </w:rPr>
        <w:t>在辽宁省住房和城乡建设厅建筑领域不良行为记录公布平台</w:t>
      </w:r>
      <w:r>
        <w:rPr>
          <w:rFonts w:hint="eastAsia" w:ascii="宋体" w:hAnsi="宋体" w:eastAsia="宋体" w:cs="宋体"/>
          <w:iCs w:val="0"/>
          <w:color w:val="auto"/>
          <w:kern w:val="1"/>
          <w:szCs w:val="24"/>
          <w:highlight w:val="none"/>
        </w:rPr>
        <w:t>(通过“辽宁建设工程信息网”获取链接)未被列入不良行为记录，或不在公布期内截图；截图示例：查询路径：辽宁建设工程信息网--</w:t>
      </w:r>
      <w:r>
        <w:rPr>
          <w:rFonts w:hint="eastAsia" w:ascii="宋体" w:hAnsi="宋体" w:eastAsia="宋体" w:cs="宋体"/>
          <w:iCs w:val="0"/>
          <w:color w:val="auto"/>
          <w:kern w:val="1"/>
          <w:szCs w:val="24"/>
          <w:highlight w:val="none"/>
          <w:lang w:val="en-US" w:eastAsia="zh-CN"/>
        </w:rPr>
        <w:t>信用公示</w:t>
      </w:r>
      <w:r>
        <w:rPr>
          <w:rFonts w:hint="eastAsia" w:ascii="宋体" w:hAnsi="宋体" w:eastAsia="宋体" w:cs="宋体"/>
          <w:iCs w:val="0"/>
          <w:color w:val="auto"/>
          <w:kern w:val="1"/>
          <w:szCs w:val="24"/>
          <w:highlight w:val="none"/>
        </w:rPr>
        <w:t>--</w:t>
      </w:r>
      <w:r>
        <w:rPr>
          <w:rFonts w:hint="eastAsia" w:ascii="宋体" w:hAnsi="宋体" w:eastAsia="宋体" w:cs="宋体"/>
          <w:iCs w:val="0"/>
          <w:color w:val="auto"/>
          <w:kern w:val="1"/>
          <w:szCs w:val="24"/>
          <w:highlight w:val="none"/>
          <w:lang w:val="en-US" w:eastAsia="zh-CN"/>
        </w:rPr>
        <w:t>信息类型、发布时间选全部</w:t>
      </w:r>
      <w:r>
        <w:rPr>
          <w:color w:val="auto"/>
          <w:highlight w:val="none"/>
        </w:rPr>
        <w:tab/>
      </w:r>
      <w:r>
        <w:rPr>
          <w:color w:val="auto"/>
          <w:highlight w:val="none"/>
        </w:rPr>
        <w:fldChar w:fldCharType="begin"/>
      </w:r>
      <w:r>
        <w:rPr>
          <w:color w:val="auto"/>
          <w:highlight w:val="none"/>
        </w:rPr>
        <w:instrText xml:space="preserve"> PAGEREF _Toc5863 \h </w:instrText>
      </w:r>
      <w:r>
        <w:rPr>
          <w:color w:val="auto"/>
          <w:highlight w:val="none"/>
        </w:rPr>
        <w:fldChar w:fldCharType="separate"/>
      </w:r>
      <w:r>
        <w:rPr>
          <w:color w:val="auto"/>
          <w:highlight w:val="none"/>
        </w:rPr>
        <w:t>266</w:t>
      </w:r>
      <w:r>
        <w:rPr>
          <w:color w:val="auto"/>
          <w:highlight w:val="none"/>
        </w:rPr>
        <w:fldChar w:fldCharType="end"/>
      </w:r>
      <w:r>
        <w:rPr>
          <w:rFonts w:eastAsia="宋体"/>
          <w:bCs w:val="0"/>
          <w:color w:val="auto"/>
          <w:highlight w:val="none"/>
        </w:rPr>
        <w:fldChar w:fldCharType="end"/>
      </w:r>
    </w:p>
    <w:p w14:paraId="34D77777">
      <w:pPr>
        <w:pStyle w:val="14"/>
        <w:tabs>
          <w:tab w:val="right" w:leader="dot" w:pos="8306"/>
        </w:tabs>
        <w:rPr>
          <w:color w:val="auto"/>
          <w:highlight w:val="none"/>
        </w:rPr>
      </w:pPr>
      <w:r>
        <w:rPr>
          <w:rFonts w:eastAsia="宋体"/>
          <w:bCs w:val="0"/>
          <w:color w:val="auto"/>
          <w:highlight w:val="none"/>
        </w:rPr>
        <w:fldChar w:fldCharType="begin"/>
      </w:r>
      <w:r>
        <w:rPr>
          <w:rFonts w:eastAsia="宋体"/>
          <w:bCs w:val="0"/>
          <w:color w:val="auto"/>
          <w:highlight w:val="none"/>
        </w:rPr>
        <w:instrText xml:space="preserve"> HYPERLINK \l _Toc20350 </w:instrText>
      </w:r>
      <w:r>
        <w:rPr>
          <w:rFonts w:eastAsia="宋体"/>
          <w:bCs w:val="0"/>
          <w:color w:val="auto"/>
          <w:highlight w:val="none"/>
        </w:rPr>
        <w:fldChar w:fldCharType="separate"/>
      </w:r>
      <w:r>
        <w:rPr>
          <w:rFonts w:hint="eastAsia" w:ascii="宋体" w:hAnsi="宋体" w:cs="宋体"/>
          <w:color w:val="auto"/>
          <w:kern w:val="20"/>
          <w:szCs w:val="24"/>
          <w:highlight w:val="none"/>
          <w:lang w:eastAsia="zh-CN"/>
        </w:rPr>
        <w:t>（</w:t>
      </w:r>
      <w:r>
        <w:rPr>
          <w:rFonts w:hint="eastAsia" w:ascii="宋体" w:hAnsi="宋体" w:cs="宋体"/>
          <w:color w:val="auto"/>
          <w:kern w:val="20"/>
          <w:szCs w:val="24"/>
          <w:highlight w:val="none"/>
          <w:lang w:val="en-US" w:eastAsia="zh-CN"/>
        </w:rPr>
        <w:t>11</w:t>
      </w:r>
      <w:r>
        <w:rPr>
          <w:rFonts w:hint="eastAsia" w:ascii="宋体" w:hAnsi="宋体" w:cs="宋体"/>
          <w:color w:val="auto"/>
          <w:kern w:val="20"/>
          <w:szCs w:val="24"/>
          <w:highlight w:val="none"/>
          <w:lang w:eastAsia="zh-CN"/>
        </w:rPr>
        <w:t>）</w:t>
      </w:r>
      <w:r>
        <w:rPr>
          <w:rFonts w:hint="eastAsia" w:ascii="宋体" w:hAnsi="宋体" w:cs="宋体"/>
          <w:color w:val="auto"/>
          <w:kern w:val="20"/>
          <w:szCs w:val="24"/>
          <w:highlight w:val="none"/>
        </w:rPr>
        <w:t>投标人认为应提交的其他投标资料</w:t>
      </w:r>
      <w:r>
        <w:rPr>
          <w:color w:val="auto"/>
          <w:highlight w:val="none"/>
        </w:rPr>
        <w:tab/>
      </w:r>
      <w:r>
        <w:rPr>
          <w:color w:val="auto"/>
          <w:highlight w:val="none"/>
        </w:rPr>
        <w:fldChar w:fldCharType="begin"/>
      </w:r>
      <w:r>
        <w:rPr>
          <w:color w:val="auto"/>
          <w:highlight w:val="none"/>
        </w:rPr>
        <w:instrText xml:space="preserve"> PAGEREF _Toc20350 \h </w:instrText>
      </w:r>
      <w:r>
        <w:rPr>
          <w:color w:val="auto"/>
          <w:highlight w:val="none"/>
        </w:rPr>
        <w:fldChar w:fldCharType="separate"/>
      </w:r>
      <w:r>
        <w:rPr>
          <w:color w:val="auto"/>
          <w:highlight w:val="none"/>
        </w:rPr>
        <w:t>267</w:t>
      </w:r>
      <w:r>
        <w:rPr>
          <w:color w:val="auto"/>
          <w:highlight w:val="none"/>
        </w:rPr>
        <w:fldChar w:fldCharType="end"/>
      </w:r>
      <w:r>
        <w:rPr>
          <w:rFonts w:eastAsia="宋体"/>
          <w:bCs w:val="0"/>
          <w:color w:val="auto"/>
          <w:highlight w:val="none"/>
        </w:rPr>
        <w:fldChar w:fldCharType="end"/>
      </w:r>
    </w:p>
    <w:p w14:paraId="55734FF1">
      <w:pPr>
        <w:jc w:val="center"/>
        <w:rPr>
          <w:rFonts w:eastAsia="宋体"/>
          <w:b/>
          <w:color w:val="auto"/>
          <w:sz w:val="44"/>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eastAsia="宋体"/>
          <w:b w:val="0"/>
          <w:bCs w:val="0"/>
          <w:color w:val="auto"/>
          <w:sz w:val="44"/>
          <w:highlight w:val="none"/>
        </w:rPr>
        <w:fldChar w:fldCharType="end"/>
      </w:r>
      <w:bookmarkEnd w:id="0"/>
    </w:p>
    <w:p w14:paraId="789E28EA">
      <w:pPr>
        <w:ind w:firstLine="435"/>
        <w:jc w:val="center"/>
        <w:rPr>
          <w:rFonts w:hint="eastAsia"/>
          <w:color w:val="auto"/>
          <w:highlight w:val="none"/>
        </w:rPr>
      </w:pPr>
    </w:p>
    <w:p w14:paraId="762BD4DD">
      <w:pPr>
        <w:ind w:firstLine="435"/>
        <w:jc w:val="center"/>
        <w:rPr>
          <w:rFonts w:hint="eastAsia"/>
          <w:color w:val="auto"/>
          <w:highlight w:val="none"/>
        </w:rPr>
      </w:pPr>
    </w:p>
    <w:p w14:paraId="66C28C0A">
      <w:pPr>
        <w:ind w:firstLine="435"/>
        <w:jc w:val="center"/>
        <w:rPr>
          <w:rFonts w:hint="eastAsia"/>
          <w:color w:val="auto"/>
          <w:highlight w:val="none"/>
        </w:rPr>
      </w:pPr>
    </w:p>
    <w:p w14:paraId="7C67725B">
      <w:pPr>
        <w:ind w:firstLine="435"/>
        <w:jc w:val="center"/>
        <w:rPr>
          <w:color w:val="auto"/>
          <w:highlight w:val="none"/>
        </w:rPr>
      </w:pPr>
    </w:p>
    <w:p w14:paraId="14B24287">
      <w:pPr>
        <w:ind w:firstLine="435"/>
        <w:jc w:val="center"/>
        <w:rPr>
          <w:color w:val="auto"/>
          <w:highlight w:val="none"/>
        </w:rPr>
      </w:pPr>
    </w:p>
    <w:p w14:paraId="71CB9C82">
      <w:pPr>
        <w:ind w:firstLine="435"/>
        <w:jc w:val="center"/>
        <w:rPr>
          <w:color w:val="auto"/>
          <w:highlight w:val="none"/>
        </w:rPr>
      </w:pPr>
    </w:p>
    <w:p w14:paraId="723A7E50">
      <w:pPr>
        <w:ind w:firstLine="435"/>
        <w:jc w:val="center"/>
        <w:rPr>
          <w:rFonts w:hint="eastAsia"/>
          <w:color w:val="auto"/>
          <w:highlight w:val="none"/>
        </w:rPr>
      </w:pPr>
    </w:p>
    <w:p w14:paraId="15B6E416">
      <w:pPr>
        <w:ind w:firstLine="435"/>
        <w:jc w:val="center"/>
        <w:rPr>
          <w:rFonts w:hint="eastAsia"/>
          <w:color w:val="auto"/>
          <w:highlight w:val="none"/>
        </w:rPr>
      </w:pPr>
    </w:p>
    <w:p w14:paraId="1BF61E6C">
      <w:pPr>
        <w:ind w:firstLine="435"/>
        <w:jc w:val="center"/>
        <w:rPr>
          <w:rFonts w:hint="eastAsia"/>
          <w:color w:val="auto"/>
          <w:highlight w:val="none"/>
        </w:rPr>
      </w:pPr>
    </w:p>
    <w:p w14:paraId="322E13C5">
      <w:pPr>
        <w:ind w:firstLine="435"/>
        <w:jc w:val="center"/>
        <w:rPr>
          <w:rFonts w:hint="eastAsia"/>
          <w:color w:val="auto"/>
          <w:highlight w:val="none"/>
        </w:rPr>
      </w:pPr>
    </w:p>
    <w:p w14:paraId="08B85811">
      <w:pPr>
        <w:ind w:firstLine="435"/>
        <w:jc w:val="center"/>
        <w:rPr>
          <w:rFonts w:hint="eastAsia"/>
          <w:color w:val="auto"/>
          <w:highlight w:val="none"/>
        </w:rPr>
      </w:pPr>
    </w:p>
    <w:p w14:paraId="456CF625">
      <w:pPr>
        <w:ind w:firstLine="435"/>
        <w:jc w:val="center"/>
        <w:rPr>
          <w:rFonts w:hint="eastAsia"/>
          <w:color w:val="auto"/>
          <w:highlight w:val="none"/>
        </w:rPr>
      </w:pPr>
    </w:p>
    <w:p w14:paraId="487A43B4">
      <w:pPr>
        <w:ind w:firstLine="435"/>
        <w:jc w:val="center"/>
        <w:rPr>
          <w:rFonts w:hint="eastAsia"/>
          <w:color w:val="auto"/>
          <w:highlight w:val="none"/>
        </w:rPr>
      </w:pPr>
    </w:p>
    <w:p w14:paraId="0502DBCB">
      <w:pPr>
        <w:ind w:firstLine="435"/>
        <w:jc w:val="center"/>
        <w:rPr>
          <w:rFonts w:hint="eastAsia"/>
          <w:color w:val="auto"/>
          <w:highlight w:val="none"/>
        </w:rPr>
      </w:pPr>
    </w:p>
    <w:p w14:paraId="2656918F">
      <w:pPr>
        <w:pStyle w:val="2"/>
        <w:spacing w:before="120" w:after="120" w:line="400" w:lineRule="exact"/>
        <w:jc w:val="center"/>
        <w:rPr>
          <w:rFonts w:hint="eastAsia" w:ascii="黑体" w:hAnsi="黑体" w:eastAsia="黑体"/>
          <w:b w:val="0"/>
          <w:bCs w:val="0"/>
          <w:color w:val="auto"/>
          <w:sz w:val="32"/>
          <w:highlight w:val="none"/>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1" w:name="_Toc122602606"/>
      <w:bookmarkStart w:id="2" w:name="_Toc24050"/>
      <w:bookmarkStart w:id="3" w:name="_Toc256000000"/>
      <w:r>
        <w:rPr>
          <w:rFonts w:hint="eastAsia" w:ascii="黑体" w:hAnsi="黑体" w:eastAsia="黑体"/>
          <w:b w:val="0"/>
          <w:bCs w:val="0"/>
          <w:color w:val="auto"/>
          <w:sz w:val="48"/>
          <w:szCs w:val="48"/>
          <w:highlight w:val="none"/>
        </w:rPr>
        <w:t>第一卷</w:t>
      </w:r>
      <w:bookmarkEnd w:id="1"/>
      <w:bookmarkEnd w:id="2"/>
      <w:bookmarkEnd w:id="3"/>
    </w:p>
    <w:p w14:paraId="07065225">
      <w:pPr>
        <w:rPr>
          <w:rFonts w:hint="eastAsia"/>
          <w:color w:val="auto"/>
          <w:highlight w:val="none"/>
        </w:rPr>
      </w:pPr>
      <w:bookmarkStart w:id="4" w:name="OLE_LINK8"/>
    </w:p>
    <w:p w14:paraId="056CDEBE">
      <w:pPr>
        <w:rPr>
          <w:rFonts w:hint="eastAsia"/>
          <w:color w:val="auto"/>
          <w:highlight w:val="none"/>
        </w:rPr>
      </w:pPr>
    </w:p>
    <w:p w14:paraId="58C41672">
      <w:pPr>
        <w:rPr>
          <w:rFonts w:hint="eastAsia"/>
          <w:color w:val="auto"/>
          <w:highlight w:val="none"/>
        </w:rPr>
      </w:pPr>
    </w:p>
    <w:p w14:paraId="1E531935">
      <w:pPr>
        <w:rPr>
          <w:rFonts w:hint="eastAsia"/>
          <w:color w:val="auto"/>
          <w:highlight w:val="none"/>
        </w:rPr>
      </w:pPr>
    </w:p>
    <w:p w14:paraId="537C3AAD">
      <w:pPr>
        <w:rPr>
          <w:rFonts w:hint="eastAsia"/>
          <w:color w:val="auto"/>
          <w:highlight w:val="none"/>
        </w:rPr>
      </w:pPr>
    </w:p>
    <w:p w14:paraId="18DF0135">
      <w:pPr>
        <w:rPr>
          <w:rFonts w:hint="eastAsia"/>
          <w:color w:val="auto"/>
          <w:highlight w:val="none"/>
        </w:rPr>
      </w:pPr>
    </w:p>
    <w:p w14:paraId="3FC603F3">
      <w:pPr>
        <w:rPr>
          <w:rFonts w:hint="eastAsia"/>
          <w:color w:val="auto"/>
          <w:highlight w:val="none"/>
        </w:rPr>
      </w:pPr>
    </w:p>
    <w:p w14:paraId="7A909467">
      <w:pPr>
        <w:rPr>
          <w:rFonts w:hint="eastAsia"/>
          <w:color w:val="auto"/>
          <w:highlight w:val="none"/>
        </w:rPr>
      </w:pPr>
    </w:p>
    <w:p w14:paraId="5EB8639E">
      <w:pPr>
        <w:rPr>
          <w:rFonts w:hint="eastAsia"/>
          <w:color w:val="auto"/>
          <w:highlight w:val="none"/>
        </w:rPr>
      </w:pPr>
    </w:p>
    <w:p w14:paraId="6B0B8F10">
      <w:pPr>
        <w:rPr>
          <w:rFonts w:hint="eastAsia"/>
          <w:color w:val="auto"/>
          <w:highlight w:val="none"/>
        </w:rPr>
      </w:pPr>
    </w:p>
    <w:p w14:paraId="7789007A">
      <w:pPr>
        <w:rPr>
          <w:rFonts w:hint="eastAsia"/>
          <w:color w:val="auto"/>
          <w:highlight w:val="none"/>
        </w:rPr>
      </w:pPr>
    </w:p>
    <w:p w14:paraId="7FA671E1">
      <w:pPr>
        <w:rPr>
          <w:rFonts w:hint="eastAsia"/>
          <w:color w:val="auto"/>
          <w:highlight w:val="none"/>
        </w:rPr>
      </w:pPr>
    </w:p>
    <w:p w14:paraId="2C559D0A">
      <w:pPr>
        <w:rPr>
          <w:rFonts w:hint="eastAsia"/>
          <w:color w:val="auto"/>
          <w:highlight w:val="none"/>
        </w:rPr>
      </w:pPr>
    </w:p>
    <w:p w14:paraId="4724F7E3">
      <w:pPr>
        <w:rPr>
          <w:rFonts w:hint="eastAsia"/>
          <w:color w:val="auto"/>
          <w:highlight w:val="none"/>
        </w:rPr>
      </w:pPr>
    </w:p>
    <w:p w14:paraId="190E825F">
      <w:pPr>
        <w:rPr>
          <w:rFonts w:hint="eastAsia"/>
          <w:color w:val="auto"/>
          <w:highlight w:val="none"/>
        </w:rPr>
      </w:pPr>
    </w:p>
    <w:p w14:paraId="0D22DCF1">
      <w:pPr>
        <w:rPr>
          <w:rFonts w:hint="eastAsia"/>
          <w:color w:val="auto"/>
          <w:highlight w:val="none"/>
        </w:rPr>
      </w:pPr>
    </w:p>
    <w:p w14:paraId="4C8E0A6A">
      <w:pPr>
        <w:rPr>
          <w:rFonts w:hint="eastAsia"/>
          <w:color w:val="auto"/>
          <w:highlight w:val="none"/>
        </w:rPr>
      </w:pPr>
    </w:p>
    <w:bookmarkEnd w:id="4"/>
    <w:p w14:paraId="230D022D">
      <w:pPr>
        <w:pStyle w:val="2"/>
        <w:spacing w:before="120" w:after="120" w:line="400" w:lineRule="exact"/>
        <w:jc w:val="center"/>
        <w:rPr>
          <w:rFonts w:hint="eastAsia" w:ascii="黑体" w:hAnsi="黑体" w:eastAsia="黑体"/>
          <w:b w:val="0"/>
          <w:bCs w:val="0"/>
          <w:color w:val="auto"/>
          <w:sz w:val="32"/>
          <w:highlight w:val="none"/>
        </w:rPr>
      </w:pPr>
      <w:bookmarkStart w:id="5" w:name="_Toc152264280"/>
      <w:bookmarkStart w:id="6" w:name="_Toc529"/>
      <w:bookmarkStart w:id="7" w:name="_Toc256000001"/>
      <w:r>
        <w:rPr>
          <w:rFonts w:hint="eastAsia" w:ascii="黑体" w:hAnsi="黑体" w:eastAsia="黑体"/>
          <w:b w:val="0"/>
          <w:bCs w:val="0"/>
          <w:color w:val="auto"/>
          <w:sz w:val="32"/>
          <w:highlight w:val="none"/>
        </w:rPr>
        <w:t xml:space="preserve">第一章  </w:t>
      </w:r>
      <w:bookmarkEnd w:id="5"/>
      <w:r>
        <w:rPr>
          <w:rFonts w:hint="eastAsia" w:ascii="黑体" w:hAnsi="黑体" w:eastAsia="黑体"/>
          <w:b w:val="0"/>
          <w:bCs w:val="0"/>
          <w:color w:val="auto"/>
          <w:sz w:val="32"/>
          <w:highlight w:val="none"/>
        </w:rPr>
        <w:t>招标公告</w:t>
      </w:r>
      <w:bookmarkEnd w:id="6"/>
      <w:bookmarkEnd w:id="7"/>
    </w:p>
    <w:p w14:paraId="29EABC7B">
      <w:pPr>
        <w:rPr>
          <w:rFonts w:hint="eastAsia" w:ascii="黑体" w:hAnsi="黑体" w:eastAsia="黑体"/>
          <w:b w:val="0"/>
          <w:bCs w:val="0"/>
          <w:color w:val="auto"/>
          <w:sz w:val="32"/>
          <w:highlight w:val="none"/>
        </w:rPr>
      </w:pPr>
      <w:r>
        <w:rPr>
          <w:rFonts w:hint="eastAsia" w:ascii="黑体" w:hAnsi="黑体" w:eastAsia="黑体"/>
          <w:b w:val="0"/>
          <w:bCs w:val="0"/>
          <w:color w:val="auto"/>
          <w:sz w:val="32"/>
          <w:highlight w:val="none"/>
        </w:rPr>
        <w:br w:type="page"/>
      </w:r>
    </w:p>
    <w:p w14:paraId="64BD4E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b/>
          <w:bCs/>
          <w:color w:val="auto"/>
          <w:sz w:val="24"/>
          <w:szCs w:val="32"/>
          <w:highlight w:val="none"/>
        </w:rPr>
      </w:pPr>
      <w:r>
        <w:rPr>
          <w:rFonts w:hint="eastAsia" w:asciiTheme="majorEastAsia" w:hAnsiTheme="majorEastAsia" w:eastAsiaTheme="majorEastAsia" w:cstheme="majorEastAsia"/>
          <w:b/>
          <w:bCs/>
          <w:color w:val="auto"/>
          <w:sz w:val="24"/>
          <w:szCs w:val="32"/>
          <w:highlight w:val="none"/>
          <w:u w:val="single"/>
          <w:lang w:eastAsia="zh-CN"/>
        </w:rPr>
        <w:t>中济智造产业基础设施配套项目一期EPC工程总承包</w:t>
      </w:r>
      <w:r>
        <w:rPr>
          <w:rFonts w:hint="eastAsia" w:asciiTheme="majorEastAsia" w:hAnsiTheme="majorEastAsia" w:eastAsiaTheme="majorEastAsia" w:cstheme="majorEastAsia"/>
          <w:b/>
          <w:bCs/>
          <w:color w:val="auto"/>
          <w:sz w:val="24"/>
          <w:szCs w:val="32"/>
          <w:highlight w:val="none"/>
        </w:rPr>
        <w:t>（标段名称）</w:t>
      </w:r>
    </w:p>
    <w:p w14:paraId="6CC8511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b/>
          <w:bCs/>
          <w:color w:val="auto"/>
          <w:sz w:val="24"/>
          <w:szCs w:val="32"/>
          <w:highlight w:val="none"/>
        </w:rPr>
      </w:pPr>
      <w:r>
        <w:rPr>
          <w:rFonts w:hint="eastAsia" w:asciiTheme="majorEastAsia" w:hAnsiTheme="majorEastAsia" w:eastAsiaTheme="majorEastAsia" w:cstheme="majorEastAsia"/>
          <w:b/>
          <w:bCs/>
          <w:color w:val="auto"/>
          <w:sz w:val="24"/>
          <w:szCs w:val="32"/>
          <w:highlight w:val="none"/>
        </w:rPr>
        <w:t>招标公告</w:t>
      </w:r>
    </w:p>
    <w:p w14:paraId="15801A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color w:val="auto"/>
          <w:highlight w:val="none"/>
          <w:lang w:eastAsia="zh-CN"/>
        </w:rPr>
      </w:pPr>
    </w:p>
    <w:p w14:paraId="474E4B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color w:val="auto"/>
          <w:highlight w:val="none"/>
        </w:rPr>
      </w:pPr>
    </w:p>
    <w:p w14:paraId="524107F9">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bCs/>
          <w:color w:val="auto"/>
          <w:highlight w:val="none"/>
        </w:rPr>
      </w:pPr>
      <w:bookmarkStart w:id="8" w:name="bookmark6"/>
      <w:bookmarkEnd w:id="8"/>
      <w:r>
        <w:rPr>
          <w:rFonts w:hint="eastAsia" w:asciiTheme="majorEastAsia" w:hAnsiTheme="majorEastAsia" w:eastAsiaTheme="majorEastAsia" w:cstheme="majorEastAsia"/>
          <w:b/>
          <w:bCs/>
          <w:color w:val="auto"/>
          <w:highlight w:val="none"/>
        </w:rPr>
        <w:t>招标条件</w:t>
      </w:r>
    </w:p>
    <w:p w14:paraId="125EEF4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本招标项目</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u w:val="single"/>
          <w:lang w:eastAsia="zh-CN"/>
        </w:rPr>
        <w:t>中济智造产业基础设施配套项目</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rPr>
        <w:t>（项目名称）已由</w:t>
      </w:r>
      <w:r>
        <w:rPr>
          <w:rFonts w:hint="eastAsia" w:asciiTheme="majorEastAsia" w:hAnsiTheme="majorEastAsia" w:eastAsiaTheme="majorEastAsia" w:cstheme="majorEastAsia"/>
          <w:color w:val="auto"/>
          <w:highlight w:val="none"/>
          <w:u w:val="single"/>
        </w:rPr>
        <w:t xml:space="preserve"> 营口</w:t>
      </w:r>
      <w:r>
        <w:rPr>
          <w:rFonts w:hint="eastAsia" w:asciiTheme="majorEastAsia" w:hAnsiTheme="majorEastAsia" w:eastAsiaTheme="majorEastAsia" w:cstheme="majorEastAsia"/>
          <w:color w:val="auto"/>
          <w:highlight w:val="none"/>
          <w:u w:val="single"/>
          <w:lang w:val="en-US" w:eastAsia="zh-CN"/>
        </w:rPr>
        <w:t>北海</w:t>
      </w:r>
      <w:r>
        <w:rPr>
          <w:rFonts w:hint="eastAsia" w:asciiTheme="majorEastAsia" w:hAnsiTheme="majorEastAsia" w:eastAsiaTheme="majorEastAsia" w:cstheme="majorEastAsia"/>
          <w:color w:val="auto"/>
          <w:highlight w:val="none"/>
          <w:u w:val="single"/>
        </w:rPr>
        <w:t>经济开发区管</w:t>
      </w:r>
      <w:r>
        <w:rPr>
          <w:rFonts w:hint="eastAsia" w:asciiTheme="majorEastAsia" w:hAnsiTheme="majorEastAsia" w:eastAsiaTheme="majorEastAsia" w:cstheme="majorEastAsia"/>
          <w:color w:val="auto"/>
          <w:highlight w:val="none"/>
          <w:u w:val="single"/>
          <w:lang w:val="en-US" w:eastAsia="zh-CN"/>
        </w:rPr>
        <w:t xml:space="preserve">理委员会 </w:t>
      </w:r>
      <w:r>
        <w:rPr>
          <w:rFonts w:hint="eastAsia" w:asciiTheme="majorEastAsia" w:hAnsiTheme="majorEastAsia" w:eastAsiaTheme="majorEastAsia" w:cstheme="majorEastAsia"/>
          <w:color w:val="auto"/>
          <w:highlight w:val="none"/>
        </w:rPr>
        <w:t>（项目审批、核准或备案机关名称）以</w:t>
      </w:r>
      <w:bookmarkStart w:id="9" w:name="OLE_LINK3"/>
      <w:r>
        <w:rPr>
          <w:rFonts w:hint="eastAsia" w:asciiTheme="majorEastAsia" w:hAnsiTheme="majorEastAsia" w:eastAsiaTheme="majorEastAsia" w:cstheme="majorEastAsia"/>
          <w:color w:val="auto"/>
          <w:highlight w:val="none"/>
          <w:u w:val="single"/>
        </w:rPr>
        <w:t xml:space="preserve"> </w:t>
      </w:r>
      <w:bookmarkEnd w:id="9"/>
      <w:r>
        <w:rPr>
          <w:rFonts w:hint="eastAsia" w:asciiTheme="majorEastAsia" w:hAnsiTheme="majorEastAsia" w:eastAsiaTheme="majorEastAsia" w:cstheme="majorEastAsia"/>
          <w:color w:val="auto"/>
          <w:highlight w:val="none"/>
          <w:u w:val="single"/>
          <w:lang w:eastAsia="zh-CN"/>
        </w:rPr>
        <w:t>营北经发备【2025】48号</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rPr>
        <w:t>（批文名称及编号）批准建设，建设资金来自</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u w:val="single"/>
          <w:lang w:val="en-US" w:eastAsia="zh-CN"/>
        </w:rPr>
        <w:t>企业自筹</w:t>
      </w:r>
      <w:r>
        <w:rPr>
          <w:rFonts w:hint="eastAsia" w:asciiTheme="majorEastAsia" w:hAnsiTheme="majorEastAsia" w:eastAsiaTheme="majorEastAsia" w:cstheme="majorEastAsia"/>
          <w:color w:val="auto"/>
          <w:highlight w:val="none"/>
        </w:rPr>
        <w:t>（资金来源）， 项目出资比例为</w:t>
      </w:r>
      <w:r>
        <w:rPr>
          <w:rFonts w:hint="eastAsia" w:asciiTheme="majorEastAsia" w:hAnsiTheme="majorEastAsia" w:eastAsiaTheme="majorEastAsia" w:cstheme="majorEastAsia"/>
          <w:color w:val="auto"/>
          <w:highlight w:val="none"/>
          <w:u w:val="single"/>
          <w:lang w:val="en-US" w:eastAsia="zh-CN"/>
        </w:rPr>
        <w:t xml:space="preserve">100% </w:t>
      </w:r>
      <w:r>
        <w:rPr>
          <w:rFonts w:hint="eastAsia" w:asciiTheme="majorEastAsia" w:hAnsiTheme="majorEastAsia" w:eastAsiaTheme="majorEastAsia" w:cstheme="majorEastAsia"/>
          <w:color w:val="auto"/>
          <w:highlight w:val="none"/>
        </w:rPr>
        <w:t>，招标人为</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u w:val="single"/>
          <w:lang w:eastAsia="zh-CN"/>
        </w:rPr>
        <w:t>营口国盛中济产业开发建设有限公司</w:t>
      </w:r>
      <w:r>
        <w:rPr>
          <w:rFonts w:hint="eastAsia" w:asciiTheme="majorEastAsia" w:hAnsiTheme="majorEastAsia" w:eastAsiaTheme="majorEastAsia" w:cstheme="majorEastAsia"/>
          <w:color w:val="auto"/>
          <w:highlight w:val="none"/>
          <w:u w:val="single"/>
          <w:lang w:val="en-US" w:eastAsia="zh-CN"/>
        </w:rPr>
        <w:t xml:space="preserve"> </w:t>
      </w:r>
      <w:r>
        <w:rPr>
          <w:rFonts w:hint="eastAsia" w:asciiTheme="majorEastAsia" w:hAnsiTheme="majorEastAsia" w:eastAsiaTheme="majorEastAsia" w:cstheme="majorEastAsia"/>
          <w:color w:val="auto"/>
          <w:highlight w:val="none"/>
        </w:rPr>
        <w:t>，招标代理机构为</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u w:val="single"/>
          <w:lang w:val="en-US" w:eastAsia="zh-CN"/>
        </w:rPr>
        <w:t>辽宁咨发工程招标咨询服务有限公司</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rPr>
        <w:t>。项目已具备招标条件，现对该项目进行公开招标。</w:t>
      </w:r>
    </w:p>
    <w:p w14:paraId="21440A7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bCs/>
          <w:color w:val="auto"/>
          <w:highlight w:val="none"/>
        </w:rPr>
      </w:pPr>
      <w:bookmarkStart w:id="10" w:name="bookmark9"/>
      <w:bookmarkEnd w:id="10"/>
      <w:bookmarkStart w:id="11" w:name="bookmark8"/>
      <w:bookmarkEnd w:id="11"/>
      <w:r>
        <w:rPr>
          <w:rFonts w:hint="eastAsia" w:asciiTheme="majorEastAsia" w:hAnsiTheme="majorEastAsia" w:eastAsiaTheme="majorEastAsia" w:cstheme="majorEastAsia"/>
          <w:b/>
          <w:bCs/>
          <w:color w:val="auto"/>
          <w:kern w:val="2"/>
          <w:sz w:val="21"/>
          <w:szCs w:val="24"/>
          <w:highlight w:val="none"/>
          <w:lang w:val="en-US" w:eastAsia="zh-CN" w:bidi="ar-SA"/>
        </w:rPr>
        <w:t>2.</w:t>
      </w:r>
      <w:r>
        <w:rPr>
          <w:rFonts w:hint="eastAsia" w:asciiTheme="majorEastAsia" w:hAnsiTheme="majorEastAsia" w:eastAsiaTheme="majorEastAsia" w:cstheme="majorEastAsia"/>
          <w:b/>
          <w:bCs/>
          <w:color w:val="auto"/>
          <w:highlight w:val="none"/>
        </w:rPr>
        <w:t>项目概况与招标范围</w:t>
      </w:r>
    </w:p>
    <w:p w14:paraId="4CA853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color w:val="auto"/>
          <w:highlight w:val="none"/>
        </w:rPr>
      </w:pPr>
      <w:bookmarkStart w:id="12" w:name="OLE_LINK15"/>
      <w:r>
        <w:rPr>
          <w:rFonts w:hint="eastAsia" w:asciiTheme="majorEastAsia" w:hAnsiTheme="majorEastAsia" w:eastAsiaTheme="majorEastAsia" w:cstheme="majorEastAsia"/>
          <w:color w:val="auto"/>
          <w:highlight w:val="none"/>
        </w:rPr>
        <w:t>2.1</w:t>
      </w:r>
      <w:r>
        <w:rPr>
          <w:rFonts w:hint="eastAsia" w:asciiTheme="majorEastAsia" w:hAnsiTheme="majorEastAsia" w:eastAsiaTheme="majorEastAsia" w:cstheme="majorEastAsia"/>
          <w:color w:val="auto"/>
          <w:highlight w:val="none"/>
          <w:lang w:val="en-US" w:eastAsia="zh-CN"/>
        </w:rPr>
        <w:t xml:space="preserve"> </w:t>
      </w:r>
      <w:r>
        <w:rPr>
          <w:rFonts w:hint="eastAsia" w:asciiTheme="majorEastAsia" w:hAnsiTheme="majorEastAsia" w:eastAsiaTheme="majorEastAsia" w:cstheme="majorEastAsia"/>
          <w:color w:val="auto"/>
          <w:highlight w:val="none"/>
        </w:rPr>
        <w:t>项目概况</w:t>
      </w:r>
    </w:p>
    <w:p w14:paraId="0A61F9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建设地点：</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u w:val="single"/>
          <w:lang w:eastAsia="zh-CN"/>
        </w:rPr>
        <w:t xml:space="preserve"> 辽宁省营口市北海新区滨海公路以西，辽东湾以东</w:t>
      </w:r>
      <w:r>
        <w:rPr>
          <w:rFonts w:hint="eastAsia" w:asciiTheme="majorEastAsia" w:hAnsiTheme="majorEastAsia" w:eastAsiaTheme="majorEastAsia" w:cstheme="majorEastAsia"/>
          <w:color w:val="auto"/>
          <w:highlight w:val="none"/>
          <w:u w:val="single"/>
        </w:rPr>
        <w:t>。</w:t>
      </w:r>
      <w:r>
        <w:rPr>
          <w:rFonts w:hint="eastAsia" w:asciiTheme="majorEastAsia" w:hAnsiTheme="majorEastAsia" w:eastAsiaTheme="majorEastAsia" w:cstheme="majorEastAsia"/>
          <w:color w:val="auto"/>
          <w:highlight w:val="none"/>
        </w:rPr>
        <w:t xml:space="preserve"> </w:t>
      </w:r>
    </w:p>
    <w:p w14:paraId="288AB1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建设规模：</w:t>
      </w:r>
      <w:bookmarkStart w:id="13" w:name="OLE_LINK24"/>
      <w:r>
        <w:rPr>
          <w:rFonts w:hint="eastAsia" w:asciiTheme="majorEastAsia" w:hAnsiTheme="majorEastAsia" w:eastAsiaTheme="majorEastAsia" w:cstheme="majorEastAsia"/>
          <w:color w:val="auto"/>
          <w:highlight w:val="none"/>
          <w:u w:val="single"/>
        </w:rPr>
        <w:t xml:space="preserve"> </w:t>
      </w:r>
      <w:bookmarkEnd w:id="13"/>
      <w:r>
        <w:rPr>
          <w:rFonts w:hint="eastAsia" w:asciiTheme="majorEastAsia" w:hAnsiTheme="majorEastAsia" w:eastAsiaTheme="majorEastAsia" w:cstheme="majorEastAsia"/>
          <w:color w:val="auto"/>
          <w:highlight w:val="none"/>
          <w:u w:val="single"/>
          <w:lang w:val="en-US" w:eastAsia="zh-CN"/>
        </w:rPr>
        <w:t>项目占地约1432亩(其中一期 353.42 亩，二期 500 亩，三期578.58 亩)，总建筑面积54.6万m'(其中一期13万㎡，二期20万㎡，三期21.6万㎡)。本项目计划建设塔及管桩制造基地厂房、片转运场、叶片厂房、机舱罩厂房、智能风机总装基地厂房、风力发电机制造厂房、齿轮箱制造厂房、锂电、智慧储能及箱变厂房、综合楼、丙类垃圾站、垃圾站、化学品库及相关室外道路、绿化、堆场等。项目年综合能源消费量小于1000tce，项目年电力消费量小于500万kWh</w:t>
      </w:r>
      <w:r>
        <w:rPr>
          <w:rFonts w:hint="eastAsia" w:asciiTheme="majorEastAsia" w:hAnsiTheme="majorEastAsia" w:eastAsiaTheme="majorEastAsia" w:cstheme="majorEastAsia"/>
          <w:color w:val="auto"/>
          <w:highlight w:val="none"/>
          <w:u w:val="single"/>
        </w:rPr>
        <w:t>。</w:t>
      </w:r>
    </w:p>
    <w:p w14:paraId="793973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2.2</w:t>
      </w:r>
      <w:r>
        <w:rPr>
          <w:rFonts w:hint="eastAsia" w:asciiTheme="majorEastAsia" w:hAnsiTheme="majorEastAsia" w:eastAsiaTheme="majorEastAsia" w:cstheme="majorEastAsia"/>
          <w:color w:val="auto"/>
          <w:highlight w:val="none"/>
          <w:lang w:val="en-US" w:eastAsia="zh-CN"/>
        </w:rPr>
        <w:t xml:space="preserve"> </w:t>
      </w:r>
      <w:r>
        <w:rPr>
          <w:rFonts w:hint="eastAsia" w:asciiTheme="majorEastAsia" w:hAnsiTheme="majorEastAsia" w:eastAsiaTheme="majorEastAsia" w:cstheme="majorEastAsia"/>
          <w:color w:val="auto"/>
          <w:highlight w:val="none"/>
        </w:rPr>
        <w:t>招标范围</w:t>
      </w:r>
    </w:p>
    <w:p w14:paraId="4E70048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标段划分：</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u w:val="single"/>
          <w:lang w:val="en-US" w:eastAsia="zh-CN"/>
        </w:rPr>
        <w:t>1</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rPr>
        <w:t>标段；是否兼投：</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u w:val="single"/>
          <w:lang w:val="en-US" w:eastAsia="zh-CN"/>
        </w:rPr>
        <w:t>否</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rPr>
        <w:t>；是否兼中：</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u w:val="single"/>
          <w:lang w:val="en-US" w:eastAsia="zh-CN"/>
        </w:rPr>
        <w:t>否</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rPr>
        <w:t xml:space="preserve">。 </w:t>
      </w:r>
    </w:p>
    <w:p w14:paraId="1A75AE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计划工期/服务/供货：</w:t>
      </w:r>
      <w:r>
        <w:rPr>
          <w:rFonts w:hint="eastAsia" w:asciiTheme="majorEastAsia" w:hAnsiTheme="majorEastAsia" w:eastAsiaTheme="majorEastAsia" w:cstheme="majorEastAsia"/>
          <w:color w:val="auto"/>
          <w:highlight w:val="none"/>
          <w:u w:val="single"/>
        </w:rPr>
        <w:t xml:space="preserve"> </w:t>
      </w:r>
      <w:r>
        <w:rPr>
          <w:rFonts w:hint="eastAsia" w:ascii="宋体" w:hAnsi="宋体" w:cs="宋体"/>
          <w:color w:val="auto"/>
          <w:highlight w:val="none"/>
          <w:u w:val="single"/>
          <w:lang w:val="en-US" w:eastAsia="zh-CN"/>
        </w:rPr>
        <w:t>730</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rPr>
        <w:t>日历天</w:t>
      </w:r>
    </w:p>
    <w:p w14:paraId="284861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lang w:val="en-US"/>
        </w:rPr>
      </w:pPr>
      <w:r>
        <w:rPr>
          <w:rFonts w:hint="eastAsia" w:asciiTheme="majorEastAsia" w:hAnsiTheme="majorEastAsia" w:eastAsiaTheme="majorEastAsia" w:cstheme="majorEastAsia"/>
          <w:color w:val="auto"/>
          <w:highlight w:val="none"/>
        </w:rPr>
        <w:t>计划开工/服务开始/供货开始日期</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u w:val="single"/>
          <w:lang w:val="en-US" w:eastAsia="zh-CN"/>
        </w:rPr>
        <w:t>2025年**月**日</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rPr>
        <w:t>；计划竣工/服务结束/供货结束日期</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u w:val="single"/>
          <w:lang w:val="en-US" w:eastAsia="zh-CN"/>
        </w:rPr>
        <w:t xml:space="preserve">2027年**月**日 </w:t>
      </w:r>
      <w:r>
        <w:rPr>
          <w:rFonts w:hint="eastAsia" w:asciiTheme="majorEastAsia" w:hAnsiTheme="majorEastAsia" w:eastAsiaTheme="majorEastAsia" w:cstheme="majorEastAsia"/>
          <w:color w:val="auto"/>
          <w:highlight w:val="none"/>
          <w:lang w:val="en-US" w:eastAsia="zh-CN"/>
        </w:rPr>
        <w:t>；</w:t>
      </w:r>
    </w:p>
    <w:p w14:paraId="2703106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u w:val="single"/>
          <w:lang w:eastAsia="zh-CN"/>
        </w:rPr>
      </w:pPr>
      <w:r>
        <w:rPr>
          <w:rFonts w:hint="eastAsia" w:asciiTheme="majorEastAsia" w:hAnsiTheme="majorEastAsia" w:eastAsiaTheme="majorEastAsia" w:cstheme="majorEastAsia"/>
          <w:color w:val="auto"/>
          <w:highlight w:val="none"/>
        </w:rPr>
        <w:t>标段名称：</w:t>
      </w:r>
      <w:r>
        <w:rPr>
          <w:rFonts w:hint="eastAsia" w:asciiTheme="majorEastAsia" w:hAnsiTheme="majorEastAsia" w:eastAsiaTheme="majorEastAsia" w:cstheme="majorEastAsia"/>
          <w:color w:val="auto"/>
          <w:highlight w:val="none"/>
          <w:u w:val="single"/>
          <w:lang w:eastAsia="zh-CN"/>
        </w:rPr>
        <w:t>中济智造产业基础设施配套项目一期EPC工程总承包</w:t>
      </w:r>
    </w:p>
    <w:p w14:paraId="137956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u w:val="single"/>
          <w:lang w:val="en-US" w:eastAsia="zh-CN"/>
        </w:rPr>
      </w:pPr>
      <w:r>
        <w:rPr>
          <w:rFonts w:hint="eastAsia" w:asciiTheme="majorEastAsia" w:hAnsiTheme="majorEastAsia" w:eastAsiaTheme="majorEastAsia" w:cstheme="majorEastAsia"/>
          <w:color w:val="auto"/>
          <w:highlight w:val="none"/>
          <w:lang w:val="en-US" w:eastAsia="zh-CN"/>
        </w:rPr>
        <w:t>标段编号：</w:t>
      </w:r>
      <w:r>
        <w:rPr>
          <w:rFonts w:hint="eastAsia" w:asciiTheme="majorEastAsia" w:hAnsiTheme="majorEastAsia" w:eastAsiaTheme="majorEastAsia" w:cstheme="majorEastAsia"/>
          <w:color w:val="auto"/>
          <w:highlight w:val="none"/>
          <w:u w:val="single"/>
          <w:lang w:val="en-US" w:eastAsia="zh-CN"/>
        </w:rPr>
        <w:t xml:space="preserve">                                </w:t>
      </w:r>
    </w:p>
    <w:p w14:paraId="64A8C36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标段招标范围：</w:t>
      </w:r>
    </w:p>
    <w:p w14:paraId="4B4B7C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u w:val="single"/>
          <w:lang w:eastAsia="zh-CN"/>
        </w:rPr>
        <w:t>总建筑面积：131358.69㎡，规划建设叶片厂房、整机厂房、储能装备制造及箱变厂房、机舱罩厂房、1#化学品库、2#化学品库、1#垃圾站、食堂宿舍、门卫、1#生产厂房、化学品库、2#垃圾站等。施工图设计范围:包含但不限于建设范围内施工图设计，地基处理、场平设计、产业园施工图设计(含建筑、结构、给排水系统、水消防工程、暖通工程、电气工程、弱电工程专项设计)、景观设计及施工图预算编制，现场设代、配合实验、验收等； 建安工程及室外配套工程范围:包含不限于基础工程(含桩基础、独立基础等)、土建工程、装修工程、安装工程(钢结构安装、给排水系统、水消防工程、暖通工程、电气工程、弱电工程)、室外配套工程(道路工程、电力工程、弱电工程、照明工程、控制工程、消防报警工程、给水外线工程、雨污水外线工程、消防外线工程)、专项工程(地基处理、降排水、基坑支护等)建筑施工图所示的全部工程内容。</w:t>
      </w:r>
    </w:p>
    <w:bookmarkEnd w:id="12"/>
    <w:p w14:paraId="73660D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标段类别</w:t>
      </w:r>
      <w:r>
        <w:rPr>
          <w:rFonts w:hint="eastAsia" w:asciiTheme="majorEastAsia" w:hAnsiTheme="majorEastAsia" w:eastAsiaTheme="majorEastAsia" w:cstheme="majorEastAsia"/>
          <w:color w:val="auto"/>
          <w:highlight w:val="none"/>
          <w:u w:val="none"/>
        </w:rPr>
        <w:t>：</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u w:val="single"/>
          <w:lang w:val="en-US" w:eastAsia="zh-CN"/>
        </w:rPr>
        <w:t>工程类-工程总承包（EPC）</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rPr>
        <w:t>；标段合同估算价</w:t>
      </w:r>
      <w:r>
        <w:rPr>
          <w:rFonts w:hint="eastAsia" w:asciiTheme="majorEastAsia" w:hAnsiTheme="majorEastAsia" w:eastAsiaTheme="majorEastAsia" w:cstheme="majorEastAsia"/>
          <w:color w:val="auto"/>
          <w:highlight w:val="none"/>
          <w:u w:val="none"/>
        </w:rPr>
        <w:t>：</w:t>
      </w:r>
      <w:r>
        <w:rPr>
          <w:rFonts w:hint="eastAsia" w:ascii="宋体" w:hAnsi="宋体" w:cs="宋体"/>
          <w:color w:val="auto"/>
          <w:highlight w:val="none"/>
          <w:u w:val="single"/>
          <w:lang w:val="en-US" w:eastAsia="zh-CN"/>
        </w:rPr>
        <w:t xml:space="preserve">53007.536842 </w:t>
      </w:r>
      <w:r>
        <w:rPr>
          <w:rFonts w:hint="eastAsia" w:asciiTheme="majorEastAsia" w:hAnsiTheme="majorEastAsia" w:eastAsiaTheme="majorEastAsia" w:cstheme="majorEastAsia"/>
          <w:color w:val="auto"/>
          <w:highlight w:val="none"/>
        </w:rPr>
        <w:t>万元。</w:t>
      </w:r>
    </w:p>
    <w:p w14:paraId="60C211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保证金金额：</w:t>
      </w:r>
      <w:r>
        <w:rPr>
          <w:rFonts w:hint="eastAsia" w:asciiTheme="majorEastAsia" w:hAnsiTheme="majorEastAsia" w:eastAsiaTheme="majorEastAsia" w:cstheme="majorEastAsia"/>
          <w:color w:val="auto"/>
          <w:highlight w:val="none"/>
          <w:u w:val="single"/>
        </w:rPr>
        <w:t xml:space="preserve"> </w:t>
      </w:r>
      <w:r>
        <w:rPr>
          <w:rFonts w:hint="eastAsia" w:ascii="宋体" w:hAnsi="宋体" w:cs="宋体"/>
          <w:color w:val="auto"/>
          <w:highlight w:val="none"/>
          <w:u w:val="single"/>
          <w:lang w:val="en-US" w:eastAsia="zh-CN"/>
        </w:rPr>
        <w:t>50</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rPr>
        <w:t>万元；投标保证金缴纳方式：</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u w:val="single"/>
          <w:lang w:val="en-US" w:eastAsia="zh-CN"/>
        </w:rPr>
        <w:t>现金、保函（保险）</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rPr>
        <w:t>。</w:t>
      </w:r>
    </w:p>
    <w:p w14:paraId="3D444D3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2.3 其他：</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u w:val="single"/>
          <w:lang w:val="en-US" w:eastAsia="zh-CN"/>
        </w:rPr>
        <w:t>/</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u w:val="single"/>
          <w:lang w:val="en-US" w:eastAsia="zh-CN"/>
        </w:rPr>
        <w:t xml:space="preserve"> </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rPr>
        <w:t>。</w:t>
      </w:r>
    </w:p>
    <w:p w14:paraId="281F40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bCs/>
          <w:color w:val="auto"/>
          <w:highlight w:val="none"/>
        </w:rPr>
      </w:pPr>
      <w:bookmarkStart w:id="14" w:name="bookmark10"/>
      <w:bookmarkEnd w:id="14"/>
      <w:bookmarkStart w:id="15" w:name="bookmark11"/>
      <w:bookmarkEnd w:id="15"/>
      <w:r>
        <w:rPr>
          <w:rFonts w:hint="eastAsia" w:asciiTheme="majorEastAsia" w:hAnsiTheme="majorEastAsia" w:eastAsiaTheme="majorEastAsia" w:cstheme="majorEastAsia"/>
          <w:b/>
          <w:bCs/>
          <w:color w:val="auto"/>
          <w:highlight w:val="none"/>
        </w:rPr>
        <w:t>3.投标人资格要求</w:t>
      </w:r>
    </w:p>
    <w:p w14:paraId="6DE4A7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3.1 本次招标要求投标人须具备</w:t>
      </w:r>
      <w:r>
        <w:rPr>
          <w:rFonts w:hint="eastAsia" w:asciiTheme="majorEastAsia" w:hAnsiTheme="majorEastAsia" w:eastAsiaTheme="majorEastAsia" w:cstheme="majorEastAsia"/>
          <w:b w:val="0"/>
          <w:bCs w:val="0"/>
          <w:color w:val="auto"/>
          <w:highlight w:val="none"/>
        </w:rPr>
        <w:t xml:space="preserve"> [施工总承包·建筑工程·建筑工程</w:t>
      </w:r>
      <w:r>
        <w:rPr>
          <w:rFonts w:hint="eastAsia" w:asciiTheme="majorEastAsia" w:hAnsiTheme="majorEastAsia" w:eastAsiaTheme="majorEastAsia" w:cstheme="majorEastAsia"/>
          <w:b w:val="0"/>
          <w:bCs w:val="0"/>
          <w:color w:val="auto"/>
          <w:highlight w:val="none"/>
          <w:lang w:val="en-US" w:eastAsia="zh-CN"/>
        </w:rPr>
        <w:t>一</w:t>
      </w:r>
      <w:r>
        <w:rPr>
          <w:rFonts w:hint="eastAsia" w:asciiTheme="majorEastAsia" w:hAnsiTheme="majorEastAsia" w:eastAsiaTheme="majorEastAsia" w:cstheme="majorEastAsia"/>
          <w:b w:val="0"/>
          <w:bCs w:val="0"/>
          <w:color w:val="auto"/>
          <w:highlight w:val="none"/>
        </w:rPr>
        <w:t>级](含)以上并且([设计·综合类资质·工程设计综合资质](含)以上或者[设计·行业资质·建筑行业·建筑行业甲级]或者[设计·专业资质·建筑行业（建筑工程）·建筑行业（建筑工程）甲级])，并在人员、设备、资金等方面具有相应的设计、施工能力。</w:t>
      </w:r>
      <w:r>
        <w:rPr>
          <w:rFonts w:hint="eastAsia" w:asciiTheme="majorEastAsia" w:hAnsiTheme="majorEastAsia" w:eastAsiaTheme="majorEastAsia" w:cstheme="majorEastAsia"/>
          <w:color w:val="auto"/>
          <w:highlight w:val="none"/>
          <w:lang w:val="en-US" w:eastAsia="zh-CN"/>
        </w:rPr>
        <w:t>其中，</w:t>
      </w:r>
      <w:r>
        <w:rPr>
          <w:rFonts w:hint="eastAsia" w:asciiTheme="majorEastAsia" w:hAnsiTheme="majorEastAsia" w:eastAsiaTheme="majorEastAsia" w:cstheme="majorEastAsia"/>
          <w:color w:val="auto"/>
          <w:highlight w:val="none"/>
        </w:rPr>
        <w:t>投标人拟派项目经理须具备</w:t>
      </w:r>
      <w:r>
        <w:rPr>
          <w:rFonts w:hint="eastAsia"/>
          <w:color w:val="auto"/>
          <w:highlight w:val="none"/>
          <w:u w:val="single"/>
        </w:rPr>
        <w:t>[</w:t>
      </w:r>
      <w:r>
        <w:rPr>
          <w:rFonts w:hint="eastAsia"/>
          <w:color w:val="auto"/>
          <w:highlight w:val="none"/>
          <w:u w:val="single"/>
          <w:lang w:eastAsia="zh-CN"/>
        </w:rPr>
        <w:t>注册一级建造师</w:t>
      </w:r>
      <w:r>
        <w:rPr>
          <w:rFonts w:hint="eastAsia" w:eastAsia="宋体"/>
          <w:color w:val="auto"/>
          <w:highlight w:val="none"/>
          <w:u w:val="single"/>
        </w:rPr>
        <w:t>·建筑工程</w:t>
      </w:r>
      <w:r>
        <w:rPr>
          <w:rFonts w:hint="eastAsia"/>
          <w:color w:val="auto"/>
          <w:highlight w:val="none"/>
          <w:u w:val="single"/>
        </w:rPr>
        <w:t>](含)以上</w:t>
      </w:r>
      <w:r>
        <w:rPr>
          <w:rFonts w:hint="eastAsia" w:asciiTheme="majorEastAsia" w:hAnsiTheme="majorEastAsia" w:eastAsiaTheme="majorEastAsia" w:cstheme="majorEastAsia"/>
          <w:color w:val="auto"/>
          <w:highlight w:val="none"/>
        </w:rPr>
        <w:t>执业资格，具备有效的安全生产考核合格证书</w:t>
      </w:r>
      <w:bookmarkStart w:id="16" w:name="OLE_LINK1"/>
      <w:r>
        <w:rPr>
          <w:rFonts w:hint="eastAsia" w:asciiTheme="majorEastAsia" w:hAnsiTheme="majorEastAsia" w:eastAsiaTheme="majorEastAsia" w:cstheme="majorEastAsia"/>
          <w:color w:val="auto"/>
          <w:highlight w:val="none"/>
        </w:rPr>
        <w:t>（B证）</w:t>
      </w:r>
      <w:bookmarkEnd w:id="16"/>
      <w:r>
        <w:rPr>
          <w:rFonts w:hint="eastAsia" w:asciiTheme="majorEastAsia" w:hAnsiTheme="majorEastAsia" w:eastAsiaTheme="majorEastAsia" w:cstheme="majorEastAsia"/>
          <w:color w:val="auto"/>
          <w:highlight w:val="none"/>
        </w:rPr>
        <w:t>，</w:t>
      </w:r>
      <w:r>
        <w:rPr>
          <w:rFonts w:hint="eastAsia" w:asciiTheme="majorEastAsia" w:hAnsiTheme="majorEastAsia" w:eastAsiaTheme="majorEastAsia" w:cstheme="majorEastAsia"/>
          <w:color w:val="auto"/>
          <w:highlight w:val="none"/>
          <w:lang w:val="en-US" w:eastAsia="zh-CN"/>
        </w:rPr>
        <w:t>无在建工程</w:t>
      </w:r>
      <w:r>
        <w:rPr>
          <w:rFonts w:hint="eastAsia" w:asciiTheme="majorEastAsia" w:hAnsiTheme="majorEastAsia" w:eastAsiaTheme="majorEastAsia" w:cstheme="majorEastAsia"/>
          <w:color w:val="auto"/>
          <w:highlight w:val="none"/>
          <w:lang w:eastAsia="zh-CN"/>
        </w:rPr>
        <w:t>；</w:t>
      </w:r>
      <w:r>
        <w:rPr>
          <w:rFonts w:hint="eastAsia" w:asciiTheme="majorEastAsia" w:hAnsiTheme="majorEastAsia" w:eastAsiaTheme="majorEastAsia" w:cstheme="majorEastAsia"/>
          <w:color w:val="auto"/>
          <w:highlight w:val="none"/>
          <w:lang w:val="en-US" w:eastAsia="zh-CN"/>
        </w:rPr>
        <w:t>施工负责人须具备</w:t>
      </w:r>
      <w:r>
        <w:rPr>
          <w:rFonts w:hint="eastAsia" w:asciiTheme="majorEastAsia" w:hAnsiTheme="majorEastAsia" w:eastAsiaTheme="majorEastAsia" w:cstheme="majorEastAsia"/>
          <w:color w:val="auto"/>
          <w:highlight w:val="none"/>
          <w:u w:val="single"/>
          <w:lang w:val="en-US" w:eastAsia="zh-CN"/>
        </w:rPr>
        <w:t>[注册一级建造师·建筑工程</w:t>
      </w:r>
      <w:r>
        <w:rPr>
          <w:rFonts w:hint="eastAsia" w:asciiTheme="majorEastAsia" w:hAnsiTheme="majorEastAsia" w:eastAsiaTheme="majorEastAsia" w:cstheme="majorEastAsia"/>
          <w:color w:val="auto"/>
          <w:highlight w:val="none"/>
          <w:u w:val="single"/>
        </w:rPr>
        <w:t>]</w:t>
      </w:r>
      <w:r>
        <w:rPr>
          <w:rFonts w:hint="eastAsia"/>
          <w:color w:val="auto"/>
          <w:highlight w:val="none"/>
          <w:u w:val="single"/>
        </w:rPr>
        <w:t>(含)以上</w:t>
      </w:r>
      <w:r>
        <w:rPr>
          <w:rFonts w:hint="eastAsia" w:asciiTheme="majorEastAsia" w:hAnsiTheme="majorEastAsia" w:eastAsiaTheme="majorEastAsia" w:cstheme="majorEastAsia"/>
          <w:color w:val="auto"/>
          <w:highlight w:val="none"/>
        </w:rPr>
        <w:t>执业资格，具备有效的安全生产考核合格证书（B证）</w:t>
      </w:r>
      <w:r>
        <w:rPr>
          <w:rFonts w:hint="eastAsia" w:asciiTheme="majorEastAsia" w:hAnsiTheme="majorEastAsia" w:eastAsiaTheme="majorEastAsia" w:cstheme="majorEastAsia"/>
          <w:color w:val="auto"/>
          <w:highlight w:val="none"/>
          <w:lang w:eastAsia="zh-CN"/>
        </w:rPr>
        <w:t>，</w:t>
      </w:r>
      <w:r>
        <w:rPr>
          <w:rFonts w:hint="eastAsia" w:asciiTheme="majorEastAsia" w:hAnsiTheme="majorEastAsia" w:eastAsiaTheme="majorEastAsia" w:cstheme="majorEastAsia"/>
          <w:color w:val="auto"/>
          <w:highlight w:val="none"/>
          <w:lang w:val="en-US" w:eastAsia="zh-CN"/>
        </w:rPr>
        <w:t>无在建工程</w:t>
      </w:r>
      <w:r>
        <w:rPr>
          <w:rFonts w:hint="eastAsia" w:asciiTheme="majorEastAsia" w:hAnsiTheme="majorEastAsia" w:eastAsiaTheme="majorEastAsia" w:cstheme="majorEastAsia"/>
          <w:color w:val="auto"/>
          <w:highlight w:val="none"/>
          <w:lang w:eastAsia="zh-CN"/>
        </w:rPr>
        <w:t>；</w:t>
      </w:r>
      <w:r>
        <w:rPr>
          <w:rFonts w:hint="eastAsia" w:asciiTheme="majorEastAsia" w:hAnsiTheme="majorEastAsia" w:eastAsiaTheme="majorEastAsia" w:cstheme="majorEastAsia"/>
          <w:color w:val="auto"/>
          <w:highlight w:val="none"/>
          <w:lang w:val="en-US" w:eastAsia="zh-CN"/>
        </w:rPr>
        <w:t>设计负责人须具备</w:t>
      </w:r>
      <w:r>
        <w:rPr>
          <w:rFonts w:hint="eastAsia" w:ascii="Times New Roman" w:hAnsi="Times New Roman" w:cs="Times New Roman"/>
          <w:color w:val="auto"/>
          <w:highlight w:val="none"/>
          <w:u w:val="single"/>
        </w:rPr>
        <w:t>[注册一级建筑师]</w:t>
      </w:r>
      <w:r>
        <w:rPr>
          <w:rFonts w:hint="eastAsia"/>
          <w:color w:val="auto"/>
          <w:highlight w:val="none"/>
          <w:u w:val="single"/>
        </w:rPr>
        <w:t>(含)以上</w:t>
      </w:r>
      <w:r>
        <w:rPr>
          <w:rFonts w:hint="eastAsia" w:asciiTheme="majorEastAsia" w:hAnsiTheme="majorEastAsia" w:eastAsiaTheme="majorEastAsia" w:cstheme="majorEastAsia"/>
          <w:color w:val="auto"/>
          <w:highlight w:val="none"/>
        </w:rPr>
        <w:t>执业资格</w:t>
      </w:r>
      <w:r>
        <w:rPr>
          <w:rFonts w:hint="eastAsia" w:ascii="宋体" w:hAnsi="宋体" w:cs="宋体"/>
          <w:color w:val="auto"/>
          <w:sz w:val="24"/>
          <w:szCs w:val="24"/>
          <w:highlight w:val="none"/>
        </w:rPr>
        <w:t>，</w:t>
      </w:r>
      <w:r>
        <w:rPr>
          <w:rFonts w:hint="eastAsia" w:ascii="宋体" w:hAnsi="宋体" w:cs="宋体"/>
          <w:color w:val="auto"/>
          <w:sz w:val="21"/>
          <w:szCs w:val="21"/>
          <w:highlight w:val="none"/>
        </w:rPr>
        <w:t>且具有高级及以上职称</w:t>
      </w:r>
      <w:r>
        <w:rPr>
          <w:rFonts w:hint="eastAsia" w:ascii="宋体" w:hAnsi="宋体" w:cs="宋体"/>
          <w:color w:val="auto"/>
          <w:sz w:val="24"/>
          <w:szCs w:val="24"/>
          <w:highlight w:val="none"/>
          <w:lang w:eastAsia="zh-CN"/>
        </w:rPr>
        <w:t>。</w:t>
      </w:r>
    </w:p>
    <w:p w14:paraId="471FC68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3.2 本次招标</w:t>
      </w:r>
      <w:r>
        <w:rPr>
          <w:rFonts w:hint="eastAsia" w:asciiTheme="majorEastAsia" w:hAnsiTheme="majorEastAsia" w:eastAsiaTheme="majorEastAsia" w:cstheme="majorEastAsia"/>
          <w:color w:val="auto"/>
          <w:highlight w:val="none"/>
          <w:u w:val="single"/>
          <w:lang w:val="en-US" w:eastAsia="zh-CN"/>
        </w:rPr>
        <w:t xml:space="preserve"> </w:t>
      </w:r>
      <w:r>
        <w:rPr>
          <w:rFonts w:hint="eastAsia" w:asciiTheme="majorEastAsia" w:hAnsiTheme="majorEastAsia" w:eastAsiaTheme="majorEastAsia" w:cstheme="majorEastAsia"/>
          <w:b/>
          <w:bCs/>
          <w:color w:val="auto"/>
          <w:highlight w:val="none"/>
          <w:u w:val="single"/>
          <w:lang w:val="en-US" w:eastAsia="zh-CN"/>
        </w:rPr>
        <w:t xml:space="preserve">接受 </w:t>
      </w:r>
      <w:r>
        <w:rPr>
          <w:rFonts w:hint="eastAsia" w:asciiTheme="majorEastAsia" w:hAnsiTheme="majorEastAsia" w:eastAsiaTheme="majorEastAsia" w:cstheme="majorEastAsia"/>
          <w:color w:val="auto"/>
          <w:highlight w:val="none"/>
        </w:rPr>
        <w:t>（接受或不接受）联合体投标。联合体投标的，应满足下列要求：</w:t>
      </w:r>
      <w:r>
        <w:rPr>
          <w:rFonts w:hint="eastAsia" w:asciiTheme="majorEastAsia" w:hAnsiTheme="majorEastAsia" w:eastAsiaTheme="majorEastAsia" w:cstheme="majorEastAsia"/>
          <w:color w:val="auto"/>
          <w:spacing w:val="-3"/>
          <w:highlight w:val="none"/>
          <w:u w:val="single" w:color="auto"/>
          <w:lang w:eastAsia="zh-CN"/>
        </w:rPr>
        <w:t>（</w:t>
      </w:r>
      <w:r>
        <w:rPr>
          <w:rFonts w:hint="eastAsia" w:asciiTheme="majorEastAsia" w:hAnsiTheme="majorEastAsia" w:eastAsiaTheme="majorEastAsia" w:cstheme="majorEastAsia"/>
          <w:color w:val="auto"/>
          <w:spacing w:val="-3"/>
          <w:highlight w:val="none"/>
          <w:u w:val="single" w:color="auto"/>
          <w:lang w:val="en-US" w:eastAsia="zh-CN"/>
        </w:rPr>
        <w:t>1</w:t>
      </w:r>
      <w:r>
        <w:rPr>
          <w:rFonts w:hint="eastAsia" w:asciiTheme="majorEastAsia" w:hAnsiTheme="majorEastAsia" w:eastAsiaTheme="majorEastAsia" w:cstheme="majorEastAsia"/>
          <w:color w:val="auto"/>
          <w:spacing w:val="-3"/>
          <w:highlight w:val="none"/>
          <w:u w:val="single" w:color="auto"/>
          <w:lang w:eastAsia="zh-CN"/>
        </w:rPr>
        <w:t>）投标时须提交联合体协议，载明联合体投标代表的牵头人，本项目联合体牵头人应为具备施工总承包资质的一方。（</w:t>
      </w:r>
      <w:r>
        <w:rPr>
          <w:rFonts w:hint="eastAsia" w:asciiTheme="majorEastAsia" w:hAnsiTheme="majorEastAsia" w:eastAsiaTheme="majorEastAsia" w:cstheme="majorEastAsia"/>
          <w:color w:val="auto"/>
          <w:spacing w:val="-3"/>
          <w:highlight w:val="none"/>
          <w:u w:val="single" w:color="auto"/>
          <w:lang w:val="en-US" w:eastAsia="zh-CN"/>
        </w:rPr>
        <w:t>2</w:t>
      </w:r>
      <w:r>
        <w:rPr>
          <w:rFonts w:hint="eastAsia" w:asciiTheme="majorEastAsia" w:hAnsiTheme="majorEastAsia" w:eastAsiaTheme="majorEastAsia" w:cstheme="majorEastAsia"/>
          <w:color w:val="auto"/>
          <w:spacing w:val="-3"/>
          <w:highlight w:val="none"/>
          <w:u w:val="single" w:color="auto"/>
          <w:lang w:eastAsia="zh-CN"/>
        </w:rPr>
        <w:t>）联合体投标组成成员不超过2家（含）。（</w:t>
      </w:r>
      <w:r>
        <w:rPr>
          <w:rFonts w:hint="eastAsia" w:asciiTheme="majorEastAsia" w:hAnsiTheme="majorEastAsia" w:eastAsiaTheme="majorEastAsia" w:cstheme="majorEastAsia"/>
          <w:color w:val="auto"/>
          <w:spacing w:val="-3"/>
          <w:highlight w:val="none"/>
          <w:u w:val="single" w:color="auto"/>
          <w:lang w:val="en-US" w:eastAsia="zh-CN"/>
        </w:rPr>
        <w:t>3</w:t>
      </w:r>
      <w:r>
        <w:rPr>
          <w:rFonts w:hint="eastAsia" w:asciiTheme="majorEastAsia" w:hAnsiTheme="majorEastAsia" w:eastAsiaTheme="majorEastAsia" w:cstheme="majorEastAsia"/>
          <w:color w:val="auto"/>
          <w:spacing w:val="-3"/>
          <w:highlight w:val="none"/>
          <w:u w:val="single" w:color="auto"/>
          <w:lang w:eastAsia="zh-CN"/>
        </w:rPr>
        <w:t>）设计单位和施工单位组成联合体的，应当在联合体协议中明确联合体成员单位的工作范围、责任和权利。联合体各方应当共同与招标人签订工程总承包合同，就工程总承包项目承担连带责任。（</w:t>
      </w:r>
      <w:r>
        <w:rPr>
          <w:rFonts w:hint="eastAsia" w:asciiTheme="majorEastAsia" w:hAnsiTheme="majorEastAsia" w:eastAsiaTheme="majorEastAsia" w:cstheme="majorEastAsia"/>
          <w:color w:val="auto"/>
          <w:spacing w:val="-3"/>
          <w:highlight w:val="none"/>
          <w:u w:val="single" w:color="auto"/>
          <w:lang w:val="en-US" w:eastAsia="zh-CN"/>
        </w:rPr>
        <w:t>4</w:t>
      </w:r>
      <w:r>
        <w:rPr>
          <w:rFonts w:hint="eastAsia" w:asciiTheme="majorEastAsia" w:hAnsiTheme="majorEastAsia" w:eastAsiaTheme="majorEastAsia" w:cstheme="majorEastAsia"/>
          <w:color w:val="auto"/>
          <w:spacing w:val="-3"/>
          <w:highlight w:val="none"/>
          <w:u w:val="single" w:color="auto"/>
          <w:lang w:eastAsia="zh-CN"/>
        </w:rPr>
        <w:t>）联合体各方不得再以自己名义单独或参加其他联合体在本招标项目中投标。</w:t>
      </w:r>
    </w:p>
    <w:p w14:paraId="3545805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u w:val="single" w:color="auto"/>
        </w:rPr>
      </w:pPr>
      <w:r>
        <w:rPr>
          <w:rFonts w:hint="eastAsia" w:asciiTheme="majorEastAsia" w:hAnsiTheme="majorEastAsia" w:eastAsiaTheme="majorEastAsia" w:cstheme="majorEastAsia"/>
          <w:color w:val="auto"/>
          <w:highlight w:val="none"/>
        </w:rPr>
        <w:t>3.3 其他要求：</w:t>
      </w:r>
      <w:r>
        <w:rPr>
          <w:rFonts w:hint="eastAsia" w:asciiTheme="majorEastAsia" w:hAnsiTheme="majorEastAsia" w:eastAsiaTheme="majorEastAsia" w:cstheme="majorEastAsia"/>
          <w:color w:val="auto"/>
          <w:spacing w:val="2"/>
          <w:highlight w:val="none"/>
          <w:u w:val="single" w:color="auto"/>
        </w:rPr>
        <w:t>人员要求：（1）项目总负责人（EPC项目经理）要求：1）具有建筑工程专业一级注册建造师资格；2）具备有效的安全生产考核合格证书</w:t>
      </w:r>
      <w:r>
        <w:rPr>
          <w:rFonts w:hint="eastAsia" w:asciiTheme="majorEastAsia" w:hAnsiTheme="majorEastAsia" w:eastAsiaTheme="majorEastAsia" w:cstheme="majorEastAsia"/>
          <w:color w:val="auto"/>
          <w:highlight w:val="none"/>
          <w:u w:val="single"/>
        </w:rPr>
        <w:t>（B证）</w:t>
      </w:r>
      <w:r>
        <w:rPr>
          <w:rFonts w:hint="eastAsia" w:asciiTheme="majorEastAsia" w:hAnsiTheme="majorEastAsia" w:eastAsiaTheme="majorEastAsia" w:cstheme="majorEastAsia"/>
          <w:color w:val="auto"/>
          <w:spacing w:val="2"/>
          <w:highlight w:val="none"/>
          <w:u w:val="single" w:color="auto"/>
        </w:rPr>
        <w:t>；3）无在建工程（二次刷卡验证结果为通过）。（2）设计负责人要求：1）具有一级注册建筑师资格，且具有高级及以上职称。（3）施工负责人要求：1）具有建筑工程专业一级注册建造师资格；2）具备有效的安全生产考核合格证书</w:t>
      </w:r>
      <w:r>
        <w:rPr>
          <w:rFonts w:hint="eastAsia" w:asciiTheme="majorEastAsia" w:hAnsiTheme="majorEastAsia" w:eastAsiaTheme="majorEastAsia" w:cstheme="majorEastAsia"/>
          <w:color w:val="auto"/>
          <w:highlight w:val="none"/>
          <w:u w:val="single"/>
        </w:rPr>
        <w:t>（B证）</w:t>
      </w:r>
      <w:r>
        <w:rPr>
          <w:rFonts w:hint="eastAsia" w:asciiTheme="majorEastAsia" w:hAnsiTheme="majorEastAsia" w:eastAsiaTheme="majorEastAsia" w:cstheme="majorEastAsia"/>
          <w:color w:val="auto"/>
          <w:spacing w:val="2"/>
          <w:highlight w:val="none"/>
          <w:u w:val="single" w:color="auto"/>
        </w:rPr>
        <w:t>；3）无在建工程；4）施工负责人可由项目总负责人（EPC项目经理）兼任。</w:t>
      </w:r>
      <w:r>
        <w:rPr>
          <w:rFonts w:hint="eastAsia" w:asciiTheme="majorEastAsia" w:hAnsiTheme="majorEastAsia" w:eastAsiaTheme="majorEastAsia" w:cstheme="majorEastAsia"/>
          <w:color w:val="auto"/>
          <w:spacing w:val="5"/>
          <w:highlight w:val="none"/>
          <w:u w:val="single" w:color="auto"/>
        </w:rPr>
        <w:t>其他要求：</w:t>
      </w:r>
      <w:r>
        <w:rPr>
          <w:rFonts w:hint="eastAsia" w:asciiTheme="majorEastAsia" w:hAnsiTheme="majorEastAsia" w:eastAsiaTheme="majorEastAsia" w:cstheme="majorEastAsia"/>
          <w:color w:val="auto"/>
          <w:spacing w:val="2"/>
          <w:highlight w:val="none"/>
          <w:u w:val="single" w:color="auto"/>
          <w:lang w:eastAsia="zh-CN"/>
        </w:rPr>
        <w:t>（</w:t>
      </w:r>
      <w:r>
        <w:rPr>
          <w:rFonts w:hint="eastAsia" w:asciiTheme="majorEastAsia" w:hAnsiTheme="majorEastAsia" w:eastAsiaTheme="majorEastAsia" w:cstheme="majorEastAsia"/>
          <w:color w:val="auto"/>
          <w:spacing w:val="2"/>
          <w:highlight w:val="none"/>
          <w:u w:val="single" w:color="auto"/>
          <w:lang w:val="en-US" w:eastAsia="zh-CN"/>
        </w:rPr>
        <w:t>1</w:t>
      </w:r>
      <w:r>
        <w:rPr>
          <w:rFonts w:hint="eastAsia" w:asciiTheme="majorEastAsia" w:hAnsiTheme="majorEastAsia" w:eastAsiaTheme="majorEastAsia" w:cstheme="majorEastAsia"/>
          <w:color w:val="auto"/>
          <w:spacing w:val="2"/>
          <w:highlight w:val="none"/>
          <w:u w:val="single" w:color="auto"/>
          <w:lang w:eastAsia="zh-CN"/>
        </w:rPr>
        <w:t>）</w:t>
      </w:r>
      <w:r>
        <w:rPr>
          <w:rFonts w:hint="eastAsia" w:asciiTheme="majorEastAsia" w:hAnsiTheme="majorEastAsia" w:eastAsiaTheme="majorEastAsia" w:cstheme="majorEastAsia"/>
          <w:color w:val="auto"/>
          <w:spacing w:val="2"/>
          <w:highlight w:val="none"/>
          <w:u w:val="single" w:color="auto"/>
        </w:rPr>
        <w:t>施工单位须具备有效的安全生产许可证</w:t>
      </w:r>
      <w:r>
        <w:rPr>
          <w:rFonts w:hint="eastAsia" w:asciiTheme="majorEastAsia" w:hAnsiTheme="majorEastAsia" w:eastAsiaTheme="majorEastAsia" w:cstheme="majorEastAsia"/>
          <w:color w:val="auto"/>
          <w:spacing w:val="2"/>
          <w:highlight w:val="none"/>
          <w:u w:val="single" w:color="auto"/>
          <w:lang w:eastAsia="zh-CN"/>
        </w:rPr>
        <w:t>。</w:t>
      </w:r>
    </w:p>
    <w:p w14:paraId="70896ED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kern w:val="2"/>
          <w:sz w:val="21"/>
          <w:szCs w:val="24"/>
          <w:highlight w:val="none"/>
          <w:lang w:val="en-US" w:eastAsia="zh-CN" w:bidi="ar-SA"/>
        </w:rPr>
      </w:pPr>
      <w:r>
        <w:rPr>
          <w:rFonts w:hint="eastAsia" w:asciiTheme="majorEastAsia" w:hAnsiTheme="majorEastAsia" w:eastAsiaTheme="majorEastAsia" w:cstheme="majorEastAsia"/>
          <w:color w:val="auto"/>
          <w:kern w:val="2"/>
          <w:sz w:val="21"/>
          <w:szCs w:val="24"/>
          <w:highlight w:val="none"/>
          <w:lang w:val="en-US" w:eastAsia="zh-CN" w:bidi="ar-SA"/>
        </w:rPr>
        <w:t>3.4 是否允许互跨专业承接同等级业务：</w:t>
      </w:r>
      <w:r>
        <w:rPr>
          <w:rFonts w:hint="eastAsia" w:asciiTheme="majorEastAsia" w:hAnsiTheme="majorEastAsia" w:eastAsiaTheme="majorEastAsia" w:cstheme="majorEastAsia"/>
          <w:color w:val="auto"/>
          <w:kern w:val="2"/>
          <w:sz w:val="21"/>
          <w:szCs w:val="24"/>
          <w:highlight w:val="none"/>
          <w:u w:val="single"/>
          <w:lang w:val="en-US" w:eastAsia="zh-CN" w:bidi="ar-SA"/>
        </w:rPr>
        <w:t xml:space="preserve">   否   </w:t>
      </w:r>
      <w:r>
        <w:rPr>
          <w:rFonts w:hint="eastAsia" w:asciiTheme="majorEastAsia" w:hAnsiTheme="majorEastAsia" w:eastAsiaTheme="majorEastAsia" w:cstheme="majorEastAsia"/>
          <w:color w:val="auto"/>
          <w:kern w:val="2"/>
          <w:sz w:val="21"/>
          <w:szCs w:val="24"/>
          <w:highlight w:val="none"/>
          <w:lang w:val="en-US" w:eastAsia="zh-CN" w:bidi="ar-SA"/>
        </w:rPr>
        <w:t xml:space="preserve">。     </w:t>
      </w:r>
    </w:p>
    <w:p w14:paraId="72D5479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kern w:val="2"/>
          <w:sz w:val="21"/>
          <w:szCs w:val="24"/>
          <w:highlight w:val="none"/>
          <w:lang w:val="en-US" w:eastAsia="zh-CN" w:bidi="ar-SA"/>
        </w:rPr>
      </w:pPr>
      <w:r>
        <w:rPr>
          <w:rFonts w:hint="eastAsia" w:asciiTheme="majorEastAsia" w:hAnsiTheme="majorEastAsia" w:eastAsiaTheme="majorEastAsia" w:cstheme="majorEastAsia"/>
          <w:color w:val="auto"/>
          <w:kern w:val="2"/>
          <w:sz w:val="21"/>
          <w:szCs w:val="24"/>
          <w:highlight w:val="none"/>
          <w:lang w:val="en-US" w:eastAsia="zh-CN" w:bidi="ar-SA"/>
        </w:rPr>
        <w:t>3.5 需联合体投标，且联合体中中小企业合同份额占总合同额30%以上：</w:t>
      </w:r>
      <w:r>
        <w:rPr>
          <w:rFonts w:hint="eastAsia" w:asciiTheme="majorEastAsia" w:hAnsiTheme="majorEastAsia" w:eastAsiaTheme="majorEastAsia" w:cstheme="majorEastAsia"/>
          <w:color w:val="auto"/>
          <w:kern w:val="2"/>
          <w:sz w:val="21"/>
          <w:szCs w:val="24"/>
          <w:highlight w:val="none"/>
          <w:u w:val="single"/>
          <w:lang w:val="en-US" w:eastAsia="zh-CN" w:bidi="ar-SA"/>
        </w:rPr>
        <w:t xml:space="preserve">  否  </w:t>
      </w:r>
      <w:r>
        <w:rPr>
          <w:rFonts w:hint="eastAsia" w:asciiTheme="majorEastAsia" w:hAnsiTheme="majorEastAsia" w:eastAsiaTheme="majorEastAsia" w:cstheme="majorEastAsia"/>
          <w:color w:val="auto"/>
          <w:kern w:val="2"/>
          <w:sz w:val="21"/>
          <w:szCs w:val="24"/>
          <w:highlight w:val="none"/>
          <w:lang w:val="en-US" w:eastAsia="zh-CN" w:bidi="ar-SA"/>
        </w:rPr>
        <w:t>。</w:t>
      </w:r>
    </w:p>
    <w:p w14:paraId="214BD9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bCs/>
          <w:color w:val="auto"/>
          <w:highlight w:val="none"/>
        </w:rPr>
      </w:pPr>
      <w:bookmarkStart w:id="17" w:name="bookmark13"/>
      <w:bookmarkEnd w:id="17"/>
      <w:bookmarkStart w:id="18" w:name="bookmark12"/>
      <w:bookmarkEnd w:id="18"/>
      <w:r>
        <w:rPr>
          <w:rFonts w:hint="eastAsia" w:asciiTheme="majorEastAsia" w:hAnsiTheme="majorEastAsia" w:eastAsiaTheme="majorEastAsia" w:cstheme="majorEastAsia"/>
          <w:b/>
          <w:bCs/>
          <w:color w:val="auto"/>
          <w:highlight w:val="none"/>
        </w:rPr>
        <w:t>4.招标文件的获取</w:t>
      </w:r>
    </w:p>
    <w:p w14:paraId="7F83BB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4.1  凡有意参加投标者（若为联合体投标，指联合体所有成员），应当在主体信息库进行注册登记（具体参见主体信息库注册操作指南）。</w:t>
      </w:r>
    </w:p>
    <w:p w14:paraId="1283AA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4.2 完成注册登记后，请于</w:t>
      </w:r>
      <w:r>
        <w:rPr>
          <w:rFonts w:hint="eastAsia" w:asciiTheme="majorEastAsia" w:hAnsiTheme="majorEastAsia" w:eastAsiaTheme="majorEastAsia" w:cstheme="majorEastAsia"/>
          <w:color w:val="auto"/>
          <w:highlight w:val="none"/>
          <w:u w:val="none"/>
        </w:rPr>
        <w:t xml:space="preserve"> 2025年</w:t>
      </w:r>
      <w:r>
        <w:rPr>
          <w:rFonts w:hint="eastAsia" w:ascii="宋体" w:hAnsi="宋体" w:cs="宋体"/>
          <w:color w:val="auto"/>
          <w:highlight w:val="none"/>
          <w:u w:val="single"/>
          <w:lang w:val="en-US" w:eastAsia="zh-CN"/>
        </w:rPr>
        <w:t>XX</w:t>
      </w:r>
      <w:r>
        <w:rPr>
          <w:rFonts w:hint="eastAsia" w:asciiTheme="majorEastAsia" w:hAnsiTheme="majorEastAsia" w:eastAsiaTheme="majorEastAsia" w:cstheme="majorEastAsia"/>
          <w:color w:val="auto"/>
          <w:highlight w:val="none"/>
          <w:u w:val="none"/>
        </w:rPr>
        <w:t>月</w:t>
      </w:r>
      <w:r>
        <w:rPr>
          <w:rFonts w:hint="eastAsia" w:asciiTheme="majorEastAsia" w:hAnsiTheme="majorEastAsia" w:eastAsiaTheme="majorEastAsia" w:cstheme="majorEastAsia"/>
          <w:color w:val="auto"/>
          <w:highlight w:val="none"/>
          <w:u w:val="none"/>
          <w:lang w:val="en-US" w:eastAsia="zh-CN"/>
        </w:rPr>
        <w:t>**</w:t>
      </w:r>
      <w:r>
        <w:rPr>
          <w:rFonts w:hint="eastAsia" w:asciiTheme="majorEastAsia" w:hAnsiTheme="majorEastAsia" w:eastAsiaTheme="majorEastAsia" w:cstheme="majorEastAsia"/>
          <w:color w:val="auto"/>
          <w:highlight w:val="none"/>
          <w:u w:val="none"/>
        </w:rPr>
        <w:t>日08时00分至2025年</w:t>
      </w:r>
      <w:r>
        <w:rPr>
          <w:rFonts w:hint="eastAsia" w:ascii="宋体" w:hAnsi="宋体" w:cs="宋体"/>
          <w:color w:val="auto"/>
          <w:highlight w:val="none"/>
          <w:u w:val="single"/>
          <w:lang w:val="en-US" w:eastAsia="zh-CN"/>
        </w:rPr>
        <w:t>XX</w:t>
      </w:r>
      <w:r>
        <w:rPr>
          <w:rFonts w:hint="eastAsia" w:asciiTheme="majorEastAsia" w:hAnsiTheme="majorEastAsia" w:eastAsiaTheme="majorEastAsia" w:cstheme="majorEastAsia"/>
          <w:color w:val="auto"/>
          <w:highlight w:val="none"/>
          <w:u w:val="none"/>
        </w:rPr>
        <w:t>月</w:t>
      </w:r>
      <w:r>
        <w:rPr>
          <w:rFonts w:hint="eastAsia" w:asciiTheme="majorEastAsia" w:hAnsiTheme="majorEastAsia" w:eastAsiaTheme="majorEastAsia" w:cstheme="majorEastAsia"/>
          <w:color w:val="auto"/>
          <w:highlight w:val="none"/>
          <w:u w:val="none"/>
          <w:lang w:val="en-US" w:eastAsia="zh-CN"/>
        </w:rPr>
        <w:t>**</w:t>
      </w:r>
      <w:r>
        <w:rPr>
          <w:rFonts w:hint="eastAsia" w:asciiTheme="majorEastAsia" w:hAnsiTheme="majorEastAsia" w:eastAsiaTheme="majorEastAsia" w:cstheme="majorEastAsia"/>
          <w:color w:val="auto"/>
          <w:highlight w:val="none"/>
          <w:u w:val="none"/>
        </w:rPr>
        <w:t>日1</w:t>
      </w:r>
      <w:r>
        <w:rPr>
          <w:rFonts w:hint="eastAsia" w:asciiTheme="majorEastAsia" w:hAnsiTheme="majorEastAsia" w:eastAsiaTheme="majorEastAsia" w:cstheme="majorEastAsia"/>
          <w:color w:val="auto"/>
          <w:highlight w:val="none"/>
          <w:u w:val="none"/>
          <w:lang w:val="en-US" w:eastAsia="zh-CN"/>
        </w:rPr>
        <w:t>7</w:t>
      </w:r>
      <w:r>
        <w:rPr>
          <w:rFonts w:hint="eastAsia" w:asciiTheme="majorEastAsia" w:hAnsiTheme="majorEastAsia" w:eastAsiaTheme="majorEastAsia" w:cstheme="majorEastAsia"/>
          <w:color w:val="auto"/>
          <w:highlight w:val="none"/>
          <w:u w:val="none"/>
        </w:rPr>
        <w:t>时00分止</w:t>
      </w:r>
      <w:r>
        <w:rPr>
          <w:rFonts w:hint="eastAsia" w:asciiTheme="majorEastAsia" w:hAnsiTheme="majorEastAsia" w:eastAsiaTheme="majorEastAsia" w:cstheme="majorEastAsia"/>
          <w:color w:val="auto"/>
          <w:highlight w:val="none"/>
          <w:lang w:eastAsia="zh-CN"/>
        </w:rPr>
        <w:t>（</w:t>
      </w:r>
      <w:r>
        <w:rPr>
          <w:rFonts w:hint="eastAsia" w:asciiTheme="majorEastAsia" w:hAnsiTheme="majorEastAsia" w:eastAsiaTheme="majorEastAsia" w:cstheme="majorEastAsia"/>
          <w:color w:val="auto"/>
          <w:highlight w:val="none"/>
        </w:rPr>
        <w:t>北京时间、下同</w:t>
      </w:r>
      <w:r>
        <w:rPr>
          <w:rFonts w:hint="eastAsia" w:asciiTheme="majorEastAsia" w:hAnsiTheme="majorEastAsia" w:eastAsiaTheme="majorEastAsia" w:cstheme="majorEastAsia"/>
          <w:color w:val="auto"/>
          <w:highlight w:val="none"/>
          <w:lang w:eastAsia="zh-CN"/>
        </w:rPr>
        <w:t>），</w:t>
      </w:r>
      <w:r>
        <w:rPr>
          <w:rFonts w:hint="eastAsia" w:asciiTheme="majorEastAsia" w:hAnsiTheme="majorEastAsia" w:eastAsiaTheme="majorEastAsia" w:cstheme="majorEastAsia"/>
          <w:color w:val="auto"/>
          <w:highlight w:val="none"/>
        </w:rPr>
        <w:t>通过</w:t>
      </w:r>
      <w:r>
        <w:rPr>
          <w:rFonts w:hint="eastAsia" w:asciiTheme="majorEastAsia" w:hAnsiTheme="majorEastAsia" w:eastAsiaTheme="majorEastAsia" w:cstheme="majorEastAsia"/>
          <w:color w:val="auto"/>
          <w:highlight w:val="none"/>
          <w:u w:val="single"/>
        </w:rPr>
        <w:t>辽宁工程咨询招投标交易平台</w:t>
      </w:r>
      <w:r>
        <w:rPr>
          <w:rFonts w:hint="eastAsia" w:asciiTheme="majorEastAsia" w:hAnsiTheme="majorEastAsia" w:eastAsiaTheme="majorEastAsia" w:cstheme="majorEastAsia"/>
          <w:color w:val="auto"/>
          <w:highlight w:val="none"/>
          <w:u w:val="single"/>
          <w:lang w:eastAsia="zh-CN"/>
        </w:rPr>
        <w:t>（</w:t>
      </w:r>
      <w:r>
        <w:rPr>
          <w:rFonts w:hint="eastAsia" w:asciiTheme="majorEastAsia" w:hAnsiTheme="majorEastAsia" w:eastAsiaTheme="majorEastAsia" w:cstheme="majorEastAsia"/>
          <w:color w:val="auto"/>
          <w:highlight w:val="none"/>
          <w:u w:val="single"/>
        </w:rPr>
        <w:t>投标盲盒工具</w:t>
      </w:r>
      <w:r>
        <w:rPr>
          <w:rFonts w:hint="eastAsia" w:asciiTheme="majorEastAsia" w:hAnsiTheme="majorEastAsia" w:eastAsiaTheme="majorEastAsia" w:cstheme="majorEastAsia"/>
          <w:color w:val="auto"/>
          <w:highlight w:val="none"/>
          <w:u w:val="single"/>
        </w:rPr>
        <w:fldChar w:fldCharType="begin"/>
      </w:r>
      <w:r>
        <w:rPr>
          <w:rFonts w:hint="eastAsia" w:asciiTheme="majorEastAsia" w:hAnsiTheme="majorEastAsia" w:eastAsiaTheme="majorEastAsia" w:cstheme="majorEastAsia"/>
          <w:color w:val="auto"/>
          <w:highlight w:val="none"/>
          <w:u w:val="single"/>
        </w:rPr>
        <w:instrText xml:space="preserve"> HYPERLINK "https://nxbox.Inzb.com:8888/#/login" </w:instrText>
      </w:r>
      <w:r>
        <w:rPr>
          <w:rFonts w:hint="eastAsia" w:asciiTheme="majorEastAsia" w:hAnsiTheme="majorEastAsia" w:eastAsiaTheme="majorEastAsia" w:cstheme="majorEastAsia"/>
          <w:color w:val="auto"/>
          <w:highlight w:val="none"/>
          <w:u w:val="single"/>
        </w:rPr>
        <w:fldChar w:fldCharType="separate"/>
      </w:r>
      <w:r>
        <w:rPr>
          <w:rFonts w:hint="eastAsia" w:asciiTheme="majorEastAsia" w:hAnsiTheme="majorEastAsia" w:eastAsiaTheme="majorEastAsia" w:cstheme="majorEastAsia"/>
          <w:color w:val="auto"/>
          <w:highlight w:val="none"/>
          <w:u w:val="single"/>
        </w:rPr>
        <w:t>https://nxbox.Inzb.com:8888/#/login</w:t>
      </w:r>
      <w:r>
        <w:rPr>
          <w:rFonts w:hint="eastAsia" w:asciiTheme="majorEastAsia" w:hAnsiTheme="majorEastAsia" w:eastAsiaTheme="majorEastAsia" w:cstheme="majorEastAsia"/>
          <w:color w:val="auto"/>
          <w:highlight w:val="none"/>
          <w:u w:val="single"/>
        </w:rPr>
        <w:fldChar w:fldCharType="end"/>
      </w:r>
      <w:r>
        <w:rPr>
          <w:rFonts w:hint="eastAsia" w:asciiTheme="majorEastAsia" w:hAnsiTheme="majorEastAsia" w:eastAsiaTheme="majorEastAsia" w:cstheme="majorEastAsia"/>
          <w:color w:val="auto"/>
          <w:highlight w:val="none"/>
          <w:u w:val="single"/>
          <w:lang w:eastAsia="zh-CN"/>
        </w:rPr>
        <w:t>）</w:t>
      </w:r>
      <w:r>
        <w:rPr>
          <w:rFonts w:hint="eastAsia" w:asciiTheme="majorEastAsia" w:hAnsiTheme="majorEastAsia" w:eastAsiaTheme="majorEastAsia" w:cstheme="majorEastAsia"/>
          <w:color w:val="auto"/>
          <w:highlight w:val="none"/>
          <w:lang w:eastAsia="zh-CN"/>
        </w:rPr>
        <w:t>，</w:t>
      </w:r>
      <w:r>
        <w:rPr>
          <w:rFonts w:hint="eastAsia" w:asciiTheme="majorEastAsia" w:hAnsiTheme="majorEastAsia" w:eastAsiaTheme="majorEastAsia" w:cstheme="majorEastAsia"/>
          <w:color w:val="auto"/>
          <w:highlight w:val="none"/>
        </w:rPr>
        <w:t xml:space="preserve"> 在所投标段进行资格确认并下载招标文件。联合体投标的，由联合体牵头人下载招标文件。</w:t>
      </w:r>
    </w:p>
    <w:p w14:paraId="557685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bCs/>
          <w:color w:val="auto"/>
          <w:highlight w:val="none"/>
        </w:rPr>
      </w:pPr>
      <w:bookmarkStart w:id="19" w:name="bookmark14"/>
      <w:bookmarkEnd w:id="19"/>
      <w:bookmarkStart w:id="20" w:name="bookmark15"/>
      <w:bookmarkEnd w:id="20"/>
      <w:r>
        <w:rPr>
          <w:rFonts w:hint="eastAsia" w:asciiTheme="majorEastAsia" w:hAnsiTheme="majorEastAsia" w:eastAsiaTheme="majorEastAsia" w:cstheme="majorEastAsia"/>
          <w:b/>
          <w:bCs/>
          <w:color w:val="auto"/>
          <w:highlight w:val="none"/>
        </w:rPr>
        <w:t>5.投标文件的递交</w:t>
      </w:r>
    </w:p>
    <w:p w14:paraId="1B9953A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b w:val="0"/>
          <w:bCs w:val="0"/>
          <w:color w:val="auto"/>
          <w:highlight w:val="none"/>
          <w:lang w:val="en-US" w:eastAsia="zh-CN"/>
        </w:rPr>
      </w:pPr>
      <w:r>
        <w:rPr>
          <w:rFonts w:hint="eastAsia" w:asciiTheme="majorEastAsia" w:hAnsiTheme="majorEastAsia" w:eastAsiaTheme="majorEastAsia" w:cstheme="majorEastAsia"/>
          <w:b w:val="0"/>
          <w:bCs w:val="0"/>
          <w:color w:val="auto"/>
          <w:highlight w:val="none"/>
          <w:lang w:val="en-US" w:eastAsia="zh-CN"/>
        </w:rPr>
        <w:t>5.1 投标文件递交截止时间为：2025年</w:t>
      </w:r>
      <w:r>
        <w:rPr>
          <w:rFonts w:hint="eastAsia" w:ascii="宋体" w:hAnsi="宋体" w:cs="宋体"/>
          <w:color w:val="auto"/>
          <w:highlight w:val="none"/>
          <w:u w:val="single"/>
          <w:lang w:val="en-US" w:eastAsia="zh-CN"/>
        </w:rPr>
        <w:t>XX</w:t>
      </w:r>
      <w:r>
        <w:rPr>
          <w:rFonts w:hint="eastAsia" w:asciiTheme="majorEastAsia" w:hAnsiTheme="majorEastAsia" w:eastAsiaTheme="majorEastAsia" w:cstheme="majorEastAsia"/>
          <w:b w:val="0"/>
          <w:bCs w:val="0"/>
          <w:color w:val="auto"/>
          <w:highlight w:val="none"/>
          <w:lang w:val="en-US" w:eastAsia="zh-CN"/>
        </w:rPr>
        <w:t>月**日09:30。</w:t>
      </w:r>
    </w:p>
    <w:p w14:paraId="2372CD6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b w:val="0"/>
          <w:bCs w:val="0"/>
          <w:color w:val="auto"/>
          <w:highlight w:val="none"/>
          <w:lang w:val="en-US" w:eastAsia="zh-CN"/>
        </w:rPr>
      </w:pPr>
      <w:r>
        <w:rPr>
          <w:rFonts w:hint="eastAsia" w:asciiTheme="majorEastAsia" w:hAnsiTheme="majorEastAsia" w:eastAsiaTheme="majorEastAsia" w:cstheme="majorEastAsia"/>
          <w:b w:val="0"/>
          <w:bCs w:val="0"/>
          <w:color w:val="auto"/>
          <w:highlight w:val="none"/>
          <w:lang w:val="en-US" w:eastAsia="zh-CN"/>
        </w:rPr>
        <w:t>5.2 投标人应当在投标截止时间前，通过辽宁工程咨询招投标交易平台（投标盲盒工具</w:t>
      </w:r>
      <w:r>
        <w:rPr>
          <w:rFonts w:hint="eastAsia" w:asciiTheme="majorEastAsia" w:hAnsiTheme="majorEastAsia" w:eastAsiaTheme="majorEastAsia" w:cstheme="majorEastAsia"/>
          <w:b w:val="0"/>
          <w:bCs w:val="0"/>
          <w:color w:val="auto"/>
          <w:highlight w:val="none"/>
          <w:lang w:val="en-US" w:eastAsia="zh-CN"/>
        </w:rPr>
        <w:fldChar w:fldCharType="begin"/>
      </w:r>
      <w:r>
        <w:rPr>
          <w:rFonts w:hint="eastAsia" w:asciiTheme="majorEastAsia" w:hAnsiTheme="majorEastAsia" w:eastAsiaTheme="majorEastAsia" w:cstheme="majorEastAsia"/>
          <w:b w:val="0"/>
          <w:bCs w:val="0"/>
          <w:color w:val="auto"/>
          <w:highlight w:val="none"/>
          <w:lang w:val="en-US" w:eastAsia="zh-CN"/>
        </w:rPr>
        <w:instrText xml:space="preserve"> HYPERLINK "https://dts.Inzb.com:8888/zjt-bid/。5.4" </w:instrText>
      </w:r>
      <w:r>
        <w:rPr>
          <w:rFonts w:hint="eastAsia" w:asciiTheme="majorEastAsia" w:hAnsiTheme="majorEastAsia" w:eastAsiaTheme="majorEastAsia" w:cstheme="majorEastAsia"/>
          <w:b w:val="0"/>
          <w:bCs w:val="0"/>
          <w:color w:val="auto"/>
          <w:highlight w:val="none"/>
          <w:lang w:val="en-US" w:eastAsia="zh-CN"/>
        </w:rPr>
        <w:fldChar w:fldCharType="separate"/>
      </w:r>
      <w:r>
        <w:rPr>
          <w:rFonts w:hint="eastAsia" w:asciiTheme="majorEastAsia" w:hAnsiTheme="majorEastAsia" w:eastAsiaTheme="majorEastAsia" w:cstheme="majorEastAsia"/>
          <w:b w:val="0"/>
          <w:bCs w:val="0"/>
          <w:color w:val="auto"/>
          <w:highlight w:val="none"/>
          <w:lang w:val="en-US" w:eastAsia="zh-CN"/>
        </w:rPr>
        <w:t>https://nxbox.Inzb.com:8888/#/1</w:t>
      </w:r>
      <w:r>
        <w:rPr>
          <w:rFonts w:hint="eastAsia" w:asciiTheme="majorEastAsia" w:hAnsiTheme="majorEastAsia" w:eastAsiaTheme="majorEastAsia" w:cstheme="majorEastAsia"/>
          <w:b w:val="0"/>
          <w:bCs w:val="0"/>
          <w:color w:val="auto"/>
          <w:highlight w:val="none"/>
          <w:lang w:val="en-US" w:eastAsia="zh-CN"/>
        </w:rPr>
        <w:fldChar w:fldCharType="end"/>
      </w:r>
      <w:r>
        <w:rPr>
          <w:rFonts w:hint="eastAsia" w:asciiTheme="majorEastAsia" w:hAnsiTheme="majorEastAsia" w:eastAsiaTheme="majorEastAsia" w:cstheme="majorEastAsia"/>
          <w:b w:val="0"/>
          <w:bCs w:val="0"/>
          <w:color w:val="auto"/>
          <w:highlight w:val="none"/>
          <w:lang w:val="en-US" w:eastAsia="zh-CN"/>
        </w:rPr>
        <w:t xml:space="preserve"> </w:t>
      </w:r>
      <w:r>
        <w:rPr>
          <w:rFonts w:hint="eastAsia" w:asciiTheme="majorEastAsia" w:hAnsiTheme="majorEastAsia" w:eastAsiaTheme="majorEastAsia" w:cstheme="majorEastAsia"/>
          <w:b w:val="0"/>
          <w:bCs w:val="0"/>
          <w:color w:val="auto"/>
          <w:highlight w:val="none"/>
          <w:lang w:val="en-US" w:eastAsia="zh-CN"/>
        </w:rPr>
        <w:fldChar w:fldCharType="begin"/>
      </w:r>
      <w:r>
        <w:rPr>
          <w:rFonts w:hint="eastAsia" w:asciiTheme="majorEastAsia" w:hAnsiTheme="majorEastAsia" w:eastAsiaTheme="majorEastAsia" w:cstheme="majorEastAsia"/>
          <w:b w:val="0"/>
          <w:bCs w:val="0"/>
          <w:color w:val="auto"/>
          <w:highlight w:val="none"/>
          <w:lang w:val="en-US" w:eastAsia="zh-CN"/>
        </w:rPr>
        <w:instrText xml:space="preserve"> HYPERLINK "https://dts.Inzb.com:8888/zjt-bid/。5.4" </w:instrText>
      </w:r>
      <w:r>
        <w:rPr>
          <w:rFonts w:hint="eastAsia" w:asciiTheme="majorEastAsia" w:hAnsiTheme="majorEastAsia" w:eastAsiaTheme="majorEastAsia" w:cstheme="majorEastAsia"/>
          <w:b w:val="0"/>
          <w:bCs w:val="0"/>
          <w:color w:val="auto"/>
          <w:highlight w:val="none"/>
          <w:lang w:val="en-US" w:eastAsia="zh-CN"/>
        </w:rPr>
        <w:fldChar w:fldCharType="separate"/>
      </w:r>
      <w:r>
        <w:rPr>
          <w:rFonts w:hint="eastAsia" w:asciiTheme="majorEastAsia" w:hAnsiTheme="majorEastAsia" w:eastAsiaTheme="majorEastAsia" w:cstheme="majorEastAsia"/>
          <w:b w:val="0"/>
          <w:bCs w:val="0"/>
          <w:color w:val="auto"/>
          <w:highlight w:val="none"/>
          <w:lang w:val="en-US" w:eastAsia="zh-CN"/>
        </w:rPr>
        <w:t>ogin</w:t>
      </w:r>
      <w:r>
        <w:rPr>
          <w:rFonts w:hint="eastAsia" w:asciiTheme="majorEastAsia" w:hAnsiTheme="majorEastAsia" w:eastAsiaTheme="majorEastAsia" w:cstheme="majorEastAsia"/>
          <w:b w:val="0"/>
          <w:bCs w:val="0"/>
          <w:color w:val="auto"/>
          <w:highlight w:val="none"/>
          <w:lang w:val="en-US" w:eastAsia="zh-CN"/>
        </w:rPr>
        <w:fldChar w:fldCharType="end"/>
      </w:r>
      <w:r>
        <w:rPr>
          <w:rFonts w:hint="eastAsia" w:asciiTheme="majorEastAsia" w:hAnsiTheme="majorEastAsia" w:eastAsiaTheme="majorEastAsia" w:cstheme="majorEastAsia"/>
          <w:b w:val="0"/>
          <w:bCs w:val="0"/>
          <w:color w:val="auto"/>
          <w:highlight w:val="none"/>
          <w:lang w:val="en-US" w:eastAsia="zh-CN"/>
        </w:rPr>
        <w:t>），选择所投标段将加密的电子投标文件上传。投标人完成投标文件上传后，电子交易系统向投标人发出电子签收凭证，递交时间以电子签收凭证载明的时间为准。逾期未完成上传或未加密的电子投标文件，招标人（电子交易系统）将拒收其投标文件。</w:t>
      </w:r>
    </w:p>
    <w:p w14:paraId="241EE2E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b w:val="0"/>
          <w:bCs w:val="0"/>
          <w:color w:val="auto"/>
          <w:highlight w:val="none"/>
          <w:lang w:val="en-US" w:eastAsia="zh-CN"/>
        </w:rPr>
      </w:pPr>
      <w:r>
        <w:rPr>
          <w:rFonts w:hint="eastAsia" w:asciiTheme="majorEastAsia" w:hAnsiTheme="majorEastAsia" w:eastAsiaTheme="majorEastAsia" w:cstheme="majorEastAsia"/>
          <w:b w:val="0"/>
          <w:bCs w:val="0"/>
          <w:color w:val="auto"/>
          <w:highlight w:val="none"/>
          <w:lang w:val="en-US" w:eastAsia="zh-CN"/>
        </w:rPr>
        <w:t>5.3开标地点：</w:t>
      </w:r>
      <w:r>
        <w:rPr>
          <w:rFonts w:hint="default" w:ascii="Arial" w:hAnsi="Arial" w:cs="Arial" w:eastAsiaTheme="majorEastAsia"/>
          <w:b w:val="0"/>
          <w:bCs w:val="0"/>
          <w:color w:val="auto"/>
          <w:highlight w:val="none"/>
          <w:u w:val="single"/>
          <w:lang w:val="en-US" w:eastAsia="zh-CN"/>
        </w:rPr>
        <w:t>辽宁省工程建设项目数字化开评标系统</w:t>
      </w:r>
      <w:r>
        <w:rPr>
          <w:rFonts w:hint="default" w:ascii="Arial" w:hAnsi="Arial" w:cs="Arial" w:eastAsiaTheme="majorEastAsia"/>
          <w:b w:val="0"/>
          <w:bCs w:val="0"/>
          <w:color w:val="auto"/>
          <w:highlight w:val="none"/>
          <w:u w:val="single"/>
          <w:lang w:val="en-US" w:eastAsia="zh-CN"/>
        </w:rPr>
        <w:fldChar w:fldCharType="begin"/>
      </w:r>
      <w:r>
        <w:rPr>
          <w:rFonts w:hint="default" w:ascii="Arial" w:hAnsi="Arial" w:cs="Arial" w:eastAsiaTheme="majorEastAsia"/>
          <w:b w:val="0"/>
          <w:bCs w:val="0"/>
          <w:color w:val="auto"/>
          <w:highlight w:val="none"/>
          <w:u w:val="single"/>
          <w:lang w:val="en-US" w:eastAsia="zh-CN"/>
        </w:rPr>
        <w:instrText xml:space="preserve"> HYPERLINK "https://dts.Inzb.com:8888/zjt-bid/。5.4" </w:instrText>
      </w:r>
      <w:r>
        <w:rPr>
          <w:rFonts w:hint="default" w:ascii="Arial" w:hAnsi="Arial" w:cs="Arial" w:eastAsiaTheme="majorEastAsia"/>
          <w:b w:val="0"/>
          <w:bCs w:val="0"/>
          <w:color w:val="auto"/>
          <w:highlight w:val="none"/>
          <w:u w:val="single"/>
          <w:lang w:val="en-US" w:eastAsia="zh-CN"/>
        </w:rPr>
        <w:fldChar w:fldCharType="separate"/>
      </w:r>
      <w:r>
        <w:rPr>
          <w:rFonts w:hint="default" w:ascii="Arial" w:hAnsi="Arial" w:cs="Arial" w:eastAsiaTheme="majorEastAsia"/>
          <w:b w:val="0"/>
          <w:bCs w:val="0"/>
          <w:color w:val="auto"/>
          <w:highlight w:val="none"/>
          <w:u w:val="single"/>
          <w:lang w:val="en-US" w:eastAsia="zh-CN"/>
        </w:rPr>
        <w:t>https://dts.Inzb.com:8888/zjt-bid/。</w:t>
      </w:r>
      <w:r>
        <w:rPr>
          <w:rFonts w:hint="default" w:ascii="Arial" w:hAnsi="Arial" w:cs="Arial" w:eastAsiaTheme="majorEastAsia"/>
          <w:b w:val="0"/>
          <w:bCs w:val="0"/>
          <w:color w:val="auto"/>
          <w:highlight w:val="none"/>
          <w:u w:val="single"/>
          <w:lang w:val="en-US" w:eastAsia="zh-CN"/>
        </w:rPr>
        <w:fldChar w:fldCharType="end"/>
      </w:r>
    </w:p>
    <w:p w14:paraId="3DEC759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b w:val="0"/>
          <w:bCs w:val="0"/>
          <w:color w:val="auto"/>
          <w:highlight w:val="none"/>
          <w:lang w:val="en-US" w:eastAsia="zh-CN"/>
        </w:rPr>
      </w:pPr>
      <w:r>
        <w:rPr>
          <w:rFonts w:hint="eastAsia" w:asciiTheme="majorEastAsia" w:hAnsiTheme="majorEastAsia" w:eastAsiaTheme="majorEastAsia" w:cstheme="majorEastAsia"/>
          <w:b w:val="0"/>
          <w:bCs w:val="0"/>
          <w:color w:val="auto"/>
          <w:highlight w:val="none"/>
          <w:lang w:val="en-US" w:eastAsia="zh-CN"/>
        </w:rPr>
        <w:fldChar w:fldCharType="begin"/>
      </w:r>
      <w:r>
        <w:rPr>
          <w:rFonts w:hint="eastAsia" w:asciiTheme="majorEastAsia" w:hAnsiTheme="majorEastAsia" w:eastAsiaTheme="majorEastAsia" w:cstheme="majorEastAsia"/>
          <w:b w:val="0"/>
          <w:bCs w:val="0"/>
          <w:color w:val="auto"/>
          <w:highlight w:val="none"/>
          <w:lang w:val="en-US" w:eastAsia="zh-CN"/>
        </w:rPr>
        <w:instrText xml:space="preserve"> HYPERLINK "https://dts.Inzb.com:8888/zjt-bid/。5.4" </w:instrText>
      </w:r>
      <w:r>
        <w:rPr>
          <w:rFonts w:hint="eastAsia" w:asciiTheme="majorEastAsia" w:hAnsiTheme="majorEastAsia" w:eastAsiaTheme="majorEastAsia" w:cstheme="majorEastAsia"/>
          <w:b w:val="0"/>
          <w:bCs w:val="0"/>
          <w:color w:val="auto"/>
          <w:highlight w:val="none"/>
          <w:lang w:val="en-US" w:eastAsia="zh-CN"/>
        </w:rPr>
        <w:fldChar w:fldCharType="separate"/>
      </w:r>
      <w:r>
        <w:rPr>
          <w:rFonts w:hint="eastAsia" w:asciiTheme="majorEastAsia" w:hAnsiTheme="majorEastAsia" w:eastAsiaTheme="majorEastAsia" w:cstheme="majorEastAsia"/>
          <w:b w:val="0"/>
          <w:bCs w:val="0"/>
          <w:color w:val="auto"/>
          <w:highlight w:val="none"/>
          <w:lang w:val="en-US" w:eastAsia="zh-CN"/>
        </w:rPr>
        <w:t>5.4</w:t>
      </w:r>
      <w:r>
        <w:rPr>
          <w:rFonts w:hint="eastAsia" w:asciiTheme="majorEastAsia" w:hAnsiTheme="majorEastAsia" w:eastAsiaTheme="majorEastAsia" w:cstheme="majorEastAsia"/>
          <w:b w:val="0"/>
          <w:bCs w:val="0"/>
          <w:color w:val="auto"/>
          <w:highlight w:val="none"/>
          <w:lang w:val="en-US" w:eastAsia="zh-CN"/>
        </w:rPr>
        <w:fldChar w:fldCharType="end"/>
      </w:r>
      <w:r>
        <w:rPr>
          <w:rFonts w:hint="eastAsia" w:asciiTheme="majorEastAsia" w:hAnsiTheme="majorEastAsia" w:eastAsiaTheme="majorEastAsia" w:cstheme="majorEastAsia"/>
          <w:b w:val="0"/>
          <w:bCs w:val="0"/>
          <w:color w:val="auto"/>
          <w:highlight w:val="none"/>
          <w:lang w:val="en-US" w:eastAsia="zh-CN"/>
        </w:rPr>
        <w:t>开标方式：</w:t>
      </w:r>
      <w:r>
        <w:rPr>
          <w:rFonts w:hint="eastAsia" w:asciiTheme="majorEastAsia" w:hAnsiTheme="majorEastAsia" w:eastAsiaTheme="majorEastAsia" w:cstheme="majorEastAsia"/>
          <w:b w:val="0"/>
          <w:bCs w:val="0"/>
          <w:color w:val="auto"/>
          <w:highlight w:val="none"/>
          <w:u w:val="single"/>
          <w:lang w:val="en-US" w:eastAsia="zh-CN"/>
        </w:rPr>
        <w:t>远程不见面</w:t>
      </w:r>
      <w:r>
        <w:rPr>
          <w:rFonts w:hint="eastAsia" w:asciiTheme="majorEastAsia" w:hAnsiTheme="majorEastAsia" w:eastAsiaTheme="majorEastAsia" w:cstheme="majorEastAsia"/>
          <w:b w:val="0"/>
          <w:bCs w:val="0"/>
          <w:color w:val="auto"/>
          <w:highlight w:val="none"/>
          <w:lang w:val="en-US" w:eastAsia="zh-CN"/>
        </w:rPr>
        <w:t>。</w:t>
      </w:r>
    </w:p>
    <w:p w14:paraId="16CE5D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bCs/>
          <w:color w:val="auto"/>
          <w:highlight w:val="none"/>
        </w:rPr>
      </w:pPr>
      <w:bookmarkStart w:id="21" w:name="bookmark17"/>
      <w:bookmarkEnd w:id="21"/>
      <w:bookmarkStart w:id="22" w:name="bookmark16"/>
      <w:bookmarkEnd w:id="22"/>
      <w:r>
        <w:rPr>
          <w:rFonts w:hint="eastAsia" w:asciiTheme="majorEastAsia" w:hAnsiTheme="majorEastAsia" w:eastAsiaTheme="majorEastAsia" w:cstheme="majorEastAsia"/>
          <w:b/>
          <w:bCs/>
          <w:color w:val="auto"/>
          <w:highlight w:val="none"/>
        </w:rPr>
        <w:t>6.投标相关事宜</w:t>
      </w:r>
    </w:p>
    <w:p w14:paraId="4010FB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u w:val="single"/>
          <w:lang w:val="en-US" w:eastAsia="zh-CN"/>
        </w:rPr>
        <w:t>招标代理联系电话：024-22828877-180</w:t>
      </w:r>
      <w:r>
        <w:rPr>
          <w:rFonts w:hint="eastAsia" w:asciiTheme="majorEastAsia" w:hAnsiTheme="majorEastAsia" w:eastAsiaTheme="majorEastAsia" w:cstheme="majorEastAsia"/>
          <w:color w:val="auto"/>
          <w:highlight w:val="none"/>
          <w:u w:val="single"/>
        </w:rPr>
        <w:tab/>
      </w:r>
      <w:r>
        <w:rPr>
          <w:rFonts w:hint="eastAsia" w:asciiTheme="majorEastAsia" w:hAnsiTheme="majorEastAsia" w:eastAsiaTheme="majorEastAsia" w:cstheme="majorEastAsia"/>
          <w:color w:val="auto"/>
          <w:highlight w:val="none"/>
        </w:rPr>
        <w:t>。</w:t>
      </w:r>
    </w:p>
    <w:p w14:paraId="348DE5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color w:val="auto"/>
          <w:highlight w:val="none"/>
        </w:rPr>
      </w:pPr>
      <w:bookmarkStart w:id="23" w:name="bookmark18"/>
      <w:bookmarkEnd w:id="23"/>
      <w:bookmarkStart w:id="24" w:name="bookmark19"/>
      <w:bookmarkEnd w:id="24"/>
      <w:r>
        <w:rPr>
          <w:rFonts w:hint="eastAsia" w:asciiTheme="majorEastAsia" w:hAnsiTheme="majorEastAsia" w:eastAsiaTheme="majorEastAsia" w:cstheme="majorEastAsia"/>
          <w:b/>
          <w:bCs/>
          <w:color w:val="auto"/>
          <w:highlight w:val="none"/>
        </w:rPr>
        <w:t>7.评标办法</w:t>
      </w:r>
    </w:p>
    <w:p w14:paraId="25BB5AA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本次招标评标办法采用</w:t>
      </w:r>
      <w:r>
        <w:rPr>
          <w:rFonts w:hint="eastAsia" w:asciiTheme="majorEastAsia" w:hAnsiTheme="majorEastAsia" w:eastAsiaTheme="majorEastAsia" w:cstheme="majorEastAsia"/>
          <w:color w:val="auto"/>
          <w:highlight w:val="none"/>
          <w:u w:val="single"/>
        </w:rPr>
        <w:t xml:space="preserve"> 综合评估法</w:t>
      </w:r>
      <w:r>
        <w:rPr>
          <w:rFonts w:hint="eastAsia" w:asciiTheme="majorEastAsia" w:hAnsiTheme="majorEastAsia" w:eastAsiaTheme="majorEastAsia" w:cstheme="majorEastAsia"/>
          <w:color w:val="auto"/>
          <w:highlight w:val="none"/>
        </w:rPr>
        <w:t>。</w:t>
      </w:r>
    </w:p>
    <w:p w14:paraId="6BF827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bCs/>
          <w:color w:val="auto"/>
          <w:highlight w:val="none"/>
        </w:rPr>
      </w:pPr>
      <w:bookmarkStart w:id="25" w:name="bookmark20"/>
      <w:bookmarkEnd w:id="25"/>
      <w:bookmarkStart w:id="26" w:name="bookmark21"/>
      <w:bookmarkEnd w:id="26"/>
      <w:r>
        <w:rPr>
          <w:rFonts w:hint="eastAsia" w:asciiTheme="majorEastAsia" w:hAnsiTheme="majorEastAsia" w:eastAsiaTheme="majorEastAsia" w:cstheme="majorEastAsia"/>
          <w:b/>
          <w:bCs/>
          <w:color w:val="auto"/>
          <w:highlight w:val="none"/>
        </w:rPr>
        <w:t>8.发布公告的媒介</w:t>
      </w:r>
    </w:p>
    <w:p w14:paraId="4D9811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heme="majorEastAsia" w:hAnsiTheme="majorEastAsia" w:eastAsiaTheme="majorEastAsia" w:cstheme="majorEastAsia"/>
          <w:strike w:val="0"/>
          <w:dstrike w:val="0"/>
          <w:color w:val="auto"/>
          <w:highlight w:val="none"/>
          <w:u w:val="none"/>
          <w:lang w:val="en-US"/>
        </w:rPr>
      </w:pPr>
      <w:r>
        <w:rPr>
          <w:rFonts w:hint="eastAsia" w:asciiTheme="majorEastAsia" w:hAnsiTheme="majorEastAsia" w:eastAsiaTheme="majorEastAsia" w:cstheme="majorEastAsia"/>
          <w:color w:val="auto"/>
          <w:highlight w:val="none"/>
          <w:u w:val="none"/>
        </w:rPr>
        <w:t>辽宁建设工程信息网、辽宁省招标投标监管网</w:t>
      </w:r>
      <w:r>
        <w:rPr>
          <w:rFonts w:hint="eastAsia" w:asciiTheme="majorEastAsia" w:hAnsiTheme="majorEastAsia" w:eastAsiaTheme="majorEastAsia" w:cstheme="majorEastAsia"/>
          <w:color w:val="auto"/>
          <w:highlight w:val="none"/>
          <w:u w:val="none"/>
          <w:lang w:eastAsia="zh-CN"/>
        </w:rPr>
        <w:t>、</w:t>
      </w:r>
      <w:r>
        <w:rPr>
          <w:rFonts w:hint="eastAsia" w:asciiTheme="majorEastAsia" w:hAnsiTheme="majorEastAsia" w:eastAsiaTheme="majorEastAsia" w:cstheme="majorEastAsia"/>
          <w:color w:val="auto"/>
          <w:highlight w:val="none"/>
          <w:u w:val="none"/>
          <w:lang w:val="en-US" w:eastAsia="zh-CN"/>
        </w:rPr>
        <w:t>中国招标投标公共服务</w:t>
      </w:r>
      <w:r>
        <w:rPr>
          <w:rFonts w:hint="eastAsia" w:asciiTheme="majorEastAsia" w:hAnsiTheme="majorEastAsia" w:eastAsiaTheme="majorEastAsia" w:cstheme="majorEastAsia"/>
          <w:strike w:val="0"/>
          <w:dstrike w:val="0"/>
          <w:color w:val="auto"/>
          <w:highlight w:val="none"/>
          <w:u w:val="none"/>
          <w:lang w:val="en-US" w:eastAsia="zh-CN"/>
        </w:rPr>
        <w:t>平台</w:t>
      </w:r>
      <w:r>
        <w:rPr>
          <w:rFonts w:hint="eastAsia" w:asciiTheme="majorEastAsia" w:hAnsiTheme="majorEastAsia" w:eastAsiaTheme="majorEastAsia" w:cstheme="majorEastAsia"/>
          <w:strike w:val="0"/>
          <w:dstrike w:val="0"/>
          <w:color w:val="auto"/>
          <w:spacing w:val="-1"/>
          <w:highlight w:val="none"/>
          <w:u w:val="none"/>
          <w:lang w:val="en-US" w:eastAsia="zh-CN"/>
        </w:rPr>
        <w:t>。</w:t>
      </w:r>
    </w:p>
    <w:p w14:paraId="5435B6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bCs/>
          <w:color w:val="auto"/>
          <w:highlight w:val="none"/>
        </w:rPr>
      </w:pPr>
      <w:bookmarkStart w:id="27" w:name="bookmark22"/>
      <w:bookmarkEnd w:id="27"/>
      <w:bookmarkStart w:id="28" w:name="bookmark23"/>
      <w:bookmarkEnd w:id="28"/>
      <w:r>
        <w:rPr>
          <w:rFonts w:hint="eastAsia" w:asciiTheme="majorEastAsia" w:hAnsiTheme="majorEastAsia" w:eastAsiaTheme="majorEastAsia" w:cstheme="majorEastAsia"/>
          <w:b/>
          <w:bCs/>
          <w:color w:val="auto"/>
          <w:highlight w:val="none"/>
        </w:rPr>
        <w:t>9.监督信息</w:t>
      </w:r>
    </w:p>
    <w:p w14:paraId="0D4A271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heme="majorEastAsia" w:hAnsiTheme="majorEastAsia" w:eastAsiaTheme="majorEastAsia" w:cstheme="majorEastAsia"/>
          <w:color w:val="auto"/>
          <w:highlight w:val="none"/>
          <w:u w:val="none"/>
        </w:rPr>
      </w:pPr>
      <w:r>
        <w:rPr>
          <w:rFonts w:hint="eastAsia" w:asciiTheme="majorEastAsia" w:hAnsiTheme="majorEastAsia" w:eastAsiaTheme="majorEastAsia" w:cstheme="majorEastAsia"/>
          <w:color w:val="auto"/>
          <w:highlight w:val="none"/>
        </w:rPr>
        <w:t>1.监督部门：</w:t>
      </w:r>
      <w:r>
        <w:rPr>
          <w:rFonts w:hint="eastAsia" w:asciiTheme="majorEastAsia" w:hAnsiTheme="majorEastAsia" w:eastAsiaTheme="majorEastAsia" w:cstheme="majorEastAsia"/>
          <w:color w:val="auto"/>
          <w:highlight w:val="none"/>
          <w:u w:val="none"/>
          <w:lang w:val="en-US" w:eastAsia="zh-CN"/>
        </w:rPr>
        <w:t>营口北海经济开发区管理委员会规划建设局</w:t>
      </w:r>
      <w:r>
        <w:rPr>
          <w:rFonts w:hint="eastAsia" w:asciiTheme="majorEastAsia" w:hAnsiTheme="majorEastAsia" w:eastAsiaTheme="majorEastAsia" w:cstheme="majorEastAsia"/>
          <w:color w:val="auto"/>
          <w:highlight w:val="none"/>
          <w:u w:val="none"/>
        </w:rPr>
        <w:t>，负责人：</w:t>
      </w:r>
      <w:r>
        <w:rPr>
          <w:rFonts w:hint="eastAsia" w:asciiTheme="majorEastAsia" w:hAnsiTheme="majorEastAsia" w:eastAsiaTheme="majorEastAsia" w:cstheme="majorEastAsia"/>
          <w:color w:val="auto"/>
          <w:highlight w:val="none"/>
          <w:u w:val="none"/>
          <w:lang w:val="en-US" w:eastAsia="zh-CN"/>
        </w:rPr>
        <w:t>苏先生</w:t>
      </w:r>
      <w:r>
        <w:rPr>
          <w:rFonts w:hint="eastAsia" w:asciiTheme="majorEastAsia" w:hAnsiTheme="majorEastAsia" w:eastAsiaTheme="majorEastAsia" w:cstheme="majorEastAsia"/>
          <w:color w:val="auto"/>
          <w:highlight w:val="none"/>
          <w:u w:val="none"/>
        </w:rPr>
        <w:t xml:space="preserve">，联系方式：0417-6578077。 </w:t>
      </w:r>
    </w:p>
    <w:p w14:paraId="4AEDBFA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2.招标负责人：</w:t>
      </w:r>
      <w:r>
        <w:rPr>
          <w:rFonts w:hint="eastAsia" w:asciiTheme="majorEastAsia" w:hAnsiTheme="majorEastAsia" w:eastAsiaTheme="majorEastAsia" w:cstheme="majorEastAsia"/>
          <w:color w:val="auto"/>
          <w:highlight w:val="none"/>
          <w:lang w:val="en-US" w:eastAsia="zh-CN"/>
        </w:rPr>
        <w:t>赵阳</w:t>
      </w:r>
      <w:r>
        <w:rPr>
          <w:rFonts w:hint="eastAsia" w:asciiTheme="majorEastAsia" w:hAnsiTheme="majorEastAsia" w:eastAsiaTheme="majorEastAsia" w:cstheme="majorEastAsia"/>
          <w:color w:val="auto"/>
          <w:highlight w:val="none"/>
        </w:rPr>
        <w:t>，联系方式：</w:t>
      </w:r>
      <w:r>
        <w:rPr>
          <w:rFonts w:hint="eastAsia" w:asciiTheme="majorEastAsia" w:hAnsiTheme="majorEastAsia" w:eastAsiaTheme="majorEastAsia" w:cstheme="majorEastAsia"/>
          <w:color w:val="auto"/>
          <w:highlight w:val="none"/>
          <w:lang w:val="en-US" w:eastAsia="zh-CN"/>
        </w:rPr>
        <w:t>0417-6578092</w:t>
      </w:r>
    </w:p>
    <w:p w14:paraId="481EA6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bCs/>
          <w:color w:val="auto"/>
          <w:highlight w:val="none"/>
        </w:rPr>
      </w:pPr>
      <w:bookmarkStart w:id="29" w:name="bookmark24"/>
      <w:bookmarkEnd w:id="29"/>
      <w:bookmarkStart w:id="30" w:name="bookmark25"/>
      <w:bookmarkEnd w:id="30"/>
      <w:r>
        <w:rPr>
          <w:rFonts w:hint="eastAsia" w:asciiTheme="majorEastAsia" w:hAnsiTheme="majorEastAsia" w:eastAsiaTheme="majorEastAsia" w:cstheme="majorEastAsia"/>
          <w:b/>
          <w:bCs/>
          <w:color w:val="auto"/>
          <w:highlight w:val="none"/>
        </w:rPr>
        <w:t>10.联系方式</w:t>
      </w:r>
    </w:p>
    <w:p w14:paraId="4F4A14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招标人：</w:t>
      </w:r>
      <w:r>
        <w:rPr>
          <w:rFonts w:hint="eastAsia" w:asciiTheme="majorEastAsia" w:hAnsiTheme="majorEastAsia" w:eastAsiaTheme="majorEastAsia" w:cstheme="majorEastAsia"/>
          <w:color w:val="auto"/>
          <w:highlight w:val="none"/>
          <w:lang w:eastAsia="zh-CN"/>
        </w:rPr>
        <w:t>营口国盛中济产业开发建设有限公司</w:t>
      </w:r>
      <w:r>
        <w:rPr>
          <w:rFonts w:hint="eastAsia" w:asciiTheme="majorEastAsia" w:hAnsiTheme="majorEastAsia" w:eastAsiaTheme="majorEastAsia" w:cstheme="majorEastAsia"/>
          <w:color w:val="auto"/>
          <w:highlight w:val="none"/>
        </w:rPr>
        <w:t xml:space="preserve">                          </w:t>
      </w:r>
    </w:p>
    <w:p w14:paraId="34C18DC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地址：</w:t>
      </w:r>
      <w:r>
        <w:rPr>
          <w:rFonts w:hint="eastAsia" w:asciiTheme="majorEastAsia" w:hAnsiTheme="majorEastAsia" w:eastAsiaTheme="majorEastAsia" w:cstheme="majorEastAsia"/>
          <w:color w:val="auto"/>
          <w:highlight w:val="none"/>
          <w:lang w:val="en-US" w:eastAsia="zh-CN"/>
        </w:rPr>
        <w:t>辽宁省营口市北海经济开发区管理委员会1033室</w:t>
      </w:r>
      <w:r>
        <w:rPr>
          <w:rFonts w:hint="eastAsia" w:asciiTheme="majorEastAsia" w:hAnsiTheme="majorEastAsia" w:eastAsiaTheme="majorEastAsia" w:cstheme="majorEastAsia"/>
          <w:color w:val="auto"/>
          <w:highlight w:val="none"/>
        </w:rPr>
        <w:t xml:space="preserve">                             </w:t>
      </w:r>
    </w:p>
    <w:p w14:paraId="487C05F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lang w:val="en-US" w:eastAsia="zh-CN"/>
        </w:rPr>
      </w:pPr>
      <w:r>
        <w:rPr>
          <w:rFonts w:hint="eastAsia" w:asciiTheme="majorEastAsia" w:hAnsiTheme="majorEastAsia" w:eastAsiaTheme="majorEastAsia" w:cstheme="majorEastAsia"/>
          <w:color w:val="auto"/>
          <w:highlight w:val="none"/>
        </w:rPr>
        <w:t>邮编：</w:t>
      </w:r>
      <w:r>
        <w:rPr>
          <w:rFonts w:hint="eastAsia" w:asciiTheme="majorEastAsia" w:hAnsiTheme="majorEastAsia" w:eastAsiaTheme="majorEastAsia" w:cstheme="majorEastAsia"/>
          <w:color w:val="auto"/>
          <w:highlight w:val="none"/>
          <w:u w:val="none"/>
          <w:lang w:val="en-US" w:eastAsia="zh-CN"/>
        </w:rPr>
        <w:t>/</w:t>
      </w:r>
    </w:p>
    <w:p w14:paraId="7D70017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lang w:val="en-US" w:eastAsia="zh-CN"/>
        </w:rPr>
      </w:pPr>
      <w:r>
        <w:rPr>
          <w:rFonts w:hint="eastAsia" w:asciiTheme="majorEastAsia" w:hAnsiTheme="majorEastAsia" w:eastAsiaTheme="majorEastAsia" w:cstheme="majorEastAsia"/>
          <w:color w:val="auto"/>
          <w:highlight w:val="none"/>
        </w:rPr>
        <w:t>联系人：</w:t>
      </w:r>
      <w:r>
        <w:rPr>
          <w:rFonts w:hint="eastAsia" w:asciiTheme="majorEastAsia" w:hAnsiTheme="majorEastAsia" w:eastAsiaTheme="majorEastAsia" w:cstheme="majorEastAsia"/>
          <w:color w:val="auto"/>
          <w:highlight w:val="none"/>
          <w:lang w:val="en-US" w:eastAsia="zh-CN"/>
        </w:rPr>
        <w:t>赵阳</w:t>
      </w:r>
    </w:p>
    <w:p w14:paraId="2A3C17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lang w:val="en-US" w:eastAsia="zh-CN"/>
        </w:rPr>
      </w:pPr>
      <w:r>
        <w:rPr>
          <w:rFonts w:hint="eastAsia" w:asciiTheme="majorEastAsia" w:hAnsiTheme="majorEastAsia" w:eastAsiaTheme="majorEastAsia" w:cstheme="majorEastAsia"/>
          <w:color w:val="auto"/>
          <w:highlight w:val="none"/>
        </w:rPr>
        <w:t>电话：</w:t>
      </w:r>
      <w:r>
        <w:rPr>
          <w:rFonts w:hint="eastAsia" w:asciiTheme="majorEastAsia" w:hAnsiTheme="majorEastAsia" w:eastAsiaTheme="majorEastAsia" w:cstheme="majorEastAsia"/>
          <w:color w:val="auto"/>
          <w:highlight w:val="none"/>
          <w:lang w:val="en-US" w:eastAsia="zh-CN"/>
        </w:rPr>
        <w:t>0417-6578092</w:t>
      </w:r>
    </w:p>
    <w:p w14:paraId="431D87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lang w:val="en-US" w:eastAsia="zh-CN"/>
        </w:rPr>
        <w:t>电子邮件：/</w:t>
      </w:r>
    </w:p>
    <w:p w14:paraId="316342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lang w:val="en-US" w:eastAsia="zh-CN"/>
        </w:rPr>
      </w:pPr>
      <w:r>
        <w:rPr>
          <w:rFonts w:hint="eastAsia" w:asciiTheme="majorEastAsia" w:hAnsiTheme="majorEastAsia" w:eastAsiaTheme="majorEastAsia" w:cstheme="majorEastAsia"/>
          <w:color w:val="auto"/>
          <w:highlight w:val="none"/>
        </w:rPr>
        <w:t>招标代理机构：</w:t>
      </w:r>
      <w:r>
        <w:rPr>
          <w:rFonts w:hint="eastAsia" w:asciiTheme="majorEastAsia" w:hAnsiTheme="majorEastAsia" w:eastAsiaTheme="majorEastAsia" w:cstheme="majorEastAsia"/>
          <w:color w:val="auto"/>
          <w:highlight w:val="none"/>
          <w:lang w:val="en-US" w:eastAsia="zh-CN"/>
        </w:rPr>
        <w:t>辽宁咨发工程招标咨询服务有限公司</w:t>
      </w:r>
    </w:p>
    <w:p w14:paraId="2FF714B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lang w:val="en-US" w:eastAsia="zh-CN"/>
        </w:rPr>
      </w:pPr>
      <w:r>
        <w:rPr>
          <w:rFonts w:hint="eastAsia" w:asciiTheme="majorEastAsia" w:hAnsiTheme="majorEastAsia" w:eastAsiaTheme="majorEastAsia" w:cstheme="majorEastAsia"/>
          <w:color w:val="auto"/>
          <w:highlight w:val="none"/>
          <w:lang w:val="en-US" w:eastAsia="zh-CN"/>
        </w:rPr>
        <w:t>地址：辽宁省国际工程咨询中心有限公司十楼（沈阳市沈河区十三纬路103号）</w:t>
      </w:r>
    </w:p>
    <w:p w14:paraId="524A40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heme="majorEastAsia" w:hAnsiTheme="majorEastAsia" w:eastAsiaTheme="majorEastAsia" w:cstheme="majorEastAsia"/>
          <w:color w:val="auto"/>
          <w:highlight w:val="none"/>
          <w:lang w:val="en-US" w:eastAsia="zh-CN"/>
        </w:rPr>
      </w:pPr>
      <w:r>
        <w:rPr>
          <w:rFonts w:hint="eastAsia" w:asciiTheme="majorEastAsia" w:hAnsiTheme="majorEastAsia" w:eastAsiaTheme="majorEastAsia" w:cstheme="majorEastAsia"/>
          <w:color w:val="auto"/>
          <w:highlight w:val="none"/>
        </w:rPr>
        <w:t>联系人：</w:t>
      </w:r>
      <w:r>
        <w:rPr>
          <w:rFonts w:hint="eastAsia" w:asciiTheme="majorEastAsia" w:hAnsiTheme="majorEastAsia" w:eastAsiaTheme="majorEastAsia" w:cstheme="majorEastAsia"/>
          <w:color w:val="auto"/>
          <w:highlight w:val="none"/>
          <w:lang w:val="en-US" w:eastAsia="zh-CN"/>
        </w:rPr>
        <w:t>薛晓东、由春红、李洋</w:t>
      </w:r>
    </w:p>
    <w:p w14:paraId="46F7F22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heme="majorEastAsia" w:hAnsiTheme="majorEastAsia" w:eastAsiaTheme="majorEastAsia" w:cstheme="majorEastAsia"/>
          <w:color w:val="auto"/>
          <w:highlight w:val="none"/>
          <w:lang w:val="en-US" w:eastAsia="zh-CN"/>
        </w:rPr>
      </w:pPr>
      <w:r>
        <w:rPr>
          <w:rFonts w:hint="eastAsia" w:asciiTheme="majorEastAsia" w:hAnsiTheme="majorEastAsia" w:eastAsiaTheme="majorEastAsia" w:cstheme="majorEastAsia"/>
          <w:color w:val="auto"/>
          <w:highlight w:val="none"/>
        </w:rPr>
        <w:t>电话：</w:t>
      </w:r>
      <w:r>
        <w:rPr>
          <w:rFonts w:hint="eastAsia" w:asciiTheme="majorEastAsia" w:hAnsiTheme="majorEastAsia" w:eastAsiaTheme="majorEastAsia" w:cstheme="majorEastAsia"/>
          <w:color w:val="auto"/>
          <w:highlight w:val="none"/>
          <w:lang w:val="en-US" w:eastAsia="zh-CN"/>
        </w:rPr>
        <w:t>024-22828877-180</w:t>
      </w:r>
    </w:p>
    <w:p w14:paraId="570B71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cstheme="majorEastAsia"/>
          <w:color w:val="auto"/>
          <w:highlight w:val="none"/>
          <w:lang w:val="en-US" w:eastAsia="zh-CN"/>
        </w:rPr>
      </w:pPr>
      <w:r>
        <w:rPr>
          <w:rFonts w:hint="eastAsia" w:asciiTheme="majorEastAsia" w:hAnsiTheme="majorEastAsia" w:eastAsiaTheme="majorEastAsia" w:cstheme="majorEastAsia"/>
          <w:color w:val="auto"/>
          <w:highlight w:val="none"/>
          <w:lang w:val="en-US" w:eastAsia="zh-CN"/>
        </w:rPr>
        <w:t>电子邮件：lnzfxxd@163.com</w:t>
      </w:r>
    </w:p>
    <w:p w14:paraId="6FD67BE1">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default" w:ascii="Arial" w:hAnsi="Arial" w:eastAsia="宋体" w:cs="Arial"/>
          <w:color w:val="auto"/>
          <w:highlight w:val="none"/>
        </w:rPr>
        <w:t xml:space="preserve">                                         </w:t>
      </w:r>
      <w:r>
        <w:rPr>
          <w:color w:val="auto"/>
          <w:highlight w:val="none"/>
        </w:rPr>
        <w:t xml:space="preserve">           </w:t>
      </w:r>
    </w:p>
    <w:p w14:paraId="3E643324">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sectPr>
          <w:footerReference r:id="rId5" w:type="default"/>
          <w:pgSz w:w="11907" w:h="16839"/>
          <w:pgMar w:top="1431" w:right="1785" w:bottom="1151" w:left="1785" w:header="0" w:footer="990" w:gutter="0"/>
          <w:pgBorders>
            <w:top w:val="none" w:sz="0" w:space="0"/>
            <w:left w:val="none" w:sz="0" w:space="0"/>
            <w:bottom w:val="none" w:sz="0" w:space="0"/>
            <w:right w:val="none" w:sz="0" w:space="0"/>
          </w:pgBorders>
          <w:cols w:space="720" w:num="1"/>
        </w:sectPr>
      </w:pPr>
    </w:p>
    <w:p w14:paraId="4AE8BB31">
      <w:pPr>
        <w:rPr>
          <w:rFonts w:hint="eastAsia"/>
          <w:color w:val="auto"/>
          <w:highlight w:val="none"/>
        </w:rPr>
      </w:pPr>
      <w:bookmarkStart w:id="31" w:name="_Toc152265814"/>
      <w:bookmarkStart w:id="32" w:name="_Toc256000002"/>
    </w:p>
    <w:p w14:paraId="1526434A">
      <w:pPr>
        <w:rPr>
          <w:rFonts w:hint="eastAsia"/>
          <w:color w:val="auto"/>
          <w:highlight w:val="none"/>
        </w:rPr>
      </w:pPr>
    </w:p>
    <w:p w14:paraId="550AB8D6">
      <w:pPr>
        <w:rPr>
          <w:rFonts w:hint="eastAsia"/>
          <w:color w:val="auto"/>
          <w:highlight w:val="none"/>
        </w:rPr>
      </w:pPr>
    </w:p>
    <w:p w14:paraId="721A81B3">
      <w:pPr>
        <w:rPr>
          <w:rFonts w:hint="eastAsia"/>
          <w:color w:val="auto"/>
          <w:highlight w:val="none"/>
        </w:rPr>
      </w:pPr>
    </w:p>
    <w:p w14:paraId="13520612">
      <w:pPr>
        <w:rPr>
          <w:rFonts w:hint="eastAsia"/>
          <w:color w:val="auto"/>
          <w:highlight w:val="none"/>
        </w:rPr>
      </w:pPr>
    </w:p>
    <w:p w14:paraId="6CE59AFF">
      <w:pPr>
        <w:rPr>
          <w:rFonts w:hint="eastAsia"/>
          <w:color w:val="auto"/>
          <w:highlight w:val="none"/>
        </w:rPr>
      </w:pPr>
    </w:p>
    <w:p w14:paraId="1233E6E5">
      <w:pPr>
        <w:rPr>
          <w:rFonts w:hint="eastAsia"/>
          <w:color w:val="auto"/>
          <w:highlight w:val="none"/>
        </w:rPr>
      </w:pPr>
    </w:p>
    <w:p w14:paraId="47689D9D">
      <w:pPr>
        <w:rPr>
          <w:rFonts w:hint="eastAsia"/>
          <w:color w:val="auto"/>
          <w:highlight w:val="none"/>
        </w:rPr>
      </w:pPr>
    </w:p>
    <w:p w14:paraId="00AFA2CA">
      <w:pPr>
        <w:rPr>
          <w:rFonts w:hint="eastAsia"/>
          <w:color w:val="auto"/>
          <w:highlight w:val="none"/>
        </w:rPr>
      </w:pPr>
    </w:p>
    <w:p w14:paraId="51D5F4D9">
      <w:pPr>
        <w:rPr>
          <w:rFonts w:hint="eastAsia"/>
          <w:color w:val="auto"/>
          <w:highlight w:val="none"/>
        </w:rPr>
      </w:pPr>
    </w:p>
    <w:p w14:paraId="5C9DAB90">
      <w:pPr>
        <w:rPr>
          <w:rFonts w:hint="eastAsia"/>
          <w:color w:val="auto"/>
          <w:highlight w:val="none"/>
        </w:rPr>
      </w:pPr>
    </w:p>
    <w:p w14:paraId="467A2570">
      <w:pPr>
        <w:rPr>
          <w:rFonts w:hint="eastAsia"/>
          <w:color w:val="auto"/>
          <w:highlight w:val="none"/>
        </w:rPr>
      </w:pPr>
    </w:p>
    <w:p w14:paraId="77A50B63">
      <w:pPr>
        <w:rPr>
          <w:rFonts w:hint="eastAsia"/>
          <w:color w:val="auto"/>
          <w:highlight w:val="none"/>
        </w:rPr>
      </w:pPr>
    </w:p>
    <w:p w14:paraId="0429552F">
      <w:pPr>
        <w:rPr>
          <w:rFonts w:hint="eastAsia"/>
          <w:color w:val="auto"/>
          <w:highlight w:val="none"/>
        </w:rPr>
      </w:pPr>
    </w:p>
    <w:p w14:paraId="2B6A6878">
      <w:pPr>
        <w:rPr>
          <w:rFonts w:hint="eastAsia"/>
          <w:color w:val="auto"/>
          <w:highlight w:val="none"/>
        </w:rPr>
      </w:pPr>
    </w:p>
    <w:p w14:paraId="257D680B">
      <w:pPr>
        <w:pStyle w:val="2"/>
        <w:spacing w:before="120" w:after="120" w:line="400" w:lineRule="exact"/>
        <w:jc w:val="center"/>
        <w:rPr>
          <w:rFonts w:hint="default" w:eastAsia="黑体"/>
          <w:color w:val="auto"/>
          <w:highlight w:val="none"/>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33" w:name="_Toc17059"/>
      <w:r>
        <w:rPr>
          <w:rFonts w:ascii="黑体" w:hAnsi="黑体" w:eastAsia="黑体"/>
          <w:b w:val="0"/>
          <w:bCs w:val="0"/>
          <w:color w:val="auto"/>
          <w:sz w:val="32"/>
          <w:highlight w:val="none"/>
        </w:rPr>
        <w:t>第</w:t>
      </w:r>
      <w:r>
        <w:rPr>
          <w:rFonts w:hint="eastAsia" w:ascii="黑体" w:hAnsi="黑体" w:eastAsia="黑体"/>
          <w:b w:val="0"/>
          <w:bCs w:val="0"/>
          <w:color w:val="auto"/>
          <w:sz w:val="32"/>
          <w:highlight w:val="none"/>
          <w:lang w:val="en-US" w:eastAsia="zh-CN"/>
        </w:rPr>
        <w:t>二</w:t>
      </w:r>
      <w:r>
        <w:rPr>
          <w:rFonts w:ascii="黑体" w:hAnsi="黑体" w:eastAsia="黑体"/>
          <w:b w:val="0"/>
          <w:bCs w:val="0"/>
          <w:color w:val="auto"/>
          <w:sz w:val="32"/>
          <w:highlight w:val="none"/>
        </w:rPr>
        <w:t>章</w:t>
      </w:r>
      <w:r>
        <w:rPr>
          <w:rFonts w:hint="eastAsia" w:ascii="黑体" w:hAnsi="黑体" w:eastAsia="黑体"/>
          <w:b w:val="0"/>
          <w:bCs w:val="0"/>
          <w:color w:val="auto"/>
          <w:sz w:val="32"/>
          <w:highlight w:val="none"/>
          <w:lang w:val="en-US" w:eastAsia="zh-CN"/>
        </w:rPr>
        <w:t xml:space="preserve"> </w:t>
      </w:r>
      <w:r>
        <w:rPr>
          <w:rFonts w:hint="eastAsia" w:ascii="黑体" w:hAnsi="黑体" w:eastAsia="黑体"/>
          <w:b w:val="0"/>
          <w:bCs w:val="0"/>
          <w:color w:val="auto"/>
          <w:sz w:val="32"/>
          <w:highlight w:val="none"/>
        </w:rPr>
        <w:t xml:space="preserve"> </w:t>
      </w:r>
      <w:bookmarkEnd w:id="31"/>
      <w:r>
        <w:rPr>
          <w:rFonts w:hint="eastAsia" w:ascii="黑体" w:hAnsi="黑体" w:eastAsia="黑体"/>
          <w:b w:val="0"/>
          <w:bCs w:val="0"/>
          <w:color w:val="auto"/>
          <w:sz w:val="32"/>
          <w:highlight w:val="none"/>
          <w:lang w:val="en-US" w:eastAsia="zh-CN"/>
        </w:rPr>
        <w:t>投标人须知</w:t>
      </w:r>
      <w:bookmarkEnd w:id="32"/>
      <w:bookmarkEnd w:id="33"/>
    </w:p>
    <w:p w14:paraId="54639297">
      <w:pPr>
        <w:jc w:val="center"/>
        <w:rPr>
          <w:rFonts w:hint="eastAsia" w:ascii="黑体" w:hAnsi="黑体" w:eastAsia="黑体" w:cs="黑体"/>
          <w:color w:val="auto"/>
          <w:sz w:val="32"/>
          <w:szCs w:val="32"/>
          <w:highlight w:val="none"/>
        </w:rPr>
      </w:pPr>
      <w:bookmarkStart w:id="34" w:name="_Toc152264301"/>
      <w:bookmarkStart w:id="35" w:name="_Hlk144975830"/>
      <w:bookmarkStart w:id="36" w:name="_Toc165804275"/>
      <w:bookmarkStart w:id="37" w:name="_Hlk144977074"/>
      <w:r>
        <w:rPr>
          <w:rFonts w:hint="eastAsia" w:ascii="黑体" w:hAnsi="黑体" w:eastAsia="黑体" w:cs="黑体"/>
          <w:color w:val="auto"/>
          <w:sz w:val="32"/>
          <w:szCs w:val="32"/>
          <w:highlight w:val="none"/>
        </w:rPr>
        <w:t>第二章  投标人须知</w:t>
      </w:r>
      <w:bookmarkEnd w:id="34"/>
    </w:p>
    <w:p w14:paraId="590E2F29">
      <w:pPr>
        <w:pStyle w:val="35"/>
        <w:jc w:val="center"/>
        <w:rPr>
          <w:color w:val="auto"/>
          <w:highlight w:val="none"/>
        </w:rPr>
      </w:pPr>
      <w:bookmarkStart w:id="38" w:name="_Toc256000003"/>
      <w:bookmarkStart w:id="39" w:name="_Toc152264302"/>
      <w:bookmarkStart w:id="40" w:name="_Toc28238"/>
      <w:r>
        <w:rPr>
          <w:rFonts w:hint="eastAsia"/>
          <w:color w:val="auto"/>
          <w:highlight w:val="none"/>
        </w:rPr>
        <w:t>投标人须知前附表</w:t>
      </w:r>
      <w:bookmarkEnd w:id="35"/>
      <w:bookmarkEnd w:id="38"/>
      <w:bookmarkEnd w:id="39"/>
      <w:bookmarkEnd w:id="40"/>
    </w:p>
    <w:tbl>
      <w:tblPr>
        <w:tblStyle w:val="25"/>
        <w:tblW w:w="8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2334"/>
        <w:gridCol w:w="5436"/>
      </w:tblGrid>
      <w:tr w14:paraId="3599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57" w:type="dxa"/>
            <w:vAlign w:val="center"/>
          </w:tcPr>
          <w:p w14:paraId="031465F5">
            <w:pPr>
              <w:spacing w:line="320" w:lineRule="exact"/>
              <w:jc w:val="center"/>
              <w:rPr>
                <w:b/>
                <w:color w:val="auto"/>
                <w:highlight w:val="none"/>
              </w:rPr>
            </w:pPr>
            <w:r>
              <w:rPr>
                <w:rFonts w:hint="eastAsia"/>
                <w:b/>
                <w:color w:val="auto"/>
                <w:highlight w:val="none"/>
              </w:rPr>
              <w:t>条款号</w:t>
            </w:r>
          </w:p>
        </w:tc>
        <w:tc>
          <w:tcPr>
            <w:tcW w:w="2334" w:type="dxa"/>
            <w:vAlign w:val="center"/>
          </w:tcPr>
          <w:p w14:paraId="679BCB22">
            <w:pPr>
              <w:spacing w:line="320" w:lineRule="exact"/>
              <w:jc w:val="center"/>
              <w:rPr>
                <w:b/>
                <w:color w:val="auto"/>
                <w:highlight w:val="none"/>
              </w:rPr>
            </w:pPr>
            <w:r>
              <w:rPr>
                <w:rFonts w:hint="eastAsia"/>
                <w:b/>
                <w:color w:val="auto"/>
                <w:highlight w:val="none"/>
              </w:rPr>
              <w:t>条  款  名  称</w:t>
            </w:r>
          </w:p>
        </w:tc>
        <w:tc>
          <w:tcPr>
            <w:tcW w:w="5436" w:type="dxa"/>
            <w:vAlign w:val="center"/>
          </w:tcPr>
          <w:p w14:paraId="4F6D4787">
            <w:pPr>
              <w:spacing w:line="320" w:lineRule="exact"/>
              <w:jc w:val="center"/>
              <w:rPr>
                <w:b/>
                <w:color w:val="auto"/>
                <w:highlight w:val="none"/>
              </w:rPr>
            </w:pPr>
            <w:r>
              <w:rPr>
                <w:rFonts w:hint="eastAsia"/>
                <w:b/>
                <w:color w:val="auto"/>
                <w:highlight w:val="none"/>
              </w:rPr>
              <w:t>编  列  内  容</w:t>
            </w:r>
          </w:p>
        </w:tc>
      </w:tr>
      <w:tr w14:paraId="28565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857" w:type="dxa"/>
            <w:vAlign w:val="center"/>
          </w:tcPr>
          <w:p w14:paraId="4EAD2FC7">
            <w:pPr>
              <w:spacing w:line="320" w:lineRule="exact"/>
              <w:jc w:val="center"/>
              <w:rPr>
                <w:color w:val="auto"/>
                <w:highlight w:val="none"/>
              </w:rPr>
            </w:pPr>
            <w:r>
              <w:rPr>
                <w:rFonts w:hint="eastAsia"/>
                <w:color w:val="auto"/>
                <w:highlight w:val="none"/>
              </w:rPr>
              <w:t>1.1.2</w:t>
            </w:r>
          </w:p>
        </w:tc>
        <w:tc>
          <w:tcPr>
            <w:tcW w:w="2334" w:type="dxa"/>
            <w:vAlign w:val="center"/>
          </w:tcPr>
          <w:p w14:paraId="223CA022">
            <w:pPr>
              <w:spacing w:line="320" w:lineRule="exact"/>
              <w:jc w:val="center"/>
              <w:rPr>
                <w:color w:val="auto"/>
                <w:highlight w:val="none"/>
              </w:rPr>
            </w:pPr>
            <w:r>
              <w:rPr>
                <w:rFonts w:hint="eastAsia"/>
                <w:color w:val="auto"/>
                <w:highlight w:val="none"/>
              </w:rPr>
              <w:t>招标人</w:t>
            </w:r>
          </w:p>
        </w:tc>
        <w:tc>
          <w:tcPr>
            <w:tcW w:w="5436" w:type="dxa"/>
            <w:vAlign w:val="center"/>
          </w:tcPr>
          <w:p w14:paraId="2D0B962C">
            <w:pPr>
              <w:spacing w:line="320" w:lineRule="exact"/>
              <w:jc w:val="left"/>
              <w:rPr>
                <w:rFonts w:hint="eastAsia"/>
                <w:color w:val="auto"/>
                <w:highlight w:val="none"/>
                <w:lang w:eastAsia="zh-CN"/>
              </w:rPr>
            </w:pPr>
            <w:r>
              <w:rPr>
                <w:rFonts w:hint="eastAsia"/>
                <w:color w:val="auto"/>
                <w:highlight w:val="none"/>
                <w:lang w:eastAsia="zh-CN"/>
              </w:rPr>
              <w:t>名称：营口国盛中济产业开发建设有限公司</w:t>
            </w:r>
          </w:p>
          <w:p w14:paraId="738C2091">
            <w:pPr>
              <w:spacing w:line="320" w:lineRule="exact"/>
              <w:jc w:val="left"/>
              <w:rPr>
                <w:rFonts w:hint="eastAsia"/>
                <w:color w:val="auto"/>
                <w:highlight w:val="none"/>
                <w:lang w:eastAsia="zh-CN"/>
              </w:rPr>
            </w:pPr>
            <w:r>
              <w:rPr>
                <w:rFonts w:hint="eastAsia"/>
                <w:color w:val="auto"/>
                <w:highlight w:val="none"/>
                <w:lang w:eastAsia="zh-CN"/>
              </w:rPr>
              <w:t>地址：</w:t>
            </w:r>
            <w:r>
              <w:rPr>
                <w:rFonts w:hint="eastAsia" w:asciiTheme="majorEastAsia" w:hAnsiTheme="majorEastAsia" w:eastAsiaTheme="majorEastAsia" w:cstheme="majorEastAsia"/>
                <w:color w:val="auto"/>
                <w:highlight w:val="none"/>
                <w:lang w:val="en-US" w:eastAsia="zh-CN"/>
              </w:rPr>
              <w:t>辽宁省营口市北海经济开发区管理委员会1033室</w:t>
            </w:r>
          </w:p>
          <w:p w14:paraId="05AEAE12">
            <w:pPr>
              <w:spacing w:line="320" w:lineRule="exact"/>
              <w:jc w:val="left"/>
              <w:rPr>
                <w:color w:val="auto"/>
                <w:highlight w:val="none"/>
              </w:rPr>
            </w:pPr>
            <w:r>
              <w:rPr>
                <w:rFonts w:hint="eastAsia"/>
                <w:color w:val="auto"/>
                <w:highlight w:val="none"/>
              </w:rPr>
              <w:t>联系人：</w:t>
            </w:r>
            <w:r>
              <w:rPr>
                <w:rFonts w:hint="eastAsia" w:asciiTheme="majorEastAsia" w:hAnsiTheme="majorEastAsia" w:eastAsiaTheme="majorEastAsia" w:cstheme="majorEastAsia"/>
                <w:color w:val="auto"/>
                <w:highlight w:val="none"/>
                <w:lang w:val="en-US" w:eastAsia="zh-CN"/>
              </w:rPr>
              <w:t>赵阳</w:t>
            </w:r>
          </w:p>
          <w:p w14:paraId="335270B2">
            <w:pPr>
              <w:spacing w:line="320" w:lineRule="exact"/>
              <w:jc w:val="left"/>
              <w:rPr>
                <w:color w:val="auto"/>
                <w:highlight w:val="none"/>
              </w:rPr>
            </w:pPr>
            <w:r>
              <w:rPr>
                <w:rFonts w:hint="eastAsia"/>
                <w:color w:val="auto"/>
                <w:highlight w:val="none"/>
              </w:rPr>
              <w:t>电话：</w:t>
            </w:r>
            <w:r>
              <w:rPr>
                <w:rFonts w:hint="eastAsia" w:asciiTheme="majorEastAsia" w:hAnsiTheme="majorEastAsia" w:eastAsiaTheme="majorEastAsia" w:cstheme="majorEastAsia"/>
                <w:color w:val="auto"/>
                <w:highlight w:val="none"/>
                <w:lang w:val="en-US" w:eastAsia="zh-CN"/>
              </w:rPr>
              <w:t>0417-6578092</w:t>
            </w:r>
          </w:p>
          <w:p w14:paraId="34AFF52B">
            <w:pPr>
              <w:spacing w:line="320" w:lineRule="exact"/>
              <w:jc w:val="left"/>
              <w:rPr>
                <w:color w:val="auto"/>
                <w:highlight w:val="none"/>
              </w:rPr>
            </w:pPr>
            <w:r>
              <w:rPr>
                <w:rFonts w:hint="eastAsia"/>
                <w:color w:val="auto"/>
                <w:highlight w:val="none"/>
              </w:rPr>
              <w:t>电子邮件：/</w:t>
            </w:r>
          </w:p>
          <w:p w14:paraId="233DC979">
            <w:pPr>
              <w:spacing w:line="320" w:lineRule="exact"/>
              <w:jc w:val="left"/>
              <w:rPr>
                <w:color w:val="auto"/>
                <w:highlight w:val="none"/>
              </w:rPr>
            </w:pPr>
            <w:r>
              <w:rPr>
                <w:rFonts w:hint="eastAsia"/>
                <w:color w:val="auto"/>
                <w:highlight w:val="none"/>
              </w:rPr>
              <w:t>项目负责人姓名及联系方式：</w:t>
            </w:r>
          </w:p>
          <w:p w14:paraId="0ACB9AA6">
            <w:pPr>
              <w:spacing w:line="320" w:lineRule="exact"/>
              <w:jc w:val="left"/>
              <w:rPr>
                <w:color w:val="auto"/>
                <w:highlight w:val="none"/>
              </w:rPr>
            </w:pPr>
            <w:r>
              <w:rPr>
                <w:rFonts w:hint="eastAsia"/>
                <w:color w:val="auto"/>
                <w:highlight w:val="none"/>
              </w:rPr>
              <w:t>姓名：</w:t>
            </w:r>
            <w:r>
              <w:rPr>
                <w:rFonts w:hint="eastAsia" w:asciiTheme="majorEastAsia" w:hAnsiTheme="majorEastAsia" w:eastAsiaTheme="majorEastAsia" w:cstheme="majorEastAsia"/>
                <w:color w:val="auto"/>
                <w:highlight w:val="none"/>
                <w:lang w:val="en-US" w:eastAsia="zh-CN"/>
              </w:rPr>
              <w:t>赵阳</w:t>
            </w:r>
            <w:r>
              <w:rPr>
                <w:rFonts w:hint="eastAsia"/>
                <w:color w:val="auto"/>
                <w:highlight w:val="none"/>
              </w:rPr>
              <w:t xml:space="preserve">      电话：</w:t>
            </w:r>
            <w:r>
              <w:rPr>
                <w:rFonts w:hint="eastAsia" w:asciiTheme="majorEastAsia" w:hAnsiTheme="majorEastAsia" w:eastAsiaTheme="majorEastAsia" w:cstheme="majorEastAsia"/>
                <w:color w:val="auto"/>
                <w:highlight w:val="none"/>
                <w:lang w:val="en-US" w:eastAsia="zh-CN"/>
              </w:rPr>
              <w:t>0417-6578092</w:t>
            </w:r>
          </w:p>
        </w:tc>
      </w:tr>
      <w:tr w14:paraId="64DE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57" w:type="dxa"/>
            <w:vAlign w:val="center"/>
          </w:tcPr>
          <w:p w14:paraId="29CDEBDD">
            <w:pPr>
              <w:spacing w:line="320" w:lineRule="exact"/>
              <w:jc w:val="center"/>
              <w:rPr>
                <w:color w:val="auto"/>
                <w:highlight w:val="none"/>
              </w:rPr>
            </w:pPr>
            <w:r>
              <w:rPr>
                <w:rFonts w:hint="eastAsia"/>
                <w:color w:val="auto"/>
                <w:highlight w:val="none"/>
              </w:rPr>
              <w:t>1.1.3</w:t>
            </w:r>
          </w:p>
        </w:tc>
        <w:tc>
          <w:tcPr>
            <w:tcW w:w="2334" w:type="dxa"/>
            <w:vAlign w:val="center"/>
          </w:tcPr>
          <w:p w14:paraId="69F2BA94">
            <w:pPr>
              <w:spacing w:line="320" w:lineRule="exact"/>
              <w:jc w:val="center"/>
              <w:rPr>
                <w:color w:val="auto"/>
                <w:highlight w:val="none"/>
              </w:rPr>
            </w:pPr>
            <w:r>
              <w:rPr>
                <w:rFonts w:hint="eastAsia"/>
                <w:color w:val="auto"/>
                <w:highlight w:val="none"/>
              </w:rPr>
              <w:t>招标代理机构</w:t>
            </w:r>
          </w:p>
        </w:tc>
        <w:tc>
          <w:tcPr>
            <w:tcW w:w="5436" w:type="dxa"/>
            <w:vAlign w:val="center"/>
          </w:tcPr>
          <w:p w14:paraId="07F985E9">
            <w:pPr>
              <w:spacing w:line="320" w:lineRule="exact"/>
              <w:jc w:val="left"/>
              <w:rPr>
                <w:rFonts w:hint="eastAsia" w:eastAsia="宋体"/>
                <w:color w:val="auto"/>
                <w:highlight w:val="none"/>
                <w:lang w:eastAsia="zh-CN"/>
              </w:rPr>
            </w:pPr>
            <w:r>
              <w:rPr>
                <w:rFonts w:hint="eastAsia"/>
                <w:color w:val="auto"/>
                <w:highlight w:val="none"/>
              </w:rPr>
              <w:t>名称：</w:t>
            </w:r>
            <w:r>
              <w:rPr>
                <w:rFonts w:hint="eastAsia"/>
                <w:color w:val="auto"/>
                <w:highlight w:val="none"/>
                <w:lang w:eastAsia="zh-CN"/>
              </w:rPr>
              <w:t>辽宁咨发工程招标咨询服务有限公司</w:t>
            </w:r>
          </w:p>
          <w:p w14:paraId="03DFEA02">
            <w:pPr>
              <w:spacing w:line="320" w:lineRule="exact"/>
              <w:jc w:val="left"/>
              <w:rPr>
                <w:rFonts w:hint="eastAsia" w:eastAsia="宋体"/>
                <w:color w:val="auto"/>
                <w:highlight w:val="none"/>
                <w:lang w:eastAsia="zh-CN"/>
              </w:rPr>
            </w:pPr>
            <w:r>
              <w:rPr>
                <w:rFonts w:hint="eastAsia"/>
                <w:color w:val="auto"/>
                <w:highlight w:val="none"/>
              </w:rPr>
              <w:t>地址：</w:t>
            </w:r>
            <w:r>
              <w:rPr>
                <w:rFonts w:hint="eastAsia"/>
                <w:color w:val="auto"/>
                <w:highlight w:val="none"/>
                <w:lang w:eastAsia="zh-CN"/>
              </w:rPr>
              <w:t>辽宁省国际工程咨询中心有限公司十楼（沈阳市沈河区十三纬路103号）</w:t>
            </w:r>
          </w:p>
          <w:p w14:paraId="51C69421">
            <w:pPr>
              <w:spacing w:line="320" w:lineRule="exact"/>
              <w:jc w:val="left"/>
              <w:rPr>
                <w:rFonts w:hint="default" w:eastAsia="宋体"/>
                <w:color w:val="auto"/>
                <w:highlight w:val="none"/>
                <w:lang w:val="en-US" w:eastAsia="zh-CN"/>
              </w:rPr>
            </w:pPr>
            <w:r>
              <w:rPr>
                <w:rFonts w:hint="eastAsia"/>
                <w:color w:val="auto"/>
                <w:highlight w:val="none"/>
              </w:rPr>
              <w:t>联系人：</w:t>
            </w:r>
            <w:r>
              <w:rPr>
                <w:rFonts w:hint="eastAsia"/>
                <w:color w:val="auto"/>
                <w:highlight w:val="none"/>
                <w:lang w:val="en-US" w:eastAsia="zh-CN"/>
              </w:rPr>
              <w:t>薛晓东、由春红、李洋</w:t>
            </w:r>
          </w:p>
          <w:p w14:paraId="789B8FD0">
            <w:pPr>
              <w:spacing w:line="320" w:lineRule="exact"/>
              <w:jc w:val="left"/>
              <w:rPr>
                <w:rFonts w:hint="default" w:eastAsia="宋体"/>
                <w:color w:val="auto"/>
                <w:highlight w:val="none"/>
                <w:lang w:val="en-US" w:eastAsia="zh-CN"/>
              </w:rPr>
            </w:pPr>
            <w:r>
              <w:rPr>
                <w:rFonts w:hint="eastAsia"/>
                <w:color w:val="auto"/>
                <w:highlight w:val="none"/>
              </w:rPr>
              <w:t>电话：</w:t>
            </w:r>
            <w:r>
              <w:rPr>
                <w:rFonts w:hint="eastAsia"/>
                <w:color w:val="auto"/>
                <w:highlight w:val="none"/>
                <w:lang w:eastAsia="zh-CN"/>
              </w:rPr>
              <w:t>024-22828877-180</w:t>
            </w:r>
          </w:p>
          <w:p w14:paraId="2193B5C9">
            <w:pPr>
              <w:spacing w:line="320" w:lineRule="exact"/>
              <w:jc w:val="left"/>
              <w:rPr>
                <w:color w:val="auto"/>
                <w:highlight w:val="none"/>
              </w:rPr>
            </w:pPr>
            <w:r>
              <w:rPr>
                <w:rFonts w:hint="eastAsia"/>
                <w:color w:val="auto"/>
                <w:highlight w:val="none"/>
              </w:rPr>
              <w:t>电子邮件：</w:t>
            </w:r>
            <w:r>
              <w:rPr>
                <w:rFonts w:hint="eastAsia" w:asciiTheme="majorEastAsia" w:hAnsiTheme="majorEastAsia" w:eastAsiaTheme="majorEastAsia" w:cstheme="majorEastAsia"/>
                <w:color w:val="auto"/>
                <w:highlight w:val="none"/>
                <w:lang w:val="en-US" w:eastAsia="zh-CN"/>
              </w:rPr>
              <w:t>lnzfxxd@163.com</w:t>
            </w:r>
          </w:p>
          <w:p w14:paraId="48902588">
            <w:pPr>
              <w:spacing w:line="320" w:lineRule="exact"/>
              <w:jc w:val="left"/>
              <w:rPr>
                <w:b/>
                <w:bCs/>
                <w:color w:val="auto"/>
                <w:highlight w:val="none"/>
              </w:rPr>
            </w:pPr>
            <w:r>
              <w:rPr>
                <w:rFonts w:hint="eastAsia"/>
                <w:color w:val="auto"/>
                <w:highlight w:val="none"/>
              </w:rPr>
              <w:t>项目负责人姓名及联系方式：</w:t>
            </w:r>
          </w:p>
          <w:p w14:paraId="09AEDCC1">
            <w:pPr>
              <w:spacing w:line="320" w:lineRule="exact"/>
              <w:jc w:val="left"/>
              <w:rPr>
                <w:rFonts w:hint="default" w:eastAsia="宋体"/>
                <w:color w:val="auto"/>
                <w:highlight w:val="none"/>
                <w:lang w:val="en-US" w:eastAsia="zh-CN"/>
              </w:rPr>
            </w:pPr>
            <w:r>
              <w:rPr>
                <w:rFonts w:hint="eastAsia"/>
                <w:color w:val="auto"/>
                <w:highlight w:val="none"/>
              </w:rPr>
              <w:t>姓名：</w:t>
            </w:r>
            <w:r>
              <w:rPr>
                <w:rFonts w:hint="eastAsia"/>
                <w:color w:val="auto"/>
                <w:highlight w:val="none"/>
                <w:lang w:val="en-US" w:eastAsia="zh-CN"/>
              </w:rPr>
              <w:t>薛晓东、由春红、李洋</w:t>
            </w:r>
            <w:r>
              <w:rPr>
                <w:rFonts w:hint="eastAsia"/>
                <w:color w:val="auto"/>
                <w:highlight w:val="none"/>
              </w:rPr>
              <w:t xml:space="preserve">  电话：</w:t>
            </w:r>
            <w:r>
              <w:rPr>
                <w:rFonts w:hint="eastAsia"/>
                <w:color w:val="auto"/>
                <w:highlight w:val="none"/>
                <w:lang w:eastAsia="zh-CN"/>
              </w:rPr>
              <w:t>024-22828877-180</w:t>
            </w:r>
          </w:p>
        </w:tc>
      </w:tr>
      <w:tr w14:paraId="510C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4291480B">
            <w:pPr>
              <w:spacing w:line="320" w:lineRule="exact"/>
              <w:jc w:val="center"/>
              <w:rPr>
                <w:color w:val="auto"/>
                <w:highlight w:val="none"/>
              </w:rPr>
            </w:pPr>
            <w:r>
              <w:rPr>
                <w:rFonts w:hint="eastAsia"/>
                <w:color w:val="auto"/>
                <w:highlight w:val="none"/>
              </w:rPr>
              <w:t>1.1.4</w:t>
            </w:r>
          </w:p>
        </w:tc>
        <w:tc>
          <w:tcPr>
            <w:tcW w:w="2334" w:type="dxa"/>
            <w:vAlign w:val="center"/>
          </w:tcPr>
          <w:p w14:paraId="2265B27E">
            <w:pPr>
              <w:spacing w:line="320" w:lineRule="exact"/>
              <w:jc w:val="center"/>
              <w:rPr>
                <w:color w:val="auto"/>
                <w:highlight w:val="none"/>
              </w:rPr>
            </w:pPr>
            <w:bookmarkStart w:id="41" w:name="_Hlk154489467"/>
            <w:r>
              <w:rPr>
                <w:rFonts w:hint="eastAsia" w:ascii="宋体" w:hAnsi="宋体"/>
                <w:color w:val="auto"/>
                <w:szCs w:val="21"/>
                <w:highlight w:val="none"/>
              </w:rPr>
              <w:t>标段</w:t>
            </w:r>
            <w:bookmarkEnd w:id="41"/>
            <w:r>
              <w:rPr>
                <w:rFonts w:hint="eastAsia"/>
                <w:color w:val="auto"/>
                <w:highlight w:val="none"/>
              </w:rPr>
              <w:t>项目名称</w:t>
            </w:r>
          </w:p>
        </w:tc>
        <w:tc>
          <w:tcPr>
            <w:tcW w:w="5436" w:type="dxa"/>
            <w:vAlign w:val="center"/>
          </w:tcPr>
          <w:p w14:paraId="7AD5042C">
            <w:pPr>
              <w:spacing w:line="320" w:lineRule="exact"/>
              <w:jc w:val="left"/>
              <w:rPr>
                <w:rFonts w:hint="eastAsia" w:eastAsia="宋体"/>
                <w:color w:val="auto"/>
                <w:highlight w:val="none"/>
                <w:lang w:eastAsia="zh-CN"/>
              </w:rPr>
            </w:pPr>
            <w:r>
              <w:rPr>
                <w:rFonts w:hint="eastAsia"/>
                <w:color w:val="auto"/>
                <w:highlight w:val="none"/>
                <w:lang w:eastAsia="zh-CN"/>
              </w:rPr>
              <w:t>中济智造产业基础设施配套项目一期EPC工程总承包</w:t>
            </w:r>
          </w:p>
        </w:tc>
      </w:tr>
      <w:tr w14:paraId="1A37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60ADFC20">
            <w:pPr>
              <w:spacing w:line="320" w:lineRule="exact"/>
              <w:jc w:val="center"/>
              <w:rPr>
                <w:color w:val="auto"/>
                <w:highlight w:val="none"/>
              </w:rPr>
            </w:pPr>
            <w:r>
              <w:rPr>
                <w:rFonts w:hint="eastAsia"/>
                <w:color w:val="auto"/>
                <w:highlight w:val="none"/>
              </w:rPr>
              <w:t>1.1.5</w:t>
            </w:r>
          </w:p>
        </w:tc>
        <w:tc>
          <w:tcPr>
            <w:tcW w:w="2334" w:type="dxa"/>
            <w:vAlign w:val="center"/>
          </w:tcPr>
          <w:p w14:paraId="765B8470">
            <w:pPr>
              <w:spacing w:line="320" w:lineRule="exact"/>
              <w:jc w:val="center"/>
              <w:rPr>
                <w:color w:val="auto"/>
                <w:highlight w:val="none"/>
              </w:rPr>
            </w:pPr>
            <w:r>
              <w:rPr>
                <w:rFonts w:hint="eastAsia"/>
                <w:color w:val="auto"/>
                <w:highlight w:val="none"/>
              </w:rPr>
              <w:t>建设地点</w:t>
            </w:r>
          </w:p>
        </w:tc>
        <w:tc>
          <w:tcPr>
            <w:tcW w:w="5436" w:type="dxa"/>
            <w:vAlign w:val="center"/>
          </w:tcPr>
          <w:p w14:paraId="72BB2CEE">
            <w:pPr>
              <w:spacing w:line="320" w:lineRule="exact"/>
              <w:jc w:val="left"/>
              <w:rPr>
                <w:rFonts w:hint="eastAsia" w:eastAsiaTheme="majorEastAsia"/>
                <w:color w:val="auto"/>
                <w:highlight w:val="none"/>
                <w:lang w:eastAsia="zh-CN"/>
              </w:rPr>
            </w:pPr>
            <w:r>
              <w:rPr>
                <w:rFonts w:hint="eastAsia" w:asciiTheme="majorEastAsia" w:hAnsiTheme="majorEastAsia" w:eastAsiaTheme="majorEastAsia" w:cstheme="majorEastAsia"/>
                <w:color w:val="auto"/>
                <w:highlight w:val="none"/>
                <w:u w:val="none"/>
                <w:lang w:eastAsia="zh-CN"/>
              </w:rPr>
              <w:t>辽宁省营口市北海新区滨海公路以西，辽东湾以东</w:t>
            </w:r>
          </w:p>
        </w:tc>
      </w:tr>
      <w:tr w14:paraId="0792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30D472BB">
            <w:pPr>
              <w:spacing w:line="320" w:lineRule="exact"/>
              <w:jc w:val="center"/>
              <w:rPr>
                <w:color w:val="auto"/>
                <w:highlight w:val="none"/>
              </w:rPr>
            </w:pPr>
            <w:r>
              <w:rPr>
                <w:rFonts w:hint="eastAsia"/>
                <w:color w:val="auto"/>
                <w:highlight w:val="none"/>
              </w:rPr>
              <w:t>1.1.6</w:t>
            </w:r>
          </w:p>
        </w:tc>
        <w:tc>
          <w:tcPr>
            <w:tcW w:w="2334" w:type="dxa"/>
            <w:vAlign w:val="center"/>
          </w:tcPr>
          <w:p w14:paraId="253E6593">
            <w:pPr>
              <w:spacing w:line="320" w:lineRule="exact"/>
              <w:jc w:val="center"/>
              <w:rPr>
                <w:color w:val="auto"/>
                <w:highlight w:val="none"/>
              </w:rPr>
            </w:pPr>
            <w:r>
              <w:rPr>
                <w:color w:val="auto"/>
                <w:szCs w:val="21"/>
                <w:highlight w:val="none"/>
              </w:rPr>
              <w:t>项目建设规模</w:t>
            </w:r>
          </w:p>
        </w:tc>
        <w:tc>
          <w:tcPr>
            <w:tcW w:w="5436" w:type="dxa"/>
            <w:vAlign w:val="center"/>
          </w:tcPr>
          <w:p w14:paraId="5B2C330F">
            <w:pPr>
              <w:spacing w:line="320" w:lineRule="exact"/>
              <w:jc w:val="left"/>
              <w:rPr>
                <w:rFonts w:hint="eastAsia" w:eastAsia="宋体"/>
                <w:color w:val="auto"/>
                <w:highlight w:val="none"/>
                <w:lang w:eastAsia="zh-CN"/>
              </w:rPr>
            </w:pPr>
            <w:r>
              <w:rPr>
                <w:rFonts w:hint="eastAsia" w:asciiTheme="majorEastAsia" w:hAnsiTheme="majorEastAsia" w:eastAsiaTheme="majorEastAsia" w:cstheme="majorEastAsia"/>
                <w:color w:val="auto"/>
                <w:highlight w:val="none"/>
                <w:u w:val="single"/>
                <w:lang w:val="en-US" w:eastAsia="zh-CN"/>
              </w:rPr>
              <w:t>项目占地约1432亩(其中一期 353.42 亩，二期 500 亩，三期578.58 亩)，总建筑面积54.6万m'(其中一期13万㎡，二期20万㎡，三期21.6万㎡)。本项目计划建设塔及管桩制造基地厂房、片转运场、叶片厂房、机舱罩厂房、智能风机总装基地厂房、风力发电机制造厂房、齿轮箱制造厂房、锂电、智慧储能及箱变厂房、综合楼、丙类垃圾站、垃圾站、化学品库及相关室外道路、绿化、堆场等。项目年综合能源消费量小于1000tce，项目年电力消费量小于500万kWh</w:t>
            </w:r>
            <w:r>
              <w:rPr>
                <w:rFonts w:hint="eastAsia" w:asciiTheme="majorEastAsia" w:hAnsiTheme="majorEastAsia" w:eastAsiaTheme="majorEastAsia" w:cstheme="majorEastAsia"/>
                <w:color w:val="auto"/>
                <w:highlight w:val="none"/>
                <w:u w:val="none"/>
              </w:rPr>
              <w:t>。</w:t>
            </w:r>
          </w:p>
        </w:tc>
      </w:tr>
      <w:tr w14:paraId="0557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27491A6D">
            <w:pPr>
              <w:spacing w:line="320" w:lineRule="exact"/>
              <w:jc w:val="center"/>
              <w:rPr>
                <w:color w:val="auto"/>
                <w:highlight w:val="none"/>
              </w:rPr>
            </w:pPr>
            <w:r>
              <w:rPr>
                <w:rFonts w:hint="eastAsia"/>
                <w:color w:val="auto"/>
                <w:highlight w:val="none"/>
              </w:rPr>
              <w:t>1</w:t>
            </w:r>
            <w:r>
              <w:rPr>
                <w:color w:val="auto"/>
                <w:highlight w:val="none"/>
              </w:rPr>
              <w:t>.1.</w:t>
            </w:r>
            <w:r>
              <w:rPr>
                <w:rFonts w:hint="eastAsia"/>
                <w:color w:val="auto"/>
                <w:highlight w:val="none"/>
              </w:rPr>
              <w:t>7</w:t>
            </w:r>
          </w:p>
        </w:tc>
        <w:tc>
          <w:tcPr>
            <w:tcW w:w="2334" w:type="dxa"/>
            <w:vAlign w:val="center"/>
          </w:tcPr>
          <w:p w14:paraId="787E3F46">
            <w:pPr>
              <w:spacing w:line="320" w:lineRule="exact"/>
              <w:jc w:val="center"/>
              <w:rPr>
                <w:color w:val="auto"/>
                <w:highlight w:val="none"/>
              </w:rPr>
            </w:pPr>
            <w:r>
              <w:rPr>
                <w:rFonts w:hint="eastAsia"/>
                <w:color w:val="auto"/>
                <w:highlight w:val="none"/>
              </w:rPr>
              <w:t>项目投资估算</w:t>
            </w:r>
          </w:p>
        </w:tc>
        <w:tc>
          <w:tcPr>
            <w:tcW w:w="5436" w:type="dxa"/>
            <w:vAlign w:val="center"/>
          </w:tcPr>
          <w:p w14:paraId="11973C1B">
            <w:pPr>
              <w:spacing w:line="320" w:lineRule="exact"/>
              <w:jc w:val="left"/>
              <w:rPr>
                <w:color w:val="auto"/>
                <w:highlight w:val="none"/>
              </w:rPr>
            </w:pPr>
            <w:r>
              <w:rPr>
                <w:rFonts w:hint="eastAsia"/>
                <w:color w:val="auto"/>
                <w:highlight w:val="none"/>
                <w:lang w:val="en-US" w:eastAsia="zh-CN"/>
              </w:rPr>
              <w:t>221416.26</w:t>
            </w:r>
            <w:r>
              <w:rPr>
                <w:rFonts w:hint="eastAsia"/>
                <w:color w:val="auto"/>
                <w:highlight w:val="none"/>
              </w:rPr>
              <w:t>万元</w:t>
            </w:r>
          </w:p>
        </w:tc>
      </w:tr>
      <w:tr w14:paraId="7B8C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0EB39902">
            <w:pPr>
              <w:spacing w:line="320" w:lineRule="exact"/>
              <w:jc w:val="center"/>
              <w:rPr>
                <w:color w:val="auto"/>
                <w:highlight w:val="none"/>
              </w:rPr>
            </w:pPr>
            <w:r>
              <w:rPr>
                <w:rFonts w:hint="eastAsia"/>
                <w:color w:val="auto"/>
                <w:highlight w:val="none"/>
              </w:rPr>
              <w:t>1</w:t>
            </w:r>
            <w:r>
              <w:rPr>
                <w:color w:val="auto"/>
                <w:highlight w:val="none"/>
              </w:rPr>
              <w:t>.1.</w:t>
            </w:r>
            <w:r>
              <w:rPr>
                <w:rFonts w:hint="eastAsia"/>
                <w:color w:val="auto"/>
                <w:highlight w:val="none"/>
              </w:rPr>
              <w:t>8</w:t>
            </w:r>
          </w:p>
        </w:tc>
        <w:tc>
          <w:tcPr>
            <w:tcW w:w="2334" w:type="dxa"/>
            <w:vAlign w:val="center"/>
          </w:tcPr>
          <w:p w14:paraId="52770283">
            <w:pPr>
              <w:spacing w:line="320" w:lineRule="exact"/>
              <w:jc w:val="center"/>
              <w:rPr>
                <w:color w:val="auto"/>
                <w:highlight w:val="none"/>
              </w:rPr>
            </w:pPr>
            <w:r>
              <w:rPr>
                <w:rFonts w:hint="eastAsia"/>
                <w:color w:val="auto"/>
                <w:highlight w:val="none"/>
              </w:rPr>
              <w:t>电子交易系统</w:t>
            </w:r>
          </w:p>
        </w:tc>
        <w:tc>
          <w:tcPr>
            <w:tcW w:w="5436" w:type="dxa"/>
            <w:vAlign w:val="center"/>
          </w:tcPr>
          <w:p w14:paraId="24B8041F">
            <w:pPr>
              <w:spacing w:line="320" w:lineRule="exact"/>
              <w:jc w:val="left"/>
              <w:rPr>
                <w:color w:val="auto"/>
                <w:highlight w:val="none"/>
              </w:rPr>
            </w:pPr>
            <w:r>
              <w:rPr>
                <w:rFonts w:hint="eastAsia"/>
                <w:color w:val="auto"/>
                <w:highlight w:val="none"/>
              </w:rPr>
              <w:t>辽宁省房屋建筑和市政工程电子交易系统（工程咨询）</w:t>
            </w:r>
          </w:p>
        </w:tc>
      </w:tr>
      <w:tr w14:paraId="2BD2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05538B8E">
            <w:pPr>
              <w:spacing w:line="320" w:lineRule="exact"/>
              <w:jc w:val="center"/>
              <w:rPr>
                <w:color w:val="auto"/>
                <w:highlight w:val="none"/>
              </w:rPr>
            </w:pPr>
            <w:r>
              <w:rPr>
                <w:rFonts w:hint="eastAsia"/>
                <w:color w:val="auto"/>
                <w:highlight w:val="none"/>
              </w:rPr>
              <w:t>1.2.1</w:t>
            </w:r>
          </w:p>
        </w:tc>
        <w:tc>
          <w:tcPr>
            <w:tcW w:w="2334" w:type="dxa"/>
            <w:vAlign w:val="center"/>
          </w:tcPr>
          <w:p w14:paraId="58BB67D5">
            <w:pPr>
              <w:spacing w:line="320" w:lineRule="exact"/>
              <w:jc w:val="center"/>
              <w:rPr>
                <w:color w:val="auto"/>
                <w:highlight w:val="none"/>
              </w:rPr>
            </w:pPr>
            <w:r>
              <w:rPr>
                <w:rFonts w:hint="eastAsia"/>
                <w:color w:val="auto"/>
                <w:highlight w:val="none"/>
              </w:rPr>
              <w:t>资金来源及比例</w:t>
            </w:r>
          </w:p>
        </w:tc>
        <w:tc>
          <w:tcPr>
            <w:tcW w:w="5436" w:type="dxa"/>
            <w:vAlign w:val="center"/>
          </w:tcPr>
          <w:p w14:paraId="072B21B9">
            <w:pPr>
              <w:spacing w:line="320" w:lineRule="exact"/>
              <w:jc w:val="left"/>
              <w:rPr>
                <w:color w:val="auto"/>
                <w:highlight w:val="none"/>
              </w:rPr>
            </w:pPr>
            <w:r>
              <w:rPr>
                <w:rFonts w:hint="eastAsia"/>
                <w:color w:val="auto"/>
                <w:highlight w:val="none"/>
                <w:lang w:val="en-US" w:eastAsia="zh-CN"/>
              </w:rPr>
              <w:t>企业自筹</w:t>
            </w:r>
            <w:r>
              <w:rPr>
                <w:rFonts w:hint="eastAsia"/>
                <w:color w:val="auto"/>
                <w:highlight w:val="none"/>
                <w:lang w:eastAsia="zh-CN"/>
              </w:rPr>
              <w:t>；</w:t>
            </w:r>
            <w:r>
              <w:rPr>
                <w:rFonts w:hint="eastAsia"/>
                <w:color w:val="auto"/>
                <w:highlight w:val="none"/>
                <w:lang w:val="en-US" w:eastAsia="zh-CN"/>
              </w:rPr>
              <w:t>100%</w:t>
            </w:r>
          </w:p>
        </w:tc>
      </w:tr>
      <w:tr w14:paraId="6802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6627AAC2">
            <w:pPr>
              <w:spacing w:line="320" w:lineRule="exact"/>
              <w:jc w:val="center"/>
              <w:rPr>
                <w:color w:val="auto"/>
                <w:highlight w:val="none"/>
              </w:rPr>
            </w:pPr>
            <w:r>
              <w:rPr>
                <w:rFonts w:hint="eastAsia"/>
                <w:color w:val="auto"/>
                <w:highlight w:val="none"/>
              </w:rPr>
              <w:t>1</w:t>
            </w:r>
            <w:r>
              <w:rPr>
                <w:color w:val="auto"/>
                <w:highlight w:val="none"/>
              </w:rPr>
              <w:t>.2.</w:t>
            </w:r>
            <w:r>
              <w:rPr>
                <w:rFonts w:hint="eastAsia"/>
                <w:color w:val="auto"/>
                <w:highlight w:val="none"/>
              </w:rPr>
              <w:t>2</w:t>
            </w:r>
          </w:p>
        </w:tc>
        <w:tc>
          <w:tcPr>
            <w:tcW w:w="2334" w:type="dxa"/>
            <w:vAlign w:val="center"/>
          </w:tcPr>
          <w:p w14:paraId="72336E1E">
            <w:pPr>
              <w:spacing w:line="320" w:lineRule="exact"/>
              <w:jc w:val="center"/>
              <w:rPr>
                <w:color w:val="auto"/>
                <w:highlight w:val="none"/>
              </w:rPr>
            </w:pPr>
            <w:r>
              <w:rPr>
                <w:rFonts w:hint="eastAsia"/>
                <w:color w:val="auto"/>
                <w:highlight w:val="none"/>
              </w:rPr>
              <w:t>标段合同估算价</w:t>
            </w:r>
          </w:p>
        </w:tc>
        <w:tc>
          <w:tcPr>
            <w:tcW w:w="5436" w:type="dxa"/>
            <w:vAlign w:val="center"/>
          </w:tcPr>
          <w:p w14:paraId="52647231">
            <w:pPr>
              <w:spacing w:line="320" w:lineRule="exact"/>
              <w:jc w:val="left"/>
              <w:rPr>
                <w:color w:val="auto"/>
                <w:highlight w:val="none"/>
              </w:rPr>
            </w:pPr>
            <w:r>
              <w:rPr>
                <w:rFonts w:hint="eastAsia" w:ascii="宋体" w:hAnsi="宋体" w:cs="宋体"/>
                <w:color w:val="auto"/>
                <w:highlight w:val="none"/>
                <w:u w:val="single"/>
                <w:lang w:val="en-US" w:eastAsia="zh-CN"/>
              </w:rPr>
              <w:t>53007.536842</w:t>
            </w:r>
            <w:r>
              <w:rPr>
                <w:rFonts w:hint="eastAsia"/>
                <w:color w:val="auto"/>
                <w:highlight w:val="none"/>
                <w:u w:val="none"/>
              </w:rPr>
              <w:t>万元</w:t>
            </w:r>
          </w:p>
        </w:tc>
      </w:tr>
      <w:tr w14:paraId="6665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42E636C7">
            <w:pPr>
              <w:spacing w:line="320" w:lineRule="exact"/>
              <w:jc w:val="center"/>
              <w:rPr>
                <w:color w:val="auto"/>
                <w:highlight w:val="none"/>
              </w:rPr>
            </w:pPr>
            <w:r>
              <w:rPr>
                <w:rFonts w:hint="eastAsia"/>
                <w:color w:val="auto"/>
                <w:highlight w:val="none"/>
              </w:rPr>
              <w:t>1.2.3</w:t>
            </w:r>
          </w:p>
        </w:tc>
        <w:tc>
          <w:tcPr>
            <w:tcW w:w="2334" w:type="dxa"/>
            <w:vAlign w:val="center"/>
          </w:tcPr>
          <w:p w14:paraId="071D698B">
            <w:pPr>
              <w:spacing w:line="320" w:lineRule="exact"/>
              <w:jc w:val="center"/>
              <w:rPr>
                <w:color w:val="auto"/>
                <w:highlight w:val="none"/>
              </w:rPr>
            </w:pPr>
            <w:r>
              <w:rPr>
                <w:rFonts w:hint="eastAsia"/>
                <w:color w:val="auto"/>
                <w:highlight w:val="none"/>
              </w:rPr>
              <w:t>资金落实情况</w:t>
            </w:r>
          </w:p>
        </w:tc>
        <w:tc>
          <w:tcPr>
            <w:tcW w:w="5436" w:type="dxa"/>
            <w:vAlign w:val="center"/>
          </w:tcPr>
          <w:p w14:paraId="0339B792">
            <w:pPr>
              <w:spacing w:line="320" w:lineRule="exact"/>
              <w:jc w:val="left"/>
              <w:rPr>
                <w:color w:val="auto"/>
                <w:highlight w:val="none"/>
              </w:rPr>
            </w:pPr>
            <w:r>
              <w:rPr>
                <w:rFonts w:hint="eastAsia"/>
                <w:color w:val="auto"/>
                <w:highlight w:val="none"/>
              </w:rPr>
              <w:t>已落实</w:t>
            </w:r>
          </w:p>
        </w:tc>
      </w:tr>
      <w:tr w14:paraId="3E5D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857" w:type="dxa"/>
            <w:vAlign w:val="center"/>
          </w:tcPr>
          <w:p w14:paraId="3597CEA1">
            <w:pPr>
              <w:spacing w:line="320" w:lineRule="exact"/>
              <w:jc w:val="center"/>
              <w:rPr>
                <w:color w:val="auto"/>
                <w:highlight w:val="none"/>
              </w:rPr>
            </w:pPr>
            <w:r>
              <w:rPr>
                <w:rFonts w:hint="eastAsia"/>
                <w:color w:val="auto"/>
                <w:highlight w:val="none"/>
              </w:rPr>
              <w:t>1.3.1</w:t>
            </w:r>
          </w:p>
        </w:tc>
        <w:tc>
          <w:tcPr>
            <w:tcW w:w="2334" w:type="dxa"/>
            <w:vAlign w:val="center"/>
          </w:tcPr>
          <w:p w14:paraId="4FBA697B">
            <w:pPr>
              <w:spacing w:line="320" w:lineRule="exact"/>
              <w:jc w:val="center"/>
              <w:rPr>
                <w:color w:val="auto"/>
                <w:highlight w:val="none"/>
              </w:rPr>
            </w:pPr>
            <w:r>
              <w:rPr>
                <w:rFonts w:hint="eastAsia"/>
                <w:color w:val="auto"/>
                <w:highlight w:val="none"/>
              </w:rPr>
              <w:t>招标范围</w:t>
            </w:r>
          </w:p>
        </w:tc>
        <w:tc>
          <w:tcPr>
            <w:tcW w:w="5436" w:type="dxa"/>
            <w:vAlign w:val="center"/>
          </w:tcPr>
          <w:p w14:paraId="7945C06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heme="majorEastAsia" w:hAnsiTheme="majorEastAsia" w:eastAsiaTheme="majorEastAsia" w:cstheme="majorEastAsia"/>
                <w:color w:val="auto"/>
                <w:highlight w:val="none"/>
                <w:u w:val="none"/>
              </w:rPr>
            </w:pPr>
            <w:r>
              <w:rPr>
                <w:rFonts w:hint="eastAsia" w:asciiTheme="majorEastAsia" w:hAnsiTheme="majorEastAsia" w:eastAsiaTheme="majorEastAsia" w:cstheme="majorEastAsia"/>
                <w:color w:val="auto"/>
                <w:highlight w:val="none"/>
                <w:u w:val="single"/>
                <w:lang w:eastAsia="zh-CN"/>
              </w:rPr>
              <w:t>总建筑面积：131358.69㎡，规划建设叶片厂房、整机厂房、储能装备制造及箱变厂房、机舱罩厂房、1#化学品库、2#化学品库、1#垃圾站、食堂宿舍、门卫、1#生产厂房、化学品库、2#垃圾站等。施工图设计范围:包含但不限于建设范围内施工图设计，地基处理、场平设计、产业园施工图设计(含建筑、结构、给排水系统、水消防工程、暖通工程、电气工程、弱电工程专项设计)、景观设计及施工图预算编制，现场设代、配合实验、验收等； 建安工程及室外配套工程范围:包含不限于基础工程(含桩基础、独立基础等)、土建工程、装修工程、安装工程(钢结构安装、给排水系统、水消防工程、暖通工程、电气工程、弱电工程)、室外配套工程(道路工程、电力工程、弱电工程、照明工程、控制工程、消防报警工程、给水外线工程、雨污水外线工程、消防外线工程)、专项工程(地基处理、降排水、基坑支护等)建筑施工图所示的全部工程内容。</w:t>
            </w:r>
          </w:p>
          <w:p w14:paraId="23FB6C3A">
            <w:pPr>
              <w:spacing w:line="320" w:lineRule="exact"/>
              <w:jc w:val="left"/>
              <w:rPr>
                <w:color w:val="auto"/>
                <w:highlight w:val="none"/>
                <w:u w:val="single"/>
              </w:rPr>
            </w:pPr>
            <w:r>
              <w:rPr>
                <w:rFonts w:hint="eastAsia"/>
                <w:color w:val="auto"/>
                <w:highlight w:val="none"/>
              </w:rPr>
              <w:t>关于招标范围的详细说明见</w:t>
            </w:r>
            <w:r>
              <w:rPr>
                <w:color w:val="auto"/>
                <w:szCs w:val="21"/>
                <w:highlight w:val="none"/>
              </w:rPr>
              <w:t>第五章“发包人要求”</w:t>
            </w:r>
            <w:r>
              <w:rPr>
                <w:rFonts w:hint="eastAsia"/>
                <w:color w:val="auto"/>
                <w:szCs w:val="21"/>
                <w:highlight w:val="none"/>
              </w:rPr>
              <w:t>。</w:t>
            </w:r>
          </w:p>
        </w:tc>
      </w:tr>
      <w:tr w14:paraId="4E4C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57" w:type="dxa"/>
            <w:vAlign w:val="center"/>
          </w:tcPr>
          <w:p w14:paraId="5E64F3D5">
            <w:pPr>
              <w:spacing w:line="320" w:lineRule="exact"/>
              <w:jc w:val="center"/>
              <w:rPr>
                <w:color w:val="auto"/>
                <w:highlight w:val="none"/>
              </w:rPr>
            </w:pPr>
            <w:r>
              <w:rPr>
                <w:rFonts w:hint="eastAsia"/>
                <w:color w:val="auto"/>
                <w:highlight w:val="none"/>
              </w:rPr>
              <w:t>1.3.2</w:t>
            </w:r>
          </w:p>
        </w:tc>
        <w:tc>
          <w:tcPr>
            <w:tcW w:w="2334" w:type="dxa"/>
            <w:vAlign w:val="center"/>
          </w:tcPr>
          <w:p w14:paraId="782B09C2">
            <w:pPr>
              <w:spacing w:line="320" w:lineRule="exact"/>
              <w:jc w:val="center"/>
              <w:rPr>
                <w:color w:val="auto"/>
                <w:highlight w:val="none"/>
              </w:rPr>
            </w:pPr>
            <w:r>
              <w:rPr>
                <w:rFonts w:hint="eastAsia"/>
                <w:color w:val="auto"/>
                <w:highlight w:val="none"/>
              </w:rPr>
              <w:t>计划工期</w:t>
            </w:r>
          </w:p>
        </w:tc>
        <w:tc>
          <w:tcPr>
            <w:tcW w:w="5436" w:type="dxa"/>
            <w:vAlign w:val="center"/>
          </w:tcPr>
          <w:p w14:paraId="1B91BF2E">
            <w:pPr>
              <w:spacing w:line="320" w:lineRule="exact"/>
              <w:jc w:val="left"/>
              <w:rPr>
                <w:color w:val="auto"/>
                <w:highlight w:val="none"/>
              </w:rPr>
            </w:pPr>
            <w:r>
              <w:rPr>
                <w:rFonts w:hint="eastAsia"/>
                <w:color w:val="auto"/>
                <w:highlight w:val="none"/>
              </w:rPr>
              <w:t>计划工期：</w:t>
            </w:r>
            <w:r>
              <w:rPr>
                <w:rFonts w:hint="eastAsia"/>
                <w:color w:val="auto"/>
                <w:highlight w:val="none"/>
                <w:u w:val="single"/>
                <w:lang w:val="en-US" w:eastAsia="zh-CN"/>
              </w:rPr>
              <w:t xml:space="preserve"> 730 </w:t>
            </w:r>
            <w:r>
              <w:rPr>
                <w:rFonts w:hint="eastAsia"/>
                <w:color w:val="auto"/>
                <w:highlight w:val="none"/>
              </w:rPr>
              <w:t>日历天</w:t>
            </w:r>
          </w:p>
          <w:p w14:paraId="2BA3AD8E">
            <w:pPr>
              <w:spacing w:line="320" w:lineRule="exact"/>
              <w:jc w:val="left"/>
              <w:rPr>
                <w:color w:val="auto"/>
                <w:highlight w:val="none"/>
              </w:rPr>
            </w:pPr>
            <w:r>
              <w:rPr>
                <w:rFonts w:hint="eastAsia"/>
                <w:color w:val="auto"/>
                <w:highlight w:val="none"/>
              </w:rPr>
              <w:t>计划开工日期：</w:t>
            </w:r>
            <w:r>
              <w:rPr>
                <w:rFonts w:hint="eastAsia"/>
                <w:color w:val="auto"/>
                <w:highlight w:val="none"/>
                <w:u w:val="single"/>
              </w:rPr>
              <w:t>2025年</w:t>
            </w:r>
            <w:r>
              <w:rPr>
                <w:rFonts w:hint="eastAsia"/>
                <w:color w:val="auto"/>
                <w:highlight w:val="none"/>
                <w:u w:val="single"/>
                <w:lang w:val="en-US" w:eastAsia="zh-CN"/>
              </w:rPr>
              <w:t>**</w:t>
            </w:r>
            <w:r>
              <w:rPr>
                <w:rFonts w:hint="eastAsia"/>
                <w:color w:val="auto"/>
                <w:highlight w:val="none"/>
                <w:u w:val="single"/>
              </w:rPr>
              <w:t>月</w:t>
            </w:r>
            <w:r>
              <w:rPr>
                <w:rFonts w:hint="eastAsia"/>
                <w:color w:val="auto"/>
                <w:highlight w:val="none"/>
                <w:u w:val="single"/>
                <w:lang w:val="en-US" w:eastAsia="zh-CN"/>
              </w:rPr>
              <w:t>**</w:t>
            </w:r>
            <w:r>
              <w:rPr>
                <w:rFonts w:hint="eastAsia"/>
                <w:color w:val="auto"/>
                <w:highlight w:val="none"/>
                <w:u w:val="single"/>
              </w:rPr>
              <w:t>日</w:t>
            </w:r>
          </w:p>
          <w:p w14:paraId="05113980">
            <w:pPr>
              <w:spacing w:line="320" w:lineRule="exact"/>
              <w:jc w:val="left"/>
              <w:rPr>
                <w:color w:val="auto"/>
                <w:highlight w:val="none"/>
                <w:u w:val="single"/>
              </w:rPr>
            </w:pPr>
            <w:r>
              <w:rPr>
                <w:rFonts w:hint="eastAsia"/>
                <w:color w:val="auto"/>
                <w:highlight w:val="none"/>
              </w:rPr>
              <w:t>计划竣工日期：</w:t>
            </w:r>
            <w:r>
              <w:rPr>
                <w:rFonts w:hint="eastAsia"/>
                <w:color w:val="auto"/>
                <w:highlight w:val="none"/>
                <w:u w:val="single"/>
              </w:rPr>
              <w:t>202</w:t>
            </w:r>
            <w:r>
              <w:rPr>
                <w:rFonts w:hint="eastAsia"/>
                <w:color w:val="auto"/>
                <w:highlight w:val="none"/>
                <w:u w:val="single"/>
                <w:lang w:val="en-US" w:eastAsia="zh-CN"/>
              </w:rPr>
              <w:t>7</w:t>
            </w:r>
            <w:r>
              <w:rPr>
                <w:rFonts w:hint="eastAsia"/>
                <w:color w:val="auto"/>
                <w:highlight w:val="none"/>
                <w:u w:val="single"/>
              </w:rPr>
              <w:t>年</w:t>
            </w:r>
            <w:r>
              <w:rPr>
                <w:rFonts w:hint="eastAsia"/>
                <w:color w:val="auto"/>
                <w:highlight w:val="none"/>
                <w:u w:val="single"/>
                <w:lang w:val="en-US" w:eastAsia="zh-CN"/>
              </w:rPr>
              <w:t>**</w:t>
            </w:r>
            <w:r>
              <w:rPr>
                <w:rFonts w:hint="eastAsia"/>
                <w:color w:val="auto"/>
                <w:highlight w:val="none"/>
                <w:u w:val="single"/>
              </w:rPr>
              <w:t>月</w:t>
            </w:r>
            <w:r>
              <w:rPr>
                <w:rFonts w:hint="eastAsia"/>
                <w:color w:val="auto"/>
                <w:highlight w:val="none"/>
                <w:u w:val="single"/>
                <w:lang w:val="en-US" w:eastAsia="zh-CN"/>
              </w:rPr>
              <w:t>**</w:t>
            </w:r>
            <w:r>
              <w:rPr>
                <w:rFonts w:hint="eastAsia"/>
                <w:color w:val="auto"/>
                <w:highlight w:val="none"/>
                <w:u w:val="single"/>
              </w:rPr>
              <w:t>日</w:t>
            </w:r>
          </w:p>
          <w:p w14:paraId="48E2AD59">
            <w:pPr>
              <w:spacing w:line="320" w:lineRule="exact"/>
              <w:jc w:val="left"/>
              <w:rPr>
                <w:color w:val="auto"/>
                <w:highlight w:val="none"/>
                <w:u w:val="single"/>
              </w:rPr>
            </w:pPr>
            <w:r>
              <w:rPr>
                <w:rFonts w:hint="eastAsia"/>
                <w:color w:val="auto"/>
                <w:highlight w:val="none"/>
              </w:rPr>
              <w:t>除上述总工期外，发包人还要求以下区段工期：</w:t>
            </w:r>
            <w:r>
              <w:rPr>
                <w:rFonts w:hint="eastAsia"/>
                <w:b/>
                <w:bCs/>
                <w:color w:val="auto"/>
                <w:highlight w:val="none"/>
                <w:u w:val="single"/>
              </w:rPr>
              <w:t>/</w:t>
            </w:r>
          </w:p>
          <w:p w14:paraId="637E25EF">
            <w:pPr>
              <w:spacing w:line="320" w:lineRule="exact"/>
              <w:jc w:val="left"/>
              <w:rPr>
                <w:color w:val="auto"/>
                <w:highlight w:val="none"/>
                <w:u w:val="single"/>
              </w:rPr>
            </w:pPr>
            <w:r>
              <w:rPr>
                <w:rFonts w:hint="eastAsia"/>
                <w:color w:val="auto"/>
                <w:highlight w:val="none"/>
              </w:rPr>
              <w:t>有关工期的详细要求见</w:t>
            </w:r>
            <w:r>
              <w:rPr>
                <w:color w:val="auto"/>
                <w:szCs w:val="21"/>
                <w:highlight w:val="none"/>
              </w:rPr>
              <w:t>第五章“发包人要求”</w:t>
            </w:r>
            <w:r>
              <w:rPr>
                <w:rFonts w:hint="eastAsia"/>
                <w:color w:val="auto"/>
                <w:szCs w:val="21"/>
                <w:highlight w:val="none"/>
              </w:rPr>
              <w:t>。</w:t>
            </w:r>
          </w:p>
        </w:tc>
      </w:tr>
      <w:tr w14:paraId="4AC9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857" w:type="dxa"/>
            <w:vAlign w:val="center"/>
          </w:tcPr>
          <w:p w14:paraId="03788FA6">
            <w:pPr>
              <w:spacing w:line="320" w:lineRule="exact"/>
              <w:jc w:val="center"/>
              <w:rPr>
                <w:color w:val="auto"/>
                <w:highlight w:val="none"/>
              </w:rPr>
            </w:pPr>
            <w:r>
              <w:rPr>
                <w:rFonts w:hint="eastAsia"/>
                <w:color w:val="auto"/>
                <w:highlight w:val="none"/>
              </w:rPr>
              <w:t>1.3.3</w:t>
            </w:r>
          </w:p>
        </w:tc>
        <w:tc>
          <w:tcPr>
            <w:tcW w:w="2334" w:type="dxa"/>
            <w:vAlign w:val="center"/>
          </w:tcPr>
          <w:p w14:paraId="0A0DD624">
            <w:pPr>
              <w:spacing w:line="320" w:lineRule="exact"/>
              <w:jc w:val="center"/>
              <w:rPr>
                <w:color w:val="auto"/>
                <w:highlight w:val="none"/>
              </w:rPr>
            </w:pPr>
            <w:r>
              <w:rPr>
                <w:rFonts w:hint="eastAsia"/>
                <w:color w:val="auto"/>
                <w:highlight w:val="none"/>
              </w:rPr>
              <w:t>质量标准</w:t>
            </w:r>
          </w:p>
        </w:tc>
        <w:tc>
          <w:tcPr>
            <w:tcW w:w="5436" w:type="dxa"/>
            <w:vAlign w:val="center"/>
          </w:tcPr>
          <w:p w14:paraId="73E2674F">
            <w:pPr>
              <w:spacing w:line="320" w:lineRule="exact"/>
              <w:jc w:val="left"/>
              <w:rPr>
                <w:rFonts w:hint="eastAsia"/>
                <w:color w:val="auto"/>
                <w:highlight w:val="none"/>
                <w:u w:val="single"/>
              </w:rPr>
            </w:pPr>
            <w:bookmarkStart w:id="42" w:name="OLE_LINK33"/>
            <w:r>
              <w:rPr>
                <w:color w:val="auto"/>
                <w:szCs w:val="21"/>
                <w:highlight w:val="none"/>
              </w:rPr>
              <w:t>设计要求的质量标准：</w:t>
            </w:r>
            <w:r>
              <w:rPr>
                <w:rFonts w:hint="eastAsia"/>
                <w:color w:val="auto"/>
                <w:highlight w:val="none"/>
                <w:u w:val="single"/>
                <w:lang w:val="zh-CN"/>
              </w:rPr>
              <w:t>符合国家、行业设计规范和标准</w:t>
            </w:r>
            <w:r>
              <w:rPr>
                <w:rFonts w:hint="eastAsia"/>
                <w:color w:val="auto"/>
                <w:highlight w:val="none"/>
                <w:u w:val="single"/>
              </w:rPr>
              <w:t>。</w:t>
            </w:r>
          </w:p>
          <w:p w14:paraId="6D9FFE86">
            <w:pPr>
              <w:spacing w:line="320" w:lineRule="exact"/>
              <w:jc w:val="left"/>
              <w:rPr>
                <w:rFonts w:hint="eastAsia"/>
                <w:color w:val="auto"/>
                <w:highlight w:val="none"/>
                <w:u w:val="single"/>
                <w:lang w:val="zh-CN"/>
              </w:rPr>
            </w:pPr>
            <w:r>
              <w:rPr>
                <w:color w:val="auto"/>
                <w:szCs w:val="21"/>
                <w:highlight w:val="none"/>
              </w:rPr>
              <w:t>施工要求的质量标准</w:t>
            </w:r>
            <w:r>
              <w:rPr>
                <w:rFonts w:hint="eastAsia"/>
                <w:color w:val="auto"/>
                <w:highlight w:val="none"/>
              </w:rPr>
              <w:t>：</w:t>
            </w:r>
            <w:r>
              <w:rPr>
                <w:rFonts w:hint="eastAsia"/>
                <w:color w:val="auto"/>
                <w:highlight w:val="none"/>
                <w:u w:val="single"/>
                <w:lang w:val="zh-CN"/>
              </w:rPr>
              <w:t>符合现行国家有关工程施工质量验收规范。</w:t>
            </w:r>
          </w:p>
          <w:bookmarkEnd w:id="42"/>
          <w:p w14:paraId="4B9465A3">
            <w:pPr>
              <w:spacing w:line="320" w:lineRule="exact"/>
              <w:jc w:val="left"/>
              <w:rPr>
                <w:color w:val="auto"/>
                <w:highlight w:val="none"/>
              </w:rPr>
            </w:pPr>
            <w:r>
              <w:rPr>
                <w:rFonts w:hint="eastAsia"/>
                <w:color w:val="auto"/>
                <w:highlight w:val="none"/>
              </w:rPr>
              <w:t>其他要求：</w:t>
            </w:r>
            <w:r>
              <w:rPr>
                <w:rFonts w:hint="eastAsia"/>
                <w:color w:val="auto"/>
                <w:highlight w:val="none"/>
                <w:u w:val="single"/>
              </w:rPr>
              <w:t>/</w:t>
            </w:r>
          </w:p>
          <w:p w14:paraId="1A3B961D">
            <w:pPr>
              <w:spacing w:line="320" w:lineRule="exact"/>
              <w:jc w:val="left"/>
              <w:rPr>
                <w:color w:val="auto"/>
                <w:highlight w:val="none"/>
              </w:rPr>
            </w:pPr>
            <w:r>
              <w:rPr>
                <w:rFonts w:hint="eastAsia"/>
                <w:color w:val="auto"/>
                <w:highlight w:val="none"/>
              </w:rPr>
              <w:t>关于质量要求的详细说明见</w:t>
            </w:r>
            <w:r>
              <w:rPr>
                <w:color w:val="auto"/>
                <w:szCs w:val="21"/>
                <w:highlight w:val="none"/>
              </w:rPr>
              <w:t>第五章“发包人要求”</w:t>
            </w:r>
            <w:r>
              <w:rPr>
                <w:rFonts w:hint="eastAsia"/>
                <w:color w:val="auto"/>
                <w:szCs w:val="21"/>
                <w:highlight w:val="none"/>
              </w:rPr>
              <w:t>。</w:t>
            </w:r>
          </w:p>
        </w:tc>
      </w:tr>
      <w:tr w14:paraId="6C63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857" w:type="dxa"/>
            <w:vAlign w:val="center"/>
          </w:tcPr>
          <w:p w14:paraId="3079604F">
            <w:pPr>
              <w:spacing w:line="320" w:lineRule="exact"/>
              <w:jc w:val="center"/>
              <w:rPr>
                <w:color w:val="auto"/>
                <w:highlight w:val="none"/>
              </w:rPr>
            </w:pPr>
            <w:r>
              <w:rPr>
                <w:rFonts w:hint="eastAsia"/>
                <w:color w:val="auto"/>
                <w:highlight w:val="none"/>
              </w:rPr>
              <w:t>1.4.1</w:t>
            </w:r>
          </w:p>
        </w:tc>
        <w:tc>
          <w:tcPr>
            <w:tcW w:w="2334" w:type="dxa"/>
            <w:vAlign w:val="center"/>
          </w:tcPr>
          <w:p w14:paraId="4640F367">
            <w:pPr>
              <w:spacing w:line="320" w:lineRule="exact"/>
              <w:jc w:val="center"/>
              <w:rPr>
                <w:color w:val="auto"/>
                <w:highlight w:val="none"/>
              </w:rPr>
            </w:pPr>
            <w:r>
              <w:rPr>
                <w:rFonts w:hint="eastAsia"/>
                <w:color w:val="auto"/>
                <w:highlight w:val="none"/>
              </w:rPr>
              <w:t>投标人资质条件、</w:t>
            </w:r>
          </w:p>
          <w:p w14:paraId="0FD992B8">
            <w:pPr>
              <w:spacing w:line="320" w:lineRule="exact"/>
              <w:jc w:val="center"/>
              <w:rPr>
                <w:color w:val="auto"/>
                <w:highlight w:val="none"/>
              </w:rPr>
            </w:pPr>
            <w:r>
              <w:rPr>
                <w:rFonts w:hint="eastAsia"/>
                <w:color w:val="auto"/>
                <w:highlight w:val="none"/>
              </w:rPr>
              <w:t>能力和信誉</w:t>
            </w:r>
          </w:p>
        </w:tc>
        <w:tc>
          <w:tcPr>
            <w:tcW w:w="5436" w:type="dxa"/>
            <w:vAlign w:val="center"/>
          </w:tcPr>
          <w:p w14:paraId="0E1DB421">
            <w:pPr>
              <w:spacing w:line="320" w:lineRule="exact"/>
              <w:rPr>
                <w:color w:val="auto"/>
                <w:szCs w:val="21"/>
                <w:highlight w:val="none"/>
              </w:rPr>
            </w:pPr>
            <w:r>
              <w:rPr>
                <w:rFonts w:hint="eastAsia"/>
                <w:b/>
                <w:color w:val="auto"/>
                <w:highlight w:val="none"/>
              </w:rPr>
              <w:t>资质要求：</w:t>
            </w:r>
            <w:r>
              <w:rPr>
                <w:rFonts w:hint="eastAsia" w:asciiTheme="majorEastAsia" w:hAnsiTheme="majorEastAsia" w:eastAsiaTheme="majorEastAsia" w:cstheme="majorEastAsia"/>
                <w:color w:val="auto"/>
                <w:highlight w:val="none"/>
              </w:rPr>
              <w:t>具备</w:t>
            </w:r>
            <w:r>
              <w:rPr>
                <w:rFonts w:hint="eastAsia" w:asciiTheme="majorEastAsia" w:hAnsiTheme="majorEastAsia" w:eastAsiaTheme="majorEastAsia" w:cstheme="majorEastAsia"/>
                <w:b w:val="0"/>
                <w:bCs w:val="0"/>
                <w:color w:val="auto"/>
                <w:highlight w:val="none"/>
              </w:rPr>
              <w:t>[施工总承包·建筑工程·建筑工程</w:t>
            </w:r>
            <w:r>
              <w:rPr>
                <w:rFonts w:hint="eastAsia" w:asciiTheme="majorEastAsia" w:hAnsiTheme="majorEastAsia" w:eastAsiaTheme="majorEastAsia" w:cstheme="majorEastAsia"/>
                <w:b w:val="0"/>
                <w:bCs w:val="0"/>
                <w:color w:val="auto"/>
                <w:highlight w:val="none"/>
                <w:lang w:val="en-US" w:eastAsia="zh-CN"/>
              </w:rPr>
              <w:t>一</w:t>
            </w:r>
            <w:r>
              <w:rPr>
                <w:rFonts w:hint="eastAsia" w:asciiTheme="majorEastAsia" w:hAnsiTheme="majorEastAsia" w:eastAsiaTheme="majorEastAsia" w:cstheme="majorEastAsia"/>
                <w:b w:val="0"/>
                <w:bCs w:val="0"/>
                <w:color w:val="auto"/>
                <w:highlight w:val="none"/>
              </w:rPr>
              <w:t>级](含)以上并且([设计·综合类资质·工程设计综合资质](含)以上或者[设计·行业资质·建筑行业·建筑行业甲级]或者[设计·专业资质·建筑行业（建筑工程）·建筑行业（建筑工程）甲级])</w:t>
            </w:r>
            <w:r>
              <w:rPr>
                <w:rFonts w:hint="eastAsia"/>
                <w:color w:val="auto"/>
                <w:szCs w:val="21"/>
                <w:highlight w:val="none"/>
              </w:rPr>
              <w:t>，且具备有效的安全生产许可证，具备市场监督管理部门</w:t>
            </w:r>
            <w:r>
              <w:rPr>
                <w:color w:val="auto"/>
                <w:szCs w:val="21"/>
                <w:highlight w:val="none"/>
              </w:rPr>
              <w:t>核发的有效营业执照。</w:t>
            </w:r>
          </w:p>
          <w:p w14:paraId="1AB4F0C3">
            <w:pPr>
              <w:spacing w:line="320" w:lineRule="exact"/>
              <w:rPr>
                <w:rFonts w:hint="eastAsia"/>
                <w:color w:val="auto"/>
                <w:highlight w:val="none"/>
              </w:rPr>
            </w:pPr>
            <w:r>
              <w:rPr>
                <w:rFonts w:hint="eastAsia"/>
                <w:b/>
                <w:color w:val="auto"/>
                <w:highlight w:val="none"/>
              </w:rPr>
              <w:t>信誉要求：</w:t>
            </w:r>
            <w:r>
              <w:rPr>
                <w:rFonts w:hint="eastAsia"/>
                <w:color w:val="auto"/>
                <w:highlight w:val="none"/>
              </w:rPr>
              <w:t>不得具有投标人须知第1.4.3（10）至（17）条目规定的情形。</w:t>
            </w:r>
          </w:p>
          <w:p w14:paraId="0D2CB79F">
            <w:pPr>
              <w:spacing w:line="320" w:lineRule="exact"/>
              <w:rPr>
                <w:rFonts w:hint="eastAsia" w:asciiTheme="majorEastAsia" w:hAnsiTheme="majorEastAsia" w:eastAsiaTheme="majorEastAsia" w:cstheme="majorEastAsia"/>
                <w:color w:val="auto"/>
                <w:highlight w:val="none"/>
              </w:rPr>
            </w:pPr>
            <w:r>
              <w:rPr>
                <w:rFonts w:hint="eastAsia"/>
                <w:b/>
                <w:color w:val="auto"/>
                <w:highlight w:val="none"/>
              </w:rPr>
              <w:t>项目经理资格：</w:t>
            </w:r>
            <w:r>
              <w:rPr>
                <w:rFonts w:hint="eastAsia"/>
                <w:color w:val="auto"/>
                <w:highlight w:val="none"/>
              </w:rPr>
              <w:t>具备</w:t>
            </w:r>
            <w:r>
              <w:rPr>
                <w:rFonts w:hint="eastAsia"/>
                <w:color w:val="auto"/>
                <w:highlight w:val="none"/>
                <w:u w:val="single"/>
              </w:rPr>
              <w:t>[</w:t>
            </w:r>
            <w:r>
              <w:rPr>
                <w:rFonts w:hint="eastAsia"/>
                <w:color w:val="auto"/>
                <w:highlight w:val="none"/>
                <w:u w:val="single"/>
                <w:lang w:eastAsia="zh-CN"/>
              </w:rPr>
              <w:t>注册一级建造师</w:t>
            </w:r>
            <w:r>
              <w:rPr>
                <w:rFonts w:hint="eastAsia" w:eastAsia="宋体"/>
                <w:color w:val="auto"/>
                <w:highlight w:val="none"/>
                <w:u w:val="single"/>
              </w:rPr>
              <w:t>·建筑工程</w:t>
            </w:r>
            <w:r>
              <w:rPr>
                <w:rFonts w:hint="eastAsia"/>
                <w:color w:val="auto"/>
                <w:highlight w:val="none"/>
                <w:u w:val="single"/>
              </w:rPr>
              <w:t>](含)以上</w:t>
            </w:r>
            <w:r>
              <w:rPr>
                <w:rFonts w:hint="eastAsia" w:asciiTheme="majorEastAsia" w:hAnsiTheme="majorEastAsia" w:eastAsiaTheme="majorEastAsia" w:cstheme="majorEastAsia"/>
                <w:color w:val="auto"/>
                <w:highlight w:val="none"/>
              </w:rPr>
              <w:t>执业资格，具备有效的安全生产考核合格证书（B证），无在建工程（二次刷卡验证结果为通过）</w:t>
            </w:r>
          </w:p>
          <w:p w14:paraId="23C3C32A">
            <w:pPr>
              <w:tabs>
                <w:tab w:val="left" w:pos="3247"/>
              </w:tabs>
              <w:spacing w:line="320" w:lineRule="exact"/>
              <w:rPr>
                <w:rFonts w:hint="eastAsia" w:asciiTheme="majorEastAsia" w:hAnsiTheme="majorEastAsia" w:eastAsiaTheme="majorEastAsia" w:cstheme="majorEastAsia"/>
                <w:color w:val="auto"/>
                <w:highlight w:val="none"/>
              </w:rPr>
            </w:pPr>
            <w:r>
              <w:rPr>
                <w:b/>
                <w:bCs/>
                <w:color w:val="auto"/>
                <w:szCs w:val="21"/>
                <w:highlight w:val="none"/>
              </w:rPr>
              <w:t>施工负责人资格要求：</w:t>
            </w:r>
            <w:r>
              <w:rPr>
                <w:color w:val="auto"/>
                <w:highlight w:val="none"/>
              </w:rPr>
              <w:t>具备</w:t>
            </w:r>
            <w:r>
              <w:rPr>
                <w:rFonts w:hint="eastAsia" w:asciiTheme="majorEastAsia" w:hAnsiTheme="majorEastAsia" w:eastAsiaTheme="majorEastAsia" w:cstheme="majorEastAsia"/>
                <w:color w:val="auto"/>
                <w:highlight w:val="none"/>
                <w:u w:val="single"/>
                <w:lang w:val="en-US" w:eastAsia="zh-CN"/>
              </w:rPr>
              <w:t>[注册一级建造师·建筑工程]</w:t>
            </w:r>
            <w:r>
              <w:rPr>
                <w:rFonts w:hint="eastAsia" w:asciiTheme="majorEastAsia" w:hAnsiTheme="majorEastAsia" w:eastAsiaTheme="majorEastAsia" w:cstheme="majorEastAsia"/>
                <w:color w:val="auto"/>
                <w:highlight w:val="none"/>
                <w:u w:val="single"/>
              </w:rPr>
              <w:t>]</w:t>
            </w:r>
            <w:r>
              <w:rPr>
                <w:rFonts w:hint="eastAsia"/>
                <w:color w:val="auto"/>
                <w:highlight w:val="none"/>
                <w:u w:val="single"/>
              </w:rPr>
              <w:t>(含)以上</w:t>
            </w:r>
            <w:r>
              <w:rPr>
                <w:rFonts w:hint="eastAsia" w:asciiTheme="majorEastAsia" w:hAnsiTheme="majorEastAsia" w:eastAsiaTheme="majorEastAsia" w:cstheme="majorEastAsia"/>
                <w:color w:val="auto"/>
                <w:highlight w:val="none"/>
              </w:rPr>
              <w:t>执业资格，具备有效的安全生产考核合格证书（B证）</w:t>
            </w:r>
            <w:r>
              <w:rPr>
                <w:rFonts w:hint="eastAsia" w:asciiTheme="majorEastAsia" w:hAnsiTheme="majorEastAsia" w:eastAsiaTheme="majorEastAsia" w:cstheme="majorEastAsia"/>
                <w:color w:val="auto"/>
                <w:highlight w:val="none"/>
                <w:lang w:val="en-US" w:eastAsia="zh-CN"/>
              </w:rPr>
              <w:t>,</w:t>
            </w:r>
            <w:r>
              <w:rPr>
                <w:rFonts w:hint="eastAsia" w:asciiTheme="majorEastAsia" w:hAnsiTheme="majorEastAsia" w:eastAsiaTheme="majorEastAsia" w:cstheme="majorEastAsia"/>
                <w:color w:val="auto"/>
                <w:highlight w:val="none"/>
              </w:rPr>
              <w:t>无在建工程；施工负责人可由项目总负责人（EPC项目经理）兼任。</w:t>
            </w:r>
          </w:p>
          <w:p w14:paraId="2E59A58B">
            <w:pPr>
              <w:spacing w:line="320" w:lineRule="exact"/>
              <w:rPr>
                <w:color w:val="auto"/>
                <w:highlight w:val="none"/>
              </w:rPr>
            </w:pPr>
            <w:r>
              <w:rPr>
                <w:b/>
                <w:bCs/>
                <w:color w:val="auto"/>
                <w:szCs w:val="21"/>
                <w:highlight w:val="none"/>
              </w:rPr>
              <w:t>设计负责人资格要求：</w:t>
            </w:r>
            <w:r>
              <w:rPr>
                <w:rFonts w:hint="eastAsia" w:ascii="Times New Roman" w:hAnsi="Times New Roman" w:cs="Times New Roman"/>
                <w:color w:val="auto"/>
                <w:highlight w:val="none"/>
                <w:u w:val="single"/>
              </w:rPr>
              <w:t>[注册一级建筑师]</w:t>
            </w:r>
            <w:r>
              <w:rPr>
                <w:rFonts w:hint="eastAsia"/>
                <w:color w:val="auto"/>
                <w:highlight w:val="none"/>
                <w:u w:val="single"/>
              </w:rPr>
              <w:t>(含)以上</w:t>
            </w:r>
            <w:r>
              <w:rPr>
                <w:rFonts w:hint="eastAsia" w:asciiTheme="majorEastAsia" w:hAnsiTheme="majorEastAsia" w:eastAsiaTheme="majorEastAsia" w:cstheme="majorEastAsia"/>
                <w:color w:val="auto"/>
                <w:highlight w:val="none"/>
              </w:rPr>
              <w:t>执业资格</w:t>
            </w:r>
            <w:r>
              <w:rPr>
                <w:rFonts w:hint="eastAsia" w:ascii="宋体" w:hAnsi="宋体" w:cs="宋体"/>
                <w:color w:val="auto"/>
                <w:sz w:val="24"/>
                <w:szCs w:val="24"/>
                <w:highlight w:val="none"/>
              </w:rPr>
              <w:t>，</w:t>
            </w:r>
            <w:r>
              <w:rPr>
                <w:rFonts w:hint="eastAsia" w:ascii="宋体" w:hAnsi="宋体" w:cs="宋体"/>
                <w:color w:val="auto"/>
                <w:sz w:val="21"/>
                <w:szCs w:val="21"/>
                <w:highlight w:val="none"/>
              </w:rPr>
              <w:t>且具有高级及以上职称</w:t>
            </w:r>
          </w:p>
          <w:p w14:paraId="4090E466">
            <w:pPr>
              <w:spacing w:line="320" w:lineRule="exact"/>
              <w:rPr>
                <w:color w:val="auto"/>
                <w:highlight w:val="none"/>
              </w:rPr>
            </w:pPr>
            <w:r>
              <w:rPr>
                <w:rFonts w:hint="eastAsia"/>
                <w:b/>
                <w:color w:val="auto"/>
                <w:highlight w:val="none"/>
              </w:rPr>
              <w:t>业绩要求：</w:t>
            </w:r>
            <w:r>
              <w:rPr>
                <w:rFonts w:hint="eastAsia"/>
                <w:color w:val="auto"/>
                <w:highlight w:val="none"/>
                <w:u w:val="single"/>
              </w:rPr>
              <w:t>/</w:t>
            </w:r>
          </w:p>
          <w:p w14:paraId="777413D2">
            <w:pPr>
              <w:spacing w:line="320" w:lineRule="exact"/>
              <w:rPr>
                <w:rFonts w:hint="eastAsia" w:eastAsia="宋体"/>
                <w:b/>
                <w:color w:val="auto"/>
                <w:highlight w:val="none"/>
                <w:lang w:val="en-US" w:eastAsia="zh-CN"/>
              </w:rPr>
            </w:pPr>
            <w:r>
              <w:rPr>
                <w:rFonts w:hint="eastAsia"/>
                <w:b/>
                <w:color w:val="auto"/>
                <w:highlight w:val="none"/>
              </w:rPr>
              <w:t>项目管理机构主要人员要求：</w:t>
            </w:r>
            <w:r>
              <w:rPr>
                <w:rFonts w:hint="eastAsia"/>
                <w:b/>
                <w:color w:val="auto"/>
                <w:highlight w:val="none"/>
                <w:lang w:val="en-US" w:eastAsia="zh-CN"/>
              </w:rPr>
              <w:t>/</w:t>
            </w:r>
          </w:p>
          <w:p w14:paraId="1448D380">
            <w:pPr>
              <w:spacing w:line="320" w:lineRule="exact"/>
              <w:rPr>
                <w:color w:val="auto"/>
                <w:highlight w:val="none"/>
              </w:rPr>
            </w:pPr>
            <w:r>
              <w:rPr>
                <w:rFonts w:hint="eastAsia"/>
                <w:b/>
                <w:color w:val="auto"/>
                <w:highlight w:val="none"/>
              </w:rPr>
              <w:t>其他要求：</w:t>
            </w:r>
            <w:r>
              <w:rPr>
                <w:rFonts w:hint="eastAsia"/>
                <w:color w:val="auto"/>
                <w:highlight w:val="none"/>
                <w:u w:val="single"/>
              </w:rPr>
              <w:t>具有有效的企业在辽基本信息登记单（外省企业）。</w:t>
            </w:r>
            <w:r>
              <w:rPr>
                <w:rFonts w:hint="eastAsia" w:ascii="宋体" w:hAnsi="宋体" w:cs="宋体"/>
                <w:color w:val="auto"/>
                <w:szCs w:val="24"/>
                <w:highlight w:val="none"/>
              </w:rPr>
              <w:t>外省企业须按照辽宁省建设厅《关于加强省外施工企业入辽承揽业务监管工作的通知》（辽住建【2016】1号）文件要求执行，必须到辽宁省建设厅办理入辽备案（信息报送单）。</w:t>
            </w:r>
          </w:p>
        </w:tc>
      </w:tr>
      <w:tr w14:paraId="055E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857" w:type="dxa"/>
            <w:vAlign w:val="center"/>
          </w:tcPr>
          <w:p w14:paraId="2BFCBBDF">
            <w:pPr>
              <w:spacing w:line="320" w:lineRule="exact"/>
              <w:jc w:val="center"/>
              <w:rPr>
                <w:color w:val="auto"/>
                <w:highlight w:val="none"/>
              </w:rPr>
            </w:pPr>
            <w:r>
              <w:rPr>
                <w:rFonts w:hint="eastAsia"/>
                <w:color w:val="auto"/>
                <w:highlight w:val="none"/>
              </w:rPr>
              <w:t>1.4.2</w:t>
            </w:r>
          </w:p>
        </w:tc>
        <w:tc>
          <w:tcPr>
            <w:tcW w:w="2334" w:type="dxa"/>
            <w:vAlign w:val="center"/>
          </w:tcPr>
          <w:p w14:paraId="5861DA47">
            <w:pPr>
              <w:spacing w:line="320" w:lineRule="exact"/>
              <w:jc w:val="center"/>
              <w:rPr>
                <w:color w:val="auto"/>
                <w:highlight w:val="none"/>
              </w:rPr>
            </w:pPr>
            <w:r>
              <w:rPr>
                <w:rFonts w:hint="eastAsia"/>
                <w:color w:val="auto"/>
                <w:highlight w:val="none"/>
              </w:rPr>
              <w:t>是否接受联合体投标</w:t>
            </w:r>
          </w:p>
        </w:tc>
        <w:tc>
          <w:tcPr>
            <w:tcW w:w="5436" w:type="dxa"/>
            <w:vAlign w:val="center"/>
          </w:tcPr>
          <w:p w14:paraId="38F9A190">
            <w:pPr>
              <w:spacing w:line="320" w:lineRule="exact"/>
              <w:jc w:val="left"/>
              <w:rPr>
                <w:color w:val="auto"/>
                <w:highlight w:val="none"/>
              </w:rPr>
            </w:pPr>
            <w:r>
              <w:rPr>
                <w:rFonts w:hint="eastAsia"/>
                <w:color w:val="auto"/>
                <w:highlight w:val="none"/>
              </w:rPr>
              <w:t>□不接受</w:t>
            </w:r>
          </w:p>
          <w:p w14:paraId="4D33830A">
            <w:pPr>
              <w:spacing w:line="320" w:lineRule="exact"/>
              <w:jc w:val="left"/>
              <w:rPr>
                <w:color w:val="auto"/>
                <w:sz w:val="21"/>
                <w:szCs w:val="21"/>
                <w:highlight w:val="none"/>
                <w:u w:val="single"/>
              </w:rPr>
            </w:pPr>
            <w:r>
              <w:rPr>
                <w:rFonts w:hint="eastAsia"/>
                <w:color w:val="auto"/>
                <w:highlight w:val="none"/>
              </w:rPr>
              <w:t>☑接受，应满足下列要求：</w:t>
            </w:r>
            <w:r>
              <w:rPr>
                <w:rFonts w:hint="eastAsia" w:ascii="宋体" w:hAnsi="宋体" w:cs="宋体"/>
                <w:color w:val="auto"/>
                <w:sz w:val="21"/>
                <w:szCs w:val="21"/>
                <w:highlight w:val="none"/>
                <w:u w:val="single"/>
              </w:rPr>
              <w:t>（1）投标时须提交联合体协议，载明联合体投标代表的牵头人，本项目联合体牵头人应为具备施工总承包资质的一方。（2）联合体投标组成成员不超过2家（含）。（3）设计单位和施工单位组成联合体的，应当在联合体协议中明确联合体成员单位的工作范围、责任和权利。联合体各方应当共同与招标人签订工程总承包合同，就工程总承包项目承担连带责任。（4）联合体各方不得再以自己名义单独或参加其他联合体在本招标项目中投标。</w:t>
            </w:r>
          </w:p>
          <w:p w14:paraId="6D820A61">
            <w:pPr>
              <w:spacing w:line="320" w:lineRule="exact"/>
              <w:jc w:val="left"/>
              <w:rPr>
                <w:color w:val="auto"/>
                <w:highlight w:val="none"/>
              </w:rPr>
            </w:pPr>
            <w:r>
              <w:rPr>
                <w:rFonts w:hint="eastAsia"/>
                <w:color w:val="auto"/>
                <w:szCs w:val="21"/>
                <w:highlight w:val="none"/>
              </w:rPr>
              <w:t>其中：</w:t>
            </w:r>
            <w:r>
              <w:rPr>
                <w:rFonts w:hint="eastAsia"/>
                <w:color w:val="auto"/>
                <w:szCs w:val="21"/>
                <w:highlight w:val="none"/>
                <w:u w:val="single"/>
              </w:rPr>
              <w:t>联合体资质按照联合体协议约定的分工认定，其他按照评审标准规定和联合体协议中约定的各成员分工要求进行。</w:t>
            </w:r>
          </w:p>
        </w:tc>
      </w:tr>
      <w:tr w14:paraId="1EF6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57" w:type="dxa"/>
            <w:vAlign w:val="center"/>
          </w:tcPr>
          <w:p w14:paraId="2165C596">
            <w:pPr>
              <w:spacing w:line="320" w:lineRule="exact"/>
              <w:jc w:val="center"/>
              <w:rPr>
                <w:color w:val="auto"/>
                <w:highlight w:val="none"/>
              </w:rPr>
            </w:pPr>
            <w:r>
              <w:rPr>
                <w:rFonts w:hint="eastAsia"/>
                <w:color w:val="auto"/>
                <w:highlight w:val="none"/>
              </w:rPr>
              <w:t>1.4.3（17）</w:t>
            </w:r>
          </w:p>
        </w:tc>
        <w:tc>
          <w:tcPr>
            <w:tcW w:w="2334" w:type="dxa"/>
            <w:vAlign w:val="center"/>
          </w:tcPr>
          <w:p w14:paraId="2E2D424F">
            <w:pPr>
              <w:spacing w:line="320" w:lineRule="exact"/>
              <w:jc w:val="center"/>
              <w:rPr>
                <w:color w:val="auto"/>
                <w:highlight w:val="none"/>
              </w:rPr>
            </w:pPr>
            <w:r>
              <w:rPr>
                <w:rFonts w:hint="eastAsia" w:ascii="宋体" w:hAnsi="宋体"/>
                <w:color w:val="auto"/>
                <w:szCs w:val="21"/>
                <w:highlight w:val="none"/>
              </w:rPr>
              <w:t>投标人</w:t>
            </w:r>
            <w:r>
              <w:rPr>
                <w:rFonts w:hint="eastAsia"/>
                <w:color w:val="auto"/>
                <w:szCs w:val="21"/>
                <w:highlight w:val="none"/>
              </w:rPr>
              <w:t>不得存在</w:t>
            </w:r>
            <w:r>
              <w:rPr>
                <w:color w:val="auto"/>
                <w:szCs w:val="21"/>
                <w:highlight w:val="none"/>
              </w:rPr>
              <w:t>的其他</w:t>
            </w:r>
            <w:r>
              <w:rPr>
                <w:rFonts w:hint="eastAsia"/>
                <w:color w:val="auto"/>
                <w:szCs w:val="21"/>
                <w:highlight w:val="none"/>
              </w:rPr>
              <w:t>情形</w:t>
            </w:r>
          </w:p>
        </w:tc>
        <w:tc>
          <w:tcPr>
            <w:tcW w:w="5436" w:type="dxa"/>
            <w:vAlign w:val="center"/>
          </w:tcPr>
          <w:p w14:paraId="1F9F7AE8">
            <w:pPr>
              <w:spacing w:line="320" w:lineRule="exact"/>
              <w:jc w:val="left"/>
              <w:rPr>
                <w:color w:val="auto"/>
                <w:highlight w:val="none"/>
              </w:rPr>
            </w:pPr>
            <w:r>
              <w:rPr>
                <w:rFonts w:hint="eastAsia"/>
                <w:color w:val="auto"/>
                <w:highlight w:val="none"/>
              </w:rPr>
              <w:t>/</w:t>
            </w:r>
          </w:p>
        </w:tc>
      </w:tr>
      <w:tr w14:paraId="66EB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57" w:type="dxa"/>
            <w:vAlign w:val="center"/>
          </w:tcPr>
          <w:p w14:paraId="0E0FD325">
            <w:pPr>
              <w:spacing w:line="320" w:lineRule="exact"/>
              <w:jc w:val="center"/>
              <w:rPr>
                <w:color w:val="auto"/>
                <w:highlight w:val="none"/>
              </w:rPr>
            </w:pPr>
            <w:r>
              <w:rPr>
                <w:rFonts w:hint="eastAsia"/>
                <w:color w:val="auto"/>
                <w:highlight w:val="none"/>
              </w:rPr>
              <w:t>1.5</w:t>
            </w:r>
          </w:p>
        </w:tc>
        <w:tc>
          <w:tcPr>
            <w:tcW w:w="2334" w:type="dxa"/>
            <w:vAlign w:val="center"/>
          </w:tcPr>
          <w:p w14:paraId="59FC5A44">
            <w:pPr>
              <w:spacing w:line="320" w:lineRule="exact"/>
              <w:jc w:val="center"/>
              <w:rPr>
                <w:rFonts w:hint="eastAsia" w:ascii="宋体" w:hAnsi="宋体"/>
                <w:color w:val="auto"/>
                <w:szCs w:val="21"/>
                <w:highlight w:val="none"/>
              </w:rPr>
            </w:pPr>
            <w:r>
              <w:rPr>
                <w:color w:val="auto"/>
                <w:highlight w:val="none"/>
              </w:rPr>
              <w:t>费用承担和设计成果补偿</w:t>
            </w:r>
          </w:p>
        </w:tc>
        <w:tc>
          <w:tcPr>
            <w:tcW w:w="5436" w:type="dxa"/>
            <w:vAlign w:val="center"/>
          </w:tcPr>
          <w:p w14:paraId="7B577D68">
            <w:pPr>
              <w:spacing w:line="320" w:lineRule="exact"/>
              <w:rPr>
                <w:color w:val="auto"/>
                <w:highlight w:val="none"/>
              </w:rPr>
            </w:pPr>
            <w:r>
              <w:rPr>
                <w:rFonts w:hint="eastAsia"/>
                <w:color w:val="auto"/>
                <w:highlight w:val="none"/>
              </w:rPr>
              <w:t>☑</w:t>
            </w:r>
            <w:r>
              <w:rPr>
                <w:color w:val="auto"/>
                <w:highlight w:val="none"/>
              </w:rPr>
              <w:t>不补偿</w:t>
            </w:r>
          </w:p>
          <w:p w14:paraId="2A088085">
            <w:pPr>
              <w:spacing w:line="320" w:lineRule="exact"/>
              <w:jc w:val="left"/>
              <w:rPr>
                <w:color w:val="auto"/>
                <w:highlight w:val="none"/>
              </w:rPr>
            </w:pPr>
            <w:r>
              <w:rPr>
                <w:rFonts w:hint="eastAsia"/>
                <w:color w:val="auto"/>
                <w:szCs w:val="21"/>
                <w:highlight w:val="none"/>
              </w:rPr>
              <w:t>□</w:t>
            </w:r>
            <w:r>
              <w:rPr>
                <w:color w:val="auto"/>
                <w:szCs w:val="21"/>
                <w:highlight w:val="none"/>
              </w:rPr>
              <w:t>补偿，补偿标准：</w:t>
            </w:r>
            <w:r>
              <w:rPr>
                <w:rFonts w:hint="eastAsia"/>
                <w:color w:val="auto"/>
                <w:szCs w:val="21"/>
                <w:highlight w:val="none"/>
                <w:u w:val="single"/>
              </w:rPr>
              <w:t>/</w:t>
            </w:r>
          </w:p>
        </w:tc>
      </w:tr>
      <w:tr w14:paraId="3ED0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857" w:type="dxa"/>
            <w:vAlign w:val="center"/>
          </w:tcPr>
          <w:p w14:paraId="1525E4F9">
            <w:pPr>
              <w:spacing w:line="320" w:lineRule="exact"/>
              <w:jc w:val="center"/>
              <w:rPr>
                <w:color w:val="auto"/>
                <w:highlight w:val="none"/>
              </w:rPr>
            </w:pPr>
            <w:r>
              <w:rPr>
                <w:rFonts w:hint="eastAsia"/>
                <w:color w:val="auto"/>
                <w:highlight w:val="none"/>
              </w:rPr>
              <w:t>1.9.1</w:t>
            </w:r>
          </w:p>
        </w:tc>
        <w:tc>
          <w:tcPr>
            <w:tcW w:w="2334" w:type="dxa"/>
            <w:vAlign w:val="center"/>
          </w:tcPr>
          <w:p w14:paraId="46EDA8CE">
            <w:pPr>
              <w:spacing w:line="320" w:lineRule="exact"/>
              <w:jc w:val="center"/>
              <w:rPr>
                <w:color w:val="auto"/>
                <w:highlight w:val="none"/>
              </w:rPr>
            </w:pPr>
            <w:r>
              <w:rPr>
                <w:rFonts w:hint="eastAsia"/>
                <w:color w:val="auto"/>
                <w:highlight w:val="none"/>
              </w:rPr>
              <w:t>踏勘现场</w:t>
            </w:r>
          </w:p>
        </w:tc>
        <w:tc>
          <w:tcPr>
            <w:tcW w:w="5436" w:type="dxa"/>
            <w:vAlign w:val="center"/>
          </w:tcPr>
          <w:p w14:paraId="2C9ECDB0">
            <w:pPr>
              <w:spacing w:line="320" w:lineRule="exact"/>
              <w:jc w:val="left"/>
              <w:rPr>
                <w:color w:val="auto"/>
                <w:highlight w:val="none"/>
              </w:rPr>
            </w:pPr>
            <w:r>
              <w:rPr>
                <w:rFonts w:hint="eastAsia"/>
                <w:color w:val="auto"/>
                <w:highlight w:val="none"/>
              </w:rPr>
              <w:t>☑不统一组织</w:t>
            </w:r>
          </w:p>
          <w:p w14:paraId="07A0B215">
            <w:pPr>
              <w:spacing w:line="320" w:lineRule="exact"/>
              <w:jc w:val="left"/>
              <w:rPr>
                <w:color w:val="auto"/>
                <w:highlight w:val="none"/>
              </w:rPr>
            </w:pPr>
            <w:r>
              <w:rPr>
                <w:rFonts w:hint="eastAsia"/>
                <w:color w:val="auto"/>
                <w:highlight w:val="none"/>
              </w:rPr>
              <w:t>□统一组织，踏勘时间：</w:t>
            </w:r>
            <w:r>
              <w:rPr>
                <w:rFonts w:hint="eastAsia"/>
                <w:color w:val="auto"/>
                <w:highlight w:val="none"/>
                <w:u w:val="single"/>
              </w:rPr>
              <w:t>/</w:t>
            </w:r>
          </w:p>
          <w:p w14:paraId="509FC9C0">
            <w:pPr>
              <w:spacing w:line="320" w:lineRule="exact"/>
              <w:ind w:firstLine="1260" w:firstLineChars="600"/>
              <w:jc w:val="left"/>
              <w:rPr>
                <w:color w:val="auto"/>
                <w:highlight w:val="none"/>
              </w:rPr>
            </w:pPr>
            <w:r>
              <w:rPr>
                <w:rFonts w:hint="eastAsia"/>
                <w:color w:val="auto"/>
                <w:highlight w:val="none"/>
              </w:rPr>
              <w:t>踏勘集中地点：</w:t>
            </w:r>
            <w:r>
              <w:rPr>
                <w:rFonts w:hint="eastAsia"/>
                <w:color w:val="auto"/>
                <w:highlight w:val="none"/>
                <w:u w:val="single"/>
              </w:rPr>
              <w:t>/</w:t>
            </w:r>
          </w:p>
        </w:tc>
      </w:tr>
      <w:tr w14:paraId="515B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857" w:type="dxa"/>
            <w:vAlign w:val="center"/>
          </w:tcPr>
          <w:p w14:paraId="6476E58A">
            <w:pPr>
              <w:spacing w:line="320" w:lineRule="exact"/>
              <w:jc w:val="center"/>
              <w:rPr>
                <w:color w:val="auto"/>
                <w:highlight w:val="none"/>
              </w:rPr>
            </w:pPr>
            <w:r>
              <w:rPr>
                <w:rFonts w:hint="eastAsia"/>
                <w:color w:val="auto"/>
                <w:highlight w:val="none"/>
              </w:rPr>
              <w:t>1.10.1</w:t>
            </w:r>
          </w:p>
        </w:tc>
        <w:tc>
          <w:tcPr>
            <w:tcW w:w="2334" w:type="dxa"/>
            <w:vAlign w:val="center"/>
          </w:tcPr>
          <w:p w14:paraId="3271D7C1">
            <w:pPr>
              <w:spacing w:line="320" w:lineRule="exact"/>
              <w:jc w:val="center"/>
              <w:rPr>
                <w:color w:val="auto"/>
                <w:highlight w:val="none"/>
              </w:rPr>
            </w:pPr>
            <w:r>
              <w:rPr>
                <w:rFonts w:hint="eastAsia"/>
                <w:color w:val="auto"/>
                <w:highlight w:val="none"/>
              </w:rPr>
              <w:t>投标预备会</w:t>
            </w:r>
          </w:p>
        </w:tc>
        <w:tc>
          <w:tcPr>
            <w:tcW w:w="5436" w:type="dxa"/>
            <w:vAlign w:val="center"/>
          </w:tcPr>
          <w:p w14:paraId="7151A01B">
            <w:pPr>
              <w:spacing w:line="320" w:lineRule="exact"/>
              <w:jc w:val="left"/>
              <w:rPr>
                <w:color w:val="auto"/>
                <w:highlight w:val="none"/>
              </w:rPr>
            </w:pPr>
            <w:r>
              <w:rPr>
                <w:rFonts w:hint="eastAsia"/>
                <w:color w:val="auto"/>
                <w:highlight w:val="none"/>
              </w:rPr>
              <w:t>☑不召开</w:t>
            </w:r>
          </w:p>
          <w:p w14:paraId="4B9423E0">
            <w:pPr>
              <w:spacing w:line="320" w:lineRule="exact"/>
              <w:jc w:val="left"/>
              <w:rPr>
                <w:color w:val="auto"/>
                <w:highlight w:val="none"/>
              </w:rPr>
            </w:pPr>
            <w:r>
              <w:rPr>
                <w:rFonts w:hint="eastAsia"/>
                <w:color w:val="auto"/>
                <w:highlight w:val="none"/>
              </w:rPr>
              <w:t>□召开，召开时间：</w:t>
            </w:r>
            <w:r>
              <w:rPr>
                <w:rFonts w:hint="eastAsia"/>
                <w:color w:val="auto"/>
                <w:highlight w:val="none"/>
                <w:u w:val="single"/>
              </w:rPr>
              <w:t>/</w:t>
            </w:r>
          </w:p>
          <w:p w14:paraId="3ABBD573">
            <w:pPr>
              <w:spacing w:line="320" w:lineRule="exact"/>
              <w:ind w:firstLine="840" w:firstLineChars="400"/>
              <w:jc w:val="left"/>
              <w:rPr>
                <w:color w:val="auto"/>
                <w:highlight w:val="none"/>
              </w:rPr>
            </w:pPr>
            <w:r>
              <w:rPr>
                <w:rFonts w:hint="eastAsia"/>
                <w:color w:val="auto"/>
                <w:highlight w:val="none"/>
              </w:rPr>
              <w:t>召开地点：</w:t>
            </w:r>
            <w:r>
              <w:rPr>
                <w:rFonts w:hint="eastAsia"/>
                <w:color w:val="auto"/>
                <w:highlight w:val="none"/>
                <w:u w:val="single"/>
              </w:rPr>
              <w:t>/</w:t>
            </w:r>
          </w:p>
        </w:tc>
      </w:tr>
      <w:tr w14:paraId="0EB1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57" w:type="dxa"/>
            <w:vAlign w:val="center"/>
          </w:tcPr>
          <w:p w14:paraId="48C9DF9B">
            <w:pPr>
              <w:spacing w:line="320" w:lineRule="exact"/>
              <w:jc w:val="center"/>
              <w:rPr>
                <w:color w:val="auto"/>
                <w:highlight w:val="none"/>
              </w:rPr>
            </w:pPr>
            <w:r>
              <w:rPr>
                <w:rFonts w:hint="eastAsia"/>
                <w:color w:val="auto"/>
                <w:highlight w:val="none"/>
              </w:rPr>
              <w:t>1.10.2</w:t>
            </w:r>
          </w:p>
        </w:tc>
        <w:tc>
          <w:tcPr>
            <w:tcW w:w="2334" w:type="dxa"/>
            <w:vAlign w:val="center"/>
          </w:tcPr>
          <w:p w14:paraId="2E22807C">
            <w:pPr>
              <w:spacing w:line="320" w:lineRule="exact"/>
              <w:jc w:val="center"/>
              <w:rPr>
                <w:color w:val="auto"/>
                <w:highlight w:val="none"/>
              </w:rPr>
            </w:pPr>
            <w:r>
              <w:rPr>
                <w:rFonts w:hint="eastAsia"/>
                <w:color w:val="auto"/>
                <w:highlight w:val="none"/>
              </w:rPr>
              <w:t>投标人提出问题的</w:t>
            </w:r>
          </w:p>
          <w:p w14:paraId="0471A0A8">
            <w:pPr>
              <w:spacing w:line="320" w:lineRule="exact"/>
              <w:jc w:val="center"/>
              <w:rPr>
                <w:color w:val="auto"/>
                <w:highlight w:val="none"/>
              </w:rPr>
            </w:pPr>
            <w:r>
              <w:rPr>
                <w:rFonts w:hint="eastAsia"/>
                <w:color w:val="auto"/>
                <w:highlight w:val="none"/>
              </w:rPr>
              <w:t>截止时间</w:t>
            </w:r>
          </w:p>
        </w:tc>
        <w:tc>
          <w:tcPr>
            <w:tcW w:w="5436" w:type="dxa"/>
            <w:vAlign w:val="center"/>
          </w:tcPr>
          <w:p w14:paraId="15176AD4">
            <w:pPr>
              <w:spacing w:line="320" w:lineRule="exact"/>
              <w:jc w:val="left"/>
              <w:rPr>
                <w:color w:val="auto"/>
                <w:highlight w:val="none"/>
              </w:rPr>
            </w:pPr>
            <w:r>
              <w:rPr>
                <w:rFonts w:hint="eastAsia"/>
                <w:color w:val="auto"/>
                <w:highlight w:val="none"/>
              </w:rPr>
              <w:t>2025-</w:t>
            </w:r>
            <w:r>
              <w:rPr>
                <w:rFonts w:hint="eastAsia"/>
                <w:color w:val="auto"/>
                <w:highlight w:val="none"/>
                <w:lang w:val="en-US" w:eastAsia="zh-CN"/>
              </w:rPr>
              <w:t>10</w:t>
            </w:r>
            <w:r>
              <w:rPr>
                <w:rFonts w:hint="eastAsia"/>
                <w:color w:val="auto"/>
                <w:highlight w:val="none"/>
              </w:rPr>
              <w:t>-</w:t>
            </w:r>
            <w:r>
              <w:rPr>
                <w:rFonts w:hint="eastAsia"/>
                <w:color w:val="auto"/>
                <w:highlight w:val="none"/>
                <w:lang w:val="en-US" w:eastAsia="zh-CN"/>
              </w:rPr>
              <w:t xml:space="preserve">XX  </w:t>
            </w:r>
            <w:r>
              <w:rPr>
                <w:rFonts w:hint="eastAsia"/>
                <w:color w:val="auto"/>
                <w:highlight w:val="none"/>
              </w:rPr>
              <w:t xml:space="preserve"> </w:t>
            </w:r>
            <w:r>
              <w:rPr>
                <w:rFonts w:hint="eastAsia"/>
                <w:color w:val="auto"/>
                <w:highlight w:val="none"/>
                <w:lang w:val="en-US" w:eastAsia="zh-CN"/>
              </w:rPr>
              <w:t>10</w:t>
            </w:r>
            <w:r>
              <w:rPr>
                <w:rFonts w:hint="eastAsia"/>
                <w:color w:val="auto"/>
                <w:highlight w:val="none"/>
              </w:rPr>
              <w:t>:00</w:t>
            </w:r>
          </w:p>
        </w:tc>
      </w:tr>
      <w:tr w14:paraId="7EA34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57" w:type="dxa"/>
            <w:vAlign w:val="center"/>
          </w:tcPr>
          <w:p w14:paraId="04DE5793">
            <w:pPr>
              <w:spacing w:line="320" w:lineRule="exact"/>
              <w:jc w:val="center"/>
              <w:rPr>
                <w:color w:val="auto"/>
                <w:highlight w:val="none"/>
              </w:rPr>
            </w:pPr>
            <w:r>
              <w:rPr>
                <w:rFonts w:hint="eastAsia"/>
                <w:color w:val="auto"/>
                <w:highlight w:val="none"/>
              </w:rPr>
              <w:t>1.11.1</w:t>
            </w:r>
          </w:p>
        </w:tc>
        <w:tc>
          <w:tcPr>
            <w:tcW w:w="2334" w:type="dxa"/>
            <w:vAlign w:val="center"/>
          </w:tcPr>
          <w:p w14:paraId="59C75FBD">
            <w:pPr>
              <w:spacing w:line="320" w:lineRule="exact"/>
              <w:jc w:val="center"/>
              <w:rPr>
                <w:color w:val="auto"/>
                <w:highlight w:val="none"/>
              </w:rPr>
            </w:pPr>
            <w:r>
              <w:rPr>
                <w:color w:val="auto"/>
                <w:szCs w:val="21"/>
                <w:highlight w:val="none"/>
              </w:rPr>
              <w:t>招标人规定由分包人承担的工作</w:t>
            </w:r>
          </w:p>
        </w:tc>
        <w:tc>
          <w:tcPr>
            <w:tcW w:w="5436" w:type="dxa"/>
            <w:vAlign w:val="center"/>
          </w:tcPr>
          <w:p w14:paraId="35049844">
            <w:pPr>
              <w:spacing w:line="320" w:lineRule="exact"/>
              <w:jc w:val="left"/>
              <w:rPr>
                <w:color w:val="auto"/>
                <w:highlight w:val="none"/>
              </w:rPr>
            </w:pPr>
            <w:r>
              <w:rPr>
                <w:rFonts w:hint="eastAsia"/>
                <w:color w:val="auto"/>
                <w:highlight w:val="none"/>
              </w:rPr>
              <w:t>/</w:t>
            </w:r>
          </w:p>
        </w:tc>
      </w:tr>
      <w:tr w14:paraId="697B1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857" w:type="dxa"/>
            <w:vAlign w:val="center"/>
          </w:tcPr>
          <w:p w14:paraId="3C5E7E11">
            <w:pPr>
              <w:spacing w:line="320" w:lineRule="exact"/>
              <w:jc w:val="center"/>
              <w:rPr>
                <w:color w:val="auto"/>
                <w:highlight w:val="none"/>
              </w:rPr>
            </w:pPr>
            <w:r>
              <w:rPr>
                <w:rFonts w:hint="eastAsia"/>
                <w:color w:val="auto"/>
                <w:highlight w:val="none"/>
              </w:rPr>
              <w:t>1.11.2</w:t>
            </w:r>
          </w:p>
        </w:tc>
        <w:tc>
          <w:tcPr>
            <w:tcW w:w="2334" w:type="dxa"/>
            <w:vAlign w:val="center"/>
          </w:tcPr>
          <w:p w14:paraId="6C44E3AA">
            <w:pPr>
              <w:spacing w:line="320" w:lineRule="exact"/>
              <w:jc w:val="center"/>
              <w:rPr>
                <w:color w:val="auto"/>
                <w:highlight w:val="none"/>
              </w:rPr>
            </w:pPr>
            <w:r>
              <w:rPr>
                <w:rFonts w:hint="eastAsia"/>
                <w:color w:val="auto"/>
                <w:highlight w:val="none"/>
              </w:rPr>
              <w:t>分  包</w:t>
            </w:r>
          </w:p>
        </w:tc>
        <w:tc>
          <w:tcPr>
            <w:tcW w:w="5436" w:type="dxa"/>
            <w:vAlign w:val="center"/>
          </w:tcPr>
          <w:p w14:paraId="520B1BDE">
            <w:pPr>
              <w:keepNext w:val="0"/>
              <w:keepLines w:val="0"/>
              <w:pageBreakBefore w:val="0"/>
              <w:widowControl/>
              <w:kinsoku/>
              <w:wordWrap/>
              <w:overflowPunct/>
              <w:topLinePunct w:val="0"/>
              <w:autoSpaceDE/>
              <w:autoSpaceDN/>
              <w:bidi w:val="0"/>
              <w:spacing w:line="320" w:lineRule="exact"/>
              <w:jc w:val="left"/>
              <w:textAlignment w:val="auto"/>
              <w:rPr>
                <w:color w:val="auto"/>
                <w:highlight w:val="none"/>
              </w:rPr>
            </w:pPr>
            <w:r>
              <w:rPr>
                <w:rFonts w:hint="eastAsia"/>
                <w:color w:val="auto"/>
                <w:highlight w:val="none"/>
                <w:lang w:eastAsia="zh-CN"/>
              </w:rPr>
              <w:t>□</w:t>
            </w:r>
            <w:r>
              <w:rPr>
                <w:rFonts w:hint="eastAsia"/>
                <w:color w:val="auto"/>
                <w:highlight w:val="none"/>
              </w:rPr>
              <w:t>不允许</w:t>
            </w:r>
          </w:p>
          <w:p w14:paraId="2761E9BA">
            <w:pPr>
              <w:pStyle w:val="49"/>
              <w:adjustRightInd w:val="0"/>
              <w:rPr>
                <w:rFonts w:hint="eastAsia"/>
                <w:color w:val="auto"/>
                <w:highlight w:val="none"/>
                <w:u w:val="single"/>
                <w:lang w:eastAsia="zh-CN"/>
              </w:rPr>
            </w:pPr>
            <w:r>
              <w:rPr>
                <w:rFonts w:hint="eastAsia"/>
                <w:color w:val="auto"/>
                <w:highlight w:val="none"/>
                <w:lang w:eastAsia="zh-CN"/>
              </w:rPr>
              <w:t>☑</w:t>
            </w:r>
            <w:r>
              <w:rPr>
                <w:rFonts w:hint="eastAsia"/>
                <w:color w:val="auto"/>
                <w:highlight w:val="none"/>
              </w:rPr>
              <w:t>允许，分包内容要求：</w:t>
            </w:r>
            <w:r>
              <w:rPr>
                <w:rFonts w:hint="eastAsia"/>
                <w:color w:val="auto"/>
                <w:highlight w:val="none"/>
                <w:u w:val="single"/>
                <w:lang w:val="zh-CN"/>
              </w:rPr>
              <w:t>（</w:t>
            </w:r>
            <w:r>
              <w:rPr>
                <w:rFonts w:hint="eastAsia"/>
                <w:color w:val="auto"/>
                <w:highlight w:val="none"/>
                <w:u w:val="single"/>
              </w:rPr>
              <w:t>1</w:t>
            </w:r>
            <w:r>
              <w:rPr>
                <w:rFonts w:hint="eastAsia"/>
                <w:color w:val="auto"/>
                <w:highlight w:val="none"/>
                <w:u w:val="single"/>
                <w:lang w:val="zh-CN"/>
              </w:rPr>
              <w:t>）总承包单位应对总承包工程范围内的设计、设备采购、施工质量、现场安全生产和工程进度负总责；（</w:t>
            </w:r>
            <w:r>
              <w:rPr>
                <w:rFonts w:hint="eastAsia"/>
                <w:color w:val="auto"/>
                <w:highlight w:val="none"/>
                <w:u w:val="single"/>
              </w:rPr>
              <w:t>2</w:t>
            </w:r>
            <w:r>
              <w:rPr>
                <w:rFonts w:hint="eastAsia"/>
                <w:color w:val="auto"/>
                <w:highlight w:val="none"/>
                <w:u w:val="single"/>
                <w:lang w:val="zh-CN"/>
              </w:rPr>
              <w:t>）分包须符合法律和合同规定，但不免除总承包单位的质量、进度、安全、造价等各项合同义务和法律责任。总承包单位和分包单位就分包工程对建设单位承担连带责任；（3）当承包人不具备法定相应工作内容</w:t>
            </w:r>
            <w:r>
              <w:rPr>
                <w:rFonts w:hint="eastAsia"/>
                <w:color w:val="auto"/>
                <w:highlight w:val="none"/>
                <w:u w:val="single"/>
                <w:lang w:val="en-US" w:eastAsia="zh-CN"/>
              </w:rPr>
              <w:t>的</w:t>
            </w:r>
            <w:r>
              <w:rPr>
                <w:rFonts w:hint="eastAsia"/>
                <w:color w:val="auto"/>
                <w:highlight w:val="none"/>
                <w:u w:val="single"/>
                <w:lang w:val="zh-CN"/>
              </w:rPr>
              <w:t>资质条件时，应当分包给具备相应工作内容所需资质、设备、人员、经验、业绩的单位实施，否则一律不允许分包；（4）分包事项、分包内容报项目监理单位、项目管理公司（如有）综合评估后，报发包人同意后方可实施；（</w:t>
            </w:r>
            <w:r>
              <w:rPr>
                <w:rFonts w:hint="eastAsia"/>
                <w:color w:val="auto"/>
                <w:highlight w:val="none"/>
                <w:u w:val="single"/>
                <w:lang w:val="en-US" w:eastAsia="zh-CN"/>
              </w:rPr>
              <w:t>5</w:t>
            </w:r>
            <w:r>
              <w:rPr>
                <w:rFonts w:hint="eastAsia"/>
                <w:color w:val="auto"/>
                <w:highlight w:val="none"/>
                <w:u w:val="single"/>
                <w:lang w:val="zh-CN"/>
              </w:rPr>
              <w:t>）</w:t>
            </w:r>
            <w:r>
              <w:rPr>
                <w:rFonts w:hint="eastAsia"/>
                <w:color w:val="auto"/>
                <w:highlight w:val="none"/>
                <w:u w:val="single"/>
                <w:lang w:val="en-US" w:eastAsia="zh-CN"/>
              </w:rPr>
              <w:t>总承包单位不得将建设工程主体及关键部位进行分包；</w:t>
            </w:r>
            <w:r>
              <w:rPr>
                <w:rFonts w:hint="eastAsia"/>
                <w:color w:val="auto"/>
                <w:highlight w:val="none"/>
                <w:u w:val="single"/>
                <w:lang w:val="zh-CN"/>
              </w:rPr>
              <w:t>（</w:t>
            </w:r>
            <w:r>
              <w:rPr>
                <w:rFonts w:hint="eastAsia"/>
                <w:color w:val="auto"/>
                <w:highlight w:val="none"/>
                <w:u w:val="single"/>
                <w:lang w:val="en-US" w:eastAsia="zh-CN"/>
              </w:rPr>
              <w:t>6</w:t>
            </w:r>
            <w:r>
              <w:rPr>
                <w:rFonts w:hint="eastAsia"/>
                <w:color w:val="auto"/>
                <w:highlight w:val="none"/>
                <w:u w:val="single"/>
                <w:lang w:val="zh-CN"/>
              </w:rPr>
              <w:t>）本项目不得非法分包、转包。</w:t>
            </w:r>
          </w:p>
          <w:p w14:paraId="6CB548C5">
            <w:pPr>
              <w:keepNext w:val="0"/>
              <w:keepLines w:val="0"/>
              <w:pageBreakBefore w:val="0"/>
              <w:kinsoku/>
              <w:wordWrap/>
              <w:overflowPunct/>
              <w:topLinePunct w:val="0"/>
              <w:autoSpaceDE/>
              <w:autoSpaceDN/>
              <w:bidi w:val="0"/>
              <w:spacing w:line="320" w:lineRule="exact"/>
              <w:jc w:val="left"/>
              <w:textAlignment w:val="auto"/>
              <w:rPr>
                <w:color w:val="auto"/>
                <w:highlight w:val="none"/>
              </w:rPr>
            </w:pPr>
            <w:r>
              <w:rPr>
                <w:rFonts w:hint="eastAsia"/>
                <w:color w:val="auto"/>
                <w:highlight w:val="none"/>
              </w:rPr>
              <w:t>分包金额要求：</w:t>
            </w:r>
            <w:r>
              <w:rPr>
                <w:rFonts w:hint="eastAsia"/>
                <w:color w:val="auto"/>
                <w:highlight w:val="none"/>
                <w:u w:val="single"/>
              </w:rPr>
              <w:t>/</w:t>
            </w:r>
          </w:p>
          <w:p w14:paraId="2B079BCA">
            <w:pPr>
              <w:keepNext w:val="0"/>
              <w:keepLines w:val="0"/>
              <w:pageBreakBefore w:val="0"/>
              <w:kinsoku/>
              <w:wordWrap/>
              <w:overflowPunct/>
              <w:topLinePunct w:val="0"/>
              <w:autoSpaceDE/>
              <w:autoSpaceDN/>
              <w:bidi w:val="0"/>
              <w:spacing w:line="320" w:lineRule="exact"/>
              <w:jc w:val="left"/>
              <w:textAlignment w:val="auto"/>
              <w:rPr>
                <w:color w:val="auto"/>
                <w:highlight w:val="none"/>
              </w:rPr>
            </w:pPr>
            <w:r>
              <w:rPr>
                <w:rFonts w:hint="eastAsia"/>
                <w:color w:val="auto"/>
                <w:highlight w:val="none"/>
              </w:rPr>
              <w:t>接受分包的第三人资质要求：</w:t>
            </w:r>
            <w:r>
              <w:rPr>
                <w:rFonts w:hint="eastAsia"/>
                <w:color w:val="auto"/>
                <w:highlight w:val="none"/>
                <w:u w:val="single"/>
              </w:rPr>
              <w:t>/</w:t>
            </w:r>
          </w:p>
        </w:tc>
      </w:tr>
      <w:tr w14:paraId="31A0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57" w:type="dxa"/>
            <w:vAlign w:val="center"/>
          </w:tcPr>
          <w:p w14:paraId="71B88864">
            <w:pPr>
              <w:spacing w:line="320" w:lineRule="exact"/>
              <w:jc w:val="center"/>
              <w:rPr>
                <w:color w:val="auto"/>
                <w:highlight w:val="none"/>
              </w:rPr>
            </w:pPr>
            <w:r>
              <w:rPr>
                <w:rFonts w:hint="eastAsia"/>
                <w:color w:val="auto"/>
                <w:highlight w:val="none"/>
              </w:rPr>
              <w:t>1.12</w:t>
            </w:r>
          </w:p>
        </w:tc>
        <w:tc>
          <w:tcPr>
            <w:tcW w:w="2334" w:type="dxa"/>
            <w:vAlign w:val="center"/>
          </w:tcPr>
          <w:p w14:paraId="58014A7F">
            <w:pPr>
              <w:spacing w:line="320" w:lineRule="exact"/>
              <w:jc w:val="center"/>
              <w:rPr>
                <w:color w:val="auto"/>
                <w:highlight w:val="none"/>
              </w:rPr>
            </w:pPr>
            <w:r>
              <w:rPr>
                <w:rFonts w:hint="eastAsia"/>
                <w:color w:val="auto"/>
                <w:highlight w:val="none"/>
              </w:rPr>
              <w:t>偏  离</w:t>
            </w:r>
          </w:p>
        </w:tc>
        <w:tc>
          <w:tcPr>
            <w:tcW w:w="5436" w:type="dxa"/>
            <w:vAlign w:val="center"/>
          </w:tcPr>
          <w:p w14:paraId="68287945">
            <w:pPr>
              <w:spacing w:line="320" w:lineRule="exact"/>
              <w:jc w:val="left"/>
              <w:rPr>
                <w:color w:val="auto"/>
                <w:highlight w:val="none"/>
                <w:u w:val="single"/>
              </w:rPr>
            </w:pPr>
            <w:r>
              <w:rPr>
                <w:rFonts w:hint="eastAsia"/>
                <w:color w:val="auto"/>
                <w:highlight w:val="none"/>
              </w:rPr>
              <w:t>☑不允许</w:t>
            </w:r>
          </w:p>
          <w:p w14:paraId="5BB38FF9">
            <w:pPr>
              <w:spacing w:line="320" w:lineRule="exact"/>
              <w:jc w:val="left"/>
              <w:rPr>
                <w:color w:val="auto"/>
                <w:highlight w:val="none"/>
              </w:rPr>
            </w:pPr>
            <w:r>
              <w:rPr>
                <w:rFonts w:hint="eastAsia"/>
                <w:color w:val="auto"/>
                <w:highlight w:val="none"/>
              </w:rPr>
              <w:t>□允许，可偏离的项目和范围见</w:t>
            </w:r>
            <w:r>
              <w:rPr>
                <w:color w:val="auto"/>
                <w:szCs w:val="21"/>
                <w:highlight w:val="none"/>
              </w:rPr>
              <w:t>第五章“发包人要求”</w:t>
            </w:r>
            <w:r>
              <w:rPr>
                <w:rFonts w:hint="eastAsia"/>
                <w:color w:val="auto"/>
                <w:highlight w:val="none"/>
              </w:rPr>
              <w:t>：</w:t>
            </w:r>
          </w:p>
          <w:p w14:paraId="50BA9ECF">
            <w:pPr>
              <w:spacing w:line="320" w:lineRule="exact"/>
              <w:jc w:val="left"/>
              <w:rPr>
                <w:color w:val="auto"/>
                <w:highlight w:val="none"/>
              </w:rPr>
            </w:pPr>
            <w:r>
              <w:rPr>
                <w:rFonts w:hint="eastAsia"/>
                <w:color w:val="auto"/>
                <w:highlight w:val="none"/>
              </w:rPr>
              <w:t xml:space="preserve">        偏差幅度：</w:t>
            </w:r>
            <w:r>
              <w:rPr>
                <w:rFonts w:hint="eastAsia"/>
                <w:color w:val="auto"/>
                <w:highlight w:val="none"/>
                <w:u w:val="single"/>
              </w:rPr>
              <w:t>/</w:t>
            </w:r>
          </w:p>
        </w:tc>
      </w:tr>
      <w:tr w14:paraId="1894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vAlign w:val="center"/>
          </w:tcPr>
          <w:p w14:paraId="63B723B7">
            <w:pPr>
              <w:spacing w:line="320" w:lineRule="exact"/>
              <w:jc w:val="center"/>
              <w:rPr>
                <w:color w:val="auto"/>
                <w:highlight w:val="none"/>
              </w:rPr>
            </w:pPr>
            <w:r>
              <w:rPr>
                <w:rFonts w:hint="eastAsia"/>
                <w:color w:val="auto"/>
                <w:highlight w:val="none"/>
              </w:rPr>
              <w:t>2.1</w:t>
            </w:r>
          </w:p>
          <w:p w14:paraId="0B8FC1D4">
            <w:pPr>
              <w:spacing w:line="320" w:lineRule="exact"/>
              <w:jc w:val="center"/>
              <w:rPr>
                <w:color w:val="auto"/>
                <w:highlight w:val="none"/>
              </w:rPr>
            </w:pPr>
            <w:r>
              <w:rPr>
                <w:rFonts w:hint="eastAsia"/>
                <w:color w:val="auto"/>
                <w:highlight w:val="none"/>
              </w:rPr>
              <w:t>（8）</w:t>
            </w:r>
          </w:p>
        </w:tc>
        <w:tc>
          <w:tcPr>
            <w:tcW w:w="2334" w:type="dxa"/>
            <w:vAlign w:val="center"/>
          </w:tcPr>
          <w:p w14:paraId="210C9025">
            <w:pPr>
              <w:spacing w:line="320" w:lineRule="exact"/>
              <w:jc w:val="center"/>
              <w:rPr>
                <w:color w:val="auto"/>
                <w:highlight w:val="none"/>
              </w:rPr>
            </w:pPr>
            <w:r>
              <w:rPr>
                <w:rFonts w:hint="eastAsia"/>
                <w:color w:val="auto"/>
                <w:highlight w:val="none"/>
              </w:rPr>
              <w:t>构成招标文件的其他材料</w:t>
            </w:r>
          </w:p>
        </w:tc>
        <w:tc>
          <w:tcPr>
            <w:tcW w:w="5436" w:type="dxa"/>
            <w:vAlign w:val="center"/>
          </w:tcPr>
          <w:p w14:paraId="24A80527">
            <w:pPr>
              <w:spacing w:line="320" w:lineRule="exact"/>
              <w:jc w:val="left"/>
              <w:rPr>
                <w:color w:val="auto"/>
                <w:highlight w:val="none"/>
              </w:rPr>
            </w:pPr>
            <w:r>
              <w:rPr>
                <w:rFonts w:hint="eastAsia"/>
                <w:color w:val="auto"/>
                <w:highlight w:val="none"/>
              </w:rPr>
              <w:t>招标文件的澄清、修改、补充通知等内容</w:t>
            </w:r>
          </w:p>
        </w:tc>
      </w:tr>
      <w:tr w14:paraId="1101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57" w:type="dxa"/>
            <w:vAlign w:val="center"/>
          </w:tcPr>
          <w:p w14:paraId="74F6D11C">
            <w:pPr>
              <w:spacing w:line="320" w:lineRule="exact"/>
              <w:jc w:val="center"/>
              <w:rPr>
                <w:color w:val="auto"/>
                <w:highlight w:val="none"/>
              </w:rPr>
            </w:pPr>
            <w:r>
              <w:rPr>
                <w:rFonts w:hint="eastAsia"/>
                <w:color w:val="auto"/>
                <w:highlight w:val="none"/>
              </w:rPr>
              <w:t>2.2.1</w:t>
            </w:r>
          </w:p>
        </w:tc>
        <w:tc>
          <w:tcPr>
            <w:tcW w:w="2334" w:type="dxa"/>
            <w:vAlign w:val="center"/>
          </w:tcPr>
          <w:p w14:paraId="36497894">
            <w:pPr>
              <w:spacing w:line="320" w:lineRule="exact"/>
              <w:jc w:val="center"/>
              <w:rPr>
                <w:color w:val="auto"/>
                <w:highlight w:val="none"/>
              </w:rPr>
            </w:pPr>
            <w:r>
              <w:rPr>
                <w:rFonts w:hint="eastAsia"/>
                <w:color w:val="auto"/>
                <w:highlight w:val="none"/>
              </w:rPr>
              <w:t>投标人要求澄清招标文件的截止时间</w:t>
            </w:r>
          </w:p>
        </w:tc>
        <w:tc>
          <w:tcPr>
            <w:tcW w:w="5436" w:type="dxa"/>
            <w:vAlign w:val="center"/>
          </w:tcPr>
          <w:p w14:paraId="6F990AC3">
            <w:pPr>
              <w:spacing w:line="320" w:lineRule="exact"/>
              <w:jc w:val="left"/>
              <w:rPr>
                <w:color w:val="auto"/>
                <w:highlight w:val="none"/>
              </w:rPr>
            </w:pPr>
            <w:r>
              <w:rPr>
                <w:rFonts w:hint="eastAsia"/>
                <w:color w:val="auto"/>
                <w:szCs w:val="21"/>
                <w:highlight w:val="none"/>
              </w:rPr>
              <w:t>递交投标文件截止之日</w:t>
            </w:r>
            <w:r>
              <w:rPr>
                <w:rFonts w:hint="eastAsia"/>
                <w:color w:val="auto"/>
                <w:szCs w:val="21"/>
                <w:highlight w:val="none"/>
                <w:u w:val="single"/>
              </w:rPr>
              <w:t>10</w:t>
            </w:r>
            <w:r>
              <w:rPr>
                <w:rFonts w:hint="eastAsia"/>
                <w:color w:val="auto"/>
                <w:szCs w:val="21"/>
                <w:highlight w:val="none"/>
              </w:rPr>
              <w:t>日前</w:t>
            </w:r>
          </w:p>
        </w:tc>
      </w:tr>
      <w:tr w14:paraId="36AD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857" w:type="dxa"/>
            <w:vAlign w:val="center"/>
          </w:tcPr>
          <w:p w14:paraId="10EADB83">
            <w:pPr>
              <w:spacing w:line="320" w:lineRule="exact"/>
              <w:jc w:val="center"/>
              <w:rPr>
                <w:color w:val="auto"/>
                <w:highlight w:val="none"/>
              </w:rPr>
            </w:pPr>
            <w:r>
              <w:rPr>
                <w:rFonts w:hint="eastAsia"/>
                <w:color w:val="auto"/>
                <w:highlight w:val="none"/>
              </w:rPr>
              <w:t>2</w:t>
            </w:r>
            <w:r>
              <w:rPr>
                <w:color w:val="auto"/>
                <w:highlight w:val="none"/>
              </w:rPr>
              <w:t>.4.1</w:t>
            </w:r>
          </w:p>
        </w:tc>
        <w:tc>
          <w:tcPr>
            <w:tcW w:w="2334" w:type="dxa"/>
            <w:vAlign w:val="center"/>
          </w:tcPr>
          <w:p w14:paraId="1F8DE7E7">
            <w:pPr>
              <w:spacing w:line="320" w:lineRule="exact"/>
              <w:jc w:val="center"/>
              <w:rPr>
                <w:color w:val="auto"/>
                <w:highlight w:val="none"/>
              </w:rPr>
            </w:pPr>
            <w:r>
              <w:rPr>
                <w:color w:val="auto"/>
                <w:highlight w:val="none"/>
              </w:rPr>
              <w:t>异议受理部门</w:t>
            </w:r>
            <w:r>
              <w:rPr>
                <w:rFonts w:hint="eastAsia"/>
                <w:color w:val="auto"/>
                <w:highlight w:val="none"/>
              </w:rPr>
              <w:t>及</w:t>
            </w:r>
          </w:p>
          <w:p w14:paraId="44DF68E4">
            <w:pPr>
              <w:spacing w:line="320" w:lineRule="exact"/>
              <w:jc w:val="center"/>
              <w:rPr>
                <w:color w:val="auto"/>
                <w:szCs w:val="21"/>
                <w:highlight w:val="none"/>
              </w:rPr>
            </w:pPr>
            <w:r>
              <w:rPr>
                <w:rFonts w:hint="eastAsia"/>
                <w:color w:val="auto"/>
                <w:highlight w:val="none"/>
              </w:rPr>
              <w:t>联系方式</w:t>
            </w:r>
          </w:p>
        </w:tc>
        <w:tc>
          <w:tcPr>
            <w:tcW w:w="5436" w:type="dxa"/>
            <w:vAlign w:val="center"/>
          </w:tcPr>
          <w:p w14:paraId="25D12A58">
            <w:pPr>
              <w:keepNext w:val="0"/>
              <w:keepLines w:val="0"/>
              <w:pageBreakBefore w:val="0"/>
              <w:widowControl w:val="0"/>
              <w:kinsoku/>
              <w:wordWrap/>
              <w:overflowPunct/>
              <w:topLinePunct w:val="0"/>
              <w:autoSpaceDE/>
              <w:autoSpaceDN/>
              <w:bidi w:val="0"/>
              <w:adjustRightInd/>
              <w:snapToGrid/>
              <w:spacing w:line="280" w:lineRule="exact"/>
              <w:jc w:val="left"/>
              <w:textAlignment w:val="auto"/>
              <w:rPr>
                <w:b/>
                <w:bCs/>
                <w:color w:val="auto"/>
                <w:szCs w:val="21"/>
                <w:highlight w:val="none"/>
              </w:rPr>
            </w:pPr>
            <w:r>
              <w:rPr>
                <w:rFonts w:hint="eastAsia"/>
                <w:b/>
                <w:bCs/>
                <w:color w:val="auto"/>
                <w:szCs w:val="21"/>
                <w:highlight w:val="none"/>
              </w:rPr>
              <w:t>招标人：</w:t>
            </w:r>
          </w:p>
          <w:p w14:paraId="0FDBE6C7">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eastAsia="宋体"/>
                <w:color w:val="auto"/>
                <w:szCs w:val="21"/>
                <w:highlight w:val="none"/>
                <w:u w:val="single"/>
                <w:lang w:eastAsia="zh-CN"/>
              </w:rPr>
            </w:pPr>
            <w:r>
              <w:rPr>
                <w:rFonts w:hint="eastAsia"/>
                <w:color w:val="auto"/>
                <w:szCs w:val="21"/>
                <w:highlight w:val="none"/>
              </w:rPr>
              <w:t>名称：</w:t>
            </w:r>
            <w:r>
              <w:rPr>
                <w:rFonts w:hint="eastAsia"/>
                <w:color w:val="auto"/>
                <w:szCs w:val="21"/>
                <w:highlight w:val="none"/>
                <w:u w:val="single"/>
                <w:lang w:eastAsia="zh-CN"/>
              </w:rPr>
              <w:t>营口国盛中济产业开发建设有限公司</w:t>
            </w:r>
          </w:p>
          <w:p w14:paraId="07F7F240">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color w:val="auto"/>
                <w:szCs w:val="21"/>
                <w:highlight w:val="none"/>
                <w:u w:val="single"/>
                <w:lang w:eastAsia="zh-CN"/>
              </w:rPr>
            </w:pPr>
            <w:r>
              <w:rPr>
                <w:rFonts w:hint="eastAsia"/>
                <w:color w:val="auto"/>
                <w:szCs w:val="21"/>
                <w:highlight w:val="none"/>
              </w:rPr>
              <w:t>地址：</w:t>
            </w:r>
            <w:r>
              <w:rPr>
                <w:rFonts w:hint="eastAsia"/>
                <w:color w:val="auto"/>
                <w:szCs w:val="21"/>
                <w:highlight w:val="none"/>
                <w:u w:val="single"/>
                <w:lang w:val="en-US" w:eastAsia="zh-CN"/>
              </w:rPr>
              <w:t>辽宁省营口市北海经济开发区管理委员会1033室</w:t>
            </w:r>
          </w:p>
          <w:p w14:paraId="34B20E93">
            <w:pPr>
              <w:keepNext w:val="0"/>
              <w:keepLines w:val="0"/>
              <w:pageBreakBefore w:val="0"/>
              <w:widowControl w:val="0"/>
              <w:kinsoku/>
              <w:wordWrap/>
              <w:overflowPunct/>
              <w:topLinePunct w:val="0"/>
              <w:autoSpaceDE/>
              <w:autoSpaceDN/>
              <w:bidi w:val="0"/>
              <w:adjustRightInd/>
              <w:snapToGrid/>
              <w:spacing w:line="280" w:lineRule="exact"/>
              <w:jc w:val="left"/>
              <w:textAlignment w:val="auto"/>
              <w:rPr>
                <w:color w:val="auto"/>
                <w:szCs w:val="21"/>
                <w:highlight w:val="none"/>
              </w:rPr>
            </w:pPr>
            <w:r>
              <w:rPr>
                <w:rFonts w:hint="eastAsia"/>
                <w:color w:val="auto"/>
                <w:szCs w:val="21"/>
                <w:highlight w:val="none"/>
              </w:rPr>
              <w:t>联系人：</w:t>
            </w:r>
            <w:r>
              <w:rPr>
                <w:rFonts w:hint="eastAsia"/>
                <w:color w:val="auto"/>
                <w:szCs w:val="21"/>
                <w:highlight w:val="none"/>
                <w:u w:val="single"/>
                <w:lang w:val="en-US" w:eastAsia="zh-CN"/>
              </w:rPr>
              <w:t>赵阳</w:t>
            </w:r>
          </w:p>
          <w:p w14:paraId="16C93255">
            <w:pPr>
              <w:keepNext w:val="0"/>
              <w:keepLines w:val="0"/>
              <w:pageBreakBefore w:val="0"/>
              <w:widowControl w:val="0"/>
              <w:kinsoku/>
              <w:wordWrap/>
              <w:overflowPunct/>
              <w:topLinePunct w:val="0"/>
              <w:autoSpaceDE/>
              <w:autoSpaceDN/>
              <w:bidi w:val="0"/>
              <w:adjustRightInd/>
              <w:snapToGrid/>
              <w:spacing w:line="280" w:lineRule="exact"/>
              <w:jc w:val="left"/>
              <w:textAlignment w:val="auto"/>
              <w:rPr>
                <w:color w:val="auto"/>
                <w:szCs w:val="21"/>
                <w:highlight w:val="none"/>
              </w:rPr>
            </w:pPr>
            <w:r>
              <w:rPr>
                <w:rFonts w:hint="eastAsia"/>
                <w:color w:val="auto"/>
                <w:szCs w:val="21"/>
                <w:highlight w:val="none"/>
              </w:rPr>
              <w:t>电话：</w:t>
            </w:r>
            <w:r>
              <w:rPr>
                <w:rFonts w:hint="eastAsia"/>
                <w:color w:val="auto"/>
                <w:szCs w:val="21"/>
                <w:highlight w:val="none"/>
                <w:u w:val="single"/>
                <w:lang w:val="en-US" w:eastAsia="zh-CN"/>
              </w:rPr>
              <w:t>0417-6578092</w:t>
            </w:r>
          </w:p>
          <w:p w14:paraId="2611B4E7">
            <w:pPr>
              <w:keepNext w:val="0"/>
              <w:keepLines w:val="0"/>
              <w:pageBreakBefore w:val="0"/>
              <w:widowControl w:val="0"/>
              <w:kinsoku/>
              <w:wordWrap/>
              <w:overflowPunct/>
              <w:topLinePunct w:val="0"/>
              <w:autoSpaceDE/>
              <w:autoSpaceDN/>
              <w:bidi w:val="0"/>
              <w:adjustRightInd/>
              <w:snapToGrid/>
              <w:spacing w:line="280" w:lineRule="exact"/>
              <w:jc w:val="left"/>
              <w:textAlignment w:val="auto"/>
              <w:rPr>
                <w:color w:val="auto"/>
                <w:szCs w:val="21"/>
                <w:highlight w:val="none"/>
                <w:u w:val="single"/>
              </w:rPr>
            </w:pPr>
            <w:r>
              <w:rPr>
                <w:rFonts w:hint="eastAsia"/>
                <w:color w:val="auto"/>
                <w:szCs w:val="21"/>
                <w:highlight w:val="none"/>
              </w:rPr>
              <w:t>邮政编码：</w:t>
            </w:r>
            <w:r>
              <w:rPr>
                <w:rFonts w:hint="eastAsia"/>
                <w:color w:val="auto"/>
                <w:szCs w:val="21"/>
                <w:highlight w:val="none"/>
                <w:u w:val="single"/>
              </w:rPr>
              <w:t>/</w:t>
            </w:r>
          </w:p>
          <w:p w14:paraId="077132D2">
            <w:pPr>
              <w:keepNext w:val="0"/>
              <w:keepLines w:val="0"/>
              <w:pageBreakBefore w:val="0"/>
              <w:widowControl w:val="0"/>
              <w:kinsoku/>
              <w:wordWrap/>
              <w:overflowPunct/>
              <w:topLinePunct w:val="0"/>
              <w:autoSpaceDE/>
              <w:autoSpaceDN/>
              <w:bidi w:val="0"/>
              <w:adjustRightInd/>
              <w:snapToGrid/>
              <w:spacing w:line="280" w:lineRule="exact"/>
              <w:jc w:val="left"/>
              <w:textAlignment w:val="auto"/>
              <w:rPr>
                <w:b/>
                <w:bCs/>
                <w:color w:val="auto"/>
                <w:szCs w:val="21"/>
                <w:highlight w:val="none"/>
              </w:rPr>
            </w:pPr>
            <w:r>
              <w:rPr>
                <w:rFonts w:hint="eastAsia"/>
                <w:b/>
                <w:bCs/>
                <w:color w:val="auto"/>
                <w:szCs w:val="21"/>
                <w:highlight w:val="none"/>
              </w:rPr>
              <w:t>招标代理机构：</w:t>
            </w:r>
          </w:p>
          <w:p w14:paraId="4D29E920">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eastAsia="宋体"/>
                <w:color w:val="auto"/>
                <w:szCs w:val="21"/>
                <w:highlight w:val="none"/>
                <w:u w:val="single"/>
                <w:lang w:eastAsia="zh-CN"/>
              </w:rPr>
            </w:pPr>
            <w:r>
              <w:rPr>
                <w:rFonts w:hint="eastAsia"/>
                <w:color w:val="auto"/>
                <w:szCs w:val="21"/>
                <w:highlight w:val="none"/>
              </w:rPr>
              <w:t>名称：</w:t>
            </w:r>
            <w:r>
              <w:rPr>
                <w:rFonts w:hint="eastAsia"/>
                <w:color w:val="auto"/>
                <w:szCs w:val="21"/>
                <w:highlight w:val="none"/>
                <w:lang w:eastAsia="zh-CN"/>
              </w:rPr>
              <w:t>辽宁咨发工程招标咨询服务有限公司</w:t>
            </w:r>
          </w:p>
          <w:p w14:paraId="59C0B4F8">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eastAsia="宋体"/>
                <w:color w:val="auto"/>
                <w:szCs w:val="21"/>
                <w:highlight w:val="none"/>
                <w:lang w:eastAsia="zh-CN"/>
              </w:rPr>
            </w:pPr>
            <w:r>
              <w:rPr>
                <w:rFonts w:hint="eastAsia"/>
                <w:color w:val="auto"/>
                <w:szCs w:val="21"/>
                <w:highlight w:val="none"/>
              </w:rPr>
              <w:t>地址：</w:t>
            </w:r>
            <w:r>
              <w:rPr>
                <w:rFonts w:hint="eastAsia"/>
                <w:color w:val="auto"/>
                <w:szCs w:val="21"/>
                <w:highlight w:val="none"/>
                <w:u w:val="single"/>
                <w:lang w:eastAsia="zh-CN"/>
              </w:rPr>
              <w:t>辽宁省国际工程咨询中心有限公司十楼（沈阳市沈河区十三纬路103号）</w:t>
            </w:r>
          </w:p>
          <w:p w14:paraId="10801039">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eastAsia="宋体"/>
                <w:color w:val="auto"/>
                <w:szCs w:val="21"/>
                <w:highlight w:val="none"/>
                <w:lang w:val="en-US" w:eastAsia="zh-CN"/>
              </w:rPr>
            </w:pPr>
            <w:r>
              <w:rPr>
                <w:rFonts w:hint="eastAsia"/>
                <w:color w:val="auto"/>
                <w:szCs w:val="21"/>
                <w:highlight w:val="none"/>
              </w:rPr>
              <w:t>联系人：</w:t>
            </w:r>
            <w:r>
              <w:rPr>
                <w:rFonts w:hint="eastAsia"/>
                <w:color w:val="auto"/>
                <w:szCs w:val="21"/>
                <w:highlight w:val="none"/>
                <w:u w:val="single"/>
                <w:lang w:val="en-US" w:eastAsia="zh-CN"/>
              </w:rPr>
              <w:t>薛晓东、由春红、李洋</w:t>
            </w:r>
          </w:p>
          <w:p w14:paraId="5065B2A1">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eastAsia="宋体"/>
                <w:color w:val="auto"/>
                <w:szCs w:val="21"/>
                <w:highlight w:val="none"/>
                <w:lang w:val="en-US" w:eastAsia="zh-CN"/>
              </w:rPr>
            </w:pPr>
            <w:r>
              <w:rPr>
                <w:rFonts w:hint="eastAsia"/>
                <w:color w:val="auto"/>
                <w:szCs w:val="21"/>
                <w:highlight w:val="none"/>
              </w:rPr>
              <w:t>电话：</w:t>
            </w:r>
            <w:r>
              <w:rPr>
                <w:rFonts w:hint="eastAsia"/>
                <w:color w:val="auto"/>
                <w:szCs w:val="21"/>
                <w:highlight w:val="none"/>
                <w:u w:val="single"/>
                <w:lang w:eastAsia="zh-CN"/>
              </w:rPr>
              <w:t>024-22828877-180</w:t>
            </w:r>
          </w:p>
          <w:p w14:paraId="6CE9C205">
            <w:pPr>
              <w:keepNext w:val="0"/>
              <w:keepLines w:val="0"/>
              <w:pageBreakBefore w:val="0"/>
              <w:widowControl w:val="0"/>
              <w:kinsoku/>
              <w:wordWrap/>
              <w:overflowPunct/>
              <w:topLinePunct w:val="0"/>
              <w:autoSpaceDE/>
              <w:autoSpaceDN/>
              <w:bidi w:val="0"/>
              <w:adjustRightInd/>
              <w:snapToGrid/>
              <w:spacing w:line="280" w:lineRule="exact"/>
              <w:jc w:val="left"/>
              <w:textAlignment w:val="auto"/>
              <w:rPr>
                <w:color w:val="auto"/>
                <w:szCs w:val="21"/>
                <w:highlight w:val="none"/>
                <w:u w:val="single"/>
              </w:rPr>
            </w:pPr>
            <w:r>
              <w:rPr>
                <w:rFonts w:hint="eastAsia"/>
                <w:color w:val="auto"/>
                <w:szCs w:val="21"/>
                <w:highlight w:val="none"/>
              </w:rPr>
              <w:t>邮政编码：</w:t>
            </w:r>
            <w:r>
              <w:rPr>
                <w:rFonts w:hint="eastAsia"/>
                <w:color w:val="auto"/>
                <w:szCs w:val="21"/>
                <w:highlight w:val="none"/>
                <w:u w:val="single"/>
              </w:rPr>
              <w:t>/</w:t>
            </w:r>
          </w:p>
          <w:p w14:paraId="56DB8C5C">
            <w:pPr>
              <w:keepNext w:val="0"/>
              <w:keepLines w:val="0"/>
              <w:pageBreakBefore w:val="0"/>
              <w:widowControl w:val="0"/>
              <w:kinsoku/>
              <w:wordWrap/>
              <w:overflowPunct/>
              <w:topLinePunct w:val="0"/>
              <w:autoSpaceDE/>
              <w:autoSpaceDN/>
              <w:bidi w:val="0"/>
              <w:adjustRightInd/>
              <w:snapToGrid/>
              <w:spacing w:line="280" w:lineRule="exact"/>
              <w:jc w:val="left"/>
              <w:textAlignment w:val="auto"/>
              <w:rPr>
                <w:color w:val="auto"/>
                <w:szCs w:val="21"/>
                <w:highlight w:val="none"/>
                <w:u w:val="single"/>
              </w:rPr>
            </w:pPr>
            <w:r>
              <w:rPr>
                <w:rFonts w:hint="eastAsia"/>
                <w:color w:val="auto"/>
                <w:szCs w:val="21"/>
                <w:highlight w:val="none"/>
              </w:rPr>
              <w:t>异议投诉渠道：辽宁省工程建设项目招标投标异议投诉处理系统</w:t>
            </w:r>
          </w:p>
        </w:tc>
      </w:tr>
      <w:tr w14:paraId="400F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4C0A9643">
            <w:pPr>
              <w:spacing w:line="320" w:lineRule="exact"/>
              <w:jc w:val="center"/>
              <w:rPr>
                <w:color w:val="auto"/>
                <w:highlight w:val="none"/>
              </w:rPr>
            </w:pPr>
            <w:r>
              <w:rPr>
                <w:rFonts w:hint="eastAsia"/>
                <w:color w:val="auto"/>
                <w:highlight w:val="none"/>
              </w:rPr>
              <w:t>3.1.1</w:t>
            </w:r>
          </w:p>
          <w:p w14:paraId="1F81CFD7">
            <w:pPr>
              <w:spacing w:line="320" w:lineRule="exact"/>
              <w:jc w:val="center"/>
              <w:rPr>
                <w:color w:val="auto"/>
                <w:highlight w:val="none"/>
              </w:rPr>
            </w:pPr>
            <w:r>
              <w:rPr>
                <w:rFonts w:hint="eastAsia"/>
                <w:color w:val="auto"/>
                <w:highlight w:val="none"/>
              </w:rPr>
              <w:t>（9）</w:t>
            </w:r>
          </w:p>
        </w:tc>
        <w:tc>
          <w:tcPr>
            <w:tcW w:w="2334" w:type="dxa"/>
            <w:vAlign w:val="center"/>
          </w:tcPr>
          <w:p w14:paraId="4747CD3D">
            <w:pPr>
              <w:spacing w:line="320" w:lineRule="exact"/>
              <w:jc w:val="center"/>
              <w:rPr>
                <w:color w:val="auto"/>
                <w:highlight w:val="none"/>
              </w:rPr>
            </w:pPr>
            <w:r>
              <w:rPr>
                <w:rFonts w:hint="eastAsia"/>
                <w:color w:val="auto"/>
                <w:highlight w:val="none"/>
              </w:rPr>
              <w:t>构成投标文件的其他材料</w:t>
            </w:r>
          </w:p>
        </w:tc>
        <w:tc>
          <w:tcPr>
            <w:tcW w:w="5436" w:type="dxa"/>
            <w:vAlign w:val="center"/>
          </w:tcPr>
          <w:p w14:paraId="1A176B45">
            <w:pPr>
              <w:spacing w:line="320" w:lineRule="exact"/>
              <w:jc w:val="left"/>
              <w:rPr>
                <w:color w:val="auto"/>
                <w:highlight w:val="none"/>
              </w:rPr>
            </w:pPr>
            <w:r>
              <w:rPr>
                <w:rFonts w:hint="eastAsia"/>
                <w:color w:val="auto"/>
                <w:highlight w:val="none"/>
              </w:rPr>
              <w:t>详见招标文件要求。</w:t>
            </w:r>
          </w:p>
        </w:tc>
      </w:tr>
      <w:tr w14:paraId="2528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793C491B">
            <w:pPr>
              <w:spacing w:line="320" w:lineRule="exact"/>
              <w:jc w:val="center"/>
              <w:rPr>
                <w:color w:val="auto"/>
                <w:highlight w:val="none"/>
              </w:rPr>
            </w:pPr>
            <w:r>
              <w:rPr>
                <w:rFonts w:hint="eastAsia"/>
                <w:color w:val="auto"/>
                <w:highlight w:val="none"/>
              </w:rPr>
              <w:t>3</w:t>
            </w:r>
            <w:r>
              <w:rPr>
                <w:color w:val="auto"/>
                <w:highlight w:val="none"/>
              </w:rPr>
              <w:t>.2.4</w:t>
            </w:r>
          </w:p>
        </w:tc>
        <w:tc>
          <w:tcPr>
            <w:tcW w:w="2334" w:type="dxa"/>
            <w:vAlign w:val="center"/>
          </w:tcPr>
          <w:p w14:paraId="5FB3BD34">
            <w:pPr>
              <w:spacing w:line="320" w:lineRule="exact"/>
              <w:jc w:val="center"/>
              <w:rPr>
                <w:color w:val="auto"/>
                <w:highlight w:val="none"/>
              </w:rPr>
            </w:pPr>
            <w:r>
              <w:rPr>
                <w:rFonts w:hint="eastAsia"/>
                <w:color w:val="auto"/>
                <w:highlight w:val="none"/>
              </w:rPr>
              <w:t>最高投标限价</w:t>
            </w:r>
          </w:p>
          <w:p w14:paraId="1E5EC9FB">
            <w:pPr>
              <w:spacing w:line="320" w:lineRule="exact"/>
              <w:jc w:val="center"/>
              <w:rPr>
                <w:color w:val="auto"/>
                <w:highlight w:val="none"/>
              </w:rPr>
            </w:pPr>
            <w:r>
              <w:rPr>
                <w:rFonts w:hint="eastAsia"/>
                <w:color w:val="auto"/>
                <w:highlight w:val="none"/>
              </w:rPr>
              <w:t>或其计算方法</w:t>
            </w:r>
          </w:p>
        </w:tc>
        <w:tc>
          <w:tcPr>
            <w:tcW w:w="5436" w:type="dxa"/>
            <w:vAlign w:val="center"/>
          </w:tcPr>
          <w:p w14:paraId="23B0F6A9">
            <w:pPr>
              <w:spacing w:line="320" w:lineRule="exact"/>
              <w:jc w:val="left"/>
              <w:rPr>
                <w:color w:val="auto"/>
                <w:highlight w:val="none"/>
              </w:rPr>
            </w:pPr>
            <w:r>
              <w:rPr>
                <w:rFonts w:hint="eastAsia"/>
                <w:color w:val="auto"/>
                <w:highlight w:val="none"/>
              </w:rPr>
              <w:t>□不设置</w:t>
            </w:r>
          </w:p>
          <w:p w14:paraId="0E256BE0">
            <w:pPr>
              <w:spacing w:line="320" w:lineRule="exact"/>
              <w:jc w:val="both"/>
              <w:rPr>
                <w:color w:val="auto"/>
                <w:highlight w:val="none"/>
                <w:u w:val="none"/>
              </w:rPr>
            </w:pPr>
            <w:r>
              <w:rPr>
                <w:rFonts w:hint="eastAsia"/>
                <w:color w:val="auto"/>
                <w:highlight w:val="none"/>
              </w:rPr>
              <w:t>☑设置，最高投标限价：</w:t>
            </w:r>
            <w:r>
              <w:rPr>
                <w:rFonts w:hint="eastAsia"/>
                <w:color w:val="auto"/>
                <w:highlight w:val="none"/>
                <w:u w:val="none"/>
              </w:rPr>
              <w:t>本项目设置投标最高限价：</w:t>
            </w:r>
            <w:r>
              <w:rPr>
                <w:rFonts w:hint="eastAsia"/>
                <w:color w:val="auto"/>
                <w:highlight w:val="none"/>
                <w:u w:val="none"/>
                <w:lang w:val="en-US" w:eastAsia="zh-CN"/>
              </w:rPr>
              <w:t>人民币</w:t>
            </w:r>
            <w:r>
              <w:rPr>
                <w:rFonts w:hint="eastAsia" w:ascii="宋体" w:hAnsi="宋体" w:cs="宋体"/>
                <w:color w:val="auto"/>
                <w:highlight w:val="none"/>
                <w:u w:val="single"/>
                <w:lang w:val="en-US" w:eastAsia="zh-CN"/>
              </w:rPr>
              <w:t xml:space="preserve">530075368.42 </w:t>
            </w:r>
            <w:r>
              <w:rPr>
                <w:rFonts w:hint="eastAsia"/>
                <w:color w:val="auto"/>
                <w:highlight w:val="none"/>
                <w:u w:val="none"/>
                <w:lang w:val="en-US" w:eastAsia="zh-CN"/>
              </w:rPr>
              <w:t>元，其中：</w:t>
            </w:r>
            <w:r>
              <w:rPr>
                <w:rFonts w:hint="eastAsia"/>
                <w:color w:val="auto"/>
                <w:highlight w:val="none"/>
                <w:u w:val="none"/>
                <w:lang w:eastAsia="zh-CN"/>
              </w:rPr>
              <w:t>（</w:t>
            </w:r>
            <w:r>
              <w:rPr>
                <w:rFonts w:hint="eastAsia"/>
                <w:color w:val="auto"/>
                <w:highlight w:val="none"/>
                <w:u w:val="none"/>
                <w:lang w:val="en-US" w:eastAsia="zh-CN"/>
              </w:rPr>
              <w:t>1</w:t>
            </w:r>
            <w:r>
              <w:rPr>
                <w:rFonts w:hint="eastAsia"/>
                <w:color w:val="auto"/>
                <w:highlight w:val="none"/>
                <w:u w:val="none"/>
                <w:lang w:eastAsia="zh-CN"/>
              </w:rPr>
              <w:t>）</w:t>
            </w:r>
            <w:r>
              <w:rPr>
                <w:rFonts w:hint="eastAsia"/>
                <w:color w:val="auto"/>
                <w:highlight w:val="none"/>
                <w:u w:val="none"/>
              </w:rPr>
              <w:t>设计费最高投标限价为</w:t>
            </w:r>
            <w:r>
              <w:rPr>
                <w:rFonts w:hint="eastAsia"/>
                <w:color w:val="auto"/>
                <w:highlight w:val="none"/>
                <w:u w:val="single"/>
                <w:lang w:val="en-US" w:eastAsia="zh-CN"/>
              </w:rPr>
              <w:t>4004000.00</w:t>
            </w:r>
            <w:r>
              <w:rPr>
                <w:rFonts w:hint="eastAsia"/>
                <w:color w:val="auto"/>
                <w:highlight w:val="none"/>
                <w:u w:val="none"/>
              </w:rPr>
              <w:t>元；</w:t>
            </w:r>
            <w:r>
              <w:rPr>
                <w:rFonts w:hint="eastAsia"/>
                <w:color w:val="auto"/>
                <w:highlight w:val="none"/>
                <w:u w:val="none"/>
                <w:lang w:eastAsia="zh-CN"/>
              </w:rPr>
              <w:t>（</w:t>
            </w:r>
            <w:r>
              <w:rPr>
                <w:rFonts w:hint="eastAsia"/>
                <w:color w:val="auto"/>
                <w:highlight w:val="none"/>
                <w:u w:val="none"/>
                <w:lang w:val="en-US" w:eastAsia="zh-CN"/>
              </w:rPr>
              <w:t>2</w:t>
            </w:r>
            <w:r>
              <w:rPr>
                <w:rFonts w:hint="eastAsia"/>
                <w:color w:val="auto"/>
                <w:highlight w:val="none"/>
                <w:u w:val="none"/>
                <w:lang w:eastAsia="zh-CN"/>
              </w:rPr>
              <w:t>）</w:t>
            </w:r>
            <w:r>
              <w:rPr>
                <w:rFonts w:hint="eastAsia"/>
                <w:color w:val="auto"/>
                <w:highlight w:val="none"/>
                <w:u w:val="none"/>
                <w:lang w:val="en-US" w:eastAsia="zh-CN"/>
              </w:rPr>
              <w:t>设计费下浮率不得小于50%；（3）</w:t>
            </w:r>
            <w:r>
              <w:rPr>
                <w:rFonts w:hint="eastAsia" w:ascii="Arial" w:hAnsi="宋体" w:cs="Arial"/>
                <w:b w:val="0"/>
                <w:bCs w:val="0"/>
                <w:color w:val="auto"/>
                <w:szCs w:val="21"/>
                <w:highlight w:val="none"/>
                <w:lang w:eastAsia="zh-CN"/>
              </w:rPr>
              <w:t>建筑安装工程费</w:t>
            </w:r>
            <w:r>
              <w:rPr>
                <w:rFonts w:hint="eastAsia"/>
                <w:color w:val="auto"/>
                <w:highlight w:val="none"/>
                <w:u w:val="none"/>
              </w:rPr>
              <w:t>最高投标限价为</w:t>
            </w:r>
            <w:r>
              <w:rPr>
                <w:rFonts w:hint="eastAsia"/>
                <w:color w:val="auto"/>
                <w:highlight w:val="none"/>
                <w:u w:val="single"/>
                <w:lang w:val="en-US" w:eastAsia="zh-CN"/>
              </w:rPr>
              <w:t>502491368.42</w:t>
            </w:r>
            <w:r>
              <w:rPr>
                <w:rFonts w:hint="eastAsia"/>
                <w:color w:val="auto"/>
                <w:highlight w:val="none"/>
                <w:u w:val="none"/>
              </w:rPr>
              <w:t>元</w:t>
            </w:r>
            <w:r>
              <w:rPr>
                <w:rFonts w:hint="eastAsia"/>
                <w:color w:val="auto"/>
                <w:highlight w:val="none"/>
                <w:u w:val="none"/>
                <w:lang w:eastAsia="zh-CN"/>
              </w:rPr>
              <w:t>；（</w:t>
            </w:r>
            <w:r>
              <w:rPr>
                <w:rFonts w:hint="eastAsia"/>
                <w:color w:val="auto"/>
                <w:highlight w:val="none"/>
                <w:u w:val="none"/>
                <w:lang w:val="en-US" w:eastAsia="zh-CN"/>
              </w:rPr>
              <w:t>4</w:t>
            </w:r>
            <w:r>
              <w:rPr>
                <w:rFonts w:hint="eastAsia"/>
                <w:color w:val="auto"/>
                <w:highlight w:val="none"/>
                <w:u w:val="none"/>
                <w:lang w:eastAsia="zh-CN"/>
              </w:rPr>
              <w:t>）</w:t>
            </w:r>
            <w:r>
              <w:rPr>
                <w:rFonts w:hint="eastAsia"/>
                <w:color w:val="auto"/>
                <w:highlight w:val="none"/>
                <w:u w:val="none"/>
                <w:lang w:val="en-US" w:eastAsia="zh-CN"/>
              </w:rPr>
              <w:t>暂列金额：</w:t>
            </w:r>
            <w:r>
              <w:rPr>
                <w:rFonts w:hint="eastAsia"/>
                <w:color w:val="auto"/>
                <w:highlight w:val="none"/>
                <w:u w:val="single"/>
                <w:lang w:val="en-US" w:eastAsia="zh-CN"/>
              </w:rPr>
              <w:t>23580000.00</w:t>
            </w:r>
            <w:r>
              <w:rPr>
                <w:rFonts w:hint="eastAsia"/>
                <w:color w:val="auto"/>
                <w:highlight w:val="none"/>
                <w:u w:val="none"/>
                <w:lang w:val="en-US" w:eastAsia="zh-CN"/>
              </w:rPr>
              <w:t>元</w:t>
            </w:r>
            <w:r>
              <w:rPr>
                <w:rFonts w:hint="eastAsia"/>
                <w:color w:val="auto"/>
                <w:highlight w:val="none"/>
                <w:u w:val="none"/>
              </w:rPr>
              <w:t>。</w:t>
            </w:r>
          </w:p>
          <w:p w14:paraId="134091F5">
            <w:pPr>
              <w:spacing w:line="320" w:lineRule="exact"/>
              <w:jc w:val="both"/>
              <w:rPr>
                <w:color w:val="auto"/>
                <w:highlight w:val="none"/>
                <w:u w:val="none"/>
              </w:rPr>
            </w:pPr>
            <w:r>
              <w:rPr>
                <w:rFonts w:hint="eastAsia"/>
                <w:color w:val="auto"/>
                <w:highlight w:val="none"/>
                <w:u w:val="none"/>
              </w:rPr>
              <w:t>最高投标限价公布时间：</w:t>
            </w:r>
            <w:r>
              <w:rPr>
                <w:rFonts w:hint="eastAsia"/>
                <w:color w:val="auto"/>
                <w:highlight w:val="none"/>
                <w:u w:val="none"/>
                <w:lang w:val="en-US" w:eastAsia="zh-CN"/>
              </w:rPr>
              <w:t>/</w:t>
            </w:r>
            <w:r>
              <w:rPr>
                <w:rFonts w:hint="eastAsia"/>
                <w:color w:val="auto"/>
                <w:highlight w:val="none"/>
                <w:u w:val="none"/>
              </w:rPr>
              <w:t>。</w:t>
            </w:r>
          </w:p>
          <w:p w14:paraId="2E2FCE98">
            <w:pPr>
              <w:spacing w:line="320" w:lineRule="exact"/>
              <w:jc w:val="both"/>
              <w:rPr>
                <w:rFonts w:hint="eastAsia"/>
                <w:color w:val="auto"/>
                <w:highlight w:val="none"/>
                <w:u w:val="none"/>
                <w:lang w:val="en-US" w:eastAsia="zh-CN"/>
              </w:rPr>
            </w:pPr>
            <w:r>
              <w:rPr>
                <w:rFonts w:hint="eastAsia"/>
                <w:color w:val="auto"/>
                <w:highlight w:val="none"/>
                <w:u w:val="none"/>
              </w:rPr>
              <w:t>其他要求：投标人按招标文件格式要求报出的</w:t>
            </w:r>
            <w:r>
              <w:rPr>
                <w:rFonts w:hint="eastAsia"/>
                <w:color w:val="auto"/>
                <w:highlight w:val="none"/>
                <w:u w:val="none"/>
                <w:lang w:val="en-US" w:eastAsia="zh-CN"/>
              </w:rPr>
              <w:t>投标总价同时填报出</w:t>
            </w:r>
            <w:r>
              <w:rPr>
                <w:rFonts w:hint="eastAsia"/>
                <w:color w:val="auto"/>
                <w:highlight w:val="none"/>
                <w:u w:val="none"/>
              </w:rPr>
              <w:t>设计费总价</w:t>
            </w:r>
            <w:r>
              <w:rPr>
                <w:rFonts w:hint="eastAsia"/>
                <w:color w:val="auto"/>
                <w:highlight w:val="none"/>
                <w:u w:val="none"/>
                <w:lang w:val="en-US" w:eastAsia="zh-CN"/>
              </w:rPr>
              <w:t>、</w:t>
            </w:r>
            <w:r>
              <w:rPr>
                <w:rFonts w:hint="eastAsia"/>
                <w:color w:val="auto"/>
                <w:highlight w:val="none"/>
                <w:u w:val="none"/>
              </w:rPr>
              <w:t>建筑安装工程费</w:t>
            </w:r>
            <w:r>
              <w:rPr>
                <w:rFonts w:hint="eastAsia"/>
                <w:color w:val="auto"/>
                <w:highlight w:val="none"/>
                <w:u w:val="none"/>
                <w:lang w:val="en-US" w:eastAsia="zh-CN"/>
              </w:rPr>
              <w:t>总价、暂列金额</w:t>
            </w:r>
            <w:r>
              <w:rPr>
                <w:rFonts w:hint="eastAsia"/>
                <w:color w:val="auto"/>
                <w:highlight w:val="none"/>
                <w:u w:val="none"/>
              </w:rPr>
              <w:t>，设计费</w:t>
            </w:r>
            <w:r>
              <w:rPr>
                <w:rFonts w:hint="eastAsia"/>
                <w:color w:val="auto"/>
                <w:highlight w:val="none"/>
                <w:u w:val="none"/>
                <w:lang w:val="en-US" w:eastAsia="zh-CN"/>
              </w:rPr>
              <w:t>、</w:t>
            </w:r>
            <w:r>
              <w:rPr>
                <w:rFonts w:hint="eastAsia"/>
                <w:color w:val="auto"/>
                <w:highlight w:val="none"/>
                <w:u w:val="none"/>
              </w:rPr>
              <w:t>建筑安装工程费</w:t>
            </w:r>
            <w:r>
              <w:rPr>
                <w:rFonts w:hint="eastAsia"/>
                <w:color w:val="auto"/>
                <w:highlight w:val="none"/>
                <w:u w:val="none"/>
                <w:lang w:val="en-US" w:eastAsia="zh-CN"/>
              </w:rPr>
              <w:t>投标报价</w:t>
            </w:r>
            <w:r>
              <w:rPr>
                <w:rFonts w:hint="eastAsia"/>
                <w:color w:val="auto"/>
                <w:highlight w:val="none"/>
                <w:u w:val="none"/>
              </w:rPr>
              <w:t>均不得超过所设置的相应最高限价</w:t>
            </w:r>
            <w:r>
              <w:rPr>
                <w:rFonts w:hint="eastAsia"/>
                <w:color w:val="auto"/>
                <w:highlight w:val="none"/>
                <w:u w:val="none"/>
                <w:lang w:eastAsia="zh-CN"/>
              </w:rPr>
              <w:t>，</w:t>
            </w:r>
            <w:r>
              <w:rPr>
                <w:rFonts w:hint="eastAsia"/>
                <w:color w:val="auto"/>
                <w:highlight w:val="none"/>
                <w:u w:val="none"/>
                <w:lang w:val="en-US" w:eastAsia="zh-CN"/>
              </w:rPr>
              <w:t>暂列金额必须按上述固定金额填报，否则按</w:t>
            </w:r>
            <w:r>
              <w:rPr>
                <w:rFonts w:hint="eastAsia"/>
                <w:color w:val="auto"/>
                <w:highlight w:val="none"/>
                <w:u w:val="none"/>
              </w:rPr>
              <w:t>废标处理。</w:t>
            </w:r>
          </w:p>
          <w:p w14:paraId="5236A3FB">
            <w:pPr>
              <w:pStyle w:val="49"/>
              <w:rPr>
                <w:rFonts w:hint="default"/>
                <w:color w:val="auto"/>
                <w:highlight w:val="none"/>
                <w:u w:val="none"/>
                <w:lang w:val="en-US" w:eastAsia="zh-CN"/>
              </w:rPr>
            </w:pPr>
          </w:p>
        </w:tc>
      </w:tr>
      <w:tr w14:paraId="74BE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68C5A299">
            <w:pPr>
              <w:spacing w:line="320" w:lineRule="exact"/>
              <w:jc w:val="center"/>
              <w:rPr>
                <w:color w:val="auto"/>
                <w:highlight w:val="none"/>
              </w:rPr>
            </w:pPr>
            <w:r>
              <w:rPr>
                <w:rFonts w:hint="eastAsia"/>
                <w:color w:val="auto"/>
                <w:highlight w:val="none"/>
              </w:rPr>
              <w:t>3.2.5</w:t>
            </w:r>
          </w:p>
        </w:tc>
        <w:tc>
          <w:tcPr>
            <w:tcW w:w="2334" w:type="dxa"/>
            <w:vAlign w:val="center"/>
          </w:tcPr>
          <w:p w14:paraId="0C84BDA1">
            <w:pPr>
              <w:spacing w:line="320" w:lineRule="exact"/>
              <w:jc w:val="center"/>
              <w:rPr>
                <w:color w:val="auto"/>
                <w:highlight w:val="none"/>
              </w:rPr>
            </w:pPr>
            <w:r>
              <w:rPr>
                <w:rFonts w:hint="eastAsia"/>
                <w:color w:val="auto"/>
                <w:highlight w:val="none"/>
              </w:rPr>
              <w:t>报价说明</w:t>
            </w:r>
          </w:p>
        </w:tc>
        <w:tc>
          <w:tcPr>
            <w:tcW w:w="5436" w:type="dxa"/>
            <w:vAlign w:val="center"/>
          </w:tcPr>
          <w:p w14:paraId="4F0B0FB9">
            <w:pPr>
              <w:spacing w:line="320" w:lineRule="exact"/>
              <w:jc w:val="both"/>
              <w:rPr>
                <w:color w:val="auto"/>
                <w:highlight w:val="none"/>
              </w:rPr>
            </w:pPr>
            <w:r>
              <w:rPr>
                <w:rFonts w:hint="eastAsia"/>
                <w:color w:val="auto"/>
                <w:highlight w:val="none"/>
              </w:rPr>
              <w:t>报价方式：</w:t>
            </w:r>
          </w:p>
          <w:p w14:paraId="42164C2F">
            <w:pPr>
              <w:spacing w:line="320" w:lineRule="exact"/>
              <w:jc w:val="both"/>
              <w:rPr>
                <w:color w:val="auto"/>
                <w:highlight w:val="none"/>
              </w:rPr>
            </w:pPr>
            <w:r>
              <w:rPr>
                <w:rFonts w:hint="eastAsia"/>
                <w:color w:val="auto"/>
                <w:highlight w:val="none"/>
              </w:rPr>
              <w:t>☑人民币价格</w:t>
            </w:r>
          </w:p>
          <w:p w14:paraId="49A27217">
            <w:pPr>
              <w:spacing w:line="320" w:lineRule="exact"/>
              <w:jc w:val="both"/>
              <w:rPr>
                <w:color w:val="auto"/>
                <w:highlight w:val="none"/>
              </w:rPr>
            </w:pPr>
            <w:r>
              <w:rPr>
                <w:rFonts w:hint="eastAsia"/>
                <w:color w:val="auto"/>
                <w:highlight w:val="none"/>
              </w:rPr>
              <w:t>□综合费率（参与价格评审的为综合费率）</w:t>
            </w:r>
          </w:p>
          <w:p w14:paraId="555A18A6">
            <w:pPr>
              <w:spacing w:line="320" w:lineRule="exact"/>
              <w:jc w:val="both"/>
              <w:rPr>
                <w:color w:val="auto"/>
                <w:highlight w:val="none"/>
              </w:rPr>
            </w:pPr>
            <w:r>
              <w:rPr>
                <w:rFonts w:hint="eastAsia"/>
                <w:color w:val="auto"/>
                <w:highlight w:val="none"/>
                <w:lang w:eastAsia="zh-CN"/>
              </w:rPr>
              <w:t>□</w:t>
            </w:r>
            <w:r>
              <w:rPr>
                <w:rFonts w:hint="eastAsia"/>
                <w:color w:val="auto"/>
                <w:highlight w:val="none"/>
              </w:rPr>
              <w:t>下浮率（参与价格评审的为下浮率）</w:t>
            </w:r>
          </w:p>
          <w:p w14:paraId="42943120">
            <w:pPr>
              <w:spacing w:line="320" w:lineRule="exact"/>
              <w:jc w:val="both"/>
              <w:rPr>
                <w:color w:val="auto"/>
                <w:highlight w:val="none"/>
              </w:rPr>
            </w:pPr>
            <w:r>
              <w:rPr>
                <w:rFonts w:hint="eastAsia"/>
                <w:color w:val="auto"/>
                <w:highlight w:val="none"/>
              </w:rPr>
              <w:t>□综合单价（参与价格评审的为综合单价）</w:t>
            </w:r>
          </w:p>
          <w:p w14:paraId="3ED3FCEA">
            <w:pPr>
              <w:spacing w:line="320" w:lineRule="exact"/>
              <w:jc w:val="both"/>
              <w:rPr>
                <w:color w:val="auto"/>
                <w:highlight w:val="none"/>
              </w:rPr>
            </w:pPr>
            <w:r>
              <w:rPr>
                <w:rFonts w:hint="eastAsia"/>
                <w:color w:val="auto"/>
                <w:highlight w:val="none"/>
              </w:rPr>
              <w:t>特别说明：投标总报价均应转换为人民币价格，涉及分项报价按招标人要求填报。</w:t>
            </w:r>
          </w:p>
          <w:p w14:paraId="418A3F04">
            <w:pPr>
              <w:spacing w:line="320" w:lineRule="exact"/>
              <w:jc w:val="both"/>
              <w:rPr>
                <w:rFonts w:hint="eastAsia"/>
                <w:b/>
                <w:bCs/>
                <w:color w:val="auto"/>
                <w:highlight w:val="none"/>
              </w:rPr>
            </w:pPr>
            <w:r>
              <w:rPr>
                <w:rFonts w:hint="eastAsia"/>
                <w:b/>
                <w:bCs/>
                <w:color w:val="auto"/>
                <w:highlight w:val="none"/>
              </w:rPr>
              <w:t>报价要求：</w:t>
            </w:r>
          </w:p>
          <w:p w14:paraId="2D97F32F">
            <w:pPr>
              <w:spacing w:line="320" w:lineRule="exact"/>
              <w:jc w:val="both"/>
              <w:rPr>
                <w:rFonts w:hint="eastAsia"/>
                <w:b/>
                <w:bCs/>
                <w:color w:val="auto"/>
                <w:highlight w:val="none"/>
                <w:u w:val="none"/>
              </w:rPr>
            </w:pPr>
            <w:r>
              <w:rPr>
                <w:rFonts w:hint="eastAsia"/>
                <w:b/>
                <w:bCs/>
                <w:color w:val="auto"/>
                <w:highlight w:val="none"/>
                <w:u w:val="none"/>
              </w:rPr>
              <w:t>一、设计费要求：</w:t>
            </w:r>
          </w:p>
          <w:p w14:paraId="3A977578">
            <w:pPr>
              <w:spacing w:line="320" w:lineRule="exact"/>
              <w:jc w:val="both"/>
              <w:rPr>
                <w:rFonts w:hint="eastAsia"/>
                <w:b w:val="0"/>
                <w:bCs w:val="0"/>
                <w:color w:val="auto"/>
                <w:highlight w:val="none"/>
                <w:u w:val="none"/>
                <w:lang w:val="en-US" w:eastAsia="zh-CN"/>
              </w:rPr>
            </w:pPr>
            <w:r>
              <w:rPr>
                <w:rFonts w:hint="eastAsia"/>
                <w:b w:val="0"/>
                <w:bCs w:val="0"/>
                <w:color w:val="auto"/>
                <w:highlight w:val="none"/>
                <w:u w:val="none"/>
              </w:rPr>
              <w:t>1. 本项目设计费报价</w:t>
            </w:r>
            <w:r>
              <w:rPr>
                <w:rFonts w:hint="eastAsia"/>
                <w:b w:val="0"/>
                <w:bCs w:val="0"/>
                <w:color w:val="auto"/>
                <w:highlight w:val="none"/>
                <w:u w:val="none"/>
                <w:lang w:val="en-US" w:eastAsia="zh-CN"/>
              </w:rPr>
              <w:t>须同时填报设计费金额报价及</w:t>
            </w:r>
            <w:r>
              <w:rPr>
                <w:rFonts w:hint="eastAsia"/>
                <w:b w:val="0"/>
                <w:bCs w:val="0"/>
                <w:color w:val="auto"/>
                <w:highlight w:val="none"/>
                <w:u w:val="none"/>
              </w:rPr>
              <w:t>固定</w:t>
            </w:r>
            <w:r>
              <w:rPr>
                <w:rFonts w:hint="eastAsia"/>
                <w:b w:val="0"/>
                <w:bCs w:val="0"/>
                <w:color w:val="auto"/>
                <w:highlight w:val="none"/>
                <w:u w:val="none"/>
                <w:lang w:val="en-US" w:eastAsia="zh-CN"/>
              </w:rPr>
              <w:t>下浮率（%）</w:t>
            </w:r>
            <w:r>
              <w:rPr>
                <w:rFonts w:hint="eastAsia"/>
                <w:b w:val="0"/>
                <w:bCs w:val="0"/>
                <w:color w:val="auto"/>
                <w:highlight w:val="none"/>
                <w:u w:val="none"/>
              </w:rPr>
              <w:t>，</w:t>
            </w:r>
            <w:r>
              <w:rPr>
                <w:rFonts w:hint="eastAsia"/>
                <w:b w:val="0"/>
                <w:bCs w:val="0"/>
                <w:color w:val="auto"/>
                <w:highlight w:val="none"/>
                <w:u w:val="none"/>
                <w:lang w:val="en-US" w:eastAsia="zh-CN"/>
              </w:rPr>
              <w:t>设计费金额报价及</w:t>
            </w:r>
            <w:r>
              <w:rPr>
                <w:rFonts w:hint="eastAsia"/>
                <w:b w:val="0"/>
                <w:bCs w:val="0"/>
                <w:color w:val="auto"/>
                <w:highlight w:val="none"/>
                <w:u w:val="none"/>
              </w:rPr>
              <w:t>投标</w:t>
            </w:r>
            <w:r>
              <w:rPr>
                <w:rFonts w:hint="eastAsia"/>
                <w:b w:val="0"/>
                <w:bCs w:val="0"/>
                <w:color w:val="auto"/>
                <w:highlight w:val="none"/>
                <w:u w:val="none"/>
                <w:lang w:val="en-US" w:eastAsia="zh-CN"/>
              </w:rPr>
              <w:t>下浮率至多</w:t>
            </w:r>
            <w:r>
              <w:rPr>
                <w:rFonts w:hint="eastAsia"/>
                <w:b w:val="0"/>
                <w:bCs w:val="0"/>
                <w:color w:val="auto"/>
                <w:highlight w:val="none"/>
                <w:u w:val="none"/>
              </w:rPr>
              <w:t>保留小数点后两位，小数点后第三位四舍五入。</w:t>
            </w:r>
            <w:r>
              <w:rPr>
                <w:rFonts w:hint="eastAsia"/>
                <w:b w:val="0"/>
                <w:bCs w:val="0"/>
                <w:color w:val="auto"/>
                <w:highlight w:val="none"/>
                <w:u w:val="none"/>
                <w:lang w:val="en-US" w:eastAsia="zh-CN"/>
              </w:rPr>
              <w:t>本项目设计费含工程设计费和施工图预算编制费。</w:t>
            </w:r>
          </w:p>
          <w:p w14:paraId="69AB2041">
            <w:pPr>
              <w:spacing w:line="320" w:lineRule="exact"/>
              <w:ind w:firstLine="420" w:firstLineChars="200"/>
              <w:jc w:val="both"/>
              <w:rPr>
                <w:rFonts w:hint="eastAsia"/>
                <w:b w:val="0"/>
                <w:bCs w:val="0"/>
                <w:color w:val="auto"/>
                <w:highlight w:val="none"/>
                <w:u w:val="none"/>
                <w:lang w:eastAsia="zh-CN"/>
              </w:rPr>
            </w:pPr>
            <w:r>
              <w:rPr>
                <w:rFonts w:hint="eastAsia" w:ascii="Arial" w:hAnsi="宋体" w:cs="Arial"/>
                <w:b w:val="0"/>
                <w:bCs w:val="0"/>
                <w:color w:val="auto"/>
                <w:szCs w:val="21"/>
                <w:highlight w:val="none"/>
                <w:lang w:val="en-US" w:eastAsia="zh-CN"/>
              </w:rPr>
              <w:t>设计费金额</w:t>
            </w:r>
            <w:r>
              <w:rPr>
                <w:rFonts w:hint="eastAsia" w:ascii="Arial" w:hAnsi="宋体" w:cs="Arial"/>
                <w:b w:val="0"/>
                <w:bCs w:val="0"/>
                <w:color w:val="auto"/>
                <w:szCs w:val="21"/>
                <w:highlight w:val="none"/>
              </w:rPr>
              <w:t>=</w:t>
            </w:r>
            <w:r>
              <w:rPr>
                <w:rFonts w:hint="eastAsia" w:ascii="Arial" w:hAnsi="宋体" w:cs="Arial"/>
                <w:b w:val="0"/>
                <w:bCs w:val="0"/>
                <w:color w:val="auto"/>
                <w:szCs w:val="21"/>
                <w:highlight w:val="none"/>
                <w:lang w:val="en-US" w:eastAsia="zh-CN"/>
              </w:rPr>
              <w:t>设计费</w:t>
            </w:r>
            <w:r>
              <w:rPr>
                <w:rFonts w:hint="eastAsia" w:ascii="Arial" w:hAnsi="宋体" w:cs="Arial"/>
                <w:b w:val="0"/>
                <w:bCs w:val="0"/>
                <w:color w:val="auto"/>
                <w:szCs w:val="21"/>
                <w:highlight w:val="none"/>
              </w:rPr>
              <w:t>计费基数</w:t>
            </w:r>
            <w:r>
              <w:rPr>
                <w:rFonts w:hint="eastAsia"/>
                <w:b w:val="0"/>
                <w:bCs w:val="0"/>
                <w:color w:val="auto"/>
                <w:highlight w:val="none"/>
                <w:u w:val="none"/>
              </w:rPr>
              <w:t>×</w:t>
            </w:r>
            <w:r>
              <w:rPr>
                <w:rFonts w:hint="eastAsia"/>
                <w:b w:val="0"/>
                <w:bCs w:val="0"/>
                <w:color w:val="auto"/>
                <w:highlight w:val="none"/>
                <w:u w:val="none"/>
                <w:lang w:eastAsia="zh-CN"/>
              </w:rPr>
              <w:t>（</w:t>
            </w:r>
            <w:r>
              <w:rPr>
                <w:rFonts w:hint="eastAsia"/>
                <w:b w:val="0"/>
                <w:bCs w:val="0"/>
                <w:color w:val="auto"/>
                <w:highlight w:val="none"/>
                <w:u w:val="none"/>
                <w:lang w:val="en-US" w:eastAsia="zh-CN"/>
              </w:rPr>
              <w:t>1-下浮率</w:t>
            </w:r>
            <w:r>
              <w:rPr>
                <w:rFonts w:hint="eastAsia"/>
                <w:b w:val="0"/>
                <w:bCs w:val="0"/>
                <w:color w:val="auto"/>
                <w:highlight w:val="none"/>
                <w:u w:val="none"/>
                <w:lang w:eastAsia="zh-CN"/>
              </w:rPr>
              <w:t>）</w:t>
            </w:r>
          </w:p>
          <w:p w14:paraId="65C94E0E">
            <w:pPr>
              <w:spacing w:line="320" w:lineRule="exact"/>
              <w:ind w:firstLine="420" w:firstLineChars="200"/>
              <w:jc w:val="both"/>
              <w:rPr>
                <w:rFonts w:hint="default" w:eastAsia="宋体"/>
                <w:b w:val="0"/>
                <w:bCs w:val="0"/>
                <w:color w:val="auto"/>
                <w:highlight w:val="none"/>
                <w:u w:val="none"/>
                <w:lang w:val="en-US" w:eastAsia="zh-CN"/>
              </w:rPr>
            </w:pPr>
            <w:r>
              <w:rPr>
                <w:rFonts w:hint="eastAsia"/>
                <w:b w:val="0"/>
                <w:bCs w:val="0"/>
                <w:color w:val="auto"/>
                <w:highlight w:val="none"/>
                <w:u w:val="none"/>
                <w:lang w:val="en-US" w:eastAsia="zh-CN"/>
              </w:rPr>
              <w:t>其中，设计费计费基数</w:t>
            </w:r>
            <w:r>
              <w:rPr>
                <w:rFonts w:hint="eastAsia"/>
                <w:b w:val="0"/>
                <w:bCs w:val="0"/>
                <w:color w:val="auto"/>
                <w:highlight w:val="none"/>
                <w:u w:val="single"/>
                <w:lang w:val="en-US" w:eastAsia="zh-CN"/>
              </w:rPr>
              <w:t>8008000.00</w:t>
            </w:r>
            <w:r>
              <w:rPr>
                <w:rFonts w:hint="eastAsia"/>
                <w:b w:val="0"/>
                <w:bCs w:val="0"/>
                <w:color w:val="auto"/>
                <w:highlight w:val="none"/>
                <w:u w:val="none"/>
                <w:lang w:val="en-US" w:eastAsia="zh-CN"/>
              </w:rPr>
              <w:t>元。</w:t>
            </w:r>
            <w:r>
              <w:rPr>
                <w:rFonts w:hint="eastAsia"/>
                <w:color w:val="auto"/>
                <w:highlight w:val="none"/>
                <w:u w:val="none"/>
                <w:lang w:val="en-US" w:eastAsia="zh-CN"/>
              </w:rPr>
              <w:t>设计费下浮率不得小于50%，否则按废标处理。</w:t>
            </w:r>
          </w:p>
          <w:p w14:paraId="048FCDE6">
            <w:pPr>
              <w:spacing w:line="320" w:lineRule="exact"/>
              <w:jc w:val="both"/>
              <w:rPr>
                <w:rFonts w:hint="eastAsia" w:eastAsia="宋体"/>
                <w:color w:val="auto"/>
                <w:highlight w:val="none"/>
                <w:u w:val="none"/>
                <w:lang w:eastAsia="zh-CN"/>
              </w:rPr>
            </w:pPr>
            <w:r>
              <w:rPr>
                <w:rFonts w:hint="eastAsia"/>
                <w:color w:val="auto"/>
                <w:highlight w:val="none"/>
                <w:u w:val="none"/>
              </w:rPr>
              <w:t>2. 投标人填报的设计报价是完成招标范围内全部与设计有关的服务内容的价格体现：</w:t>
            </w:r>
          </w:p>
          <w:p w14:paraId="758B11B4">
            <w:pPr>
              <w:spacing w:line="320" w:lineRule="exact"/>
              <w:jc w:val="both"/>
              <w:rPr>
                <w:rFonts w:hint="eastAsia" w:eastAsia="宋体"/>
                <w:color w:val="auto"/>
                <w:highlight w:val="none"/>
                <w:u w:val="none"/>
                <w:lang w:eastAsia="zh-CN"/>
              </w:rPr>
            </w:pPr>
            <w:r>
              <w:rPr>
                <w:rFonts w:hint="eastAsia"/>
                <w:color w:val="auto"/>
                <w:highlight w:val="none"/>
                <w:u w:val="none"/>
              </w:rPr>
              <w:t>⑴设计服务阶段：包括项目所有工程的设计工作，以及建设期及运营期全寿命周期指导服务。</w:t>
            </w:r>
          </w:p>
          <w:p w14:paraId="380D76CC">
            <w:pPr>
              <w:spacing w:line="320" w:lineRule="exact"/>
              <w:jc w:val="both"/>
              <w:rPr>
                <w:rFonts w:hint="eastAsia" w:eastAsia="宋体"/>
                <w:color w:val="auto"/>
                <w:highlight w:val="none"/>
                <w:u w:val="none"/>
                <w:lang w:eastAsia="zh-CN"/>
              </w:rPr>
            </w:pPr>
            <w:r>
              <w:rPr>
                <w:rFonts w:hint="eastAsia"/>
                <w:color w:val="auto"/>
                <w:highlight w:val="none"/>
                <w:u w:val="none"/>
              </w:rPr>
              <w:t>⑵设计服务内容：施工图设计及预算、设计代表、配合施工图审查、专项设计、配合设计评审、设计交底、设计变更、施工现场服务、配合后续运营服务等工作。</w:t>
            </w:r>
          </w:p>
          <w:p w14:paraId="03E86F15">
            <w:pPr>
              <w:spacing w:line="320" w:lineRule="exact"/>
              <w:jc w:val="both"/>
              <w:rPr>
                <w:rFonts w:hint="eastAsia" w:eastAsia="宋体"/>
                <w:color w:val="auto"/>
                <w:highlight w:val="none"/>
                <w:u w:val="none"/>
                <w:lang w:eastAsia="zh-CN"/>
              </w:rPr>
            </w:pPr>
            <w:r>
              <w:rPr>
                <w:rFonts w:hint="eastAsia"/>
                <w:color w:val="auto"/>
                <w:highlight w:val="none"/>
                <w:u w:val="none"/>
              </w:rPr>
              <w:t>设计质量标准：符合国家、行业设计规范和标准。</w:t>
            </w:r>
          </w:p>
          <w:p w14:paraId="3AB5C16B">
            <w:pPr>
              <w:spacing w:line="320" w:lineRule="exact"/>
              <w:jc w:val="both"/>
              <w:rPr>
                <w:rFonts w:hint="eastAsia" w:eastAsia="宋体"/>
                <w:color w:val="auto"/>
                <w:highlight w:val="none"/>
                <w:u w:val="none"/>
                <w:lang w:eastAsia="zh-CN"/>
              </w:rPr>
            </w:pPr>
            <w:r>
              <w:rPr>
                <w:rFonts w:hint="eastAsia"/>
                <w:color w:val="auto"/>
                <w:highlight w:val="none"/>
                <w:u w:val="none"/>
              </w:rPr>
              <w:t>⑶设计费用组成：设计费应综合考虑设计人员的工资、福利、保险、加班费用、车旅费用、提供设计文件的资料费（含图纸定线费用）、各种设备使用费及企业管理费、利润、税金、各阶段设计费用，施工阶段技术咨询服务</w:t>
            </w:r>
            <w:r>
              <w:rPr>
                <w:rFonts w:hint="eastAsia"/>
                <w:color w:val="auto"/>
                <w:highlight w:val="none"/>
                <w:u w:val="none"/>
                <w:lang w:val="en-US" w:eastAsia="zh-CN"/>
              </w:rPr>
              <w:t>、</w:t>
            </w:r>
            <w:r>
              <w:rPr>
                <w:rFonts w:hint="eastAsia"/>
                <w:color w:val="auto"/>
                <w:highlight w:val="none"/>
                <w:u w:val="none"/>
              </w:rPr>
              <w:t>与其他专业设计单位之间协调及不可预见风险等全部费用。设计人为完成设计任务所需的人力、物力、财力投入，应充分考虑可能的市场风险以及企业所需缴纳的各种税费。以及为实现合同目的所涉及的机构、人员、利润、税金、政策性文件规定、不可预见风险、责任、设计人为自己的雇员、财产等所做的人身和财产保险的费用，以及第三方责任险和参与投标所发生费用等全部费用。同时包括招标人未列出，但设计人认为完成本项目必须列支的有关费用，且充分考虑一切后期因素和风险、意外事件或不可抗力风险。</w:t>
            </w:r>
          </w:p>
          <w:p w14:paraId="2EAB95DB">
            <w:pPr>
              <w:numPr>
                <w:ilvl w:val="0"/>
                <w:numId w:val="0"/>
              </w:numPr>
              <w:spacing w:line="320" w:lineRule="exact"/>
              <w:ind w:left="0" w:leftChars="0" w:firstLine="0" w:firstLineChars="0"/>
              <w:jc w:val="both"/>
              <w:rPr>
                <w:rFonts w:hint="eastAsia"/>
                <w:color w:val="auto"/>
                <w:highlight w:val="none"/>
                <w:u w:val="none"/>
              </w:rPr>
            </w:pPr>
            <w:r>
              <w:rPr>
                <w:rFonts w:hint="eastAsia" w:ascii="Times New Roman" w:hAnsi="Times New Roman" w:eastAsia="宋体" w:cs="Times New Roman"/>
                <w:color w:val="auto"/>
                <w:kern w:val="2"/>
                <w:sz w:val="21"/>
                <w:szCs w:val="24"/>
                <w:highlight w:val="none"/>
                <w:lang w:val="en-US" w:eastAsia="zh-CN" w:bidi="ar-SA"/>
              </w:rPr>
              <w:t>3.</w:t>
            </w:r>
            <w:r>
              <w:rPr>
                <w:rFonts w:hint="eastAsia"/>
                <w:color w:val="auto"/>
                <w:highlight w:val="none"/>
                <w:u w:val="none"/>
              </w:rPr>
              <w:t>投标人依据招标文件自行考虑风险因素进行投标报价，一旦中标，</w:t>
            </w:r>
            <w:r>
              <w:rPr>
                <w:rFonts w:hint="eastAsia"/>
                <w:color w:val="auto"/>
                <w:highlight w:val="none"/>
                <w:u w:val="none"/>
                <w:lang w:val="en-US" w:eastAsia="zh-CN"/>
              </w:rPr>
              <w:t>设计费下浮率</w:t>
            </w:r>
            <w:r>
              <w:rPr>
                <w:rFonts w:hint="eastAsia"/>
                <w:color w:val="auto"/>
                <w:highlight w:val="none"/>
                <w:u w:val="none"/>
              </w:rPr>
              <w:t>将不会因市场变化因素而得到调整。</w:t>
            </w:r>
          </w:p>
          <w:p w14:paraId="64765371">
            <w:pPr>
              <w:spacing w:line="290" w:lineRule="exact"/>
              <w:rPr>
                <w:rFonts w:hint="eastAsia" w:ascii="Arial" w:hAnsi="宋体" w:cs="Arial"/>
                <w:b w:val="0"/>
                <w:bCs w:val="0"/>
                <w:color w:val="auto"/>
                <w:szCs w:val="21"/>
                <w:highlight w:val="none"/>
              </w:rPr>
            </w:pPr>
            <w:r>
              <w:rPr>
                <w:rFonts w:hint="eastAsia" w:ascii="Arial" w:hAnsi="宋体" w:cs="Arial"/>
                <w:b w:val="0"/>
                <w:bCs w:val="0"/>
                <w:color w:val="auto"/>
                <w:szCs w:val="21"/>
                <w:highlight w:val="none"/>
              </w:rPr>
              <w:t xml:space="preserve">二、 </w:t>
            </w:r>
            <w:r>
              <w:rPr>
                <w:rFonts w:hint="eastAsia" w:ascii="Arial" w:hAnsi="宋体" w:cs="Arial"/>
                <w:b w:val="0"/>
                <w:bCs w:val="0"/>
                <w:color w:val="auto"/>
                <w:szCs w:val="21"/>
                <w:highlight w:val="none"/>
                <w:lang w:eastAsia="zh-CN"/>
              </w:rPr>
              <w:t>建筑安装工程费</w:t>
            </w:r>
            <w:r>
              <w:rPr>
                <w:rFonts w:hint="eastAsia" w:ascii="Arial" w:hAnsi="宋体" w:cs="Arial"/>
                <w:b w:val="0"/>
                <w:bCs w:val="0"/>
                <w:color w:val="auto"/>
                <w:szCs w:val="21"/>
                <w:highlight w:val="none"/>
              </w:rPr>
              <w:t>要求：</w:t>
            </w:r>
          </w:p>
          <w:p w14:paraId="0B217485">
            <w:pPr>
              <w:spacing w:line="290" w:lineRule="exact"/>
              <w:rPr>
                <w:rFonts w:hint="eastAsia" w:ascii="Arial" w:hAnsi="宋体" w:cs="Arial"/>
                <w:b w:val="0"/>
                <w:bCs w:val="0"/>
                <w:color w:val="auto"/>
                <w:szCs w:val="21"/>
                <w:highlight w:val="none"/>
              </w:rPr>
            </w:pPr>
            <w:r>
              <w:rPr>
                <w:rFonts w:hint="eastAsia" w:ascii="Arial" w:hAnsi="宋体" w:cs="Arial"/>
                <w:b w:val="0"/>
                <w:bCs w:val="0"/>
                <w:color w:val="auto"/>
                <w:szCs w:val="21"/>
                <w:highlight w:val="none"/>
              </w:rPr>
              <w:t>1. 本项目</w:t>
            </w:r>
            <w:r>
              <w:rPr>
                <w:rFonts w:hint="eastAsia" w:ascii="Arial" w:hAnsi="宋体" w:cs="Arial"/>
                <w:b w:val="0"/>
                <w:bCs w:val="0"/>
                <w:color w:val="auto"/>
                <w:szCs w:val="21"/>
                <w:highlight w:val="none"/>
                <w:lang w:eastAsia="zh-CN"/>
              </w:rPr>
              <w:t>建筑安装工程费</w:t>
            </w:r>
            <w:r>
              <w:rPr>
                <w:rFonts w:hint="eastAsia"/>
                <w:b w:val="0"/>
                <w:bCs w:val="0"/>
                <w:color w:val="auto"/>
                <w:highlight w:val="none"/>
                <w:u w:val="none"/>
                <w:lang w:val="en-US" w:eastAsia="zh-CN"/>
              </w:rPr>
              <w:t>须同时填报</w:t>
            </w:r>
            <w:r>
              <w:rPr>
                <w:rFonts w:hint="eastAsia" w:ascii="Arial" w:hAnsi="宋体" w:cs="Arial"/>
                <w:b w:val="0"/>
                <w:bCs w:val="0"/>
                <w:color w:val="auto"/>
                <w:szCs w:val="21"/>
                <w:highlight w:val="none"/>
                <w:lang w:eastAsia="zh-CN"/>
              </w:rPr>
              <w:t>建筑安装工程费</w:t>
            </w:r>
            <w:r>
              <w:rPr>
                <w:rFonts w:hint="eastAsia"/>
                <w:b w:val="0"/>
                <w:bCs w:val="0"/>
                <w:color w:val="auto"/>
                <w:highlight w:val="none"/>
                <w:u w:val="none"/>
                <w:lang w:val="en-US" w:eastAsia="zh-CN"/>
              </w:rPr>
              <w:t>金额及</w:t>
            </w:r>
            <w:r>
              <w:rPr>
                <w:rFonts w:hint="eastAsia"/>
                <w:b w:val="0"/>
                <w:bCs w:val="0"/>
                <w:color w:val="auto"/>
                <w:highlight w:val="none"/>
                <w:u w:val="none"/>
              </w:rPr>
              <w:t>固定</w:t>
            </w:r>
            <w:r>
              <w:rPr>
                <w:rFonts w:hint="eastAsia"/>
                <w:b w:val="0"/>
                <w:bCs w:val="0"/>
                <w:color w:val="auto"/>
                <w:highlight w:val="none"/>
                <w:u w:val="none"/>
                <w:lang w:val="en-US" w:eastAsia="zh-CN"/>
              </w:rPr>
              <w:t>下浮率（%）</w:t>
            </w:r>
            <w:r>
              <w:rPr>
                <w:rFonts w:hint="eastAsia" w:ascii="Arial" w:hAnsi="宋体" w:cs="Arial"/>
                <w:b w:val="0"/>
                <w:bCs w:val="0"/>
                <w:color w:val="auto"/>
                <w:szCs w:val="21"/>
                <w:highlight w:val="none"/>
              </w:rPr>
              <w:t>，</w:t>
            </w:r>
            <w:r>
              <w:rPr>
                <w:rFonts w:hint="eastAsia" w:ascii="Arial" w:hAnsi="宋体" w:cs="Arial"/>
                <w:b w:val="0"/>
                <w:bCs w:val="0"/>
                <w:color w:val="auto"/>
                <w:szCs w:val="21"/>
                <w:highlight w:val="none"/>
                <w:lang w:eastAsia="zh-CN"/>
              </w:rPr>
              <w:t>建筑安装工程费</w:t>
            </w:r>
            <w:r>
              <w:rPr>
                <w:rFonts w:hint="eastAsia"/>
                <w:b w:val="0"/>
                <w:bCs w:val="0"/>
                <w:color w:val="auto"/>
                <w:highlight w:val="none"/>
                <w:u w:val="none"/>
                <w:lang w:val="en-US" w:eastAsia="zh-CN"/>
              </w:rPr>
              <w:t>金额报价及</w:t>
            </w:r>
            <w:r>
              <w:rPr>
                <w:rFonts w:hint="eastAsia"/>
                <w:b w:val="0"/>
                <w:bCs w:val="0"/>
                <w:color w:val="auto"/>
                <w:highlight w:val="none"/>
                <w:u w:val="none"/>
              </w:rPr>
              <w:t>投标</w:t>
            </w:r>
            <w:r>
              <w:rPr>
                <w:rFonts w:hint="eastAsia"/>
                <w:b w:val="0"/>
                <w:bCs w:val="0"/>
                <w:color w:val="auto"/>
                <w:highlight w:val="none"/>
                <w:u w:val="none"/>
                <w:lang w:val="en-US" w:eastAsia="zh-CN"/>
              </w:rPr>
              <w:t>下浮率至多</w:t>
            </w:r>
            <w:r>
              <w:rPr>
                <w:rFonts w:hint="eastAsia"/>
                <w:b w:val="0"/>
                <w:bCs w:val="0"/>
                <w:color w:val="auto"/>
                <w:highlight w:val="none"/>
                <w:u w:val="none"/>
              </w:rPr>
              <w:t>保留小数点后两位，小数点后第三位四舍五入。</w:t>
            </w:r>
          </w:p>
          <w:p w14:paraId="388F5D4C">
            <w:pPr>
              <w:spacing w:line="290" w:lineRule="exact"/>
              <w:ind w:firstLine="420" w:firstLineChars="200"/>
              <w:rPr>
                <w:rFonts w:hint="eastAsia" w:ascii="Arial" w:hAnsi="宋体" w:cs="Arial"/>
                <w:b w:val="0"/>
                <w:bCs w:val="0"/>
                <w:color w:val="auto"/>
                <w:szCs w:val="21"/>
                <w:highlight w:val="none"/>
              </w:rPr>
            </w:pPr>
            <w:r>
              <w:rPr>
                <w:rFonts w:hint="eastAsia" w:ascii="Arial" w:hAnsi="宋体" w:cs="Arial"/>
                <w:b w:val="0"/>
                <w:bCs w:val="0"/>
                <w:color w:val="auto"/>
                <w:szCs w:val="21"/>
                <w:highlight w:val="none"/>
                <w:lang w:eastAsia="zh-CN"/>
              </w:rPr>
              <w:t>建筑安装工程费</w:t>
            </w:r>
            <w:r>
              <w:rPr>
                <w:rFonts w:hint="eastAsia" w:ascii="Arial" w:hAnsi="宋体" w:cs="Arial"/>
                <w:b w:val="0"/>
                <w:bCs w:val="0"/>
                <w:color w:val="auto"/>
                <w:szCs w:val="21"/>
                <w:highlight w:val="none"/>
              </w:rPr>
              <w:t>=</w:t>
            </w:r>
            <w:r>
              <w:rPr>
                <w:rFonts w:hint="eastAsia" w:ascii="Arial" w:hAnsi="宋体" w:cs="Arial"/>
                <w:b w:val="0"/>
                <w:bCs w:val="0"/>
                <w:color w:val="auto"/>
                <w:szCs w:val="21"/>
                <w:highlight w:val="none"/>
                <w:lang w:eastAsia="zh-CN"/>
              </w:rPr>
              <w:t>建筑安装工程费</w:t>
            </w:r>
            <w:r>
              <w:rPr>
                <w:rFonts w:hint="eastAsia" w:ascii="Arial" w:hAnsi="宋体" w:cs="Arial"/>
                <w:b w:val="0"/>
                <w:bCs w:val="0"/>
                <w:color w:val="auto"/>
                <w:szCs w:val="21"/>
                <w:highlight w:val="none"/>
              </w:rPr>
              <w:t>计费基数</w:t>
            </w:r>
            <w:r>
              <w:rPr>
                <w:rFonts w:hint="eastAsia"/>
                <w:b w:val="0"/>
                <w:bCs w:val="0"/>
                <w:color w:val="auto"/>
                <w:highlight w:val="none"/>
                <w:u w:val="none"/>
              </w:rPr>
              <w:t>×</w:t>
            </w:r>
            <w:r>
              <w:rPr>
                <w:rFonts w:hint="eastAsia"/>
                <w:b w:val="0"/>
                <w:bCs w:val="0"/>
                <w:color w:val="auto"/>
                <w:highlight w:val="none"/>
                <w:u w:val="none"/>
                <w:lang w:eastAsia="zh-CN"/>
              </w:rPr>
              <w:t>（</w:t>
            </w:r>
            <w:r>
              <w:rPr>
                <w:rFonts w:hint="eastAsia"/>
                <w:b w:val="0"/>
                <w:bCs w:val="0"/>
                <w:color w:val="auto"/>
                <w:highlight w:val="none"/>
                <w:u w:val="none"/>
                <w:lang w:val="en-US" w:eastAsia="zh-CN"/>
              </w:rPr>
              <w:t>1-下浮率</w:t>
            </w:r>
            <w:r>
              <w:rPr>
                <w:rFonts w:hint="eastAsia"/>
                <w:b w:val="0"/>
                <w:bCs w:val="0"/>
                <w:color w:val="auto"/>
                <w:highlight w:val="none"/>
                <w:u w:val="none"/>
                <w:lang w:eastAsia="zh-CN"/>
              </w:rPr>
              <w:t>）</w:t>
            </w:r>
          </w:p>
          <w:p w14:paraId="63575F14">
            <w:pPr>
              <w:spacing w:line="290" w:lineRule="exact"/>
              <w:ind w:firstLine="420" w:firstLineChars="200"/>
              <w:rPr>
                <w:rFonts w:hint="eastAsia" w:ascii="Arial" w:hAnsi="宋体" w:cs="Arial"/>
                <w:b w:val="0"/>
                <w:bCs w:val="0"/>
                <w:color w:val="auto"/>
                <w:szCs w:val="21"/>
                <w:highlight w:val="none"/>
              </w:rPr>
            </w:pPr>
            <w:r>
              <w:rPr>
                <w:rFonts w:hint="eastAsia" w:ascii="Arial" w:hAnsi="宋体" w:cs="Arial"/>
                <w:b w:val="0"/>
                <w:bCs w:val="0"/>
                <w:color w:val="auto"/>
                <w:szCs w:val="21"/>
                <w:highlight w:val="none"/>
                <w:lang w:val="en-US" w:eastAsia="zh-CN"/>
              </w:rPr>
              <w:t>其中，</w:t>
            </w:r>
            <w:r>
              <w:rPr>
                <w:rFonts w:hint="eastAsia" w:ascii="Arial" w:hAnsi="宋体" w:cs="Arial"/>
                <w:b w:val="0"/>
                <w:bCs w:val="0"/>
                <w:color w:val="auto"/>
                <w:szCs w:val="21"/>
                <w:highlight w:val="none"/>
                <w:lang w:eastAsia="zh-CN"/>
              </w:rPr>
              <w:t>建筑安装工程费</w:t>
            </w:r>
            <w:r>
              <w:rPr>
                <w:rFonts w:hint="eastAsia" w:ascii="Arial" w:hAnsi="宋体" w:cs="Arial"/>
                <w:b w:val="0"/>
                <w:bCs w:val="0"/>
                <w:color w:val="auto"/>
                <w:szCs w:val="21"/>
                <w:highlight w:val="none"/>
              </w:rPr>
              <w:t>计费基数：</w:t>
            </w:r>
            <w:r>
              <w:rPr>
                <w:rFonts w:hint="eastAsia"/>
                <w:color w:val="auto"/>
                <w:highlight w:val="none"/>
                <w:u w:val="single"/>
                <w:lang w:val="en-US" w:eastAsia="zh-CN"/>
              </w:rPr>
              <w:t>502491368.42</w:t>
            </w:r>
            <w:r>
              <w:rPr>
                <w:rFonts w:hint="eastAsia"/>
                <w:b w:val="0"/>
                <w:bCs w:val="0"/>
                <w:color w:val="auto"/>
                <w:highlight w:val="none"/>
                <w:u w:val="none"/>
              </w:rPr>
              <w:t>元</w:t>
            </w:r>
            <w:r>
              <w:rPr>
                <w:rFonts w:hint="eastAsia" w:ascii="Arial" w:hAnsi="宋体" w:cs="Arial"/>
                <w:b w:val="0"/>
                <w:bCs w:val="0"/>
                <w:color w:val="auto"/>
                <w:szCs w:val="21"/>
                <w:highlight w:val="none"/>
              </w:rPr>
              <w:t>。</w:t>
            </w:r>
          </w:p>
          <w:p w14:paraId="5194BBD6">
            <w:pPr>
              <w:spacing w:line="290" w:lineRule="exact"/>
              <w:rPr>
                <w:rFonts w:ascii="Arial" w:hAnsi="宋体" w:cs="Arial"/>
                <w:b w:val="0"/>
                <w:bCs w:val="0"/>
                <w:color w:val="auto"/>
                <w:szCs w:val="21"/>
                <w:highlight w:val="none"/>
              </w:rPr>
            </w:pPr>
            <w:r>
              <w:rPr>
                <w:rFonts w:ascii="Arial" w:hAnsi="宋体" w:cs="Arial"/>
                <w:b w:val="0"/>
                <w:bCs w:val="0"/>
                <w:color w:val="auto"/>
                <w:szCs w:val="21"/>
                <w:highlight w:val="none"/>
              </w:rPr>
              <w:t>2. 各投标人应通过现场踏勘了解的现场实际情况、发包人要求、招标文件、补充通知澄清(答疑)纪要中提出的工程技术、质量、安全、工期要求、文明施工要求、承包范围、自行编制的施工组织设计，</w:t>
            </w:r>
            <w:r>
              <w:rPr>
                <w:rFonts w:hint="eastAsia" w:ascii="Arial" w:hAnsi="宋体" w:cs="Arial"/>
                <w:b w:val="0"/>
                <w:bCs w:val="0"/>
                <w:color w:val="auto"/>
                <w:szCs w:val="21"/>
                <w:highlight w:val="none"/>
              </w:rPr>
              <w:t>依据</w:t>
            </w:r>
            <w:r>
              <w:rPr>
                <w:rFonts w:hint="eastAsia" w:ascii="Arial" w:hAnsi="宋体" w:cs="Arial"/>
                <w:b w:val="0"/>
                <w:bCs w:val="0"/>
                <w:color w:val="auto"/>
                <w:szCs w:val="21"/>
                <w:highlight w:val="none"/>
                <w:lang w:val="en-US" w:eastAsia="zh-CN"/>
              </w:rPr>
              <w:t>2024辽宁省</w:t>
            </w:r>
            <w:r>
              <w:rPr>
                <w:rFonts w:hint="eastAsia" w:ascii="Arial" w:hAnsi="宋体" w:cs="Arial"/>
                <w:b w:val="0"/>
                <w:bCs w:val="0"/>
                <w:color w:val="auto"/>
                <w:szCs w:val="21"/>
                <w:highlight w:val="none"/>
              </w:rPr>
              <w:t>建设工程计价依据及相关规定并</w:t>
            </w:r>
            <w:r>
              <w:rPr>
                <w:rFonts w:ascii="Arial" w:hAnsi="宋体" w:cs="Arial"/>
                <w:b w:val="0"/>
                <w:bCs w:val="0"/>
                <w:color w:val="auto"/>
                <w:szCs w:val="21"/>
                <w:highlight w:val="none"/>
              </w:rPr>
              <w:t>结合企业自身情况及投资风险，进行报价。</w:t>
            </w:r>
          </w:p>
          <w:p w14:paraId="34A1C282">
            <w:pPr>
              <w:spacing w:line="320" w:lineRule="exact"/>
              <w:jc w:val="both"/>
              <w:rPr>
                <w:rFonts w:hint="eastAsia" w:eastAsia="宋体"/>
                <w:color w:val="auto"/>
                <w:highlight w:val="none"/>
                <w:u w:val="none"/>
                <w:lang w:eastAsia="zh-CN"/>
              </w:rPr>
            </w:pPr>
            <w:r>
              <w:rPr>
                <w:rFonts w:hint="eastAsia"/>
                <w:color w:val="auto"/>
                <w:highlight w:val="none"/>
                <w:u w:val="none"/>
              </w:rPr>
              <w:t>3. 投标报价的依据及风险</w:t>
            </w:r>
          </w:p>
          <w:p w14:paraId="3983AE40">
            <w:pPr>
              <w:pStyle w:val="49"/>
              <w:adjustRightInd w:val="0"/>
              <w:rPr>
                <w:rFonts w:hint="eastAsia" w:ascii="Arial" w:hAnsi="宋体" w:eastAsia="宋体" w:cs="Arial"/>
                <w:b w:val="0"/>
                <w:bCs w:val="0"/>
                <w:color w:val="auto"/>
                <w:kern w:val="2"/>
                <w:sz w:val="21"/>
                <w:szCs w:val="21"/>
                <w:highlight w:val="none"/>
                <w:lang w:val="en-US" w:eastAsia="zh-CN" w:bidi="ar-SA"/>
              </w:rPr>
            </w:pPr>
            <w:r>
              <w:rPr>
                <w:rFonts w:hint="eastAsia" w:ascii="Arial" w:hAnsi="宋体" w:eastAsia="宋体" w:cs="Arial"/>
                <w:b w:val="0"/>
                <w:bCs w:val="0"/>
                <w:color w:val="auto"/>
                <w:kern w:val="2"/>
                <w:sz w:val="21"/>
                <w:szCs w:val="21"/>
                <w:highlight w:val="none"/>
                <w:lang w:val="en-US" w:eastAsia="zh-CN" w:bidi="ar-SA"/>
              </w:rPr>
              <w:t>⑴工程量计算规则：执行</w:t>
            </w:r>
            <w:r>
              <w:rPr>
                <w:rFonts w:hint="eastAsia" w:ascii="Arial" w:hAnsi="宋体" w:cs="Arial"/>
                <w:b w:val="0"/>
                <w:bCs w:val="0"/>
                <w:color w:val="auto"/>
                <w:kern w:val="2"/>
                <w:sz w:val="21"/>
                <w:szCs w:val="21"/>
                <w:highlight w:val="none"/>
                <w:lang w:val="en-US" w:eastAsia="zh-CN" w:bidi="ar-SA"/>
              </w:rPr>
              <w:t>2024辽宁省</w:t>
            </w:r>
            <w:r>
              <w:rPr>
                <w:rFonts w:hint="eastAsia" w:ascii="Arial" w:hAnsi="宋体" w:eastAsia="宋体" w:cs="Arial"/>
                <w:b w:val="0"/>
                <w:bCs w:val="0"/>
                <w:color w:val="auto"/>
                <w:kern w:val="2"/>
                <w:sz w:val="21"/>
                <w:szCs w:val="21"/>
                <w:highlight w:val="none"/>
                <w:lang w:val="en-US" w:eastAsia="zh-CN" w:bidi="ar-SA"/>
              </w:rPr>
              <w:t>计价依据中的各定额计算规则。</w:t>
            </w:r>
          </w:p>
          <w:p w14:paraId="077B252A">
            <w:pPr>
              <w:pStyle w:val="49"/>
              <w:adjustRightInd w:val="0"/>
              <w:rPr>
                <w:rFonts w:hint="eastAsia" w:ascii="Arial" w:hAnsi="宋体" w:eastAsia="宋体" w:cs="Arial"/>
                <w:b w:val="0"/>
                <w:bCs w:val="0"/>
                <w:color w:val="auto"/>
                <w:kern w:val="2"/>
                <w:sz w:val="21"/>
                <w:szCs w:val="21"/>
                <w:highlight w:val="none"/>
                <w:lang w:val="en-US" w:eastAsia="zh-CN" w:bidi="ar-SA"/>
              </w:rPr>
            </w:pPr>
            <w:r>
              <w:rPr>
                <w:rFonts w:hint="eastAsia" w:ascii="Arial" w:hAnsi="宋体" w:eastAsia="宋体" w:cs="Arial"/>
                <w:b w:val="0"/>
                <w:bCs w:val="0"/>
                <w:color w:val="auto"/>
                <w:kern w:val="2"/>
                <w:sz w:val="21"/>
                <w:szCs w:val="21"/>
                <w:highlight w:val="none"/>
                <w:lang w:val="en-US" w:eastAsia="zh-CN" w:bidi="ar-SA"/>
              </w:rPr>
              <w:t>⑵计价依据中的定额有相同项按定额执行，没有相同项目有类似项目的按类似项执行，没有类似项目的按市场价执行。其中附加税费费率按营住建发【2019】465号规定执行，若施工期间颁布最新附加税费费率相关文件，按最新文件规定执行。临时设施费根据辽建发[2004] 21号，建筑工程临时设施费为直接工程费的1.2%计算，若施工期间颁布最新费率相关文件，按最新文件规定执行。</w:t>
            </w:r>
          </w:p>
          <w:p w14:paraId="3B4ACCDC">
            <w:pPr>
              <w:pStyle w:val="49"/>
              <w:adjustRightInd w:val="0"/>
              <w:rPr>
                <w:rFonts w:hint="eastAsia" w:ascii="Arial" w:hAnsi="宋体" w:eastAsia="宋体" w:cs="Arial"/>
                <w:b w:val="0"/>
                <w:bCs w:val="0"/>
                <w:color w:val="auto"/>
                <w:kern w:val="2"/>
                <w:sz w:val="21"/>
                <w:szCs w:val="21"/>
                <w:highlight w:val="none"/>
                <w:lang w:val="en-US" w:eastAsia="zh-CN" w:bidi="ar-SA"/>
              </w:rPr>
            </w:pPr>
            <w:r>
              <w:rPr>
                <w:rFonts w:hint="eastAsia" w:ascii="Arial" w:hAnsi="宋体" w:eastAsia="宋体" w:cs="Arial"/>
                <w:b w:val="0"/>
                <w:bCs w:val="0"/>
                <w:color w:val="auto"/>
                <w:kern w:val="2"/>
                <w:sz w:val="21"/>
                <w:szCs w:val="21"/>
                <w:highlight w:val="none"/>
                <w:lang w:val="en-US" w:eastAsia="zh-CN" w:bidi="ar-SA"/>
              </w:rPr>
              <w:t>⑶中标人须在全部主要材料及全部设备进场前应至少提前28天的时间向发包人提交书面申请，申请材料应包括：主要材料及设备名称、数量、单价和总价、参数型号、品牌、系列等具体信息。</w:t>
            </w:r>
          </w:p>
          <w:p w14:paraId="1538A660">
            <w:pPr>
              <w:pStyle w:val="49"/>
              <w:adjustRightInd w:val="0"/>
              <w:rPr>
                <w:rFonts w:hint="eastAsia" w:ascii="Arial" w:hAnsi="宋体" w:eastAsia="宋体" w:cs="Arial"/>
                <w:b w:val="0"/>
                <w:bCs w:val="0"/>
                <w:color w:val="auto"/>
                <w:kern w:val="2"/>
                <w:sz w:val="21"/>
                <w:szCs w:val="21"/>
                <w:highlight w:val="none"/>
                <w:lang w:val="en-US" w:eastAsia="zh-CN" w:bidi="ar-SA"/>
              </w:rPr>
            </w:pPr>
            <w:r>
              <w:rPr>
                <w:rFonts w:hint="eastAsia" w:ascii="Arial" w:hAnsi="宋体" w:eastAsia="宋体" w:cs="Arial"/>
                <w:b w:val="0"/>
                <w:bCs w:val="0"/>
                <w:color w:val="auto"/>
                <w:kern w:val="2"/>
                <w:sz w:val="21"/>
                <w:szCs w:val="21"/>
                <w:highlight w:val="none"/>
                <w:lang w:val="en-US" w:eastAsia="zh-CN" w:bidi="ar-SA"/>
              </w:rPr>
              <w:t>⑷主要材料及设备价格及人工费依据：编制施工图预算当期辽宁省建设工程造价管理总站发布的营口地区信息价（以下简称网刊价格），主要材料及设备价格因品牌、厂家、品种不同变动较大的主要材料，由发包人、中标人共同确认价格，且该价格经发包人确认后，中标人方可将确认后的相关材料及设备用于本项目施工。信息网上未体现价格的主要材料及设备，须由发包人、中标人共同确认价格，且该价格经发包人确认后，中标人方可将确认后的相关材料及设备用于本项目施工。针对发包人、中标人双方未能达成一致价格的材料及设备，且经发包人委托的第三方造价咨询机构确认的价格中标人未能予以认同的，则发包人有权指定材料的品牌、档次和供应商，中标人应照此采购。人工费指数按照编制施工图预算当期辽宁省住房和城乡建设厅发布的人工费指数计取。</w:t>
            </w:r>
          </w:p>
          <w:p w14:paraId="5C915900">
            <w:pPr>
              <w:pStyle w:val="49"/>
              <w:adjustRightInd w:val="0"/>
              <w:rPr>
                <w:rFonts w:hint="eastAsia" w:ascii="Arial" w:hAnsi="宋体" w:eastAsia="宋体" w:cs="Arial"/>
                <w:b w:val="0"/>
                <w:bCs w:val="0"/>
                <w:color w:val="auto"/>
                <w:kern w:val="2"/>
                <w:sz w:val="21"/>
                <w:szCs w:val="21"/>
                <w:highlight w:val="none"/>
                <w:lang w:val="en-US" w:eastAsia="zh-CN" w:bidi="ar-SA"/>
              </w:rPr>
            </w:pPr>
            <w:r>
              <w:rPr>
                <w:rFonts w:hint="eastAsia" w:ascii="Arial" w:hAnsi="宋体" w:eastAsia="宋体" w:cs="Arial"/>
                <w:b w:val="0"/>
                <w:bCs w:val="0"/>
                <w:color w:val="auto"/>
                <w:kern w:val="2"/>
                <w:sz w:val="21"/>
                <w:szCs w:val="21"/>
                <w:highlight w:val="none"/>
                <w:lang w:val="en-US" w:eastAsia="zh-CN" w:bidi="ar-SA"/>
              </w:rPr>
              <w:t>⑸管理费、利润以及可以按系数计取的措施费按</w:t>
            </w:r>
            <w:r>
              <w:rPr>
                <w:rFonts w:hint="eastAsia" w:ascii="Arial" w:hAnsi="宋体" w:cs="Arial"/>
                <w:b w:val="0"/>
                <w:bCs w:val="0"/>
                <w:color w:val="auto"/>
                <w:kern w:val="2"/>
                <w:sz w:val="21"/>
                <w:szCs w:val="21"/>
                <w:highlight w:val="none"/>
                <w:lang w:val="en-US" w:eastAsia="zh-CN" w:bidi="ar-SA"/>
              </w:rPr>
              <w:t>2024辽宁省</w:t>
            </w:r>
            <w:r>
              <w:rPr>
                <w:rFonts w:hint="eastAsia" w:ascii="Arial" w:hAnsi="宋体" w:eastAsia="宋体" w:cs="Arial"/>
                <w:b w:val="0"/>
                <w:bCs w:val="0"/>
                <w:color w:val="auto"/>
                <w:kern w:val="2"/>
                <w:sz w:val="21"/>
                <w:szCs w:val="21"/>
                <w:highlight w:val="none"/>
                <w:lang w:val="en-US" w:eastAsia="zh-CN" w:bidi="ar-SA"/>
              </w:rPr>
              <w:t>建设工程费用标准中的费率执行。</w:t>
            </w:r>
          </w:p>
          <w:p w14:paraId="3779CD4D">
            <w:pPr>
              <w:pStyle w:val="49"/>
              <w:adjustRightInd w:val="0"/>
              <w:rPr>
                <w:rFonts w:hint="eastAsia" w:ascii="Arial" w:hAnsi="宋体" w:eastAsia="宋体" w:cs="Arial"/>
                <w:b w:val="0"/>
                <w:bCs w:val="0"/>
                <w:color w:val="auto"/>
                <w:kern w:val="2"/>
                <w:sz w:val="21"/>
                <w:szCs w:val="21"/>
                <w:highlight w:val="none"/>
                <w:lang w:val="en-US" w:eastAsia="zh-CN" w:bidi="ar-SA"/>
              </w:rPr>
            </w:pPr>
            <w:r>
              <w:rPr>
                <w:rFonts w:hint="eastAsia" w:ascii="Arial" w:hAnsi="宋体" w:eastAsia="宋体" w:cs="Arial"/>
                <w:b w:val="0"/>
                <w:bCs w:val="0"/>
                <w:color w:val="auto"/>
                <w:kern w:val="2"/>
                <w:sz w:val="21"/>
                <w:szCs w:val="21"/>
                <w:highlight w:val="none"/>
                <w:lang w:val="en-US" w:eastAsia="zh-CN" w:bidi="ar-SA"/>
              </w:rPr>
              <w:t>⑹不能按系数计取的措施费、夜间施工增加费、已完工程及设备保护费、二次搬运费、以及其他不能按系数计取的措施费等，在招标工作结束、计算实际签约合同价时按经监理人、发包人审定同意的施工组织设计、施工方案和签证计算，在竣工结算阶段按实际发生计算。</w:t>
            </w:r>
          </w:p>
          <w:p w14:paraId="1CBCC2B9">
            <w:pPr>
              <w:pStyle w:val="49"/>
              <w:adjustRightInd w:val="0"/>
              <w:rPr>
                <w:rFonts w:hint="eastAsia" w:ascii="Arial" w:hAnsi="宋体" w:eastAsia="宋体" w:cs="Arial"/>
                <w:b w:val="0"/>
                <w:bCs w:val="0"/>
                <w:color w:val="auto"/>
                <w:kern w:val="2"/>
                <w:sz w:val="21"/>
                <w:szCs w:val="21"/>
                <w:highlight w:val="none"/>
                <w:lang w:val="en-US" w:eastAsia="zh-CN" w:bidi="ar-SA"/>
              </w:rPr>
            </w:pPr>
            <w:r>
              <w:rPr>
                <w:rFonts w:hint="eastAsia" w:ascii="Arial" w:hAnsi="宋体" w:eastAsia="宋体" w:cs="Arial"/>
                <w:b w:val="0"/>
                <w:bCs w:val="0"/>
                <w:color w:val="auto"/>
                <w:kern w:val="2"/>
                <w:sz w:val="21"/>
                <w:szCs w:val="21"/>
                <w:highlight w:val="none"/>
                <w:lang w:val="en-US" w:eastAsia="zh-CN" w:bidi="ar-SA"/>
              </w:rPr>
              <w:t>⑺检验试验费：对建筑以及材料、构件和建筑安装物进行一般鉴定、检查，以及新结构、新材料的试验费，对构件破坏性试验及其他特殊要求检验试验的，由发包人另行委托具备资质的第三方进行检测，费用由发包人承担。中标人需承担试验所耗用的材料费用，但对中标人提供的具有合格证明的材料进行检测不合格的，该检测费用由中标人支付。（执行相关法律法规和配套定额）</w:t>
            </w:r>
          </w:p>
          <w:p w14:paraId="5CBE93EE">
            <w:pPr>
              <w:pStyle w:val="49"/>
              <w:adjustRightInd w:val="0"/>
              <w:rPr>
                <w:rFonts w:hint="eastAsia" w:ascii="Arial" w:hAnsi="宋体" w:eastAsia="宋体" w:cs="Arial"/>
                <w:b w:val="0"/>
                <w:bCs w:val="0"/>
                <w:color w:val="auto"/>
                <w:kern w:val="2"/>
                <w:sz w:val="21"/>
                <w:szCs w:val="21"/>
                <w:highlight w:val="none"/>
                <w:lang w:val="en-US" w:eastAsia="zh-CN" w:bidi="ar-SA"/>
              </w:rPr>
            </w:pPr>
            <w:r>
              <w:rPr>
                <w:rFonts w:hint="eastAsia" w:ascii="Arial" w:hAnsi="宋体" w:eastAsia="宋体" w:cs="Arial"/>
                <w:b w:val="0"/>
                <w:bCs w:val="0"/>
                <w:color w:val="auto"/>
                <w:kern w:val="2"/>
                <w:sz w:val="21"/>
                <w:szCs w:val="21"/>
                <w:highlight w:val="none"/>
                <w:lang w:val="en-US" w:eastAsia="zh-CN" w:bidi="ar-SA"/>
              </w:rPr>
              <w:t>⑻施工临时用电由承包人负责解决，费用由承包人自理；施工用水由中标人自行解决，包括办理用水的手续及其工程费等全部费用均由中标人负责。施工期间用水、用电设施的维护、水电费的缴纳均由中标人承担。且中标人有义务为各分包工程的施工单位提供施工用水、用电的接驳点，所有分包单位用水、用电费用自行与中标人结算。</w:t>
            </w:r>
          </w:p>
          <w:p w14:paraId="42367D5A">
            <w:pPr>
              <w:pStyle w:val="49"/>
              <w:adjustRightInd w:val="0"/>
              <w:rPr>
                <w:rFonts w:hint="eastAsia" w:ascii="Arial" w:hAnsi="宋体" w:eastAsia="宋体" w:cs="Arial"/>
                <w:b w:val="0"/>
                <w:bCs w:val="0"/>
                <w:color w:val="auto"/>
                <w:kern w:val="2"/>
                <w:sz w:val="21"/>
                <w:szCs w:val="21"/>
                <w:highlight w:val="none"/>
                <w:lang w:val="en-US" w:eastAsia="zh-CN" w:bidi="ar-SA"/>
              </w:rPr>
            </w:pPr>
            <w:r>
              <w:rPr>
                <w:rFonts w:hint="eastAsia" w:ascii="Arial" w:hAnsi="宋体" w:eastAsia="宋体" w:cs="Arial"/>
                <w:b w:val="0"/>
                <w:bCs w:val="0"/>
                <w:color w:val="auto"/>
                <w:kern w:val="2"/>
                <w:sz w:val="21"/>
                <w:szCs w:val="21"/>
                <w:highlight w:val="none"/>
                <w:lang w:val="en-US" w:eastAsia="zh-CN" w:bidi="ar-SA"/>
              </w:rPr>
              <w:t>⑼施工现场出现赶工、窝工以及特殊天气等特殊情况造成的人工和机械降效，不额外给予费用补偿，但施工工期经发包人、监理人确认后顺延。</w:t>
            </w:r>
          </w:p>
          <w:p w14:paraId="7E1F7BA8">
            <w:pPr>
              <w:pStyle w:val="49"/>
              <w:adjustRightInd w:val="0"/>
              <w:rPr>
                <w:rFonts w:hint="eastAsia" w:ascii="Arial" w:hAnsi="宋体" w:eastAsia="宋体" w:cs="Arial"/>
                <w:b w:val="0"/>
                <w:bCs w:val="0"/>
                <w:color w:val="auto"/>
                <w:kern w:val="2"/>
                <w:sz w:val="21"/>
                <w:szCs w:val="21"/>
                <w:highlight w:val="none"/>
                <w:lang w:val="en-US" w:eastAsia="zh-CN" w:bidi="ar-SA"/>
              </w:rPr>
            </w:pPr>
            <w:r>
              <w:rPr>
                <w:rFonts w:hint="eastAsia" w:ascii="Arial" w:hAnsi="宋体" w:eastAsia="宋体" w:cs="Arial"/>
                <w:b w:val="0"/>
                <w:bCs w:val="0"/>
                <w:color w:val="auto"/>
                <w:kern w:val="2"/>
                <w:sz w:val="21"/>
                <w:szCs w:val="21"/>
                <w:highlight w:val="none"/>
                <w:lang w:val="en-US" w:eastAsia="zh-CN" w:bidi="ar-SA"/>
              </w:rPr>
              <w:t>⑽投标人应对深基坑等危大工程进行专家论证，并充分考虑危大工程专家论证费，发包人不再另行计取及支付。</w:t>
            </w:r>
          </w:p>
          <w:p w14:paraId="15224196">
            <w:pPr>
              <w:pStyle w:val="49"/>
              <w:adjustRightInd w:val="0"/>
              <w:rPr>
                <w:rFonts w:hint="eastAsia" w:ascii="Arial" w:hAnsi="宋体" w:eastAsia="宋体" w:cs="Arial"/>
                <w:b w:val="0"/>
                <w:bCs w:val="0"/>
                <w:color w:val="auto"/>
                <w:kern w:val="2"/>
                <w:sz w:val="21"/>
                <w:szCs w:val="21"/>
                <w:highlight w:val="none"/>
                <w:lang w:val="en-US" w:eastAsia="zh-CN" w:bidi="ar-SA"/>
              </w:rPr>
            </w:pPr>
            <w:r>
              <w:rPr>
                <w:rFonts w:hint="eastAsia" w:ascii="Arial" w:hAnsi="宋体" w:eastAsia="宋体" w:cs="Arial"/>
                <w:b w:val="0"/>
                <w:bCs w:val="0"/>
                <w:color w:val="auto"/>
                <w:kern w:val="2"/>
                <w:sz w:val="21"/>
                <w:szCs w:val="21"/>
                <w:highlight w:val="none"/>
                <w:lang w:val="en-US" w:eastAsia="zh-CN" w:bidi="ar-SA"/>
              </w:rPr>
              <w:t>3.投标人依据招标文件自行考虑风险因素进行投标报价，一旦中标，</w:t>
            </w:r>
            <w:r>
              <w:rPr>
                <w:rFonts w:hint="eastAsia" w:ascii="Arial" w:hAnsi="宋体" w:cs="Arial"/>
                <w:b w:val="0"/>
                <w:bCs w:val="0"/>
                <w:color w:val="auto"/>
                <w:kern w:val="2"/>
                <w:sz w:val="21"/>
                <w:szCs w:val="21"/>
                <w:highlight w:val="none"/>
                <w:lang w:val="en-US" w:eastAsia="zh-CN" w:bidi="ar-SA"/>
              </w:rPr>
              <w:t>设计费</w:t>
            </w:r>
            <w:r>
              <w:rPr>
                <w:rFonts w:hint="eastAsia" w:ascii="Arial" w:hAnsi="宋体" w:eastAsia="宋体" w:cs="Arial"/>
                <w:b w:val="0"/>
                <w:bCs w:val="0"/>
                <w:color w:val="auto"/>
                <w:kern w:val="2"/>
                <w:sz w:val="21"/>
                <w:szCs w:val="21"/>
                <w:highlight w:val="none"/>
                <w:lang w:val="en-US" w:eastAsia="zh-CN" w:bidi="ar-SA"/>
              </w:rPr>
              <w:t>下浮率</w:t>
            </w:r>
            <w:r>
              <w:rPr>
                <w:rFonts w:hint="eastAsia" w:ascii="Arial" w:hAnsi="宋体" w:cs="Arial"/>
                <w:b w:val="0"/>
                <w:bCs w:val="0"/>
                <w:color w:val="auto"/>
                <w:kern w:val="2"/>
                <w:sz w:val="21"/>
                <w:szCs w:val="21"/>
                <w:highlight w:val="none"/>
                <w:lang w:val="en-US" w:eastAsia="zh-CN" w:bidi="ar-SA"/>
              </w:rPr>
              <w:t>及建筑安装工程费下浮率</w:t>
            </w:r>
            <w:r>
              <w:rPr>
                <w:rFonts w:hint="eastAsia" w:ascii="Arial" w:hAnsi="宋体" w:eastAsia="宋体" w:cs="Arial"/>
                <w:b w:val="0"/>
                <w:bCs w:val="0"/>
                <w:color w:val="auto"/>
                <w:kern w:val="2"/>
                <w:sz w:val="21"/>
                <w:szCs w:val="21"/>
                <w:highlight w:val="none"/>
                <w:lang w:val="en-US" w:eastAsia="zh-CN" w:bidi="ar-SA"/>
              </w:rPr>
              <w:t>将不会因市场变化因素而得到调整。</w:t>
            </w:r>
          </w:p>
          <w:p w14:paraId="5D2E850F">
            <w:pPr>
              <w:spacing w:line="320" w:lineRule="exact"/>
              <w:jc w:val="both"/>
              <w:rPr>
                <w:rFonts w:hint="eastAsia"/>
                <w:b/>
                <w:bCs/>
                <w:color w:val="auto"/>
                <w:highlight w:val="none"/>
                <w:u w:val="none"/>
                <w:lang w:val="en-US" w:eastAsia="zh-CN"/>
              </w:rPr>
            </w:pPr>
            <w:r>
              <w:rPr>
                <w:rFonts w:hint="eastAsia"/>
                <w:b/>
                <w:bCs/>
                <w:color w:val="auto"/>
                <w:highlight w:val="none"/>
                <w:u w:val="none"/>
                <w:lang w:val="en-US" w:eastAsia="zh-CN"/>
              </w:rPr>
              <w:t>三、暂列金额报价要求</w:t>
            </w:r>
          </w:p>
          <w:p w14:paraId="1550F0D9">
            <w:pPr>
              <w:spacing w:line="320" w:lineRule="exact"/>
              <w:jc w:val="both"/>
              <w:rPr>
                <w:rFonts w:hint="default"/>
                <w:color w:val="auto"/>
                <w:highlight w:val="none"/>
                <w:lang w:val="en-US" w:eastAsia="zh-CN"/>
              </w:rPr>
            </w:pPr>
            <w:r>
              <w:rPr>
                <w:rFonts w:hint="eastAsia"/>
                <w:color w:val="auto"/>
                <w:highlight w:val="none"/>
                <w:u w:val="none"/>
                <w:lang w:val="en-US" w:eastAsia="zh-CN"/>
              </w:rPr>
              <w:t>本项目暂列金额为人民币</w:t>
            </w:r>
            <w:r>
              <w:rPr>
                <w:rFonts w:hint="eastAsia"/>
                <w:color w:val="auto"/>
                <w:highlight w:val="none"/>
                <w:lang w:val="en-US" w:eastAsia="zh-CN"/>
              </w:rPr>
              <w:t>23580000.00</w:t>
            </w:r>
            <w:r>
              <w:rPr>
                <w:rFonts w:hint="eastAsia"/>
                <w:color w:val="auto"/>
                <w:highlight w:val="none"/>
                <w:u w:val="none"/>
                <w:lang w:val="en-US" w:eastAsia="zh-CN"/>
              </w:rPr>
              <w:t>元，投标人必须按招标人设定的暂定金额填报到投标报价中，否则按废标处理。</w:t>
            </w:r>
          </w:p>
        </w:tc>
      </w:tr>
      <w:tr w14:paraId="2335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2E6CBE5D">
            <w:pPr>
              <w:spacing w:line="320" w:lineRule="exact"/>
              <w:jc w:val="center"/>
              <w:rPr>
                <w:color w:val="auto"/>
                <w:highlight w:val="none"/>
              </w:rPr>
            </w:pPr>
            <w:r>
              <w:rPr>
                <w:rFonts w:hint="eastAsia"/>
                <w:color w:val="auto"/>
                <w:highlight w:val="none"/>
              </w:rPr>
              <w:t>3.3.1</w:t>
            </w:r>
          </w:p>
        </w:tc>
        <w:tc>
          <w:tcPr>
            <w:tcW w:w="2334" w:type="dxa"/>
            <w:vAlign w:val="center"/>
          </w:tcPr>
          <w:p w14:paraId="084C989C">
            <w:pPr>
              <w:spacing w:line="320" w:lineRule="exact"/>
              <w:jc w:val="center"/>
              <w:rPr>
                <w:color w:val="auto"/>
                <w:highlight w:val="none"/>
              </w:rPr>
            </w:pPr>
            <w:r>
              <w:rPr>
                <w:rFonts w:hint="eastAsia"/>
                <w:color w:val="auto"/>
                <w:highlight w:val="none"/>
              </w:rPr>
              <w:t>投标有效期</w:t>
            </w:r>
          </w:p>
        </w:tc>
        <w:tc>
          <w:tcPr>
            <w:tcW w:w="5436" w:type="dxa"/>
            <w:vAlign w:val="center"/>
          </w:tcPr>
          <w:p w14:paraId="7458EE2E">
            <w:pPr>
              <w:spacing w:line="320" w:lineRule="exact"/>
              <w:jc w:val="left"/>
              <w:rPr>
                <w:color w:val="auto"/>
                <w:highlight w:val="none"/>
              </w:rPr>
            </w:pPr>
            <w:r>
              <w:rPr>
                <w:rFonts w:hint="eastAsia"/>
                <w:color w:val="auto"/>
                <w:highlight w:val="none"/>
              </w:rPr>
              <w:t>自投标截止</w:t>
            </w:r>
            <w:r>
              <w:rPr>
                <w:rFonts w:hint="eastAsia"/>
                <w:color w:val="auto"/>
                <w:szCs w:val="21"/>
                <w:highlight w:val="none"/>
              </w:rPr>
              <w:t>之日</w:t>
            </w:r>
            <w:r>
              <w:rPr>
                <w:rFonts w:hint="eastAsia"/>
                <w:color w:val="auto"/>
                <w:highlight w:val="none"/>
              </w:rPr>
              <w:t>起</w:t>
            </w:r>
            <w:r>
              <w:rPr>
                <w:rFonts w:hint="eastAsia"/>
                <w:color w:val="auto"/>
                <w:highlight w:val="none"/>
                <w:u w:val="single"/>
              </w:rPr>
              <w:t>90</w:t>
            </w:r>
            <w:r>
              <w:rPr>
                <w:rFonts w:hint="eastAsia"/>
                <w:color w:val="auto"/>
                <w:highlight w:val="none"/>
              </w:rPr>
              <w:t>日内有效</w:t>
            </w:r>
          </w:p>
        </w:tc>
      </w:tr>
      <w:tr w14:paraId="20F3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857" w:type="dxa"/>
            <w:vAlign w:val="center"/>
          </w:tcPr>
          <w:p w14:paraId="6FB06C49">
            <w:pPr>
              <w:spacing w:line="320" w:lineRule="exact"/>
              <w:jc w:val="center"/>
              <w:rPr>
                <w:color w:val="auto"/>
                <w:highlight w:val="none"/>
              </w:rPr>
            </w:pPr>
            <w:r>
              <w:rPr>
                <w:rFonts w:hint="eastAsia"/>
                <w:color w:val="auto"/>
                <w:highlight w:val="none"/>
              </w:rPr>
              <w:t>3.4.1</w:t>
            </w:r>
          </w:p>
        </w:tc>
        <w:tc>
          <w:tcPr>
            <w:tcW w:w="2334" w:type="dxa"/>
            <w:vAlign w:val="center"/>
          </w:tcPr>
          <w:p w14:paraId="3F8E2366">
            <w:pPr>
              <w:spacing w:line="320" w:lineRule="exact"/>
              <w:jc w:val="center"/>
              <w:rPr>
                <w:color w:val="auto"/>
                <w:highlight w:val="none"/>
              </w:rPr>
            </w:pPr>
            <w:r>
              <w:rPr>
                <w:rFonts w:hint="eastAsia"/>
                <w:color w:val="auto"/>
                <w:highlight w:val="none"/>
              </w:rPr>
              <w:t>投标保证金</w:t>
            </w:r>
          </w:p>
        </w:tc>
        <w:tc>
          <w:tcPr>
            <w:tcW w:w="5436" w:type="dxa"/>
            <w:vAlign w:val="center"/>
          </w:tcPr>
          <w:p w14:paraId="6E2F432F">
            <w:pPr>
              <w:spacing w:line="320" w:lineRule="exact"/>
              <w:jc w:val="left"/>
              <w:rPr>
                <w:color w:val="auto"/>
                <w:szCs w:val="21"/>
                <w:highlight w:val="none"/>
              </w:rPr>
            </w:pPr>
            <w:r>
              <w:rPr>
                <w:rFonts w:hint="eastAsia"/>
                <w:color w:val="auto"/>
                <w:szCs w:val="21"/>
                <w:highlight w:val="none"/>
              </w:rPr>
              <w:t>□不提交</w:t>
            </w:r>
          </w:p>
          <w:p w14:paraId="2E812D66">
            <w:pPr>
              <w:adjustRightInd w:val="0"/>
              <w:snapToGrid w:val="0"/>
              <w:spacing w:line="320" w:lineRule="exact"/>
              <w:jc w:val="left"/>
              <w:rPr>
                <w:color w:val="auto"/>
                <w:szCs w:val="21"/>
                <w:highlight w:val="none"/>
              </w:rPr>
            </w:pPr>
            <w:r>
              <w:rPr>
                <w:rFonts w:hint="eastAsia"/>
                <w:color w:val="auto"/>
                <w:szCs w:val="21"/>
                <w:highlight w:val="none"/>
              </w:rPr>
              <w:t>☑提交</w:t>
            </w:r>
          </w:p>
          <w:p w14:paraId="4100C4BD">
            <w:pPr>
              <w:widowControl/>
              <w:spacing w:line="320" w:lineRule="exact"/>
              <w:jc w:val="left"/>
              <w:rPr>
                <w:rFonts w:hint="eastAsia" w:ascii="宋体" w:hAnsi="宋体" w:cs="宋体"/>
                <w:b/>
                <w:color w:val="auto"/>
                <w:kern w:val="0"/>
                <w:szCs w:val="21"/>
                <w:highlight w:val="none"/>
              </w:rPr>
            </w:pPr>
            <w:r>
              <w:rPr>
                <w:rFonts w:ascii="宋体" w:hAnsi="宋体" w:cs="宋体"/>
                <w:color w:val="auto"/>
                <w:kern w:val="0"/>
                <w:szCs w:val="21"/>
                <w:highlight w:val="none"/>
              </w:rPr>
              <w:t>1.递交截止时间（到账时间）：</w:t>
            </w:r>
            <w:r>
              <w:rPr>
                <w:rFonts w:ascii="宋体" w:hAnsi="宋体" w:cs="宋体"/>
                <w:b/>
                <w:color w:val="auto"/>
                <w:kern w:val="0"/>
                <w:szCs w:val="21"/>
                <w:highlight w:val="none"/>
              </w:rPr>
              <w:t>同</w:t>
            </w:r>
            <w:r>
              <w:rPr>
                <w:rFonts w:hint="eastAsia" w:ascii="宋体" w:hAnsi="宋体" w:cs="宋体"/>
                <w:b/>
                <w:color w:val="auto"/>
                <w:kern w:val="0"/>
                <w:szCs w:val="21"/>
                <w:highlight w:val="none"/>
              </w:rPr>
              <w:t>本标段</w:t>
            </w:r>
            <w:r>
              <w:rPr>
                <w:rFonts w:ascii="宋体" w:hAnsi="宋体" w:cs="宋体"/>
                <w:b/>
                <w:color w:val="auto"/>
                <w:kern w:val="0"/>
                <w:szCs w:val="21"/>
                <w:highlight w:val="none"/>
              </w:rPr>
              <w:t>投标截止时间</w:t>
            </w:r>
          </w:p>
          <w:p w14:paraId="0C047BD8">
            <w:pPr>
              <w:widowControl/>
              <w:spacing w:line="320" w:lineRule="exact"/>
              <w:jc w:val="left"/>
              <w:rPr>
                <w:rFonts w:hint="eastAsia" w:ascii="宋体" w:hAnsi="宋体" w:cs="宋体"/>
                <w:color w:val="auto"/>
                <w:kern w:val="0"/>
                <w:szCs w:val="21"/>
                <w:highlight w:val="none"/>
              </w:rPr>
            </w:pPr>
            <w:r>
              <w:rPr>
                <w:rFonts w:ascii="宋体" w:hAnsi="宋体" w:cs="宋体"/>
                <w:color w:val="auto"/>
                <w:kern w:val="0"/>
                <w:szCs w:val="21"/>
                <w:highlight w:val="none"/>
              </w:rPr>
              <w:t>2.金额：</w:t>
            </w:r>
            <w:r>
              <w:rPr>
                <w:rFonts w:hint="eastAsia" w:ascii="宋体" w:hAnsi="宋体" w:cs="宋体"/>
                <w:color w:val="auto"/>
                <w:kern w:val="0"/>
                <w:szCs w:val="21"/>
                <w:highlight w:val="none"/>
                <w:u w:val="single"/>
                <w:lang w:val="en-US" w:eastAsia="zh-CN"/>
              </w:rPr>
              <w:t>50</w:t>
            </w:r>
            <w:r>
              <w:rPr>
                <w:rFonts w:hint="eastAsia" w:ascii="宋体" w:hAnsi="宋体" w:cs="宋体"/>
                <w:color w:val="auto"/>
                <w:kern w:val="0"/>
                <w:szCs w:val="21"/>
                <w:highlight w:val="none"/>
              </w:rPr>
              <w:t>万元。</w:t>
            </w:r>
          </w:p>
          <w:p w14:paraId="6CCA057B">
            <w:pPr>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形式</w:t>
            </w:r>
            <w:r>
              <w:rPr>
                <w:rFonts w:hint="eastAsia" w:ascii="宋体" w:hAnsi="宋体" w:cs="宋体"/>
                <w:color w:val="auto"/>
                <w:kern w:val="0"/>
                <w:szCs w:val="21"/>
                <w:highlight w:val="none"/>
              </w:rPr>
              <w:t>：</w:t>
            </w:r>
            <w:r>
              <w:rPr>
                <w:rFonts w:hint="eastAsia"/>
                <w:color w:val="auto"/>
                <w:highlight w:val="none"/>
              </w:rPr>
              <w:t>☑现金（指电汇、支票）  ☑保函（保险）  □其他形式</w:t>
            </w:r>
          </w:p>
          <w:p w14:paraId="45BB38C9">
            <w:pPr>
              <w:widowControl/>
              <w:spacing w:line="320" w:lineRule="exact"/>
              <w:jc w:val="left"/>
              <w:rPr>
                <w:color w:val="auto"/>
                <w:highlight w:val="none"/>
              </w:rPr>
            </w:pPr>
            <w:r>
              <w:rPr>
                <w:rFonts w:hint="eastAsia" w:ascii="宋体" w:hAnsi="宋体" w:cs="宋体"/>
                <w:color w:val="auto"/>
                <w:kern w:val="0"/>
                <w:szCs w:val="21"/>
                <w:highlight w:val="none"/>
              </w:rPr>
              <w:t>4.递交方</w:t>
            </w:r>
            <w:r>
              <w:rPr>
                <w:rFonts w:hint="eastAsia"/>
                <w:color w:val="auto"/>
                <w:highlight w:val="none"/>
              </w:rPr>
              <w:t>式：</w:t>
            </w:r>
          </w:p>
          <w:p w14:paraId="699E842D">
            <w:pPr>
              <w:widowControl/>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.1</w:t>
            </w:r>
            <w:r>
              <w:rPr>
                <w:rFonts w:hint="eastAsia" w:ascii="宋体" w:hAnsi="宋体" w:cs="宋体"/>
                <w:color w:val="auto"/>
                <w:kern w:val="0"/>
                <w:szCs w:val="21"/>
                <w:highlight w:val="none"/>
              </w:rPr>
              <w:t>现金</w:t>
            </w:r>
          </w:p>
          <w:p w14:paraId="026A4B87">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（1）收款信息</w:t>
            </w:r>
          </w:p>
          <w:p w14:paraId="614EA93F">
            <w:pPr>
              <w:widowControl/>
              <w:spacing w:line="320" w:lineRule="exact"/>
              <w:ind w:firstLine="420" w:firstLineChars="200"/>
              <w:jc w:val="lef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收款单位：</w:t>
            </w:r>
            <w:r>
              <w:rPr>
                <w:rFonts w:hint="eastAsia" w:ascii="宋体" w:hAnsi="宋体" w:cs="宋体"/>
                <w:color w:val="auto"/>
                <w:kern w:val="0"/>
                <w:szCs w:val="21"/>
                <w:highlight w:val="none"/>
                <w:u w:val="single"/>
                <w:lang w:eastAsia="zh-CN"/>
              </w:rPr>
              <w:t>辽宁咨发工程招标咨询服务有限公司</w:t>
            </w:r>
          </w:p>
          <w:p w14:paraId="429495AA">
            <w:pPr>
              <w:widowControl/>
              <w:spacing w:line="320" w:lineRule="exact"/>
              <w:ind w:firstLine="420" w:firstLineChars="200"/>
              <w:jc w:val="left"/>
              <w:rPr>
                <w:rFonts w:hint="eastAsia" w:ascii="宋体" w:hAnsi="宋体" w:cs="宋体"/>
                <w:color w:val="auto"/>
                <w:kern w:val="0"/>
                <w:szCs w:val="21"/>
                <w:highlight w:val="none"/>
                <w:u w:val="single"/>
                <w:lang w:eastAsia="zh-CN"/>
              </w:rPr>
            </w:pPr>
            <w:r>
              <w:rPr>
                <w:rFonts w:hint="eastAsia" w:ascii="宋体" w:hAnsi="宋体" w:cs="宋体"/>
                <w:color w:val="auto"/>
                <w:kern w:val="0"/>
                <w:szCs w:val="21"/>
                <w:highlight w:val="none"/>
              </w:rPr>
              <w:t>开户银行：</w:t>
            </w:r>
            <w:r>
              <w:rPr>
                <w:rFonts w:hint="eastAsia" w:ascii="宋体" w:hAnsi="宋体" w:cs="宋体"/>
                <w:color w:val="auto"/>
                <w:kern w:val="0"/>
                <w:szCs w:val="21"/>
                <w:highlight w:val="none"/>
                <w:u w:val="single"/>
                <w:lang w:eastAsia="zh-CN"/>
              </w:rPr>
              <w:t>招商银行沈阳北市支行</w:t>
            </w:r>
          </w:p>
          <w:p w14:paraId="591662D1">
            <w:pPr>
              <w:widowControl/>
              <w:spacing w:line="320" w:lineRule="exact"/>
              <w:ind w:firstLine="420" w:firstLineChars="200"/>
              <w:jc w:val="lef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账户账号：</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single"/>
                <w:lang w:eastAsia="zh-CN"/>
              </w:rPr>
              <w:t>1249125397100010000008888</w:t>
            </w:r>
            <w:r>
              <w:rPr>
                <w:rFonts w:hint="eastAsia" w:ascii="宋体" w:hAnsi="宋体" w:cs="宋体"/>
                <w:color w:val="auto"/>
                <w:kern w:val="0"/>
                <w:szCs w:val="21"/>
                <w:highlight w:val="none"/>
                <w:u w:val="single"/>
                <w:lang w:val="en-US" w:eastAsia="zh-CN"/>
              </w:rPr>
              <w:t xml:space="preserve"> </w:t>
            </w:r>
          </w:p>
          <w:p w14:paraId="58297485">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2</w:t>
            </w:r>
            <w:r>
              <w:rPr>
                <w:rFonts w:hint="eastAsia" w:ascii="宋体" w:hAnsi="宋体" w:cs="宋体"/>
                <w:color w:val="auto"/>
                <w:kern w:val="0"/>
                <w:szCs w:val="21"/>
                <w:highlight w:val="none"/>
              </w:rPr>
              <w:t>）收款说明</w:t>
            </w:r>
          </w:p>
          <w:p w14:paraId="28B886D6">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投标人应在投标截止时间前通过企业基本账户递交至</w:t>
            </w:r>
            <w:r>
              <w:rPr>
                <w:rFonts w:ascii="宋体" w:hAnsi="宋体" w:cs="宋体"/>
                <w:color w:val="auto"/>
                <w:kern w:val="0"/>
                <w:szCs w:val="21"/>
                <w:highlight w:val="none"/>
              </w:rPr>
              <w:t>4.1</w:t>
            </w:r>
            <w:r>
              <w:rPr>
                <w:rFonts w:hint="eastAsia" w:ascii="宋体" w:hAnsi="宋体" w:cs="宋体"/>
                <w:color w:val="auto"/>
                <w:kern w:val="0"/>
                <w:szCs w:val="21"/>
                <w:highlight w:val="none"/>
              </w:rPr>
              <w:t>（1）规定的账户，否则视为无效投标保证金。</w:t>
            </w:r>
          </w:p>
          <w:p w14:paraId="2BF53257">
            <w:pPr>
              <w:widowControl/>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.2</w:t>
            </w:r>
            <w:r>
              <w:rPr>
                <w:rFonts w:hint="eastAsia" w:ascii="宋体" w:hAnsi="宋体" w:cs="宋体"/>
                <w:color w:val="auto"/>
                <w:kern w:val="0"/>
                <w:szCs w:val="21"/>
                <w:highlight w:val="none"/>
              </w:rPr>
              <w:t>保函（</w:t>
            </w:r>
            <w:r>
              <w:rPr>
                <w:rFonts w:hint="eastAsia"/>
                <w:color w:val="auto"/>
                <w:highlight w:val="none"/>
              </w:rPr>
              <w:t>保险</w:t>
            </w:r>
            <w:r>
              <w:rPr>
                <w:rFonts w:hint="eastAsia" w:ascii="宋体" w:hAnsi="宋体" w:cs="宋体"/>
                <w:color w:val="auto"/>
                <w:kern w:val="0"/>
                <w:szCs w:val="21"/>
                <w:highlight w:val="none"/>
              </w:rPr>
              <w:t>）</w:t>
            </w:r>
          </w:p>
          <w:p w14:paraId="1E38A81F">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投标人可通过辽宁省建设工程领域电子保函保险基础公共服务平台或辽宁省工程建设项目电子保函保险基础服务平台跨地区、跨行业自由服务试点的金融平台或金融机构任一渠道自主选择购买保函（保险），鼓励企业使用电子保函（保险）等形式提交保证金。</w:t>
            </w:r>
          </w:p>
          <w:p w14:paraId="530F2E6F">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投标人应在投标截止时间前购买完成并生效。购买保函（保险）的财务费用应当通过企业基本账户或主体信息库登记的企业账户缴纳。纸质保函（保险）和电子保函（保险）能够满足出函机构官方媒介或其指定的在线系统实时验真的条件。购买保函（保险）的财务费用不是通过企业账户缴纳或无法在线验真的保函（保险）视为无效保函（保险）。</w:t>
            </w:r>
          </w:p>
          <w:p w14:paraId="08E77A30">
            <w:pPr>
              <w:widowControl/>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.3</w:t>
            </w:r>
            <w:r>
              <w:rPr>
                <w:rFonts w:hint="eastAsia" w:ascii="宋体" w:hAnsi="宋体" w:cs="宋体"/>
                <w:color w:val="auto"/>
                <w:kern w:val="0"/>
                <w:szCs w:val="21"/>
                <w:highlight w:val="none"/>
              </w:rPr>
              <w:t>其他</w:t>
            </w:r>
          </w:p>
          <w:p w14:paraId="228FAF0D">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采用汇票等其他方式缴纳投标保证金的，也应参照现金方式缴纳要求执行。招标人要求可以不缴纳投标保证金的除外。</w:t>
            </w:r>
          </w:p>
        </w:tc>
      </w:tr>
      <w:tr w14:paraId="6CD9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57" w:type="dxa"/>
            <w:vAlign w:val="center"/>
          </w:tcPr>
          <w:p w14:paraId="5927AEE4">
            <w:pPr>
              <w:spacing w:line="320" w:lineRule="exact"/>
              <w:jc w:val="center"/>
              <w:rPr>
                <w:color w:val="auto"/>
                <w:highlight w:val="none"/>
              </w:rPr>
            </w:pPr>
            <w:r>
              <w:rPr>
                <w:rFonts w:hint="eastAsia"/>
                <w:color w:val="auto"/>
                <w:highlight w:val="none"/>
              </w:rPr>
              <w:t>3.4.3</w:t>
            </w:r>
          </w:p>
        </w:tc>
        <w:tc>
          <w:tcPr>
            <w:tcW w:w="2334" w:type="dxa"/>
            <w:vAlign w:val="center"/>
          </w:tcPr>
          <w:p w14:paraId="690096CC">
            <w:pPr>
              <w:spacing w:line="320" w:lineRule="exact"/>
              <w:jc w:val="center"/>
              <w:rPr>
                <w:color w:val="auto"/>
                <w:highlight w:val="none"/>
              </w:rPr>
            </w:pPr>
            <w:r>
              <w:rPr>
                <w:rFonts w:hint="eastAsia"/>
                <w:color w:val="auto"/>
                <w:highlight w:val="none"/>
              </w:rPr>
              <w:t>退还投标保证金</w:t>
            </w:r>
          </w:p>
          <w:p w14:paraId="3BB939D0">
            <w:pPr>
              <w:spacing w:line="320" w:lineRule="exact"/>
              <w:jc w:val="center"/>
              <w:rPr>
                <w:color w:val="auto"/>
                <w:highlight w:val="none"/>
              </w:rPr>
            </w:pPr>
            <w:r>
              <w:rPr>
                <w:rFonts w:hint="eastAsia"/>
                <w:color w:val="auto"/>
                <w:highlight w:val="none"/>
              </w:rPr>
              <w:t>及利息</w:t>
            </w:r>
          </w:p>
        </w:tc>
        <w:tc>
          <w:tcPr>
            <w:tcW w:w="5436" w:type="dxa"/>
            <w:vAlign w:val="center"/>
          </w:tcPr>
          <w:p w14:paraId="46001E83">
            <w:pPr>
              <w:spacing w:line="320" w:lineRule="exact"/>
              <w:jc w:val="left"/>
              <w:rPr>
                <w:color w:val="auto"/>
                <w:highlight w:val="none"/>
              </w:rPr>
            </w:pPr>
            <w:r>
              <w:rPr>
                <w:rFonts w:hint="eastAsia"/>
                <w:color w:val="auto"/>
                <w:highlight w:val="none"/>
              </w:rPr>
              <w:t>计息标准：</w:t>
            </w:r>
            <w:r>
              <w:rPr>
                <w:rFonts w:hint="eastAsia"/>
                <w:color w:val="auto"/>
                <w:highlight w:val="none"/>
                <w:u w:val="single"/>
              </w:rPr>
              <w:t>人民银行同期活期存款利率。</w:t>
            </w:r>
          </w:p>
          <w:p w14:paraId="287D51C1">
            <w:pPr>
              <w:spacing w:line="320" w:lineRule="exact"/>
              <w:jc w:val="left"/>
              <w:rPr>
                <w:color w:val="auto"/>
                <w:highlight w:val="none"/>
              </w:rPr>
            </w:pPr>
            <w:r>
              <w:rPr>
                <w:rFonts w:hint="eastAsia"/>
                <w:color w:val="auto"/>
                <w:highlight w:val="none"/>
              </w:rPr>
              <w:t>计息时间：</w:t>
            </w:r>
            <w:r>
              <w:rPr>
                <w:rFonts w:hint="eastAsia"/>
                <w:color w:val="auto"/>
                <w:highlight w:val="none"/>
                <w:u w:val="single"/>
              </w:rPr>
              <w:t>投标保证金到账之日至退还的前一日。</w:t>
            </w:r>
          </w:p>
          <w:p w14:paraId="77B21F2F">
            <w:pPr>
              <w:spacing w:line="320" w:lineRule="exact"/>
              <w:ind w:left="1050" w:hanging="1050" w:hangingChars="500"/>
              <w:jc w:val="left"/>
              <w:rPr>
                <w:color w:val="auto"/>
                <w:highlight w:val="none"/>
              </w:rPr>
            </w:pPr>
            <w:r>
              <w:rPr>
                <w:rFonts w:hint="eastAsia"/>
                <w:color w:val="auto"/>
                <w:highlight w:val="none"/>
              </w:rPr>
              <w:t>退还办法：</w:t>
            </w:r>
            <w:r>
              <w:rPr>
                <w:rFonts w:hint="eastAsia" w:ascii="宋体" w:hAnsi="宋体" w:cs="宋体"/>
                <w:color w:val="auto"/>
                <w:szCs w:val="21"/>
                <w:highlight w:val="none"/>
                <w:u w:val="single"/>
              </w:rPr>
              <w:t>中标结果公示后5日内，未中标的投标人</w:t>
            </w:r>
            <w:r>
              <w:rPr>
                <w:rFonts w:ascii="宋体" w:hAnsi="宋体" w:cs="宋体"/>
                <w:color w:val="auto"/>
                <w:szCs w:val="21"/>
                <w:highlight w:val="none"/>
                <w:u w:val="single"/>
              </w:rPr>
              <w:t>现金</w:t>
            </w:r>
            <w:r>
              <w:rPr>
                <w:rFonts w:hint="eastAsia" w:ascii="宋体" w:hAnsi="宋体" w:cs="宋体"/>
                <w:color w:val="auto"/>
                <w:szCs w:val="21"/>
                <w:highlight w:val="none"/>
                <w:u w:val="single"/>
              </w:rPr>
              <w:t>保证金按原路径自动退回；合同签订后5日内，中标人的</w:t>
            </w:r>
            <w:r>
              <w:rPr>
                <w:rFonts w:ascii="宋体" w:hAnsi="宋体" w:cs="宋体"/>
                <w:color w:val="auto"/>
                <w:szCs w:val="21"/>
                <w:highlight w:val="none"/>
                <w:u w:val="single"/>
              </w:rPr>
              <w:t>现金</w:t>
            </w:r>
            <w:r>
              <w:rPr>
                <w:rFonts w:hint="eastAsia" w:ascii="宋体" w:hAnsi="宋体" w:cs="宋体"/>
                <w:color w:val="auto"/>
                <w:szCs w:val="21"/>
                <w:highlight w:val="none"/>
                <w:u w:val="single"/>
              </w:rPr>
              <w:t>投标保证金按原路径自动退回。</w:t>
            </w:r>
          </w:p>
        </w:tc>
      </w:tr>
      <w:tr w14:paraId="7293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14:paraId="1A622EE1">
            <w:pPr>
              <w:spacing w:line="320" w:lineRule="exact"/>
              <w:jc w:val="center"/>
              <w:rPr>
                <w:color w:val="auto"/>
                <w:highlight w:val="none"/>
              </w:rPr>
            </w:pPr>
            <w:r>
              <w:rPr>
                <w:rFonts w:hint="eastAsia"/>
                <w:color w:val="auto"/>
                <w:highlight w:val="none"/>
              </w:rPr>
              <w:t>3</w:t>
            </w:r>
            <w:r>
              <w:rPr>
                <w:color w:val="auto"/>
                <w:highlight w:val="none"/>
              </w:rPr>
              <w:t>.5.2</w:t>
            </w:r>
          </w:p>
        </w:tc>
        <w:tc>
          <w:tcPr>
            <w:tcW w:w="2334" w:type="dxa"/>
            <w:vAlign w:val="center"/>
          </w:tcPr>
          <w:p w14:paraId="23748497">
            <w:pPr>
              <w:spacing w:line="320" w:lineRule="exact"/>
              <w:jc w:val="center"/>
              <w:rPr>
                <w:color w:val="auto"/>
                <w:highlight w:val="none"/>
              </w:rPr>
            </w:pPr>
            <w:r>
              <w:rPr>
                <w:rFonts w:hint="eastAsia"/>
                <w:color w:val="auto"/>
                <w:highlight w:val="none"/>
              </w:rPr>
              <w:t>企业近年财务状况的年份要求</w:t>
            </w:r>
          </w:p>
        </w:tc>
        <w:tc>
          <w:tcPr>
            <w:tcW w:w="5436" w:type="dxa"/>
            <w:vAlign w:val="center"/>
          </w:tcPr>
          <w:p w14:paraId="39911F69">
            <w:pPr>
              <w:spacing w:line="320" w:lineRule="exact"/>
              <w:jc w:val="left"/>
              <w:rPr>
                <w:color w:val="auto"/>
                <w:highlight w:val="none"/>
              </w:rPr>
            </w:pPr>
            <w:r>
              <w:rPr>
                <w:rFonts w:hint="eastAsia"/>
                <w:color w:val="auto"/>
                <w:highlight w:val="none"/>
              </w:rPr>
              <w:t>近</w:t>
            </w:r>
            <w:r>
              <w:rPr>
                <w:rFonts w:hint="eastAsia"/>
                <w:color w:val="auto"/>
                <w:highlight w:val="none"/>
                <w:u w:val="single"/>
              </w:rPr>
              <w:t>/</w:t>
            </w:r>
            <w:r>
              <w:rPr>
                <w:rFonts w:hint="eastAsia"/>
                <w:color w:val="auto"/>
                <w:highlight w:val="none"/>
              </w:rPr>
              <w:t>年，指/</w:t>
            </w:r>
          </w:p>
        </w:tc>
      </w:tr>
      <w:tr w14:paraId="05DCC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14:paraId="262B275D">
            <w:pPr>
              <w:spacing w:line="320" w:lineRule="exact"/>
              <w:jc w:val="center"/>
              <w:rPr>
                <w:color w:val="auto"/>
                <w:highlight w:val="none"/>
              </w:rPr>
            </w:pPr>
            <w:r>
              <w:rPr>
                <w:rFonts w:hint="eastAsia"/>
                <w:color w:val="auto"/>
                <w:highlight w:val="none"/>
              </w:rPr>
              <w:t>3.5.</w:t>
            </w:r>
            <w:r>
              <w:rPr>
                <w:color w:val="auto"/>
                <w:highlight w:val="none"/>
              </w:rPr>
              <w:t>3</w:t>
            </w:r>
          </w:p>
        </w:tc>
        <w:tc>
          <w:tcPr>
            <w:tcW w:w="2334" w:type="dxa"/>
            <w:vAlign w:val="center"/>
          </w:tcPr>
          <w:p w14:paraId="01A5DFA1">
            <w:pPr>
              <w:spacing w:line="320" w:lineRule="exact"/>
              <w:jc w:val="center"/>
              <w:rPr>
                <w:color w:val="auto"/>
                <w:highlight w:val="none"/>
              </w:rPr>
            </w:pPr>
            <w:r>
              <w:rPr>
                <w:rFonts w:hint="eastAsia"/>
                <w:color w:val="auto"/>
                <w:highlight w:val="none"/>
              </w:rPr>
              <w:t>企业近年已完成的类似项目的年份要求</w:t>
            </w:r>
          </w:p>
        </w:tc>
        <w:tc>
          <w:tcPr>
            <w:tcW w:w="5436" w:type="dxa"/>
            <w:vAlign w:val="center"/>
          </w:tcPr>
          <w:p w14:paraId="4D8A97BC">
            <w:pPr>
              <w:spacing w:line="320" w:lineRule="exact"/>
              <w:jc w:val="left"/>
              <w:rPr>
                <w:color w:val="auto"/>
                <w:highlight w:val="none"/>
              </w:rPr>
            </w:pPr>
            <w:r>
              <w:rPr>
                <w:rFonts w:hint="eastAsia"/>
                <w:color w:val="auto"/>
                <w:highlight w:val="none"/>
              </w:rPr>
              <w:t>近</w:t>
            </w:r>
            <w:r>
              <w:rPr>
                <w:rFonts w:hint="eastAsia"/>
                <w:color w:val="auto"/>
                <w:highlight w:val="none"/>
                <w:u w:val="single"/>
              </w:rPr>
              <w:t>/</w:t>
            </w:r>
            <w:r>
              <w:rPr>
                <w:rFonts w:hint="eastAsia"/>
                <w:color w:val="auto"/>
                <w:highlight w:val="none"/>
              </w:rPr>
              <w:t>年，指</w:t>
            </w:r>
            <w:r>
              <w:rPr>
                <w:rFonts w:hint="eastAsia"/>
                <w:color w:val="auto"/>
                <w:highlight w:val="none"/>
                <w:u w:val="single"/>
              </w:rPr>
              <w:t>/</w:t>
            </w:r>
          </w:p>
        </w:tc>
      </w:tr>
      <w:tr w14:paraId="53A9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14:paraId="669309B7">
            <w:pPr>
              <w:spacing w:line="320" w:lineRule="exact"/>
              <w:jc w:val="center"/>
              <w:rPr>
                <w:color w:val="auto"/>
                <w:highlight w:val="none"/>
              </w:rPr>
            </w:pPr>
            <w:r>
              <w:rPr>
                <w:rFonts w:hint="eastAsia"/>
                <w:color w:val="auto"/>
                <w:highlight w:val="none"/>
              </w:rPr>
              <w:t>3.5.</w:t>
            </w:r>
            <w:r>
              <w:rPr>
                <w:color w:val="auto"/>
                <w:highlight w:val="none"/>
              </w:rPr>
              <w:t>5</w:t>
            </w:r>
          </w:p>
        </w:tc>
        <w:tc>
          <w:tcPr>
            <w:tcW w:w="2334" w:type="dxa"/>
            <w:vAlign w:val="center"/>
          </w:tcPr>
          <w:p w14:paraId="04DF06B3">
            <w:pPr>
              <w:spacing w:line="320" w:lineRule="exact"/>
              <w:jc w:val="center"/>
              <w:rPr>
                <w:color w:val="auto"/>
                <w:highlight w:val="none"/>
              </w:rPr>
            </w:pPr>
            <w:r>
              <w:rPr>
                <w:rFonts w:hint="eastAsia"/>
                <w:color w:val="auto"/>
                <w:highlight w:val="none"/>
              </w:rPr>
              <w:t>企业近年发生的诉讼及仲裁情况的年份要求</w:t>
            </w:r>
          </w:p>
        </w:tc>
        <w:tc>
          <w:tcPr>
            <w:tcW w:w="5436" w:type="dxa"/>
            <w:vAlign w:val="center"/>
          </w:tcPr>
          <w:p w14:paraId="13FDB042">
            <w:pPr>
              <w:spacing w:line="320" w:lineRule="exact"/>
              <w:jc w:val="both"/>
              <w:rPr>
                <w:color w:val="auto"/>
                <w:spacing w:val="-7"/>
                <w:highlight w:val="none"/>
              </w:rPr>
            </w:pPr>
            <w:r>
              <w:rPr>
                <w:color w:val="auto"/>
                <w:spacing w:val="-7"/>
                <w:highlight w:val="none"/>
              </w:rPr>
              <w:t>近</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r>
              <w:rPr>
                <w:color w:val="auto"/>
                <w:spacing w:val="-91"/>
                <w:highlight w:val="none"/>
              </w:rPr>
              <w:t xml:space="preserve"> </w:t>
            </w:r>
            <w:r>
              <w:rPr>
                <w:color w:val="auto"/>
                <w:spacing w:val="-7"/>
                <w:highlight w:val="none"/>
              </w:rPr>
              <w:t>年，指</w:t>
            </w:r>
            <w:r>
              <w:rPr>
                <w:color w:val="auto"/>
                <w:spacing w:val="-91"/>
                <w:highlight w:val="none"/>
              </w:rPr>
              <w:t xml:space="preserve"> </w:t>
            </w:r>
            <w:r>
              <w:rPr>
                <w:color w:val="auto"/>
                <w:spacing w:val="34"/>
                <w:highlight w:val="none"/>
                <w:u w:val="single" w:color="auto"/>
              </w:rPr>
              <w:t xml:space="preserve"> </w:t>
            </w:r>
            <w:r>
              <w:rPr>
                <w:rFonts w:hint="eastAsia"/>
                <w:color w:val="auto"/>
                <w:spacing w:val="34"/>
                <w:highlight w:val="none"/>
                <w:u w:val="single" w:color="auto"/>
                <w:lang w:val="en-US" w:eastAsia="zh-CN"/>
              </w:rPr>
              <w:t>/</w:t>
            </w:r>
            <w:r>
              <w:rPr>
                <w:color w:val="auto"/>
                <w:spacing w:val="34"/>
                <w:highlight w:val="none"/>
                <w:u w:val="single" w:color="auto"/>
              </w:rPr>
              <w:t xml:space="preserve"> </w:t>
            </w:r>
            <w:r>
              <w:rPr>
                <w:color w:val="auto"/>
                <w:spacing w:val="-96"/>
                <w:highlight w:val="none"/>
              </w:rPr>
              <w:t xml:space="preserve"> </w:t>
            </w:r>
            <w:r>
              <w:rPr>
                <w:color w:val="auto"/>
                <w:spacing w:val="-7"/>
                <w:highlight w:val="none"/>
              </w:rPr>
              <w:t>年</w:t>
            </w:r>
            <w:r>
              <w:rPr>
                <w:color w:val="auto"/>
                <w:spacing w:val="-7"/>
                <w:highlight w:val="none"/>
                <w:u w:val="single" w:color="auto"/>
              </w:rPr>
              <w:t xml:space="preserve">  </w:t>
            </w:r>
            <w:r>
              <w:rPr>
                <w:rFonts w:hint="eastAsia"/>
                <w:color w:val="auto"/>
                <w:spacing w:val="-7"/>
                <w:highlight w:val="none"/>
                <w:u w:val="single" w:color="auto"/>
                <w:lang w:val="en-US" w:eastAsia="zh-CN"/>
              </w:rPr>
              <w:t>/</w:t>
            </w:r>
            <w:r>
              <w:rPr>
                <w:color w:val="auto"/>
                <w:spacing w:val="-7"/>
                <w:highlight w:val="none"/>
                <w:u w:val="single" w:color="auto"/>
              </w:rPr>
              <w:t xml:space="preserve"> </w:t>
            </w:r>
            <w:r>
              <w:rPr>
                <w:color w:val="auto"/>
                <w:spacing w:val="-91"/>
                <w:highlight w:val="none"/>
              </w:rPr>
              <w:t xml:space="preserve"> </w:t>
            </w:r>
            <w:r>
              <w:rPr>
                <w:color w:val="auto"/>
                <w:spacing w:val="-7"/>
                <w:highlight w:val="none"/>
              </w:rPr>
              <w:t>月</w:t>
            </w:r>
            <w:r>
              <w:rPr>
                <w:color w:val="auto"/>
                <w:spacing w:val="35"/>
                <w:highlight w:val="none"/>
                <w:u w:val="single" w:color="auto"/>
              </w:rPr>
              <w:t xml:space="preserve"> </w:t>
            </w:r>
            <w:r>
              <w:rPr>
                <w:rFonts w:hint="eastAsia"/>
                <w:color w:val="auto"/>
                <w:spacing w:val="35"/>
                <w:highlight w:val="none"/>
                <w:u w:val="single" w:color="auto"/>
                <w:lang w:val="en-US" w:eastAsia="zh-CN"/>
              </w:rPr>
              <w:t>/</w:t>
            </w:r>
            <w:r>
              <w:rPr>
                <w:color w:val="auto"/>
                <w:spacing w:val="35"/>
                <w:highlight w:val="none"/>
                <w:u w:val="single" w:color="auto"/>
              </w:rPr>
              <w:t xml:space="preserve"> </w:t>
            </w:r>
            <w:r>
              <w:rPr>
                <w:color w:val="auto"/>
                <w:spacing w:val="-61"/>
                <w:highlight w:val="none"/>
              </w:rPr>
              <w:t xml:space="preserve"> </w:t>
            </w:r>
            <w:r>
              <w:rPr>
                <w:color w:val="auto"/>
                <w:spacing w:val="-7"/>
                <w:highlight w:val="none"/>
              </w:rPr>
              <w:t>日─</w:t>
            </w:r>
            <w:r>
              <w:rPr>
                <w:color w:val="auto"/>
                <w:spacing w:val="34"/>
                <w:highlight w:val="none"/>
                <w:u w:val="single" w:color="auto"/>
              </w:rPr>
              <w:t xml:space="preserve">  </w:t>
            </w:r>
            <w:r>
              <w:rPr>
                <w:rFonts w:hint="eastAsia"/>
                <w:color w:val="auto"/>
                <w:spacing w:val="34"/>
                <w:highlight w:val="none"/>
                <w:u w:val="single" w:color="auto"/>
                <w:lang w:val="en-US" w:eastAsia="zh-CN"/>
              </w:rPr>
              <w:t>/</w:t>
            </w:r>
            <w:r>
              <w:rPr>
                <w:color w:val="auto"/>
                <w:spacing w:val="34"/>
                <w:highlight w:val="none"/>
                <w:u w:val="single" w:color="auto"/>
              </w:rPr>
              <w:t xml:space="preserve"> </w:t>
            </w:r>
            <w:r>
              <w:rPr>
                <w:color w:val="auto"/>
                <w:spacing w:val="-95"/>
                <w:highlight w:val="none"/>
              </w:rPr>
              <w:t xml:space="preserve"> </w:t>
            </w:r>
            <w:r>
              <w:rPr>
                <w:color w:val="auto"/>
                <w:spacing w:val="-7"/>
                <w:highlight w:val="none"/>
              </w:rPr>
              <w:t>年</w:t>
            </w:r>
            <w:r>
              <w:rPr>
                <w:color w:val="auto"/>
                <w:spacing w:val="-104"/>
                <w:highlight w:val="none"/>
              </w:rPr>
              <w:t xml:space="preserve"> </w:t>
            </w:r>
            <w:r>
              <w:rPr>
                <w:color w:val="auto"/>
                <w:spacing w:val="52"/>
                <w:highlight w:val="none"/>
                <w:u w:val="single" w:color="auto"/>
              </w:rPr>
              <w:t xml:space="preserve"> </w:t>
            </w:r>
            <w:r>
              <w:rPr>
                <w:rFonts w:hint="eastAsia"/>
                <w:color w:val="auto"/>
                <w:spacing w:val="52"/>
                <w:highlight w:val="none"/>
                <w:u w:val="single" w:color="auto"/>
                <w:lang w:val="en-US" w:eastAsia="zh-CN"/>
              </w:rPr>
              <w:t>/</w:t>
            </w:r>
            <w:r>
              <w:rPr>
                <w:color w:val="auto"/>
                <w:spacing w:val="52"/>
                <w:highlight w:val="none"/>
                <w:u w:val="single" w:color="auto"/>
              </w:rPr>
              <w:t xml:space="preserve"> </w:t>
            </w:r>
            <w:r>
              <w:rPr>
                <w:color w:val="auto"/>
                <w:spacing w:val="-92"/>
                <w:highlight w:val="none"/>
              </w:rPr>
              <w:t xml:space="preserve"> </w:t>
            </w:r>
            <w:r>
              <w:rPr>
                <w:color w:val="auto"/>
                <w:spacing w:val="-7"/>
                <w:highlight w:val="none"/>
              </w:rPr>
              <w:t>月</w:t>
            </w:r>
            <w:r>
              <w:rPr>
                <w:color w:val="auto"/>
                <w:spacing w:val="-7"/>
                <w:highlight w:val="none"/>
                <w:u w:val="single" w:color="auto"/>
              </w:rPr>
              <w:t xml:space="preserve">  </w:t>
            </w:r>
            <w:r>
              <w:rPr>
                <w:rFonts w:hint="eastAsia"/>
                <w:color w:val="auto"/>
                <w:spacing w:val="-7"/>
                <w:highlight w:val="none"/>
                <w:u w:val="single" w:color="auto"/>
                <w:lang w:val="en-US" w:eastAsia="zh-CN"/>
              </w:rPr>
              <w:t>/</w:t>
            </w:r>
            <w:r>
              <w:rPr>
                <w:color w:val="auto"/>
                <w:spacing w:val="-7"/>
                <w:highlight w:val="none"/>
                <w:u w:val="single" w:color="auto"/>
              </w:rPr>
              <w:t xml:space="preserve"> </w:t>
            </w:r>
            <w:r>
              <w:rPr>
                <w:color w:val="auto"/>
                <w:spacing w:val="-60"/>
                <w:highlight w:val="none"/>
              </w:rPr>
              <w:t xml:space="preserve"> </w:t>
            </w:r>
            <w:r>
              <w:rPr>
                <w:color w:val="auto"/>
                <w:spacing w:val="-7"/>
                <w:highlight w:val="none"/>
              </w:rPr>
              <w:t>日</w:t>
            </w:r>
          </w:p>
          <w:p w14:paraId="621D444F">
            <w:pPr>
              <w:pStyle w:val="5"/>
              <w:ind w:left="0" w:leftChars="0"/>
              <w:jc w:val="left"/>
              <w:rPr>
                <w:color w:val="auto"/>
                <w:highlight w:val="none"/>
              </w:rPr>
            </w:pPr>
            <w:r>
              <w:rPr>
                <w:rFonts w:hint="eastAsia"/>
                <w:color w:val="auto"/>
                <w:highlight w:val="none"/>
              </w:rPr>
              <w:t>特别说明：近年发生的诉讼和仲裁情况仅限于申请人败诉的，且可能直接影响正常合同履约有关的案件，不包括调解结案、未终审判决的诉讼或未裁决的仲裁以及与合同履约无直接关联案件。投标人应如实填写近年发生的诉讼及仲裁情况，否则视为不响应招标文件实质性要求，其投标文件将被否决。如投标人因故意隐瞒且查证属实存在影响履约的诉讼及仲裁情况，将视为弄虚作假或以不正当手段骗取中标的行为，将依法依规予以处理。时间为判决或仲裁决定时间。</w:t>
            </w:r>
          </w:p>
        </w:tc>
      </w:tr>
      <w:tr w14:paraId="1831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14:paraId="5FE93A16">
            <w:pPr>
              <w:spacing w:line="320" w:lineRule="exact"/>
              <w:jc w:val="center"/>
              <w:rPr>
                <w:color w:val="auto"/>
                <w:highlight w:val="none"/>
              </w:rPr>
            </w:pPr>
            <w:r>
              <w:rPr>
                <w:rFonts w:hint="eastAsia"/>
                <w:color w:val="auto"/>
                <w:highlight w:val="none"/>
              </w:rPr>
              <w:t>3</w:t>
            </w:r>
            <w:r>
              <w:rPr>
                <w:color w:val="auto"/>
                <w:highlight w:val="none"/>
              </w:rPr>
              <w:t>.5.9</w:t>
            </w:r>
          </w:p>
        </w:tc>
        <w:tc>
          <w:tcPr>
            <w:tcW w:w="2334" w:type="dxa"/>
            <w:vAlign w:val="center"/>
          </w:tcPr>
          <w:p w14:paraId="4B76191A">
            <w:pPr>
              <w:spacing w:line="320" w:lineRule="exact"/>
              <w:jc w:val="center"/>
              <w:rPr>
                <w:color w:val="auto"/>
                <w:highlight w:val="none"/>
              </w:rPr>
            </w:pPr>
            <w:r>
              <w:rPr>
                <w:rFonts w:hint="eastAsia"/>
                <w:color w:val="auto"/>
                <w:highlight w:val="none"/>
              </w:rPr>
              <w:t>项目经理近年已完成的类似项目的年份要求</w:t>
            </w:r>
          </w:p>
        </w:tc>
        <w:tc>
          <w:tcPr>
            <w:tcW w:w="5436" w:type="dxa"/>
            <w:vAlign w:val="center"/>
          </w:tcPr>
          <w:p w14:paraId="7AAEF560">
            <w:pPr>
              <w:spacing w:line="320" w:lineRule="exact"/>
              <w:jc w:val="both"/>
              <w:rPr>
                <w:color w:val="auto"/>
                <w:highlight w:val="none"/>
              </w:rPr>
            </w:pPr>
            <w:r>
              <w:rPr>
                <w:rFonts w:hint="eastAsia"/>
                <w:color w:val="auto"/>
                <w:highlight w:val="none"/>
              </w:rPr>
              <w:t>近</w:t>
            </w:r>
            <w:r>
              <w:rPr>
                <w:rFonts w:hint="eastAsia"/>
                <w:color w:val="auto"/>
                <w:highlight w:val="none"/>
                <w:u w:val="single"/>
              </w:rPr>
              <w:t>/</w:t>
            </w:r>
            <w:r>
              <w:rPr>
                <w:rFonts w:hint="eastAsia"/>
                <w:color w:val="auto"/>
                <w:highlight w:val="none"/>
              </w:rPr>
              <w:t>年，指</w:t>
            </w:r>
            <w:r>
              <w:rPr>
                <w:rFonts w:hint="eastAsia"/>
                <w:color w:val="auto"/>
                <w:highlight w:val="none"/>
                <w:u w:val="single"/>
              </w:rPr>
              <w:t>/</w:t>
            </w:r>
          </w:p>
        </w:tc>
      </w:tr>
      <w:tr w14:paraId="2286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57" w:type="dxa"/>
            <w:vAlign w:val="center"/>
          </w:tcPr>
          <w:p w14:paraId="71FBD1D8">
            <w:pPr>
              <w:spacing w:line="320" w:lineRule="exact"/>
              <w:jc w:val="center"/>
              <w:rPr>
                <w:color w:val="auto"/>
                <w:highlight w:val="none"/>
              </w:rPr>
            </w:pPr>
            <w:r>
              <w:rPr>
                <w:rFonts w:hint="eastAsia"/>
                <w:color w:val="auto"/>
                <w:highlight w:val="none"/>
              </w:rPr>
              <w:t>3.6</w:t>
            </w:r>
          </w:p>
        </w:tc>
        <w:tc>
          <w:tcPr>
            <w:tcW w:w="2334" w:type="dxa"/>
            <w:vAlign w:val="center"/>
          </w:tcPr>
          <w:p w14:paraId="12BD03D8">
            <w:pPr>
              <w:spacing w:line="320" w:lineRule="exact"/>
              <w:jc w:val="center"/>
              <w:rPr>
                <w:color w:val="auto"/>
                <w:highlight w:val="none"/>
              </w:rPr>
            </w:pPr>
            <w:r>
              <w:rPr>
                <w:rFonts w:hint="eastAsia"/>
                <w:color w:val="auto"/>
                <w:highlight w:val="none"/>
              </w:rPr>
              <w:t>是否允许递交备选投标方案</w:t>
            </w:r>
          </w:p>
        </w:tc>
        <w:tc>
          <w:tcPr>
            <w:tcW w:w="5436" w:type="dxa"/>
            <w:vAlign w:val="center"/>
          </w:tcPr>
          <w:p w14:paraId="0E1F31B2">
            <w:pPr>
              <w:spacing w:line="320" w:lineRule="exact"/>
              <w:jc w:val="both"/>
              <w:rPr>
                <w:color w:val="auto"/>
                <w:szCs w:val="21"/>
                <w:highlight w:val="none"/>
              </w:rPr>
            </w:pPr>
            <w:r>
              <w:rPr>
                <w:rFonts w:hint="eastAsia"/>
                <w:color w:val="auto"/>
                <w:szCs w:val="21"/>
                <w:highlight w:val="none"/>
              </w:rPr>
              <w:t>☑不允许</w:t>
            </w:r>
          </w:p>
          <w:p w14:paraId="4714117C">
            <w:pPr>
              <w:spacing w:line="320" w:lineRule="exact"/>
              <w:jc w:val="both"/>
              <w:rPr>
                <w:color w:val="auto"/>
                <w:highlight w:val="none"/>
              </w:rPr>
            </w:pPr>
            <w:r>
              <w:rPr>
                <w:rFonts w:hint="eastAsia" w:ascii="宋体" w:hAnsi="宋体"/>
                <w:color w:val="auto"/>
                <w:szCs w:val="21"/>
                <w:highlight w:val="none"/>
              </w:rPr>
              <w:t>□允许</w:t>
            </w:r>
          </w:p>
        </w:tc>
      </w:tr>
      <w:tr w14:paraId="451C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57" w:type="dxa"/>
            <w:vAlign w:val="center"/>
          </w:tcPr>
          <w:p w14:paraId="7A16EA0B">
            <w:pPr>
              <w:spacing w:line="320" w:lineRule="exact"/>
              <w:jc w:val="center"/>
              <w:rPr>
                <w:color w:val="auto"/>
                <w:highlight w:val="none"/>
              </w:rPr>
            </w:pPr>
            <w:r>
              <w:rPr>
                <w:rFonts w:hint="eastAsia"/>
                <w:color w:val="auto"/>
                <w:highlight w:val="none"/>
              </w:rPr>
              <w:t>3.7.3</w:t>
            </w:r>
          </w:p>
        </w:tc>
        <w:tc>
          <w:tcPr>
            <w:tcW w:w="2334" w:type="dxa"/>
            <w:vAlign w:val="center"/>
          </w:tcPr>
          <w:p w14:paraId="5C597A76">
            <w:pPr>
              <w:spacing w:line="320" w:lineRule="exact"/>
              <w:jc w:val="center"/>
              <w:rPr>
                <w:color w:val="auto"/>
                <w:highlight w:val="none"/>
              </w:rPr>
            </w:pPr>
            <w:r>
              <w:rPr>
                <w:rFonts w:hint="eastAsia"/>
                <w:color w:val="auto"/>
                <w:highlight w:val="none"/>
              </w:rPr>
              <w:t>应用于评审的佐证或证明材料</w:t>
            </w:r>
          </w:p>
        </w:tc>
        <w:tc>
          <w:tcPr>
            <w:tcW w:w="5436" w:type="dxa"/>
            <w:vAlign w:val="center"/>
          </w:tcPr>
          <w:p w14:paraId="7BF78B0A">
            <w:pPr>
              <w:spacing w:line="320" w:lineRule="exact"/>
              <w:jc w:val="both"/>
              <w:rPr>
                <w:rFonts w:ascii="Segoe UI Symbol" w:hAnsi="Segoe UI Symbol" w:cs="Segoe UI Symbol"/>
                <w:color w:val="auto"/>
                <w:highlight w:val="none"/>
              </w:rPr>
            </w:pPr>
            <w:r>
              <w:rPr>
                <w:rFonts w:hint="eastAsia"/>
                <w:color w:val="auto"/>
                <w:highlight w:val="none"/>
              </w:rPr>
              <w:t>应用数字证照评审的节点和材料内容：</w:t>
            </w:r>
          </w:p>
          <w:p w14:paraId="28BED11F">
            <w:pPr>
              <w:spacing w:line="320" w:lineRule="exact"/>
              <w:jc w:val="both"/>
              <w:rPr>
                <w:rFonts w:hint="eastAsia" w:ascii="宋体" w:hAnsi="宋体"/>
                <w:color w:val="auto"/>
                <w:highlight w:val="none"/>
              </w:rPr>
            </w:pPr>
            <w:r>
              <w:rPr>
                <w:rFonts w:ascii="Segoe UI Symbol" w:hAnsi="Segoe UI Symbol" w:cs="Segoe UI Symbol"/>
                <w:color w:val="auto"/>
                <w:highlight w:val="none"/>
              </w:rPr>
              <w:t>☑</w:t>
            </w:r>
            <w:r>
              <w:rPr>
                <w:rFonts w:hint="eastAsia" w:ascii="宋体" w:hAnsi="宋体"/>
                <w:color w:val="auto"/>
                <w:highlight w:val="none"/>
              </w:rPr>
              <w:t>企业业绩</w:t>
            </w:r>
          </w:p>
          <w:p w14:paraId="2876AB8A">
            <w:pPr>
              <w:spacing w:line="320" w:lineRule="exact"/>
              <w:jc w:val="both"/>
              <w:rPr>
                <w:rFonts w:hint="eastAsia" w:ascii="宋体" w:hAnsi="宋体"/>
                <w:color w:val="auto"/>
                <w:highlight w:val="none"/>
              </w:rPr>
            </w:pPr>
            <w:r>
              <w:rPr>
                <w:rFonts w:hint="eastAsia" w:ascii="Segoe UI Symbol" w:hAnsi="Segoe UI Symbol" w:cs="Segoe UI Symbol"/>
                <w:color w:val="auto"/>
                <w:highlight w:val="none"/>
                <w:lang w:eastAsia="zh-CN"/>
              </w:rPr>
              <w:t>☑</w:t>
            </w:r>
            <w:r>
              <w:rPr>
                <w:rFonts w:hint="eastAsia" w:ascii="宋体" w:hAnsi="宋体"/>
                <w:color w:val="auto"/>
                <w:highlight w:val="none"/>
              </w:rPr>
              <w:t>人员业绩</w:t>
            </w:r>
          </w:p>
          <w:p w14:paraId="71974142">
            <w:pPr>
              <w:spacing w:line="320" w:lineRule="exact"/>
              <w:jc w:val="both"/>
              <w:rPr>
                <w:rFonts w:hint="eastAsia" w:ascii="宋体" w:hAnsi="宋体"/>
                <w:color w:val="auto"/>
                <w:highlight w:val="none"/>
              </w:rPr>
            </w:pPr>
            <w:r>
              <w:rPr>
                <w:rFonts w:ascii="Segoe UI Symbol" w:hAnsi="Segoe UI Symbol" w:cs="Segoe UI Symbol"/>
                <w:color w:val="auto"/>
                <w:highlight w:val="none"/>
              </w:rPr>
              <w:t>☑</w:t>
            </w:r>
            <w:r>
              <w:rPr>
                <w:rFonts w:hint="eastAsia" w:ascii="宋体" w:hAnsi="宋体"/>
                <w:color w:val="auto"/>
                <w:highlight w:val="none"/>
              </w:rPr>
              <w:t>财务审计报告</w:t>
            </w:r>
          </w:p>
          <w:p w14:paraId="178945AC">
            <w:pPr>
              <w:spacing w:line="320" w:lineRule="exact"/>
              <w:jc w:val="both"/>
              <w:rPr>
                <w:color w:val="auto"/>
                <w:highlight w:val="none"/>
              </w:rPr>
            </w:pPr>
            <w:r>
              <w:rPr>
                <w:rFonts w:hint="eastAsia"/>
                <w:color w:val="auto"/>
                <w:highlight w:val="none"/>
              </w:rPr>
              <w:t>特别说明：1.通过企业主体信息库生成的数字证照信息</w:t>
            </w:r>
            <w:r>
              <w:rPr>
                <w:rFonts w:hint="eastAsia"/>
                <w:color w:val="auto"/>
                <w:highlight w:val="none"/>
                <w:lang w:eastAsia="zh-CN"/>
              </w:rPr>
              <w:t>，</w:t>
            </w:r>
            <w:r>
              <w:rPr>
                <w:rFonts w:hint="eastAsia"/>
                <w:color w:val="auto"/>
                <w:highlight w:val="none"/>
              </w:rPr>
              <w:t>投标人应当自行校核和确认数字证照数据信息内容，一般应当对投标文件中已生成的数字证照进行电子签名，否则视为已确认和认可数据信息内容。</w:t>
            </w:r>
          </w:p>
          <w:p w14:paraId="5664E204">
            <w:pPr>
              <w:numPr>
                <w:ilvl w:val="0"/>
                <w:numId w:val="0"/>
              </w:numPr>
              <w:spacing w:line="320" w:lineRule="exact"/>
              <w:jc w:val="both"/>
              <w:rPr>
                <w:color w:val="auto"/>
                <w:highlight w:val="none"/>
              </w:rPr>
            </w:pPr>
            <w:r>
              <w:rPr>
                <w:rFonts w:hint="eastAsia"/>
                <w:color w:val="auto"/>
                <w:highlight w:val="none"/>
                <w:lang w:val="en-US" w:eastAsia="zh-CN"/>
              </w:rPr>
              <w:t>2.</w:t>
            </w:r>
            <w:r>
              <w:rPr>
                <w:rFonts w:hint="eastAsia"/>
                <w:color w:val="auto"/>
                <w:highlight w:val="none"/>
              </w:rPr>
              <w:t>投标人制作投标文件时按上述实际明确的材料生成数字证照应用于项目评审，否则相关证明佐证材料以企业主体信息库获取的材料影印件应用于项目评审，投标人对数字证照和材料影印件内容的准确性、完整性和真实性负责。</w:t>
            </w:r>
          </w:p>
        </w:tc>
      </w:tr>
      <w:tr w14:paraId="1992B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38292B54">
            <w:pPr>
              <w:spacing w:line="320" w:lineRule="exact"/>
              <w:jc w:val="center"/>
              <w:rPr>
                <w:color w:val="auto"/>
                <w:highlight w:val="none"/>
              </w:rPr>
            </w:pPr>
            <w:r>
              <w:rPr>
                <w:rFonts w:hint="eastAsia"/>
                <w:color w:val="auto"/>
                <w:highlight w:val="none"/>
              </w:rPr>
              <w:t>3.7.4</w:t>
            </w:r>
          </w:p>
        </w:tc>
        <w:tc>
          <w:tcPr>
            <w:tcW w:w="2334" w:type="dxa"/>
            <w:vAlign w:val="center"/>
          </w:tcPr>
          <w:p w14:paraId="153BA098">
            <w:pPr>
              <w:spacing w:line="320" w:lineRule="exact"/>
              <w:jc w:val="center"/>
              <w:rPr>
                <w:color w:val="auto"/>
                <w:highlight w:val="none"/>
              </w:rPr>
            </w:pPr>
            <w:r>
              <w:rPr>
                <w:color w:val="auto"/>
                <w:highlight w:val="none"/>
              </w:rPr>
              <w:t>技术标（承包人实施方案）</w:t>
            </w:r>
            <w:r>
              <w:rPr>
                <w:color w:val="auto"/>
                <w:szCs w:val="21"/>
                <w:highlight w:val="none"/>
              </w:rPr>
              <w:t>是否采用暗标</w:t>
            </w:r>
          </w:p>
        </w:tc>
        <w:tc>
          <w:tcPr>
            <w:tcW w:w="5436" w:type="dxa"/>
            <w:vAlign w:val="center"/>
          </w:tcPr>
          <w:p w14:paraId="453AE164">
            <w:pPr>
              <w:spacing w:line="320" w:lineRule="exact"/>
              <w:jc w:val="left"/>
              <w:rPr>
                <w:rFonts w:hint="eastAsia" w:ascii="宋体" w:hAnsi="宋体"/>
                <w:color w:val="auto"/>
                <w:szCs w:val="21"/>
                <w:highlight w:val="none"/>
              </w:rPr>
            </w:pPr>
            <w:r>
              <w:rPr>
                <w:rFonts w:hint="eastAsia"/>
                <w:color w:val="auto"/>
                <w:szCs w:val="21"/>
                <w:highlight w:val="none"/>
              </w:rPr>
              <w:t>采用模块化暗标评审</w:t>
            </w:r>
          </w:p>
        </w:tc>
      </w:tr>
      <w:tr w14:paraId="32C1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57" w:type="dxa"/>
            <w:vAlign w:val="center"/>
          </w:tcPr>
          <w:p w14:paraId="49E39654">
            <w:pPr>
              <w:spacing w:line="320" w:lineRule="exact"/>
              <w:jc w:val="center"/>
              <w:rPr>
                <w:color w:val="auto"/>
                <w:highlight w:val="none"/>
              </w:rPr>
            </w:pPr>
            <w:r>
              <w:rPr>
                <w:rFonts w:hint="eastAsia"/>
                <w:color w:val="auto"/>
                <w:highlight w:val="none"/>
              </w:rPr>
              <w:t>4.2.1</w:t>
            </w:r>
          </w:p>
        </w:tc>
        <w:tc>
          <w:tcPr>
            <w:tcW w:w="2334" w:type="dxa"/>
            <w:vAlign w:val="center"/>
          </w:tcPr>
          <w:p w14:paraId="67985BF0">
            <w:pPr>
              <w:spacing w:line="320" w:lineRule="exact"/>
              <w:jc w:val="center"/>
              <w:rPr>
                <w:color w:val="auto"/>
                <w:highlight w:val="none"/>
              </w:rPr>
            </w:pPr>
            <w:r>
              <w:rPr>
                <w:rFonts w:hint="eastAsia"/>
                <w:color w:val="auto"/>
                <w:highlight w:val="none"/>
              </w:rPr>
              <w:t>投标截止时间</w:t>
            </w:r>
          </w:p>
        </w:tc>
        <w:tc>
          <w:tcPr>
            <w:tcW w:w="5436" w:type="dxa"/>
            <w:vAlign w:val="center"/>
          </w:tcPr>
          <w:p w14:paraId="19A933E1">
            <w:pPr>
              <w:spacing w:line="320" w:lineRule="exact"/>
              <w:jc w:val="left"/>
              <w:rPr>
                <w:color w:val="auto"/>
                <w:highlight w:val="none"/>
              </w:rPr>
            </w:pPr>
            <w:r>
              <w:rPr>
                <w:rFonts w:hint="eastAsia"/>
                <w:color w:val="auto"/>
                <w:highlight w:val="none"/>
                <w:u w:val="single"/>
              </w:rPr>
              <w:t>2025年</w:t>
            </w:r>
            <w:r>
              <w:rPr>
                <w:rFonts w:hint="eastAsia"/>
                <w:color w:val="auto"/>
                <w:highlight w:val="none"/>
                <w:u w:val="single"/>
                <w:lang w:val="en-US" w:eastAsia="zh-CN"/>
              </w:rPr>
              <w:t>10</w:t>
            </w:r>
            <w:r>
              <w:rPr>
                <w:rFonts w:hint="eastAsia"/>
                <w:color w:val="auto"/>
                <w:highlight w:val="none"/>
                <w:u w:val="single"/>
              </w:rPr>
              <w:t>月</w:t>
            </w:r>
            <w:r>
              <w:rPr>
                <w:rFonts w:hint="eastAsia"/>
                <w:color w:val="auto"/>
                <w:highlight w:val="none"/>
                <w:u w:val="single"/>
                <w:lang w:val="en-US" w:eastAsia="zh-CN"/>
              </w:rPr>
              <w:t xml:space="preserve">  </w:t>
            </w:r>
            <w:r>
              <w:rPr>
                <w:rFonts w:hint="eastAsia"/>
                <w:color w:val="auto"/>
                <w:highlight w:val="none"/>
                <w:u w:val="single"/>
              </w:rPr>
              <w:t xml:space="preserve">日 </w:t>
            </w:r>
            <w:r>
              <w:rPr>
                <w:rFonts w:hint="eastAsia"/>
                <w:color w:val="auto"/>
                <w:highlight w:val="none"/>
                <w:u w:val="single"/>
                <w:lang w:val="en-US" w:eastAsia="zh-CN"/>
              </w:rPr>
              <w:t>10</w:t>
            </w:r>
            <w:r>
              <w:rPr>
                <w:rFonts w:hint="eastAsia"/>
                <w:color w:val="auto"/>
                <w:highlight w:val="none"/>
                <w:u w:val="single"/>
              </w:rPr>
              <w:t>时30分00秒</w:t>
            </w:r>
          </w:p>
        </w:tc>
      </w:tr>
      <w:tr w14:paraId="4282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857" w:type="dxa"/>
            <w:vAlign w:val="center"/>
          </w:tcPr>
          <w:p w14:paraId="34266F8C">
            <w:pPr>
              <w:spacing w:line="320" w:lineRule="exact"/>
              <w:jc w:val="center"/>
              <w:rPr>
                <w:color w:val="auto"/>
                <w:highlight w:val="none"/>
              </w:rPr>
            </w:pPr>
            <w:r>
              <w:rPr>
                <w:rFonts w:hint="eastAsia"/>
                <w:color w:val="auto"/>
                <w:highlight w:val="none"/>
              </w:rPr>
              <w:t>4.2.3</w:t>
            </w:r>
          </w:p>
        </w:tc>
        <w:tc>
          <w:tcPr>
            <w:tcW w:w="2334" w:type="dxa"/>
            <w:vAlign w:val="center"/>
          </w:tcPr>
          <w:p w14:paraId="1CCA7BEE">
            <w:pPr>
              <w:spacing w:line="320" w:lineRule="exact"/>
              <w:jc w:val="center"/>
              <w:rPr>
                <w:color w:val="auto"/>
                <w:highlight w:val="none"/>
              </w:rPr>
            </w:pPr>
            <w:r>
              <w:rPr>
                <w:rFonts w:hint="eastAsia"/>
                <w:color w:val="auto"/>
                <w:highlight w:val="none"/>
              </w:rPr>
              <w:t>是否退还投标文件</w:t>
            </w:r>
          </w:p>
        </w:tc>
        <w:tc>
          <w:tcPr>
            <w:tcW w:w="5436" w:type="dxa"/>
            <w:vAlign w:val="center"/>
          </w:tcPr>
          <w:p w14:paraId="67C73D11">
            <w:pPr>
              <w:spacing w:line="320" w:lineRule="exact"/>
              <w:jc w:val="left"/>
              <w:rPr>
                <w:color w:val="auto"/>
                <w:highlight w:val="none"/>
              </w:rPr>
            </w:pPr>
            <w:r>
              <w:rPr>
                <w:rFonts w:hint="eastAsia"/>
                <w:color w:val="auto"/>
                <w:highlight w:val="none"/>
              </w:rPr>
              <w:t>☑否</w:t>
            </w:r>
          </w:p>
          <w:p w14:paraId="0F6ECB87">
            <w:pPr>
              <w:spacing w:line="320" w:lineRule="exact"/>
              <w:jc w:val="left"/>
              <w:rPr>
                <w:color w:val="auto"/>
                <w:highlight w:val="none"/>
                <w:u w:val="single"/>
              </w:rPr>
            </w:pPr>
            <w:r>
              <w:rPr>
                <w:rFonts w:hint="eastAsia"/>
                <w:color w:val="auto"/>
                <w:highlight w:val="none"/>
              </w:rPr>
              <w:t>□是，退还具体安排：/</w:t>
            </w:r>
          </w:p>
        </w:tc>
      </w:tr>
      <w:tr w14:paraId="2986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57" w:type="dxa"/>
            <w:vAlign w:val="center"/>
          </w:tcPr>
          <w:p w14:paraId="625F52F6">
            <w:pPr>
              <w:spacing w:line="320" w:lineRule="exact"/>
              <w:jc w:val="center"/>
              <w:rPr>
                <w:color w:val="auto"/>
                <w:highlight w:val="none"/>
              </w:rPr>
            </w:pPr>
            <w:r>
              <w:rPr>
                <w:rFonts w:hint="eastAsia"/>
                <w:color w:val="auto"/>
                <w:highlight w:val="none"/>
              </w:rPr>
              <w:t>5</w:t>
            </w:r>
            <w:r>
              <w:rPr>
                <w:color w:val="auto"/>
                <w:highlight w:val="none"/>
              </w:rPr>
              <w:t>.1.1</w:t>
            </w:r>
          </w:p>
        </w:tc>
        <w:tc>
          <w:tcPr>
            <w:tcW w:w="2334" w:type="dxa"/>
            <w:vAlign w:val="center"/>
          </w:tcPr>
          <w:p w14:paraId="510B30CA">
            <w:pPr>
              <w:spacing w:line="320" w:lineRule="exact"/>
              <w:jc w:val="center"/>
              <w:rPr>
                <w:color w:val="auto"/>
                <w:highlight w:val="none"/>
              </w:rPr>
            </w:pPr>
            <w:r>
              <w:rPr>
                <w:rFonts w:hint="eastAsia"/>
                <w:color w:val="auto"/>
                <w:highlight w:val="none"/>
              </w:rPr>
              <w:t>开标组织方式</w:t>
            </w:r>
          </w:p>
        </w:tc>
        <w:tc>
          <w:tcPr>
            <w:tcW w:w="5436" w:type="dxa"/>
            <w:vAlign w:val="center"/>
          </w:tcPr>
          <w:p w14:paraId="578181EC">
            <w:pPr>
              <w:spacing w:line="320" w:lineRule="exact"/>
              <w:jc w:val="left"/>
              <w:rPr>
                <w:color w:val="auto"/>
                <w:highlight w:val="none"/>
              </w:rPr>
            </w:pPr>
            <w:r>
              <w:rPr>
                <w:rFonts w:hint="eastAsia"/>
                <w:color w:val="auto"/>
                <w:highlight w:val="none"/>
              </w:rPr>
              <w:t>□现场集中开标</w:t>
            </w:r>
          </w:p>
          <w:p w14:paraId="28354CD9">
            <w:pPr>
              <w:spacing w:line="320" w:lineRule="exact"/>
              <w:jc w:val="left"/>
              <w:rPr>
                <w:color w:val="auto"/>
                <w:highlight w:val="none"/>
              </w:rPr>
            </w:pPr>
            <w:bookmarkStart w:id="43" w:name="_Hlk154408936"/>
            <w:r>
              <w:rPr>
                <w:rFonts w:hint="eastAsia"/>
                <w:color w:val="auto"/>
                <w:highlight w:val="none"/>
              </w:rPr>
              <w:t>☑远程不见面开标</w:t>
            </w:r>
            <w:bookmarkEnd w:id="43"/>
          </w:p>
          <w:p w14:paraId="7CDCF951">
            <w:pPr>
              <w:spacing w:line="320" w:lineRule="exact"/>
              <w:jc w:val="left"/>
              <w:rPr>
                <w:color w:val="auto"/>
                <w:highlight w:val="none"/>
              </w:rPr>
            </w:pPr>
            <w:bookmarkStart w:id="44" w:name="_Hlk154408948"/>
            <w:r>
              <w:rPr>
                <w:rFonts w:hint="eastAsia"/>
                <w:color w:val="auto"/>
                <w:highlight w:val="none"/>
              </w:rPr>
              <w:t>□现场集中和远程不见面开标同时进行</w:t>
            </w:r>
            <w:bookmarkEnd w:id="44"/>
            <w:r>
              <w:rPr>
                <w:rFonts w:hint="eastAsia"/>
                <w:color w:val="auto"/>
                <w:highlight w:val="none"/>
              </w:rPr>
              <w:t>。投标人自行选择参与开标的方式。</w:t>
            </w:r>
          </w:p>
          <w:p w14:paraId="5AE6F318">
            <w:pPr>
              <w:spacing w:line="320" w:lineRule="exact"/>
              <w:jc w:val="left"/>
              <w:rPr>
                <w:color w:val="auto"/>
                <w:highlight w:val="none"/>
              </w:rPr>
            </w:pPr>
            <w:r>
              <w:rPr>
                <w:rFonts w:hint="eastAsia"/>
                <w:color w:val="auto"/>
                <w:highlight w:val="none"/>
              </w:rPr>
              <w:t>开标系统：</w:t>
            </w:r>
            <w:r>
              <w:rPr>
                <w:rFonts w:hint="eastAsia"/>
                <w:bCs/>
                <w:color w:val="auto"/>
                <w:highlight w:val="none"/>
                <w:u w:val="single"/>
              </w:rPr>
              <w:t>辽宁省工程建设项目数字化开标评标系统（https://dts.lnzb.com:8888/zjt-bid/）。</w:t>
            </w:r>
          </w:p>
        </w:tc>
      </w:tr>
      <w:tr w14:paraId="14F78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57" w:type="dxa"/>
            <w:vAlign w:val="center"/>
          </w:tcPr>
          <w:p w14:paraId="1484AD8C">
            <w:pPr>
              <w:spacing w:line="320" w:lineRule="exact"/>
              <w:jc w:val="center"/>
              <w:rPr>
                <w:color w:val="auto"/>
                <w:highlight w:val="none"/>
              </w:rPr>
            </w:pPr>
            <w:r>
              <w:rPr>
                <w:color w:val="auto"/>
                <w:highlight w:val="none"/>
              </w:rPr>
              <w:t>5.1.</w:t>
            </w:r>
            <w:r>
              <w:rPr>
                <w:rFonts w:hint="eastAsia"/>
                <w:color w:val="auto"/>
                <w:highlight w:val="none"/>
              </w:rPr>
              <w:t>2</w:t>
            </w:r>
          </w:p>
        </w:tc>
        <w:tc>
          <w:tcPr>
            <w:tcW w:w="2334" w:type="dxa"/>
            <w:vAlign w:val="center"/>
          </w:tcPr>
          <w:p w14:paraId="5C9BA1D9">
            <w:pPr>
              <w:spacing w:line="320" w:lineRule="exact"/>
              <w:jc w:val="center"/>
              <w:rPr>
                <w:color w:val="auto"/>
                <w:highlight w:val="none"/>
                <w:bdr w:val="single" w:color="auto" w:sz="4" w:space="0"/>
              </w:rPr>
            </w:pPr>
            <w:r>
              <w:rPr>
                <w:rFonts w:hint="eastAsia"/>
                <w:color w:val="auto"/>
                <w:highlight w:val="none"/>
              </w:rPr>
              <w:t>开标地点</w:t>
            </w:r>
          </w:p>
        </w:tc>
        <w:tc>
          <w:tcPr>
            <w:tcW w:w="5436" w:type="dxa"/>
            <w:vAlign w:val="center"/>
          </w:tcPr>
          <w:p w14:paraId="5D14E928">
            <w:pPr>
              <w:spacing w:line="320" w:lineRule="exact"/>
              <w:jc w:val="left"/>
              <w:rPr>
                <w:color w:val="auto"/>
                <w:highlight w:val="none"/>
                <w:bdr w:val="single" w:color="auto" w:sz="4" w:space="0"/>
              </w:rPr>
            </w:pPr>
            <w:r>
              <w:rPr>
                <w:rFonts w:hint="eastAsia"/>
                <w:color w:val="auto"/>
                <w:highlight w:val="none"/>
              </w:rPr>
              <w:t>辽宁省工程建设项目数字化开评标系统https://dts.lnzb.com:8888/zjt-bid/</w:t>
            </w:r>
          </w:p>
        </w:tc>
      </w:tr>
      <w:tr w14:paraId="6080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7" w:type="dxa"/>
            <w:vAlign w:val="center"/>
          </w:tcPr>
          <w:p w14:paraId="711A1C6D">
            <w:pPr>
              <w:spacing w:line="320" w:lineRule="exact"/>
              <w:jc w:val="center"/>
              <w:rPr>
                <w:rFonts w:hint="eastAsia" w:ascii="宋体" w:hAnsi="宋体"/>
                <w:color w:val="auto"/>
                <w:szCs w:val="21"/>
                <w:highlight w:val="none"/>
              </w:rPr>
            </w:pPr>
            <w:r>
              <w:rPr>
                <w:rFonts w:hint="eastAsia"/>
                <w:color w:val="auto"/>
                <w:highlight w:val="none"/>
              </w:rPr>
              <w:t>5.2.1（5）</w:t>
            </w:r>
          </w:p>
        </w:tc>
        <w:tc>
          <w:tcPr>
            <w:tcW w:w="2334" w:type="dxa"/>
            <w:vAlign w:val="center"/>
          </w:tcPr>
          <w:p w14:paraId="4540B132">
            <w:pPr>
              <w:spacing w:line="320" w:lineRule="exact"/>
              <w:jc w:val="center"/>
              <w:rPr>
                <w:rFonts w:hint="eastAsia" w:ascii="宋体" w:hAnsi="宋体"/>
                <w:color w:val="auto"/>
                <w:szCs w:val="21"/>
                <w:highlight w:val="none"/>
              </w:rPr>
            </w:pPr>
            <w:r>
              <w:rPr>
                <w:rFonts w:hint="eastAsia" w:ascii="宋体" w:hAnsi="宋体"/>
                <w:color w:val="auto"/>
                <w:szCs w:val="21"/>
                <w:highlight w:val="none"/>
              </w:rPr>
              <w:t>解密时间</w:t>
            </w:r>
          </w:p>
        </w:tc>
        <w:tc>
          <w:tcPr>
            <w:tcW w:w="5436" w:type="dxa"/>
            <w:vAlign w:val="center"/>
          </w:tcPr>
          <w:p w14:paraId="79C4676C">
            <w:pPr>
              <w:spacing w:line="320" w:lineRule="exact"/>
              <w:jc w:val="left"/>
              <w:rPr>
                <w:rFonts w:hint="eastAsia" w:ascii="宋体" w:hAnsi="宋体"/>
                <w:color w:val="auto"/>
                <w:szCs w:val="21"/>
                <w:highlight w:val="none"/>
              </w:rPr>
            </w:pPr>
            <w:r>
              <w:rPr>
                <w:rFonts w:hint="eastAsia" w:ascii="宋体" w:hAnsi="宋体"/>
                <w:color w:val="auto"/>
                <w:szCs w:val="21"/>
                <w:highlight w:val="none"/>
              </w:rPr>
              <w:t>招标人发出解密提示后</w:t>
            </w:r>
            <w:r>
              <w:rPr>
                <w:rFonts w:hint="eastAsia" w:ascii="宋体" w:hAnsi="宋体"/>
                <w:color w:val="auto"/>
                <w:szCs w:val="21"/>
                <w:highlight w:val="none"/>
                <w:u w:val="single"/>
              </w:rPr>
              <w:t>30</w:t>
            </w:r>
            <w:r>
              <w:rPr>
                <w:rFonts w:hint="eastAsia" w:ascii="宋体" w:hAnsi="宋体"/>
                <w:color w:val="auto"/>
                <w:szCs w:val="21"/>
                <w:highlight w:val="none"/>
              </w:rPr>
              <w:t>分钟内。如遇到投标人较多或其他特殊情况在规定时间内无法完成解密的，可报项目行政监督部门适当延长解密时间。</w:t>
            </w:r>
          </w:p>
        </w:tc>
      </w:tr>
      <w:tr w14:paraId="07CD9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857" w:type="dxa"/>
            <w:vAlign w:val="center"/>
          </w:tcPr>
          <w:p w14:paraId="01BEA631">
            <w:pPr>
              <w:spacing w:line="320" w:lineRule="exact"/>
              <w:jc w:val="center"/>
              <w:rPr>
                <w:color w:val="auto"/>
                <w:highlight w:val="none"/>
              </w:rPr>
            </w:pPr>
            <w:r>
              <w:rPr>
                <w:rFonts w:hint="eastAsia"/>
                <w:color w:val="auto"/>
                <w:highlight w:val="none"/>
              </w:rPr>
              <w:t>6.1.1</w:t>
            </w:r>
          </w:p>
        </w:tc>
        <w:tc>
          <w:tcPr>
            <w:tcW w:w="2334" w:type="dxa"/>
            <w:vAlign w:val="center"/>
          </w:tcPr>
          <w:p w14:paraId="316A4676">
            <w:pPr>
              <w:spacing w:line="320" w:lineRule="exact"/>
              <w:jc w:val="center"/>
              <w:rPr>
                <w:color w:val="auto"/>
                <w:highlight w:val="none"/>
              </w:rPr>
            </w:pPr>
            <w:r>
              <w:rPr>
                <w:rFonts w:hint="eastAsia"/>
                <w:color w:val="auto"/>
                <w:highlight w:val="none"/>
              </w:rPr>
              <w:t>评标委员会的组建</w:t>
            </w:r>
          </w:p>
        </w:tc>
        <w:tc>
          <w:tcPr>
            <w:tcW w:w="5436" w:type="dxa"/>
            <w:vAlign w:val="center"/>
          </w:tcPr>
          <w:p w14:paraId="11D01916">
            <w:pPr>
              <w:spacing w:line="320" w:lineRule="exact"/>
              <w:jc w:val="left"/>
              <w:rPr>
                <w:color w:val="auto"/>
                <w:highlight w:val="none"/>
              </w:rPr>
            </w:pPr>
            <w:r>
              <w:rPr>
                <w:rFonts w:hint="eastAsia"/>
                <w:color w:val="auto"/>
                <w:highlight w:val="none"/>
              </w:rPr>
              <w:t>评标委员会构成：</w:t>
            </w:r>
            <w:r>
              <w:rPr>
                <w:rFonts w:hint="eastAsia"/>
                <w:color w:val="auto"/>
                <w:highlight w:val="none"/>
                <w:u w:val="single"/>
              </w:rPr>
              <w:t>7</w:t>
            </w:r>
            <w:r>
              <w:rPr>
                <w:rFonts w:hint="eastAsia"/>
                <w:color w:val="auto"/>
                <w:highlight w:val="none"/>
              </w:rPr>
              <w:t>人，其中招标人代表</w:t>
            </w:r>
            <w:r>
              <w:rPr>
                <w:rFonts w:hint="eastAsia"/>
                <w:color w:val="auto"/>
                <w:highlight w:val="none"/>
                <w:u w:val="single"/>
              </w:rPr>
              <w:t>2</w:t>
            </w:r>
            <w:r>
              <w:rPr>
                <w:rFonts w:hint="eastAsia"/>
                <w:color w:val="auto"/>
                <w:highlight w:val="none"/>
              </w:rPr>
              <w:t>人，专家</w:t>
            </w:r>
            <w:r>
              <w:rPr>
                <w:rFonts w:hint="eastAsia"/>
                <w:color w:val="auto"/>
                <w:highlight w:val="none"/>
                <w:u w:val="single"/>
              </w:rPr>
              <w:t>5</w:t>
            </w:r>
            <w:r>
              <w:rPr>
                <w:rFonts w:hint="eastAsia"/>
                <w:color w:val="auto"/>
                <w:highlight w:val="none"/>
              </w:rPr>
              <w:t xml:space="preserve">人； </w:t>
            </w:r>
          </w:p>
          <w:p w14:paraId="06B85D5B">
            <w:pPr>
              <w:spacing w:line="320" w:lineRule="exact"/>
              <w:jc w:val="left"/>
              <w:rPr>
                <w:color w:val="auto"/>
                <w:highlight w:val="none"/>
              </w:rPr>
            </w:pPr>
            <w:r>
              <w:rPr>
                <w:rFonts w:hint="eastAsia"/>
                <w:color w:val="auto"/>
                <w:highlight w:val="none"/>
              </w:rPr>
              <w:t>评标专家确定方式：</w:t>
            </w:r>
            <w:r>
              <w:rPr>
                <w:rFonts w:hint="eastAsia"/>
                <w:color w:val="auto"/>
                <w:highlight w:val="none"/>
                <w:u w:val="single"/>
              </w:rPr>
              <w:t>从辽宁省综合评标专家库相应专业中随机抽取产生。</w:t>
            </w:r>
          </w:p>
        </w:tc>
      </w:tr>
      <w:tr w14:paraId="7731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57" w:type="dxa"/>
            <w:vAlign w:val="center"/>
          </w:tcPr>
          <w:p w14:paraId="65A13C03">
            <w:pPr>
              <w:spacing w:line="320" w:lineRule="exact"/>
              <w:jc w:val="center"/>
              <w:rPr>
                <w:color w:val="auto"/>
                <w:highlight w:val="none"/>
              </w:rPr>
            </w:pPr>
            <w:r>
              <w:rPr>
                <w:rFonts w:hint="eastAsia"/>
                <w:color w:val="auto"/>
                <w:highlight w:val="none"/>
              </w:rPr>
              <w:t>6</w:t>
            </w:r>
            <w:r>
              <w:rPr>
                <w:color w:val="auto"/>
                <w:highlight w:val="none"/>
              </w:rPr>
              <w:t>.3</w:t>
            </w:r>
          </w:p>
        </w:tc>
        <w:tc>
          <w:tcPr>
            <w:tcW w:w="2334" w:type="dxa"/>
            <w:vAlign w:val="center"/>
          </w:tcPr>
          <w:p w14:paraId="7EBD0CF5">
            <w:pPr>
              <w:spacing w:line="320" w:lineRule="exact"/>
              <w:jc w:val="center"/>
              <w:rPr>
                <w:color w:val="auto"/>
                <w:highlight w:val="none"/>
              </w:rPr>
            </w:pPr>
            <w:r>
              <w:rPr>
                <w:rFonts w:hint="eastAsia"/>
                <w:color w:val="auto"/>
                <w:highlight w:val="none"/>
              </w:rPr>
              <w:t>评标采用方式</w:t>
            </w:r>
          </w:p>
        </w:tc>
        <w:tc>
          <w:tcPr>
            <w:tcW w:w="5436" w:type="dxa"/>
            <w:vAlign w:val="center"/>
          </w:tcPr>
          <w:p w14:paraId="20916EB6">
            <w:pPr>
              <w:spacing w:line="320" w:lineRule="exact"/>
              <w:jc w:val="left"/>
              <w:rPr>
                <w:rFonts w:hint="eastAsia"/>
                <w:color w:val="auto"/>
                <w:highlight w:val="none"/>
              </w:rPr>
            </w:pPr>
            <w:r>
              <w:rPr>
                <w:rFonts w:hint="eastAsia"/>
                <w:color w:val="auto"/>
                <w:highlight w:val="none"/>
              </w:rPr>
              <w:t>评标组织形式：</w:t>
            </w:r>
          </w:p>
          <w:p w14:paraId="0EFD7A18">
            <w:pPr>
              <w:spacing w:line="320" w:lineRule="exact"/>
              <w:jc w:val="left"/>
              <w:rPr>
                <w:rFonts w:hint="eastAsia"/>
                <w:color w:val="auto"/>
                <w:highlight w:val="none"/>
              </w:rPr>
            </w:pPr>
            <w:r>
              <w:rPr>
                <w:rFonts w:hint="eastAsia"/>
                <w:color w:val="auto"/>
                <w:highlight w:val="none"/>
                <w:lang w:eastAsia="zh-CN"/>
              </w:rPr>
              <w:t>☑</w:t>
            </w:r>
            <w:r>
              <w:rPr>
                <w:rFonts w:hint="eastAsia"/>
                <w:color w:val="auto"/>
                <w:highlight w:val="none"/>
              </w:rPr>
              <w:t>本地集中评标方式</w:t>
            </w:r>
          </w:p>
          <w:p w14:paraId="05C3BF60">
            <w:pPr>
              <w:spacing w:line="320" w:lineRule="exact"/>
              <w:jc w:val="left"/>
              <w:rPr>
                <w:rFonts w:hint="eastAsia"/>
                <w:color w:val="auto"/>
                <w:highlight w:val="none"/>
              </w:rPr>
            </w:pPr>
            <w:r>
              <w:rPr>
                <w:rFonts w:hint="eastAsia"/>
                <w:color w:val="auto"/>
                <w:highlight w:val="none"/>
                <w:lang w:eastAsia="zh-CN"/>
              </w:rPr>
              <w:t>□</w:t>
            </w:r>
            <w:r>
              <w:rPr>
                <w:rFonts w:hint="eastAsia"/>
                <w:color w:val="auto"/>
                <w:highlight w:val="none"/>
              </w:rPr>
              <w:t>远程异地评标方式</w:t>
            </w:r>
          </w:p>
          <w:p w14:paraId="21A6D90B">
            <w:pPr>
              <w:spacing w:line="320" w:lineRule="exact"/>
              <w:jc w:val="left"/>
              <w:rPr>
                <w:rFonts w:hint="eastAsia"/>
                <w:color w:val="auto"/>
                <w:highlight w:val="none"/>
              </w:rPr>
            </w:pPr>
            <w:r>
              <w:rPr>
                <w:rFonts w:hint="eastAsia"/>
                <w:color w:val="auto"/>
                <w:highlight w:val="none"/>
              </w:rPr>
              <w:t>评标是否采用计算机辅助智能评审：</w:t>
            </w:r>
          </w:p>
          <w:p w14:paraId="47C430EA">
            <w:pPr>
              <w:spacing w:line="320" w:lineRule="exact"/>
              <w:jc w:val="left"/>
              <w:rPr>
                <w:rFonts w:hint="eastAsia"/>
                <w:color w:val="auto"/>
                <w:highlight w:val="none"/>
              </w:rPr>
            </w:pPr>
            <w:r>
              <w:rPr>
                <w:rFonts w:hint="eastAsia"/>
                <w:color w:val="auto"/>
                <w:highlight w:val="none"/>
                <w:lang w:eastAsia="zh-CN"/>
              </w:rPr>
              <w:t>□</w:t>
            </w:r>
            <w:r>
              <w:rPr>
                <w:rFonts w:hint="eastAsia"/>
                <w:color w:val="auto"/>
                <w:highlight w:val="none"/>
              </w:rPr>
              <w:t>是</w:t>
            </w:r>
          </w:p>
          <w:p w14:paraId="21A0CE9A">
            <w:pPr>
              <w:spacing w:line="320" w:lineRule="exact"/>
              <w:jc w:val="left"/>
              <w:rPr>
                <w:color w:val="auto"/>
                <w:highlight w:val="none"/>
              </w:rPr>
            </w:pPr>
            <w:r>
              <w:rPr>
                <w:rFonts w:hint="eastAsia"/>
                <w:color w:val="auto"/>
                <w:highlight w:val="none"/>
                <w:lang w:eastAsia="zh-CN"/>
              </w:rPr>
              <w:t>☑</w:t>
            </w:r>
            <w:r>
              <w:rPr>
                <w:rFonts w:hint="eastAsia"/>
                <w:color w:val="auto"/>
                <w:highlight w:val="none"/>
              </w:rPr>
              <w:t>否</w:t>
            </w:r>
          </w:p>
        </w:tc>
      </w:tr>
      <w:tr w14:paraId="5333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857" w:type="dxa"/>
            <w:vAlign w:val="center"/>
          </w:tcPr>
          <w:p w14:paraId="6C22D318">
            <w:pPr>
              <w:spacing w:line="320" w:lineRule="exact"/>
              <w:jc w:val="center"/>
              <w:rPr>
                <w:color w:val="auto"/>
                <w:szCs w:val="21"/>
                <w:highlight w:val="none"/>
              </w:rPr>
            </w:pPr>
            <w:r>
              <w:rPr>
                <w:rFonts w:hint="eastAsia"/>
                <w:color w:val="auto"/>
                <w:highlight w:val="none"/>
              </w:rPr>
              <w:t>6</w:t>
            </w:r>
            <w:r>
              <w:rPr>
                <w:color w:val="auto"/>
                <w:highlight w:val="none"/>
              </w:rPr>
              <w:t>.</w:t>
            </w:r>
            <w:r>
              <w:rPr>
                <w:rFonts w:hint="eastAsia"/>
                <w:color w:val="auto"/>
                <w:highlight w:val="none"/>
              </w:rPr>
              <w:t>4</w:t>
            </w:r>
          </w:p>
        </w:tc>
        <w:tc>
          <w:tcPr>
            <w:tcW w:w="2334" w:type="dxa"/>
            <w:vAlign w:val="center"/>
          </w:tcPr>
          <w:p w14:paraId="72FF1320">
            <w:pPr>
              <w:spacing w:line="320" w:lineRule="exact"/>
              <w:jc w:val="center"/>
              <w:rPr>
                <w:color w:val="auto"/>
                <w:highlight w:val="none"/>
              </w:rPr>
            </w:pPr>
            <w:r>
              <w:rPr>
                <w:rFonts w:hint="eastAsia"/>
                <w:color w:val="auto"/>
                <w:highlight w:val="none"/>
              </w:rPr>
              <w:t>评标结果公示媒介</w:t>
            </w:r>
          </w:p>
        </w:tc>
        <w:tc>
          <w:tcPr>
            <w:tcW w:w="5436" w:type="dxa"/>
            <w:vAlign w:val="center"/>
          </w:tcPr>
          <w:p w14:paraId="7207AD9D">
            <w:pPr>
              <w:spacing w:line="320" w:lineRule="exact"/>
              <w:jc w:val="left"/>
              <w:rPr>
                <w:color w:val="auto"/>
                <w:highlight w:val="none"/>
              </w:rPr>
            </w:pPr>
            <w:r>
              <w:rPr>
                <w:rFonts w:hint="eastAsia" w:asciiTheme="majorEastAsia" w:hAnsiTheme="majorEastAsia" w:eastAsiaTheme="majorEastAsia" w:cstheme="majorEastAsia"/>
                <w:color w:val="auto"/>
                <w:highlight w:val="none"/>
                <w:u w:val="none"/>
              </w:rPr>
              <w:t>辽宁建设工程信息网、辽宁省招标投标监管网</w:t>
            </w:r>
            <w:r>
              <w:rPr>
                <w:rFonts w:hint="eastAsia" w:asciiTheme="majorEastAsia" w:hAnsiTheme="majorEastAsia" w:eastAsiaTheme="majorEastAsia" w:cstheme="majorEastAsia"/>
                <w:color w:val="auto"/>
                <w:highlight w:val="none"/>
                <w:u w:val="none"/>
                <w:lang w:eastAsia="zh-CN"/>
              </w:rPr>
              <w:t>、</w:t>
            </w:r>
            <w:r>
              <w:rPr>
                <w:rFonts w:hint="eastAsia"/>
                <w:color w:val="auto"/>
                <w:highlight w:val="none"/>
              </w:rPr>
              <w:t>全国公共资源交易平台（辽宁省·营口市）、</w:t>
            </w:r>
            <w:r>
              <w:rPr>
                <w:rFonts w:hint="eastAsia" w:asciiTheme="majorEastAsia" w:hAnsiTheme="majorEastAsia" w:eastAsiaTheme="majorEastAsia" w:cstheme="majorEastAsia"/>
                <w:color w:val="auto"/>
                <w:highlight w:val="none"/>
                <w:u w:val="none"/>
                <w:lang w:val="en-US" w:eastAsia="zh-CN"/>
              </w:rPr>
              <w:t>中国招标投标公共服务</w:t>
            </w:r>
            <w:r>
              <w:rPr>
                <w:rFonts w:hint="eastAsia" w:asciiTheme="majorEastAsia" w:hAnsiTheme="majorEastAsia" w:eastAsiaTheme="majorEastAsia" w:cstheme="majorEastAsia"/>
                <w:strike w:val="0"/>
                <w:dstrike w:val="0"/>
                <w:color w:val="auto"/>
                <w:highlight w:val="none"/>
                <w:u w:val="none"/>
                <w:lang w:val="en-US" w:eastAsia="zh-CN"/>
              </w:rPr>
              <w:t>平台</w:t>
            </w:r>
          </w:p>
        </w:tc>
      </w:tr>
      <w:tr w14:paraId="46A61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857" w:type="dxa"/>
            <w:vAlign w:val="center"/>
          </w:tcPr>
          <w:p w14:paraId="0A6D3259">
            <w:pPr>
              <w:spacing w:line="320" w:lineRule="exact"/>
              <w:jc w:val="center"/>
              <w:rPr>
                <w:color w:val="auto"/>
                <w:highlight w:val="none"/>
              </w:rPr>
            </w:pPr>
            <w:r>
              <w:rPr>
                <w:rFonts w:hint="eastAsia"/>
                <w:color w:val="auto"/>
                <w:highlight w:val="none"/>
              </w:rPr>
              <w:t>7.1</w:t>
            </w:r>
          </w:p>
        </w:tc>
        <w:tc>
          <w:tcPr>
            <w:tcW w:w="2334" w:type="dxa"/>
            <w:vAlign w:val="center"/>
          </w:tcPr>
          <w:p w14:paraId="508C4CEA">
            <w:pPr>
              <w:spacing w:line="320" w:lineRule="exact"/>
              <w:jc w:val="center"/>
              <w:rPr>
                <w:color w:val="auto"/>
                <w:highlight w:val="none"/>
              </w:rPr>
            </w:pPr>
            <w:r>
              <w:rPr>
                <w:rFonts w:hint="eastAsia"/>
                <w:color w:val="auto"/>
                <w:highlight w:val="none"/>
              </w:rPr>
              <w:t>定标方式</w:t>
            </w:r>
          </w:p>
        </w:tc>
        <w:tc>
          <w:tcPr>
            <w:tcW w:w="5436" w:type="dxa"/>
            <w:vAlign w:val="center"/>
          </w:tcPr>
          <w:p w14:paraId="78D04247">
            <w:pPr>
              <w:spacing w:line="320" w:lineRule="exact"/>
              <w:rPr>
                <w:color w:val="auto"/>
                <w:highlight w:val="none"/>
              </w:rPr>
            </w:pPr>
            <w:r>
              <w:rPr>
                <w:rFonts w:hint="eastAsia"/>
                <w:color w:val="auto"/>
                <w:highlight w:val="none"/>
              </w:rPr>
              <w:t>推荐的中标候选人数：不超过</w:t>
            </w:r>
            <w:r>
              <w:rPr>
                <w:rFonts w:hint="eastAsia"/>
                <w:color w:val="auto"/>
                <w:highlight w:val="none"/>
                <w:u w:val="single"/>
              </w:rPr>
              <w:t>3</w:t>
            </w:r>
            <w:r>
              <w:rPr>
                <w:rFonts w:hint="eastAsia"/>
                <w:color w:val="auto"/>
                <w:highlight w:val="none"/>
              </w:rPr>
              <w:t>名</w:t>
            </w:r>
          </w:p>
          <w:p w14:paraId="43347F8B">
            <w:pPr>
              <w:spacing w:line="320" w:lineRule="exact"/>
              <w:rPr>
                <w:color w:val="auto"/>
                <w:highlight w:val="none"/>
              </w:rPr>
            </w:pPr>
            <w:r>
              <w:rPr>
                <w:rFonts w:hint="eastAsia"/>
                <w:color w:val="auto"/>
                <w:highlight w:val="none"/>
              </w:rPr>
              <w:t>□招标人授权评标委员会直接确定中标人</w:t>
            </w:r>
          </w:p>
          <w:p w14:paraId="09FBE263">
            <w:pPr>
              <w:spacing w:line="320" w:lineRule="exact"/>
              <w:rPr>
                <w:color w:val="auto"/>
                <w:highlight w:val="none"/>
              </w:rPr>
            </w:pPr>
            <w:r>
              <w:rPr>
                <w:rFonts w:hint="eastAsia"/>
                <w:color w:val="auto"/>
                <w:highlight w:val="none"/>
              </w:rPr>
              <w:t>☑招标人依据评标委员会推荐的中标候选人确定中标人</w:t>
            </w:r>
          </w:p>
          <w:p w14:paraId="55FAC7DA">
            <w:pPr>
              <w:spacing w:line="320" w:lineRule="exact"/>
              <w:rPr>
                <w:color w:val="auto"/>
                <w:highlight w:val="none"/>
                <w:u w:val="single"/>
              </w:rPr>
            </w:pPr>
            <w:r>
              <w:rPr>
                <w:rFonts w:hint="eastAsia"/>
                <w:color w:val="auto"/>
                <w:highlight w:val="none"/>
              </w:rPr>
              <w:t>□招标人从评标委员会推荐的中标候选人范围内自主研究确定中标人</w:t>
            </w:r>
            <w:r>
              <w:rPr>
                <w:color w:val="auto"/>
                <w:highlight w:val="none"/>
              </w:rPr>
              <w:t>。</w:t>
            </w:r>
          </w:p>
        </w:tc>
      </w:tr>
      <w:tr w14:paraId="32C1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857" w:type="dxa"/>
            <w:vAlign w:val="center"/>
          </w:tcPr>
          <w:p w14:paraId="2C943727">
            <w:pPr>
              <w:spacing w:line="320" w:lineRule="exact"/>
              <w:jc w:val="center"/>
              <w:rPr>
                <w:color w:val="auto"/>
                <w:highlight w:val="none"/>
              </w:rPr>
            </w:pPr>
            <w:r>
              <w:rPr>
                <w:rFonts w:hint="eastAsia"/>
                <w:color w:val="auto"/>
                <w:highlight w:val="none"/>
              </w:rPr>
              <w:t>7.3.1</w:t>
            </w:r>
          </w:p>
        </w:tc>
        <w:tc>
          <w:tcPr>
            <w:tcW w:w="2334" w:type="dxa"/>
            <w:vAlign w:val="center"/>
          </w:tcPr>
          <w:p w14:paraId="0EB0E4DF">
            <w:pPr>
              <w:spacing w:line="320" w:lineRule="exact"/>
              <w:jc w:val="center"/>
              <w:rPr>
                <w:color w:val="auto"/>
                <w:highlight w:val="none"/>
              </w:rPr>
            </w:pPr>
            <w:r>
              <w:rPr>
                <w:rFonts w:hint="eastAsia"/>
                <w:color w:val="auto"/>
                <w:highlight w:val="none"/>
              </w:rPr>
              <w:t>履约</w:t>
            </w:r>
            <w:r>
              <w:rPr>
                <w:color w:val="auto"/>
                <w:szCs w:val="21"/>
                <w:highlight w:val="none"/>
              </w:rPr>
              <w:t>保证金</w:t>
            </w:r>
          </w:p>
        </w:tc>
        <w:tc>
          <w:tcPr>
            <w:tcW w:w="5436" w:type="dxa"/>
            <w:vAlign w:val="center"/>
          </w:tcPr>
          <w:p w14:paraId="06A9358D">
            <w:pPr>
              <w:spacing w:line="320" w:lineRule="exact"/>
              <w:jc w:val="left"/>
              <w:rPr>
                <w:color w:val="auto"/>
                <w:highlight w:val="none"/>
              </w:rPr>
            </w:pPr>
            <w:r>
              <w:rPr>
                <w:rFonts w:hint="eastAsia"/>
                <w:color w:val="auto"/>
                <w:highlight w:val="none"/>
              </w:rPr>
              <w:t>□不提交</w:t>
            </w:r>
          </w:p>
          <w:p w14:paraId="4CD46DE3">
            <w:pPr>
              <w:spacing w:line="320" w:lineRule="exact"/>
              <w:jc w:val="left"/>
              <w:rPr>
                <w:color w:val="auto"/>
                <w:highlight w:val="none"/>
              </w:rPr>
            </w:pPr>
            <w:r>
              <w:rPr>
                <w:rFonts w:hint="eastAsia"/>
                <w:color w:val="auto"/>
                <w:highlight w:val="none"/>
              </w:rPr>
              <w:t>☑提交，履约</w:t>
            </w:r>
            <w:r>
              <w:rPr>
                <w:color w:val="auto"/>
                <w:szCs w:val="21"/>
                <w:highlight w:val="none"/>
              </w:rPr>
              <w:t>保证金</w:t>
            </w:r>
            <w:r>
              <w:rPr>
                <w:rFonts w:hint="eastAsia"/>
                <w:color w:val="auto"/>
                <w:highlight w:val="none"/>
              </w:rPr>
              <w:t>的形式：</w:t>
            </w:r>
          </w:p>
          <w:p w14:paraId="37BB4E8C">
            <w:pPr>
              <w:spacing w:line="320" w:lineRule="exact"/>
              <w:ind w:firstLine="420" w:firstLineChars="200"/>
              <w:jc w:val="left"/>
              <w:rPr>
                <w:rFonts w:hint="eastAsia"/>
                <w:color w:val="auto"/>
                <w:highlight w:val="none"/>
                <w:u w:val="single"/>
              </w:rPr>
            </w:pPr>
            <w:r>
              <w:rPr>
                <w:rFonts w:hint="eastAsia"/>
                <w:color w:val="auto"/>
                <w:highlight w:val="none"/>
                <w:lang w:eastAsia="zh-CN"/>
              </w:rPr>
              <w:t>☑</w:t>
            </w:r>
            <w:r>
              <w:rPr>
                <w:rFonts w:hint="eastAsia"/>
                <w:color w:val="auto"/>
                <w:highlight w:val="none"/>
              </w:rPr>
              <w:t xml:space="preserve">现金  </w:t>
            </w:r>
            <w:r>
              <w:rPr>
                <w:rFonts w:hint="eastAsia"/>
                <w:color w:val="auto"/>
                <w:highlight w:val="none"/>
                <w:lang w:eastAsia="zh-CN"/>
              </w:rPr>
              <w:t>☑</w:t>
            </w:r>
            <w:r>
              <w:rPr>
                <w:rFonts w:hint="eastAsia"/>
                <w:color w:val="auto"/>
                <w:highlight w:val="none"/>
              </w:rPr>
              <w:t>保函（保险）  □其他形式</w:t>
            </w:r>
            <w:r>
              <w:rPr>
                <w:rFonts w:hint="eastAsia"/>
                <w:color w:val="auto"/>
                <w:highlight w:val="none"/>
                <w:lang w:eastAsia="zh-CN"/>
              </w:rPr>
              <w:t>（</w:t>
            </w:r>
            <w:r>
              <w:rPr>
                <w:rFonts w:hint="eastAsia"/>
                <w:color w:val="auto"/>
                <w:highlight w:val="none"/>
                <w:u w:val="single"/>
              </w:rPr>
              <w:t>/</w:t>
            </w:r>
            <w:r>
              <w:rPr>
                <w:rFonts w:hint="eastAsia"/>
                <w:color w:val="auto"/>
                <w:highlight w:val="none"/>
                <w:u w:val="none"/>
                <w:lang w:eastAsia="zh-CN"/>
              </w:rPr>
              <w:t>）</w:t>
            </w:r>
          </w:p>
          <w:p w14:paraId="689AB0C6">
            <w:pPr>
              <w:spacing w:line="320" w:lineRule="exact"/>
              <w:jc w:val="left"/>
              <w:rPr>
                <w:color w:val="auto"/>
                <w:szCs w:val="21"/>
                <w:highlight w:val="none"/>
              </w:rPr>
            </w:pPr>
            <w:r>
              <w:rPr>
                <w:rFonts w:hint="eastAsia"/>
                <w:color w:val="auto"/>
                <w:highlight w:val="none"/>
              </w:rPr>
              <w:t>履约</w:t>
            </w:r>
            <w:r>
              <w:rPr>
                <w:color w:val="auto"/>
                <w:szCs w:val="21"/>
                <w:highlight w:val="none"/>
              </w:rPr>
              <w:t>保证金</w:t>
            </w:r>
            <w:r>
              <w:rPr>
                <w:rFonts w:hint="eastAsia"/>
                <w:color w:val="auto"/>
                <w:highlight w:val="none"/>
              </w:rPr>
              <w:t>的金额：</w:t>
            </w:r>
            <w:r>
              <w:rPr>
                <w:rFonts w:hint="eastAsia"/>
                <w:color w:val="auto"/>
                <w:szCs w:val="21"/>
                <w:highlight w:val="none"/>
              </w:rPr>
              <w:t>合同总价的</w:t>
            </w:r>
            <w:r>
              <w:rPr>
                <w:rFonts w:hint="eastAsia"/>
                <w:color w:val="auto"/>
                <w:szCs w:val="21"/>
                <w:highlight w:val="none"/>
                <w:u w:val="single"/>
                <w:lang w:val="en-US" w:eastAsia="zh-CN"/>
              </w:rPr>
              <w:t>10</w:t>
            </w:r>
            <w:r>
              <w:rPr>
                <w:rFonts w:hint="eastAsia"/>
                <w:color w:val="auto"/>
                <w:szCs w:val="21"/>
                <w:highlight w:val="none"/>
              </w:rPr>
              <w:t>%</w:t>
            </w:r>
          </w:p>
        </w:tc>
      </w:tr>
      <w:tr w14:paraId="39E9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857" w:type="dxa"/>
            <w:vAlign w:val="center"/>
          </w:tcPr>
          <w:p w14:paraId="09C23E33">
            <w:pPr>
              <w:spacing w:line="320" w:lineRule="exact"/>
              <w:jc w:val="center"/>
              <w:rPr>
                <w:color w:val="auto"/>
                <w:highlight w:val="none"/>
              </w:rPr>
            </w:pPr>
            <w:r>
              <w:rPr>
                <w:rFonts w:hint="eastAsia"/>
                <w:color w:val="auto"/>
                <w:highlight w:val="none"/>
              </w:rPr>
              <w:t>9</w:t>
            </w:r>
            <w:r>
              <w:rPr>
                <w:color w:val="auto"/>
                <w:highlight w:val="none"/>
              </w:rPr>
              <w:t>.</w:t>
            </w:r>
            <w:r>
              <w:rPr>
                <w:rFonts w:hint="eastAsia"/>
                <w:color w:val="auto"/>
                <w:highlight w:val="none"/>
              </w:rPr>
              <w:t>5</w:t>
            </w:r>
          </w:p>
        </w:tc>
        <w:tc>
          <w:tcPr>
            <w:tcW w:w="2334" w:type="dxa"/>
            <w:vAlign w:val="center"/>
          </w:tcPr>
          <w:p w14:paraId="4A2F2646">
            <w:pPr>
              <w:spacing w:line="320" w:lineRule="exact"/>
              <w:jc w:val="center"/>
              <w:rPr>
                <w:color w:val="auto"/>
                <w:szCs w:val="21"/>
                <w:highlight w:val="none"/>
              </w:rPr>
            </w:pPr>
            <w:r>
              <w:rPr>
                <w:rFonts w:hint="eastAsia"/>
                <w:color w:val="auto"/>
                <w:highlight w:val="none"/>
              </w:rPr>
              <w:t>行政监督部门</w:t>
            </w:r>
          </w:p>
        </w:tc>
        <w:tc>
          <w:tcPr>
            <w:tcW w:w="5436" w:type="dxa"/>
            <w:vAlign w:val="center"/>
          </w:tcPr>
          <w:p w14:paraId="5FA58E44">
            <w:pPr>
              <w:spacing w:line="320" w:lineRule="exact"/>
              <w:jc w:val="left"/>
              <w:rPr>
                <w:rFonts w:hint="eastAsia" w:asciiTheme="majorEastAsia" w:hAnsiTheme="majorEastAsia" w:eastAsiaTheme="majorEastAsia" w:cstheme="majorEastAsia"/>
                <w:color w:val="auto"/>
                <w:highlight w:val="none"/>
                <w:u w:val="none"/>
                <w:lang w:val="en-US" w:eastAsia="zh-CN"/>
              </w:rPr>
            </w:pPr>
            <w:r>
              <w:rPr>
                <w:rFonts w:hint="eastAsia" w:asciiTheme="majorEastAsia" w:hAnsiTheme="majorEastAsia" w:eastAsiaTheme="majorEastAsia" w:cstheme="majorEastAsia"/>
                <w:color w:val="auto"/>
                <w:highlight w:val="none"/>
                <w:u w:val="none"/>
                <w:lang w:val="en-US" w:eastAsia="zh-CN"/>
              </w:rPr>
              <w:t>名称：营口北海经济开发区管理委员会规划建设局</w:t>
            </w:r>
          </w:p>
          <w:p w14:paraId="3072F0BB">
            <w:pPr>
              <w:spacing w:line="320" w:lineRule="exact"/>
              <w:jc w:val="left"/>
              <w:rPr>
                <w:rFonts w:hint="default" w:asciiTheme="majorEastAsia" w:hAnsiTheme="majorEastAsia" w:eastAsiaTheme="majorEastAsia" w:cstheme="majorEastAsia"/>
                <w:color w:val="auto"/>
                <w:highlight w:val="none"/>
                <w:u w:val="none"/>
                <w:lang w:val="en-US" w:eastAsia="zh-CN"/>
              </w:rPr>
            </w:pPr>
            <w:r>
              <w:rPr>
                <w:rFonts w:hint="eastAsia" w:asciiTheme="majorEastAsia" w:hAnsiTheme="majorEastAsia" w:eastAsiaTheme="majorEastAsia" w:cstheme="majorEastAsia"/>
                <w:color w:val="auto"/>
                <w:highlight w:val="none"/>
                <w:u w:val="none"/>
                <w:lang w:val="en-US" w:eastAsia="zh-CN"/>
              </w:rPr>
              <w:t>地址：/</w:t>
            </w:r>
          </w:p>
          <w:p w14:paraId="43F9D96E">
            <w:pPr>
              <w:spacing w:line="320" w:lineRule="exact"/>
              <w:jc w:val="left"/>
              <w:rPr>
                <w:color w:val="auto"/>
                <w:szCs w:val="21"/>
                <w:highlight w:val="none"/>
              </w:rPr>
            </w:pPr>
            <w:r>
              <w:rPr>
                <w:rFonts w:hint="eastAsia"/>
                <w:color w:val="auto"/>
                <w:szCs w:val="21"/>
                <w:highlight w:val="none"/>
              </w:rPr>
              <w:t>电话：</w:t>
            </w:r>
            <w:r>
              <w:rPr>
                <w:rFonts w:hint="eastAsia" w:asciiTheme="majorEastAsia" w:hAnsiTheme="majorEastAsia" w:eastAsiaTheme="majorEastAsia" w:cstheme="majorEastAsia"/>
                <w:color w:val="auto"/>
                <w:highlight w:val="none"/>
                <w:u w:val="none"/>
              </w:rPr>
              <w:t>0417-6578077</w:t>
            </w:r>
          </w:p>
          <w:p w14:paraId="79F62DDD">
            <w:pPr>
              <w:spacing w:line="320" w:lineRule="exact"/>
              <w:jc w:val="left"/>
              <w:rPr>
                <w:color w:val="auto"/>
                <w:szCs w:val="21"/>
                <w:highlight w:val="none"/>
                <w:u w:val="single"/>
              </w:rPr>
            </w:pPr>
            <w:r>
              <w:rPr>
                <w:rFonts w:hint="eastAsia"/>
                <w:color w:val="auto"/>
                <w:szCs w:val="21"/>
                <w:highlight w:val="none"/>
              </w:rPr>
              <w:t>传真：</w:t>
            </w:r>
            <w:r>
              <w:rPr>
                <w:rFonts w:hint="eastAsia"/>
                <w:color w:val="auto"/>
                <w:szCs w:val="21"/>
                <w:highlight w:val="none"/>
                <w:u w:val="single"/>
              </w:rPr>
              <w:t>/</w:t>
            </w:r>
          </w:p>
          <w:p w14:paraId="5927A850">
            <w:pPr>
              <w:spacing w:line="320" w:lineRule="exact"/>
              <w:jc w:val="left"/>
              <w:rPr>
                <w:rFonts w:hint="eastAsia"/>
                <w:color w:val="auto"/>
                <w:szCs w:val="21"/>
                <w:highlight w:val="none"/>
                <w:u w:val="single"/>
              </w:rPr>
            </w:pPr>
            <w:r>
              <w:rPr>
                <w:rFonts w:hint="eastAsia"/>
                <w:color w:val="auto"/>
                <w:szCs w:val="21"/>
                <w:highlight w:val="none"/>
              </w:rPr>
              <w:t>邮政编码：</w:t>
            </w:r>
            <w:r>
              <w:rPr>
                <w:rFonts w:hint="eastAsia"/>
                <w:color w:val="auto"/>
                <w:szCs w:val="21"/>
                <w:highlight w:val="none"/>
                <w:u w:val="single"/>
              </w:rPr>
              <w:t>/</w:t>
            </w:r>
          </w:p>
          <w:p w14:paraId="314C40EC">
            <w:pPr>
              <w:spacing w:line="320" w:lineRule="exact"/>
              <w:jc w:val="left"/>
              <w:rPr>
                <w:rFonts w:hint="eastAsia"/>
                <w:color w:val="auto"/>
                <w:szCs w:val="21"/>
                <w:highlight w:val="none"/>
                <w:u w:val="single"/>
              </w:rPr>
            </w:pPr>
            <w:r>
              <w:rPr>
                <w:rFonts w:hint="eastAsia"/>
                <w:color w:val="auto"/>
                <w:szCs w:val="21"/>
                <w:highlight w:val="none"/>
              </w:rPr>
              <w:t>异议投诉渠道：辽宁省工程建设项目招标投标异议投诉处理系统</w:t>
            </w:r>
          </w:p>
        </w:tc>
      </w:tr>
      <w:tr w14:paraId="068C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57" w:type="dxa"/>
            <w:vAlign w:val="center"/>
          </w:tcPr>
          <w:p w14:paraId="39EC6BE2">
            <w:pPr>
              <w:spacing w:line="320" w:lineRule="exact"/>
              <w:jc w:val="center"/>
              <w:rPr>
                <w:color w:val="auto"/>
                <w:highlight w:val="none"/>
              </w:rPr>
            </w:pPr>
            <w:r>
              <w:rPr>
                <w:rFonts w:hint="eastAsia"/>
                <w:color w:val="auto"/>
                <w:highlight w:val="none"/>
              </w:rPr>
              <w:t>1</w:t>
            </w:r>
            <w:r>
              <w:rPr>
                <w:color w:val="auto"/>
                <w:highlight w:val="none"/>
              </w:rPr>
              <w:t>0</w:t>
            </w:r>
          </w:p>
        </w:tc>
        <w:tc>
          <w:tcPr>
            <w:tcW w:w="7770" w:type="dxa"/>
            <w:gridSpan w:val="2"/>
            <w:vAlign w:val="center"/>
          </w:tcPr>
          <w:p w14:paraId="49C8AE2A">
            <w:pPr>
              <w:spacing w:line="320" w:lineRule="exact"/>
              <w:rPr>
                <w:b/>
                <w:bCs/>
                <w:color w:val="auto"/>
                <w:szCs w:val="21"/>
                <w:highlight w:val="none"/>
              </w:rPr>
            </w:pPr>
            <w:r>
              <w:rPr>
                <w:rFonts w:hint="eastAsia"/>
                <w:b/>
                <w:bCs/>
                <w:color w:val="auto"/>
                <w:szCs w:val="21"/>
                <w:highlight w:val="none"/>
              </w:rPr>
              <w:t>需要补充的其他内容</w:t>
            </w:r>
          </w:p>
        </w:tc>
      </w:tr>
      <w:tr w14:paraId="177F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7" w:type="dxa"/>
            <w:vAlign w:val="center"/>
          </w:tcPr>
          <w:p w14:paraId="44D11FFC">
            <w:pPr>
              <w:spacing w:line="320" w:lineRule="exact"/>
              <w:jc w:val="center"/>
              <w:rPr>
                <w:color w:val="auto"/>
                <w:highlight w:val="none"/>
              </w:rPr>
            </w:pPr>
            <w:r>
              <w:rPr>
                <w:rFonts w:hint="eastAsia"/>
                <w:color w:val="auto"/>
                <w:highlight w:val="none"/>
              </w:rPr>
              <w:t>1</w:t>
            </w:r>
            <w:r>
              <w:rPr>
                <w:color w:val="auto"/>
                <w:highlight w:val="none"/>
              </w:rPr>
              <w:t>0.1</w:t>
            </w:r>
          </w:p>
        </w:tc>
        <w:tc>
          <w:tcPr>
            <w:tcW w:w="7770" w:type="dxa"/>
            <w:gridSpan w:val="2"/>
            <w:vAlign w:val="center"/>
          </w:tcPr>
          <w:p w14:paraId="15DDD2EB">
            <w:pPr>
              <w:spacing w:line="320" w:lineRule="exact"/>
              <w:rPr>
                <w:b/>
                <w:bCs/>
                <w:color w:val="auto"/>
                <w:szCs w:val="21"/>
                <w:highlight w:val="none"/>
              </w:rPr>
            </w:pPr>
            <w:r>
              <w:rPr>
                <w:rFonts w:hint="eastAsia"/>
                <w:b/>
                <w:bCs/>
                <w:color w:val="auto"/>
                <w:szCs w:val="21"/>
                <w:highlight w:val="none"/>
              </w:rPr>
              <w:t>词语定义</w:t>
            </w:r>
          </w:p>
        </w:tc>
      </w:tr>
      <w:tr w14:paraId="3660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14:paraId="68C1CB71">
            <w:pPr>
              <w:spacing w:line="320" w:lineRule="exact"/>
              <w:jc w:val="center"/>
              <w:rPr>
                <w:color w:val="auto"/>
                <w:szCs w:val="21"/>
                <w:highlight w:val="none"/>
              </w:rPr>
            </w:pPr>
            <w:r>
              <w:rPr>
                <w:rFonts w:hint="eastAsia"/>
                <w:color w:val="auto"/>
                <w:szCs w:val="21"/>
                <w:highlight w:val="none"/>
              </w:rPr>
              <w:t>1</w:t>
            </w:r>
            <w:r>
              <w:rPr>
                <w:color w:val="auto"/>
                <w:szCs w:val="21"/>
                <w:highlight w:val="none"/>
              </w:rPr>
              <w:t>0.1.1</w:t>
            </w:r>
          </w:p>
        </w:tc>
        <w:tc>
          <w:tcPr>
            <w:tcW w:w="2334" w:type="dxa"/>
            <w:vAlign w:val="center"/>
          </w:tcPr>
          <w:p w14:paraId="0A0E70DB">
            <w:pPr>
              <w:spacing w:line="320" w:lineRule="exact"/>
              <w:jc w:val="center"/>
              <w:rPr>
                <w:color w:val="auto"/>
                <w:szCs w:val="21"/>
                <w:highlight w:val="none"/>
              </w:rPr>
            </w:pPr>
            <w:r>
              <w:rPr>
                <w:rFonts w:hint="eastAsia"/>
                <w:color w:val="auto"/>
                <w:szCs w:val="21"/>
                <w:highlight w:val="none"/>
              </w:rPr>
              <w:t>类似项目</w:t>
            </w:r>
          </w:p>
        </w:tc>
        <w:tc>
          <w:tcPr>
            <w:tcW w:w="5436" w:type="dxa"/>
            <w:vAlign w:val="center"/>
          </w:tcPr>
          <w:p w14:paraId="2FA95F11">
            <w:pPr>
              <w:spacing w:line="320" w:lineRule="exact"/>
              <w:jc w:val="left"/>
              <w:rPr>
                <w:rFonts w:hint="eastAsia" w:ascii="宋体" w:hAnsi="宋体" w:cs="宋体"/>
                <w:color w:val="auto"/>
                <w:highlight w:val="none"/>
              </w:rPr>
            </w:pPr>
            <w:r>
              <w:rPr>
                <w:rFonts w:hint="eastAsia" w:ascii="宋体" w:hAnsi="宋体" w:cs="宋体"/>
                <w:color w:val="auto"/>
                <w:szCs w:val="21"/>
                <w:highlight w:val="none"/>
              </w:rPr>
              <w:t>（1）类似项目指合同金额大于</w:t>
            </w:r>
            <w:r>
              <w:rPr>
                <w:rFonts w:hint="eastAsia" w:ascii="宋体" w:hAnsi="宋体" w:cs="宋体"/>
                <w:color w:val="auto"/>
                <w:highlight w:val="none"/>
                <w:u w:val="single"/>
              </w:rPr>
              <w:t>/</w:t>
            </w:r>
            <w:r>
              <w:rPr>
                <w:rFonts w:hint="eastAsia" w:ascii="宋体" w:hAnsi="宋体" w:cs="宋体"/>
                <w:color w:val="auto"/>
                <w:highlight w:val="none"/>
              </w:rPr>
              <w:t>万元</w:t>
            </w:r>
            <w:r>
              <w:rPr>
                <w:rFonts w:hint="eastAsia" w:ascii="宋体" w:hAnsi="宋体" w:cs="宋体"/>
                <w:color w:val="auto"/>
                <w:highlight w:val="none"/>
                <w:u w:val="single"/>
              </w:rPr>
              <w:t>/</w:t>
            </w:r>
            <w:r>
              <w:rPr>
                <w:rFonts w:hint="eastAsia" w:ascii="宋体" w:hAnsi="宋体" w:cs="宋体"/>
                <w:color w:val="auto"/>
                <w:highlight w:val="none"/>
              </w:rPr>
              <w:t>工程，且项目已完成。</w:t>
            </w:r>
          </w:p>
          <w:p w14:paraId="5B4D88E0">
            <w:pPr>
              <w:spacing w:line="320" w:lineRule="exact"/>
              <w:jc w:val="left"/>
              <w:rPr>
                <w:rFonts w:hint="eastAsia" w:ascii="宋体" w:hAnsi="宋体" w:cs="宋体"/>
                <w:color w:val="auto"/>
                <w:highlight w:val="none"/>
              </w:rPr>
            </w:pPr>
            <w:r>
              <w:rPr>
                <w:rFonts w:hint="eastAsia" w:ascii="宋体" w:hAnsi="宋体" w:cs="宋体"/>
                <w:color w:val="auto"/>
                <w:highlight w:val="none"/>
              </w:rPr>
              <w:t>（2）类似项目时间：</w:t>
            </w:r>
          </w:p>
          <w:p w14:paraId="2B186E7E">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rPr>
              <w:t>合同签订时间为准</w:t>
            </w:r>
          </w:p>
          <w:p w14:paraId="1982EF38">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lang w:eastAsia="zh-CN"/>
              </w:rPr>
              <w:t>☑</w:t>
            </w:r>
            <w:bookmarkStart w:id="45" w:name="OLE_LINK9"/>
            <w:r>
              <w:rPr>
                <w:rFonts w:hint="eastAsia" w:ascii="宋体" w:hAnsi="宋体" w:cs="宋体"/>
                <w:color w:val="auto"/>
                <w:highlight w:val="none"/>
              </w:rPr>
              <w:t>竣工验收时间为准</w:t>
            </w:r>
            <w:bookmarkEnd w:id="45"/>
          </w:p>
          <w:p w14:paraId="417D1428">
            <w:pPr>
              <w:spacing w:line="320" w:lineRule="exact"/>
              <w:jc w:val="left"/>
              <w:rPr>
                <w:rFonts w:hint="eastAsia" w:ascii="宋体" w:hAnsi="宋体" w:cs="宋体"/>
                <w:color w:val="auto"/>
                <w:highlight w:val="none"/>
              </w:rPr>
            </w:pPr>
            <w:r>
              <w:rPr>
                <w:rFonts w:hint="eastAsia" w:ascii="宋体" w:hAnsi="宋体" w:cs="宋体"/>
                <w:color w:val="auto"/>
                <w:highlight w:val="none"/>
              </w:rPr>
              <w:t>（3）类似项目类型</w:t>
            </w:r>
          </w:p>
          <w:p w14:paraId="63C745B3">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rPr>
              <w:t>□A类</w:t>
            </w:r>
          </w:p>
          <w:p w14:paraId="28EB8FBB">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rPr>
              <w:t>☑A+B类</w:t>
            </w:r>
          </w:p>
          <w:p w14:paraId="34653012">
            <w:pPr>
              <w:spacing w:line="320" w:lineRule="exact"/>
              <w:jc w:val="left"/>
              <w:rPr>
                <w:rFonts w:hint="eastAsia" w:eastAsia="宋体"/>
                <w:color w:val="auto"/>
                <w:highlight w:val="none"/>
                <w:lang w:eastAsia="zh-CN"/>
              </w:rPr>
            </w:pPr>
            <w:r>
              <w:rPr>
                <w:rFonts w:hint="eastAsia" w:ascii="宋体" w:hAnsi="宋体" w:cs="宋体"/>
                <w:color w:val="auto"/>
                <w:highlight w:val="none"/>
              </w:rPr>
              <w:t>（4）其他：</w:t>
            </w:r>
            <w:r>
              <w:rPr>
                <w:rFonts w:hint="eastAsia" w:ascii="宋体" w:hAnsi="宋体" w:cs="宋体"/>
                <w:color w:val="auto"/>
                <w:highlight w:val="none"/>
                <w:lang w:eastAsia="zh-CN"/>
              </w:rPr>
              <w:t>设计类业绩</w:t>
            </w:r>
            <w:r>
              <w:rPr>
                <w:rFonts w:hint="eastAsia" w:ascii="宋体" w:hAnsi="宋体" w:eastAsia="宋体" w:cs="宋体"/>
                <w:b w:val="0"/>
                <w:bCs/>
                <w:i w:val="0"/>
                <w:color w:val="auto"/>
                <w:szCs w:val="21"/>
                <w:highlight w:val="none"/>
                <w:u w:val="none" w:color="auto"/>
              </w:rPr>
              <w:t>时间以</w:t>
            </w:r>
            <w:r>
              <w:rPr>
                <w:rFonts w:hint="eastAsia" w:ascii="宋体" w:hAnsi="宋体" w:cs="宋体"/>
                <w:b w:val="0"/>
                <w:bCs/>
                <w:i w:val="0"/>
                <w:color w:val="auto"/>
                <w:szCs w:val="21"/>
                <w:highlight w:val="none"/>
                <w:u w:val="none" w:color="auto"/>
                <w:lang w:val="en-US" w:eastAsia="zh-CN"/>
              </w:rPr>
              <w:t>竣工验收</w:t>
            </w:r>
            <w:r>
              <w:rPr>
                <w:rFonts w:hint="eastAsia" w:ascii="宋体" w:hAnsi="宋体" w:eastAsia="宋体" w:cs="宋体"/>
                <w:b w:val="0"/>
                <w:bCs/>
                <w:i w:val="0"/>
                <w:color w:val="auto"/>
                <w:szCs w:val="21"/>
                <w:highlight w:val="none"/>
                <w:u w:val="none" w:color="auto"/>
              </w:rPr>
              <w:t>时间为准</w:t>
            </w:r>
            <w:r>
              <w:rPr>
                <w:rFonts w:hint="eastAsia" w:ascii="宋体" w:hAnsi="宋体" w:cs="宋体"/>
                <w:b w:val="0"/>
                <w:bCs/>
                <w:i w:val="0"/>
                <w:color w:val="auto"/>
                <w:szCs w:val="21"/>
                <w:highlight w:val="none"/>
                <w:u w:val="none" w:color="auto"/>
                <w:lang w:eastAsia="zh-CN"/>
              </w:rPr>
              <w:t>；施工类业绩</w:t>
            </w:r>
            <w:r>
              <w:rPr>
                <w:rFonts w:hint="eastAsia" w:ascii="宋体" w:hAnsi="宋体" w:eastAsia="宋体" w:cs="宋体"/>
                <w:b w:val="0"/>
                <w:bCs/>
                <w:i w:val="0"/>
                <w:color w:val="auto"/>
                <w:szCs w:val="21"/>
                <w:highlight w:val="none"/>
                <w:u w:val="none" w:color="auto"/>
              </w:rPr>
              <w:t>时间以竣工验收时间为准。</w:t>
            </w:r>
          </w:p>
        </w:tc>
      </w:tr>
      <w:tr w14:paraId="429A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57336106">
            <w:pPr>
              <w:spacing w:line="320" w:lineRule="exact"/>
              <w:jc w:val="center"/>
              <w:rPr>
                <w:color w:val="auto"/>
                <w:szCs w:val="21"/>
                <w:highlight w:val="none"/>
              </w:rPr>
            </w:pPr>
            <w:r>
              <w:rPr>
                <w:rFonts w:hint="eastAsia"/>
                <w:color w:val="auto"/>
                <w:szCs w:val="21"/>
                <w:highlight w:val="none"/>
              </w:rPr>
              <w:t>1</w:t>
            </w:r>
            <w:r>
              <w:rPr>
                <w:color w:val="auto"/>
                <w:szCs w:val="21"/>
                <w:highlight w:val="none"/>
              </w:rPr>
              <w:t>0.1.</w:t>
            </w:r>
            <w:r>
              <w:rPr>
                <w:rFonts w:hint="eastAsia"/>
                <w:color w:val="auto"/>
                <w:szCs w:val="21"/>
                <w:highlight w:val="none"/>
              </w:rPr>
              <w:t>2</w:t>
            </w:r>
          </w:p>
        </w:tc>
        <w:tc>
          <w:tcPr>
            <w:tcW w:w="2334" w:type="dxa"/>
            <w:vAlign w:val="center"/>
          </w:tcPr>
          <w:p w14:paraId="427CA23E">
            <w:pPr>
              <w:spacing w:line="320" w:lineRule="exact"/>
              <w:jc w:val="center"/>
              <w:rPr>
                <w:color w:val="auto"/>
                <w:szCs w:val="21"/>
                <w:highlight w:val="none"/>
              </w:rPr>
            </w:pPr>
            <w:r>
              <w:rPr>
                <w:rFonts w:hint="eastAsia"/>
                <w:color w:val="auto"/>
                <w:highlight w:val="none"/>
              </w:rPr>
              <w:t>盖章</w:t>
            </w:r>
          </w:p>
        </w:tc>
        <w:tc>
          <w:tcPr>
            <w:tcW w:w="5436" w:type="dxa"/>
            <w:vAlign w:val="center"/>
          </w:tcPr>
          <w:p w14:paraId="5D05AFC8">
            <w:pPr>
              <w:spacing w:line="320" w:lineRule="exact"/>
              <w:jc w:val="both"/>
              <w:rPr>
                <w:color w:val="auto"/>
                <w:sz w:val="32"/>
                <w:szCs w:val="32"/>
                <w:highlight w:val="none"/>
              </w:rPr>
            </w:pPr>
            <w:r>
              <w:rPr>
                <w:rFonts w:hint="eastAsia"/>
                <w:color w:val="auto"/>
                <w:szCs w:val="21"/>
                <w:highlight w:val="none"/>
              </w:rPr>
              <w:t>盖单位章及签章（个人）均为电子签名法所指的电子签名，即表示数据电文中以电子形式所含、所附用于识别签名单位和签名人身份并表明签名单位和签名人认可其中内容的数据。</w:t>
            </w:r>
          </w:p>
        </w:tc>
      </w:tr>
      <w:tr w14:paraId="5732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1E463358">
            <w:pPr>
              <w:spacing w:line="320" w:lineRule="exact"/>
              <w:jc w:val="center"/>
              <w:rPr>
                <w:color w:val="auto"/>
                <w:szCs w:val="21"/>
                <w:highlight w:val="none"/>
              </w:rPr>
            </w:pPr>
            <w:r>
              <w:rPr>
                <w:rFonts w:hint="eastAsia"/>
                <w:color w:val="auto"/>
                <w:szCs w:val="21"/>
                <w:highlight w:val="none"/>
              </w:rPr>
              <w:t>1</w:t>
            </w:r>
            <w:r>
              <w:rPr>
                <w:color w:val="auto"/>
                <w:szCs w:val="21"/>
                <w:highlight w:val="none"/>
              </w:rPr>
              <w:t>0.1.</w:t>
            </w:r>
            <w:r>
              <w:rPr>
                <w:rFonts w:hint="eastAsia"/>
                <w:color w:val="auto"/>
                <w:szCs w:val="21"/>
                <w:highlight w:val="none"/>
              </w:rPr>
              <w:t>3</w:t>
            </w:r>
          </w:p>
        </w:tc>
        <w:tc>
          <w:tcPr>
            <w:tcW w:w="2334" w:type="dxa"/>
            <w:vAlign w:val="center"/>
          </w:tcPr>
          <w:p w14:paraId="3440B164">
            <w:pPr>
              <w:spacing w:line="320" w:lineRule="exact"/>
              <w:jc w:val="center"/>
              <w:rPr>
                <w:color w:val="auto"/>
                <w:highlight w:val="none"/>
              </w:rPr>
            </w:pPr>
            <w:r>
              <w:rPr>
                <w:rFonts w:hint="eastAsia"/>
                <w:color w:val="auto"/>
                <w:highlight w:val="none"/>
              </w:rPr>
              <w:t>获奖表彰时间</w:t>
            </w:r>
          </w:p>
        </w:tc>
        <w:tc>
          <w:tcPr>
            <w:tcW w:w="5436" w:type="dxa"/>
            <w:vAlign w:val="center"/>
          </w:tcPr>
          <w:p w14:paraId="79C984A1">
            <w:pPr>
              <w:spacing w:line="320" w:lineRule="exact"/>
              <w:jc w:val="both"/>
              <w:rPr>
                <w:color w:val="auto"/>
                <w:szCs w:val="21"/>
                <w:highlight w:val="none"/>
              </w:rPr>
            </w:pPr>
            <w:r>
              <w:rPr>
                <w:rFonts w:hint="eastAsia"/>
                <w:color w:val="auto"/>
                <w:szCs w:val="21"/>
                <w:highlight w:val="none"/>
              </w:rPr>
              <w:t>以表彰文件、获奖证书的颁发时间为准。</w:t>
            </w:r>
          </w:p>
        </w:tc>
      </w:tr>
      <w:tr w14:paraId="6455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14:paraId="372FFC44">
            <w:pPr>
              <w:spacing w:line="320" w:lineRule="exact"/>
              <w:jc w:val="center"/>
              <w:rPr>
                <w:color w:val="auto"/>
                <w:szCs w:val="21"/>
                <w:highlight w:val="none"/>
              </w:rPr>
            </w:pPr>
            <w:r>
              <w:rPr>
                <w:color w:val="auto"/>
                <w:szCs w:val="21"/>
                <w:highlight w:val="none"/>
              </w:rPr>
              <w:t>10.1.</w:t>
            </w:r>
            <w:r>
              <w:rPr>
                <w:rFonts w:hint="eastAsia"/>
                <w:color w:val="auto"/>
                <w:szCs w:val="21"/>
                <w:highlight w:val="none"/>
              </w:rPr>
              <w:t>4</w:t>
            </w:r>
          </w:p>
        </w:tc>
        <w:tc>
          <w:tcPr>
            <w:tcW w:w="2334" w:type="dxa"/>
            <w:vAlign w:val="center"/>
          </w:tcPr>
          <w:p w14:paraId="0821115B">
            <w:pPr>
              <w:spacing w:line="320" w:lineRule="exact"/>
              <w:jc w:val="center"/>
              <w:rPr>
                <w:color w:val="auto"/>
                <w:highlight w:val="none"/>
              </w:rPr>
            </w:pPr>
            <w:r>
              <w:rPr>
                <w:rFonts w:hint="eastAsia"/>
                <w:color w:val="auto"/>
                <w:highlight w:val="none"/>
              </w:rPr>
              <w:t>不良行为</w:t>
            </w:r>
          </w:p>
        </w:tc>
        <w:tc>
          <w:tcPr>
            <w:tcW w:w="5436" w:type="dxa"/>
            <w:vAlign w:val="center"/>
          </w:tcPr>
          <w:p w14:paraId="670FD076">
            <w:pPr>
              <w:spacing w:line="320" w:lineRule="exact"/>
              <w:jc w:val="both"/>
              <w:rPr>
                <w:color w:val="auto"/>
                <w:highlight w:val="none"/>
              </w:rPr>
            </w:pPr>
            <w:r>
              <w:rPr>
                <w:rFonts w:hint="eastAsia"/>
                <w:color w:val="auto"/>
                <w:highlight w:val="none"/>
              </w:rPr>
              <w:t>（1）指投标人须知第1.4.3（10）至（17）条目规定的情形。</w:t>
            </w:r>
          </w:p>
          <w:p w14:paraId="0F9E2B3A">
            <w:pPr>
              <w:spacing w:line="320" w:lineRule="exact"/>
              <w:jc w:val="both"/>
              <w:rPr>
                <w:color w:val="auto"/>
                <w:highlight w:val="none"/>
              </w:rPr>
            </w:pPr>
            <w:r>
              <w:rPr>
                <w:rFonts w:hint="eastAsia"/>
                <w:color w:val="auto"/>
                <w:highlight w:val="none"/>
              </w:rPr>
              <w:t>（2）投标人须知第1.4.3（13）条目规定的在最近三年内有骗取中标或严重违约或重大工程质量问题的时间以相关行业主管部门行政处罚决定时间或司法机关出具的法律文书时间为准。</w:t>
            </w:r>
          </w:p>
          <w:p w14:paraId="51B825FD">
            <w:pPr>
              <w:spacing w:line="320" w:lineRule="exact"/>
              <w:jc w:val="both"/>
              <w:rPr>
                <w:color w:val="auto"/>
                <w:highlight w:val="none"/>
              </w:rPr>
            </w:pPr>
            <w:r>
              <w:rPr>
                <w:rFonts w:hint="eastAsia"/>
                <w:color w:val="auto"/>
                <w:highlight w:val="none"/>
              </w:rPr>
              <w:t>特别说明：同一标段项目出现两个（含）以上不同处罚时间（或法律文书时间）均应满足时间要求。</w:t>
            </w:r>
          </w:p>
        </w:tc>
      </w:tr>
      <w:tr w14:paraId="739A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14:paraId="2D3873E1">
            <w:pPr>
              <w:spacing w:line="320" w:lineRule="exact"/>
              <w:jc w:val="center"/>
              <w:rPr>
                <w:color w:val="auto"/>
                <w:szCs w:val="21"/>
                <w:highlight w:val="none"/>
              </w:rPr>
            </w:pPr>
            <w:r>
              <w:rPr>
                <w:rFonts w:hint="eastAsia"/>
                <w:color w:val="auto"/>
                <w:szCs w:val="21"/>
                <w:highlight w:val="none"/>
              </w:rPr>
              <w:t>1</w:t>
            </w:r>
            <w:r>
              <w:rPr>
                <w:color w:val="auto"/>
                <w:szCs w:val="21"/>
                <w:highlight w:val="none"/>
              </w:rPr>
              <w:t>0.1.</w:t>
            </w:r>
            <w:r>
              <w:rPr>
                <w:rFonts w:hint="eastAsia"/>
                <w:color w:val="auto"/>
                <w:szCs w:val="21"/>
                <w:highlight w:val="none"/>
              </w:rPr>
              <w:t>5</w:t>
            </w:r>
          </w:p>
        </w:tc>
        <w:tc>
          <w:tcPr>
            <w:tcW w:w="2334" w:type="dxa"/>
            <w:vAlign w:val="center"/>
          </w:tcPr>
          <w:p w14:paraId="020F6809">
            <w:pPr>
              <w:spacing w:line="320" w:lineRule="exact"/>
              <w:jc w:val="center"/>
              <w:rPr>
                <w:color w:val="auto"/>
                <w:highlight w:val="none"/>
              </w:rPr>
            </w:pPr>
            <w:r>
              <w:rPr>
                <w:rFonts w:hint="eastAsia"/>
                <w:color w:val="auto"/>
                <w:highlight w:val="none"/>
              </w:rPr>
              <w:t>现金</w:t>
            </w:r>
          </w:p>
        </w:tc>
        <w:tc>
          <w:tcPr>
            <w:tcW w:w="5436" w:type="dxa"/>
            <w:vAlign w:val="center"/>
          </w:tcPr>
          <w:p w14:paraId="38C37892">
            <w:pPr>
              <w:spacing w:line="320" w:lineRule="exact"/>
              <w:jc w:val="both"/>
              <w:rPr>
                <w:color w:val="auto"/>
                <w:highlight w:val="none"/>
              </w:rPr>
            </w:pPr>
            <w:r>
              <w:rPr>
                <w:rFonts w:hint="eastAsia"/>
                <w:color w:val="auto"/>
                <w:highlight w:val="none"/>
              </w:rPr>
              <w:t>投标保证金、履约</w:t>
            </w:r>
            <w:r>
              <w:rPr>
                <w:color w:val="auto"/>
                <w:szCs w:val="21"/>
                <w:highlight w:val="none"/>
              </w:rPr>
              <w:t>保证金</w:t>
            </w:r>
            <w:r>
              <w:rPr>
                <w:rFonts w:hint="eastAsia"/>
                <w:color w:val="auto"/>
                <w:highlight w:val="none"/>
              </w:rPr>
              <w:t>现金缴纳方式指通过电汇、支票等广义现金方式缴纳而非现金钞票。</w:t>
            </w:r>
          </w:p>
        </w:tc>
      </w:tr>
      <w:tr w14:paraId="7869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57" w:type="dxa"/>
            <w:vAlign w:val="center"/>
          </w:tcPr>
          <w:p w14:paraId="3CFE6520">
            <w:pPr>
              <w:spacing w:line="320" w:lineRule="exact"/>
              <w:jc w:val="center"/>
              <w:rPr>
                <w:color w:val="auto"/>
                <w:highlight w:val="none"/>
              </w:rPr>
            </w:pPr>
            <w:r>
              <w:rPr>
                <w:rFonts w:hint="eastAsia"/>
                <w:color w:val="auto"/>
                <w:highlight w:val="none"/>
              </w:rPr>
              <w:t>10.</w:t>
            </w:r>
            <w:r>
              <w:rPr>
                <w:color w:val="auto"/>
                <w:highlight w:val="none"/>
              </w:rPr>
              <w:t>2</w:t>
            </w:r>
          </w:p>
        </w:tc>
        <w:tc>
          <w:tcPr>
            <w:tcW w:w="2334" w:type="dxa"/>
            <w:vAlign w:val="center"/>
          </w:tcPr>
          <w:p w14:paraId="0E3E5F34">
            <w:pPr>
              <w:spacing w:line="320" w:lineRule="exact"/>
              <w:jc w:val="center"/>
              <w:rPr>
                <w:rFonts w:hint="eastAsia" w:ascii="宋体" w:hAnsi="宋体"/>
                <w:color w:val="auto"/>
                <w:szCs w:val="21"/>
                <w:highlight w:val="none"/>
              </w:rPr>
            </w:pPr>
            <w:r>
              <w:rPr>
                <w:rFonts w:hint="eastAsia" w:ascii="宋体" w:hAnsi="宋体"/>
                <w:color w:val="auto"/>
                <w:szCs w:val="21"/>
                <w:highlight w:val="none"/>
              </w:rPr>
              <w:t>中标后须提交的</w:t>
            </w:r>
          </w:p>
          <w:p w14:paraId="079D3219">
            <w:pPr>
              <w:spacing w:line="320" w:lineRule="exact"/>
              <w:jc w:val="center"/>
              <w:rPr>
                <w:rFonts w:hint="eastAsia" w:ascii="宋体" w:hAnsi="宋体"/>
                <w:color w:val="auto"/>
                <w:szCs w:val="21"/>
                <w:highlight w:val="none"/>
              </w:rPr>
            </w:pPr>
            <w:r>
              <w:rPr>
                <w:rFonts w:hint="eastAsia" w:ascii="宋体" w:hAnsi="宋体"/>
                <w:color w:val="auto"/>
                <w:szCs w:val="21"/>
                <w:highlight w:val="none"/>
              </w:rPr>
              <w:t>纸质投标</w:t>
            </w:r>
            <w:r>
              <w:rPr>
                <w:rFonts w:hint="eastAsia"/>
                <w:color w:val="auto"/>
                <w:highlight w:val="none"/>
              </w:rPr>
              <w:t>文件</w:t>
            </w:r>
          </w:p>
        </w:tc>
        <w:tc>
          <w:tcPr>
            <w:tcW w:w="5436" w:type="dxa"/>
            <w:vAlign w:val="center"/>
          </w:tcPr>
          <w:p w14:paraId="60726B1B">
            <w:pPr>
              <w:spacing w:line="320" w:lineRule="exact"/>
              <w:jc w:val="both"/>
              <w:rPr>
                <w:rFonts w:hint="eastAsia" w:ascii="宋体" w:hAnsi="宋体"/>
                <w:color w:val="auto"/>
                <w:szCs w:val="21"/>
                <w:highlight w:val="none"/>
                <w:u w:val="single"/>
              </w:rPr>
            </w:pPr>
            <w:r>
              <w:rPr>
                <w:rFonts w:hint="eastAsia" w:ascii="宋体" w:hAnsi="宋体"/>
                <w:color w:val="auto"/>
                <w:szCs w:val="21"/>
                <w:highlight w:val="none"/>
              </w:rPr>
              <w:t>份数：</w:t>
            </w:r>
            <w:r>
              <w:rPr>
                <w:rFonts w:hint="eastAsia" w:ascii="宋体" w:hAnsi="宋体"/>
                <w:color w:val="auto"/>
                <w:szCs w:val="21"/>
                <w:highlight w:val="none"/>
                <w:u w:val="single"/>
              </w:rPr>
              <w:t>5</w:t>
            </w:r>
            <w:r>
              <w:rPr>
                <w:rFonts w:hint="eastAsia" w:ascii="宋体" w:hAnsi="宋体"/>
                <w:color w:val="auto"/>
                <w:szCs w:val="21"/>
                <w:highlight w:val="none"/>
              </w:rPr>
              <w:t>份，中标人提交的纸质投标文件应当与投标时的电子投标文件内容一致。</w:t>
            </w:r>
          </w:p>
        </w:tc>
      </w:tr>
      <w:tr w14:paraId="2898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857" w:type="dxa"/>
            <w:vAlign w:val="center"/>
          </w:tcPr>
          <w:p w14:paraId="5CB044F2">
            <w:pPr>
              <w:spacing w:line="320" w:lineRule="exact"/>
              <w:jc w:val="center"/>
              <w:rPr>
                <w:color w:val="auto"/>
                <w:highlight w:val="none"/>
              </w:rPr>
            </w:pPr>
            <w:r>
              <w:rPr>
                <w:rFonts w:hint="eastAsia"/>
                <w:color w:val="auto"/>
                <w:highlight w:val="none"/>
              </w:rPr>
              <w:t>10.6</w:t>
            </w:r>
          </w:p>
        </w:tc>
        <w:tc>
          <w:tcPr>
            <w:tcW w:w="2334" w:type="dxa"/>
            <w:vAlign w:val="center"/>
          </w:tcPr>
          <w:p w14:paraId="2BD7C396">
            <w:pPr>
              <w:spacing w:line="320" w:lineRule="exact"/>
              <w:jc w:val="center"/>
              <w:rPr>
                <w:color w:val="auto"/>
                <w:highlight w:val="none"/>
              </w:rPr>
            </w:pPr>
            <w:r>
              <w:rPr>
                <w:rFonts w:hint="eastAsia"/>
                <w:color w:val="auto"/>
                <w:highlight w:val="none"/>
              </w:rPr>
              <w:t>招标人补充的其他</w:t>
            </w:r>
          </w:p>
          <w:p w14:paraId="41509280">
            <w:pPr>
              <w:spacing w:line="320" w:lineRule="exact"/>
              <w:jc w:val="center"/>
              <w:rPr>
                <w:color w:val="auto"/>
                <w:highlight w:val="none"/>
              </w:rPr>
            </w:pPr>
            <w:r>
              <w:rPr>
                <w:rFonts w:hint="eastAsia"/>
                <w:color w:val="auto"/>
                <w:highlight w:val="none"/>
              </w:rPr>
              <w:t>内容</w:t>
            </w:r>
          </w:p>
        </w:tc>
        <w:tc>
          <w:tcPr>
            <w:tcW w:w="5436" w:type="dxa"/>
            <w:vAlign w:val="center"/>
          </w:tcPr>
          <w:p w14:paraId="6944C6AA">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cs="Times New Roman"/>
                <w:b/>
                <w:bCs/>
                <w:color w:val="auto"/>
                <w:highlight w:val="none"/>
                <w:lang w:eastAsia="zh-CN"/>
              </w:rPr>
            </w:pPr>
            <w:r>
              <w:rPr>
                <w:rFonts w:hint="eastAsia" w:cs="Times New Roman"/>
                <w:b/>
                <w:bCs/>
                <w:color w:val="auto"/>
                <w:highlight w:val="none"/>
              </w:rPr>
              <w:t>一、付款方式</w:t>
            </w:r>
          </w:p>
          <w:p w14:paraId="0A51F94F">
            <w:pPr>
              <w:pStyle w:val="31"/>
              <w:rPr>
                <w:rFonts w:hint="eastAsia" w:ascii="宋体" w:hAnsi="宋体" w:eastAsia="宋体" w:cs="Times New Roman"/>
                <w:b/>
                <w:bCs/>
                <w:iCs w:val="0"/>
                <w:color w:val="auto"/>
                <w:kern w:val="2"/>
                <w:sz w:val="21"/>
                <w:szCs w:val="21"/>
                <w:highlight w:val="none"/>
                <w:lang w:val="en-US" w:eastAsia="zh-CN" w:bidi="ar-SA"/>
              </w:rPr>
            </w:pPr>
            <w:bookmarkStart w:id="46" w:name="OLE_LINK35"/>
            <w:r>
              <w:rPr>
                <w:rFonts w:hint="eastAsia" w:ascii="宋体" w:hAnsi="宋体" w:eastAsia="宋体" w:cs="Times New Roman"/>
                <w:b/>
                <w:bCs/>
                <w:iCs w:val="0"/>
                <w:color w:val="auto"/>
                <w:kern w:val="2"/>
                <w:sz w:val="21"/>
                <w:szCs w:val="21"/>
                <w:highlight w:val="none"/>
                <w:lang w:val="en-US" w:eastAsia="zh-CN" w:bidi="ar-SA"/>
              </w:rPr>
              <w:t>1）设计费支付及节点</w:t>
            </w:r>
          </w:p>
          <w:p w14:paraId="5C4953C4">
            <w:pPr>
              <w:pStyle w:val="31"/>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Times New Roman"/>
                <w:iCs w:val="0"/>
                <w:color w:val="auto"/>
                <w:kern w:val="2"/>
                <w:sz w:val="21"/>
                <w:szCs w:val="21"/>
                <w:highlight w:val="none"/>
                <w:lang w:val="en-US" w:eastAsia="zh-CN" w:bidi="ar-SA"/>
              </w:rPr>
            </w:pPr>
            <w:r>
              <w:rPr>
                <w:rFonts w:hint="eastAsia" w:ascii="宋体" w:hAnsi="宋体" w:eastAsia="宋体" w:cs="Times New Roman"/>
                <w:iCs w:val="0"/>
                <w:color w:val="auto"/>
                <w:kern w:val="2"/>
                <w:sz w:val="21"/>
                <w:szCs w:val="21"/>
                <w:highlight w:val="none"/>
                <w:lang w:val="en-US" w:eastAsia="zh-CN" w:bidi="ar-SA"/>
              </w:rPr>
              <w:t>完成施工图设计，且施工图设计文件通过相关部门或发包人指定审查机构审查后，发包人在收到承包人提交的合格付款申请及对应金额合法发票后的30个工作日内，向承包人支付设计费总额的40%；施工图预算编制款：承包人完成施工图预算编制工作，并经发包人审核确认后，发包人在收到承包人提交的付款申请及对应金额合法发票后的 30 个工作日内，向承包人支付设计费总额的 30%。竣工验收款：项目完成竣工验收，验收合格后，发包人在收到承包人提交的付款申请及对应金额合法发票后的30 个工作日内，向承包人支付设计费总额的15%。配合结算移交款：承包人按要求完成配合结算工作，并将相关资料完整移交使用方后，发包人在收到承包人提交的付款申请及对应金额合法发票后的30个工作日内，向承包人支付设计费总额的5%。</w:t>
            </w:r>
          </w:p>
          <w:p w14:paraId="1C4C386E">
            <w:pPr>
              <w:pStyle w:val="31"/>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Times New Roman"/>
                <w:iCs w:val="0"/>
                <w:color w:val="auto"/>
                <w:kern w:val="2"/>
                <w:sz w:val="21"/>
                <w:szCs w:val="21"/>
                <w:highlight w:val="none"/>
                <w:lang w:val="en-US" w:eastAsia="zh-CN" w:bidi="ar-SA"/>
              </w:rPr>
            </w:pPr>
            <w:r>
              <w:rPr>
                <w:rFonts w:hint="eastAsia" w:ascii="宋体" w:hAnsi="宋体" w:eastAsia="宋体" w:cs="Times New Roman"/>
                <w:iCs w:val="0"/>
                <w:color w:val="auto"/>
                <w:kern w:val="2"/>
                <w:sz w:val="21"/>
                <w:szCs w:val="21"/>
                <w:highlight w:val="none"/>
                <w:lang w:val="en-US" w:eastAsia="zh-CN" w:bidi="ar-SA"/>
              </w:rPr>
              <w:t>其他说明：本项目设计费支付完成上述全部节点后，不留尾款。中标人应按合同约定及招标人要求，及时提供完整、准确的付款申请资料及合法有效的发票，因中标人提交资料不及时或不符合要求导致付款延迟的，责任由中标人自行承担。</w:t>
            </w:r>
          </w:p>
          <w:p w14:paraId="7F461095">
            <w:pPr>
              <w:pStyle w:val="31"/>
              <w:rPr>
                <w:rFonts w:hint="eastAsia" w:ascii="宋体" w:hAnsi="宋体" w:eastAsia="宋体" w:cs="Times New Roman"/>
                <w:b/>
                <w:bCs/>
                <w:iCs w:val="0"/>
                <w:color w:val="auto"/>
                <w:kern w:val="2"/>
                <w:sz w:val="21"/>
                <w:szCs w:val="21"/>
                <w:highlight w:val="none"/>
                <w:lang w:val="en-US" w:eastAsia="zh-CN" w:bidi="ar-SA"/>
              </w:rPr>
            </w:pPr>
            <w:r>
              <w:rPr>
                <w:rFonts w:hint="eastAsia" w:ascii="宋体" w:hAnsi="宋体" w:eastAsia="宋体" w:cs="Times New Roman"/>
                <w:b/>
                <w:bCs/>
                <w:iCs w:val="0"/>
                <w:color w:val="auto"/>
                <w:kern w:val="2"/>
                <w:sz w:val="21"/>
                <w:szCs w:val="21"/>
                <w:highlight w:val="none"/>
                <w:lang w:val="en-US" w:eastAsia="zh-CN" w:bidi="ar-SA"/>
              </w:rPr>
              <w:t>2）工程款支付及节点</w:t>
            </w:r>
          </w:p>
          <w:p w14:paraId="3F734862">
            <w:pPr>
              <w:pStyle w:val="31"/>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Times New Roman"/>
                <w:iCs w:val="0"/>
                <w:color w:val="auto"/>
                <w:kern w:val="2"/>
                <w:sz w:val="21"/>
                <w:szCs w:val="21"/>
                <w:highlight w:val="none"/>
                <w:lang w:val="en-US" w:eastAsia="zh-CN" w:bidi="ar-SA"/>
              </w:rPr>
            </w:pPr>
            <w:r>
              <w:rPr>
                <w:rFonts w:hint="eastAsia" w:ascii="宋体" w:hAnsi="宋体" w:eastAsia="宋体" w:cs="Times New Roman"/>
                <w:iCs w:val="0"/>
                <w:color w:val="auto"/>
                <w:kern w:val="2"/>
                <w:sz w:val="21"/>
                <w:szCs w:val="21"/>
                <w:highlight w:val="none"/>
                <w:lang w:val="en-US" w:eastAsia="zh-CN" w:bidi="ar-SA"/>
              </w:rPr>
              <w:t>1、预付款支付：</w:t>
            </w:r>
          </w:p>
          <w:p w14:paraId="216BA7A7">
            <w:pPr>
              <w:pStyle w:val="31"/>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Times New Roman"/>
                <w:iCs w:val="0"/>
                <w:color w:val="auto"/>
                <w:kern w:val="2"/>
                <w:sz w:val="21"/>
                <w:szCs w:val="21"/>
                <w:highlight w:val="none"/>
                <w:lang w:val="en-US" w:eastAsia="zh-CN" w:bidi="ar-SA"/>
              </w:rPr>
            </w:pPr>
            <w:r>
              <w:rPr>
                <w:rFonts w:hint="eastAsia" w:ascii="宋体" w:hAnsi="宋体" w:eastAsia="宋体" w:cs="Times New Roman"/>
                <w:iCs w:val="0"/>
                <w:color w:val="auto"/>
                <w:kern w:val="2"/>
                <w:sz w:val="21"/>
                <w:szCs w:val="21"/>
                <w:highlight w:val="none"/>
                <w:lang w:val="en-US" w:eastAsia="zh-CN" w:bidi="ar-SA"/>
              </w:rPr>
              <w:t>预付款及定金的金额或比例为：设计费定金：为设计金额的 10%；工程预付款：为签约合同价工程费的 10 %。</w:t>
            </w:r>
          </w:p>
          <w:p w14:paraId="1666ECAB">
            <w:pPr>
              <w:pStyle w:val="31"/>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Times New Roman"/>
                <w:iCs w:val="0"/>
                <w:color w:val="auto"/>
                <w:kern w:val="2"/>
                <w:sz w:val="21"/>
                <w:szCs w:val="21"/>
                <w:highlight w:val="none"/>
                <w:lang w:val="en-US" w:eastAsia="zh-CN" w:bidi="ar-SA"/>
              </w:rPr>
            </w:pPr>
            <w:r>
              <w:rPr>
                <w:rFonts w:hint="eastAsia" w:ascii="宋体" w:hAnsi="宋体" w:eastAsia="宋体" w:cs="Times New Roman"/>
                <w:iCs w:val="0"/>
                <w:color w:val="auto"/>
                <w:kern w:val="2"/>
                <w:sz w:val="21"/>
                <w:szCs w:val="21"/>
                <w:highlight w:val="none"/>
                <w:lang w:val="en-US" w:eastAsia="zh-CN" w:bidi="ar-SA"/>
              </w:rPr>
              <w:t>定金支付期限：发包人应在合同签订后 28 天内将定金打入承包单位指定账户内。</w:t>
            </w:r>
          </w:p>
          <w:p w14:paraId="1A9921F9">
            <w:pPr>
              <w:pStyle w:val="31"/>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Times New Roman"/>
                <w:iCs w:val="0"/>
                <w:color w:val="auto"/>
                <w:kern w:val="2"/>
                <w:sz w:val="21"/>
                <w:szCs w:val="21"/>
                <w:highlight w:val="none"/>
                <w:lang w:val="en-US" w:eastAsia="zh-CN" w:bidi="ar-SA"/>
              </w:rPr>
            </w:pPr>
            <w:r>
              <w:rPr>
                <w:rFonts w:hint="eastAsia" w:ascii="宋体" w:hAnsi="宋体" w:eastAsia="宋体" w:cs="Times New Roman"/>
                <w:iCs w:val="0"/>
                <w:color w:val="auto"/>
                <w:kern w:val="2"/>
                <w:sz w:val="21"/>
                <w:szCs w:val="21"/>
                <w:highlight w:val="none"/>
                <w:lang w:val="en-US" w:eastAsia="zh-CN" w:bidi="ar-SA"/>
              </w:rPr>
              <w:t>预付款支付期限：发包人应在合同签订后 28 天内将预付款打入承包单位指定账户内。</w:t>
            </w:r>
          </w:p>
          <w:p w14:paraId="56BB6E4E">
            <w:pPr>
              <w:pStyle w:val="31"/>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Times New Roman"/>
                <w:iCs w:val="0"/>
                <w:color w:val="auto"/>
                <w:kern w:val="2"/>
                <w:sz w:val="21"/>
                <w:szCs w:val="21"/>
                <w:highlight w:val="none"/>
                <w:lang w:val="en-US" w:eastAsia="zh-CN" w:bidi="ar-SA"/>
              </w:rPr>
            </w:pPr>
            <w:r>
              <w:rPr>
                <w:rFonts w:hint="eastAsia" w:ascii="宋体" w:hAnsi="宋体" w:eastAsia="宋体" w:cs="Times New Roman"/>
                <w:iCs w:val="0"/>
                <w:color w:val="auto"/>
                <w:kern w:val="2"/>
                <w:sz w:val="21"/>
                <w:szCs w:val="21"/>
                <w:highlight w:val="none"/>
                <w:lang w:val="en-US" w:eastAsia="zh-CN" w:bidi="ar-SA"/>
              </w:rPr>
              <w:t>预付款扣回的方式：工程预付款在期中支付证书中的“当月实际完成工程款 ”累计金额达到签约合同价的 50%之后开始扣回预付款，分 3 次在月实际完成工程款中按 10%、50%、40%抵扣。</w:t>
            </w:r>
          </w:p>
          <w:p w14:paraId="4C73706E">
            <w:pPr>
              <w:pStyle w:val="31"/>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Times New Roman"/>
                <w:iCs w:val="0"/>
                <w:color w:val="auto"/>
                <w:kern w:val="2"/>
                <w:sz w:val="21"/>
                <w:szCs w:val="21"/>
                <w:highlight w:val="none"/>
                <w:lang w:val="en-US" w:eastAsia="zh-CN" w:bidi="ar-SA"/>
              </w:rPr>
            </w:pPr>
            <w:r>
              <w:rPr>
                <w:rFonts w:hint="eastAsia" w:ascii="宋体" w:hAnsi="宋体" w:eastAsia="宋体" w:cs="Times New Roman"/>
                <w:iCs w:val="0"/>
                <w:color w:val="auto"/>
                <w:kern w:val="2"/>
                <w:sz w:val="21"/>
                <w:szCs w:val="21"/>
                <w:highlight w:val="none"/>
                <w:lang w:val="en-US" w:eastAsia="zh-CN" w:bidi="ar-SA"/>
              </w:rPr>
              <w:t>2、进度付款的审核方式和支付的约定：</w:t>
            </w:r>
          </w:p>
          <w:p w14:paraId="2F13E6C5">
            <w:pPr>
              <w:pStyle w:val="31"/>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s="Times New Roman"/>
                <w:b/>
                <w:bCs/>
                <w:color w:val="auto"/>
                <w:highlight w:val="none"/>
              </w:rPr>
            </w:pPr>
            <w:r>
              <w:rPr>
                <w:rFonts w:hint="eastAsia" w:ascii="宋体" w:hAnsi="宋体" w:eastAsia="宋体" w:cs="Times New Roman"/>
                <w:iCs w:val="0"/>
                <w:color w:val="auto"/>
                <w:kern w:val="2"/>
                <w:sz w:val="21"/>
                <w:szCs w:val="21"/>
                <w:highlight w:val="none"/>
                <w:lang w:val="en-US" w:eastAsia="zh-CN" w:bidi="ar-SA"/>
              </w:rPr>
              <w:t>按发包人审核的承包人完成实际工程量月进度的85%支付、竣工验收合格后 15 日内支付到90%，竣工结算完成后 15 日内支付到竣工结算价的95%，扣除2%作为民工工资保证金，待竣工结算后且未发生劳资纠纷事件，30 天内一次性予以返还，3%作为质保金待缺陷责任期结束后30 天内返还</w:t>
            </w:r>
            <w:r>
              <w:rPr>
                <w:rFonts w:hint="eastAsia"/>
                <w:color w:val="auto"/>
                <w:sz w:val="21"/>
                <w:szCs w:val="21"/>
                <w:highlight w:val="none"/>
              </w:rPr>
              <w:t>。</w:t>
            </w:r>
            <w:r>
              <w:rPr>
                <w:rFonts w:hint="eastAsia"/>
                <w:color w:val="auto"/>
                <w:sz w:val="21"/>
                <w:szCs w:val="21"/>
                <w:highlight w:val="none"/>
              </w:rPr>
              <w:br w:type="textWrapping"/>
            </w:r>
            <w:bookmarkEnd w:id="46"/>
            <w:r>
              <w:rPr>
                <w:rFonts w:hint="eastAsia" w:cs="Times New Roman"/>
                <w:b/>
                <w:bCs/>
                <w:color w:val="auto"/>
                <w:sz w:val="24"/>
                <w:szCs w:val="24"/>
                <w:highlight w:val="none"/>
              </w:rPr>
              <w:t>二、结算原则及方式</w:t>
            </w:r>
          </w:p>
          <w:p w14:paraId="695C790F">
            <w:pPr>
              <w:pStyle w:val="50"/>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宋体" w:hAnsi="宋体" w:eastAsia="宋体" w:cs="Times New Roman"/>
                <w:iCs w:val="0"/>
                <w:color w:val="auto"/>
                <w:kern w:val="2"/>
                <w:sz w:val="21"/>
                <w:szCs w:val="21"/>
                <w:highlight w:val="none"/>
                <w:lang w:val="en-US" w:eastAsia="zh-CN" w:bidi="ar-SA"/>
              </w:rPr>
            </w:pPr>
            <w:r>
              <w:rPr>
                <w:rFonts w:hint="eastAsia" w:ascii="宋体" w:hAnsi="宋体" w:eastAsia="宋体" w:cs="Times New Roman"/>
                <w:iCs w:val="0"/>
                <w:color w:val="auto"/>
                <w:kern w:val="2"/>
                <w:sz w:val="21"/>
                <w:szCs w:val="21"/>
                <w:highlight w:val="none"/>
                <w:lang w:val="en-US" w:eastAsia="zh-CN" w:bidi="ar-SA"/>
              </w:rPr>
              <w:t>1、合同价格形式：</w:t>
            </w:r>
          </w:p>
          <w:p w14:paraId="1D42A650">
            <w:pPr>
              <w:spacing w:line="320" w:lineRule="exact"/>
              <w:ind w:firstLine="420" w:firstLineChars="200"/>
              <w:jc w:val="both"/>
              <w:rPr>
                <w:rFonts w:hint="default" w:ascii="宋体" w:hAnsi="宋体" w:cs="Times New Roman"/>
                <w:iCs w:val="0"/>
                <w:color w:val="auto"/>
                <w:kern w:val="2"/>
                <w:sz w:val="21"/>
                <w:szCs w:val="21"/>
                <w:highlight w:val="none"/>
                <w:lang w:val="en-US" w:eastAsia="zh-CN" w:bidi="ar-SA"/>
              </w:rPr>
            </w:pPr>
            <w:r>
              <w:rPr>
                <w:rFonts w:hint="eastAsia" w:ascii="宋体" w:hAnsi="宋体" w:cs="Times New Roman"/>
                <w:iCs w:val="0"/>
                <w:color w:val="auto"/>
                <w:kern w:val="2"/>
                <w:sz w:val="21"/>
                <w:szCs w:val="21"/>
                <w:highlight w:val="none"/>
                <w:lang w:val="en-US" w:eastAsia="zh-CN" w:bidi="ar-SA"/>
              </w:rPr>
              <w:t>本项目为暂定合同总价。</w:t>
            </w:r>
          </w:p>
          <w:p w14:paraId="7D91D44E">
            <w:pPr>
              <w:spacing w:line="320" w:lineRule="exact"/>
              <w:ind w:firstLine="420" w:firstLineChars="200"/>
              <w:jc w:val="both"/>
              <w:rPr>
                <w:rFonts w:hint="eastAsia"/>
                <w:color w:val="auto"/>
                <w:spacing w:val="-1"/>
                <w:highlight w:val="none"/>
                <w:lang w:val="en-US" w:eastAsia="zh-CN"/>
              </w:rPr>
            </w:pPr>
            <w:r>
              <w:rPr>
                <w:rFonts w:hint="eastAsia" w:ascii="宋体" w:hAnsi="宋体" w:cs="Times New Roman"/>
                <w:iCs w:val="0"/>
                <w:color w:val="auto"/>
                <w:kern w:val="2"/>
                <w:sz w:val="21"/>
                <w:szCs w:val="21"/>
                <w:highlight w:val="none"/>
                <w:lang w:val="en-US" w:eastAsia="zh-CN" w:bidi="ar-SA"/>
              </w:rPr>
              <w:t>设计费最终价格：最终结算价以最终竣工结算价为基价，依据《勘察设计收费标准2002版》及第三方审计机构出具的正式审计报告相关规则，核定设计费基准金额后，在此基准金额基础</w:t>
            </w:r>
            <w:r>
              <w:rPr>
                <w:rFonts w:hint="eastAsia" w:ascii="宋体" w:hAnsi="宋体" w:eastAsia="宋体" w:cs="Times New Roman"/>
                <w:iCs w:val="0"/>
                <w:color w:val="auto"/>
                <w:kern w:val="2"/>
                <w:sz w:val="21"/>
                <w:szCs w:val="21"/>
                <w:highlight w:val="none"/>
                <w:lang w:val="en-US" w:eastAsia="zh-CN" w:bidi="ar-SA"/>
              </w:rPr>
              <w:t>上×（1-</w:t>
            </w:r>
            <w:r>
              <w:rPr>
                <w:rFonts w:hint="eastAsia" w:ascii="宋体" w:hAnsi="宋体" w:cs="Times New Roman"/>
                <w:iCs w:val="0"/>
                <w:color w:val="auto"/>
                <w:kern w:val="2"/>
                <w:sz w:val="21"/>
                <w:szCs w:val="21"/>
                <w:highlight w:val="none"/>
                <w:lang w:val="en-US" w:eastAsia="zh-CN" w:bidi="ar-SA"/>
              </w:rPr>
              <w:t>下浮率）作为设计费最终结算价。</w:t>
            </w:r>
          </w:p>
          <w:p w14:paraId="416F33B4">
            <w:pPr>
              <w:pStyle w:val="50"/>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宋体" w:hAnsi="宋体" w:eastAsia="宋体" w:cs="Times New Roman"/>
                <w:iCs w:val="0"/>
                <w:color w:val="auto"/>
                <w:kern w:val="2"/>
                <w:sz w:val="21"/>
                <w:szCs w:val="21"/>
                <w:highlight w:val="none"/>
                <w:lang w:val="en-US" w:eastAsia="zh-CN" w:bidi="ar-SA"/>
              </w:rPr>
            </w:pPr>
            <w:r>
              <w:rPr>
                <w:rFonts w:hint="eastAsia" w:ascii="宋体" w:hAnsi="宋体" w:cs="Times New Roman"/>
                <w:iCs w:val="0"/>
                <w:color w:val="auto"/>
                <w:kern w:val="2"/>
                <w:sz w:val="21"/>
                <w:szCs w:val="21"/>
                <w:highlight w:val="none"/>
                <w:lang w:val="en-US" w:eastAsia="zh-CN" w:bidi="ar-SA"/>
              </w:rPr>
              <w:t>建筑安装工程费最终价格：</w:t>
            </w:r>
            <w:r>
              <w:rPr>
                <w:rFonts w:hint="eastAsia" w:ascii="宋体" w:hAnsi="宋体" w:eastAsia="宋体" w:cs="Times New Roman"/>
                <w:iCs w:val="0"/>
                <w:color w:val="auto"/>
                <w:kern w:val="2"/>
                <w:sz w:val="21"/>
                <w:szCs w:val="21"/>
                <w:highlight w:val="none"/>
                <w:lang w:val="en-US" w:eastAsia="zh-CN" w:bidi="ar-SA"/>
              </w:rPr>
              <w:t>本合同采用定额计价，按辽宁省2024《房屋建筑与装饰工程定额》、《通用安装工 程定额》、《市政工程定额》、《园林绿化工程定额》、《绿色建筑工程定额》、《装配式建筑工程定额》及相关配套文件×</w:t>
            </w:r>
            <w:r>
              <w:rPr>
                <w:rFonts w:hint="eastAsia" w:ascii="宋体" w:hAnsi="宋体" w:cs="Times New Roman"/>
                <w:iCs w:val="0"/>
                <w:color w:val="auto"/>
                <w:kern w:val="2"/>
                <w:sz w:val="21"/>
                <w:szCs w:val="21"/>
                <w:highlight w:val="none"/>
                <w:lang w:val="en-US" w:eastAsia="zh-CN" w:bidi="ar-SA"/>
              </w:rPr>
              <w:t>（1-下浮率）</w:t>
            </w:r>
            <w:r>
              <w:rPr>
                <w:rFonts w:hint="eastAsia" w:ascii="宋体" w:hAnsi="宋体" w:eastAsia="宋体" w:cs="Times New Roman"/>
                <w:iCs w:val="0"/>
                <w:color w:val="auto"/>
                <w:kern w:val="2"/>
                <w:sz w:val="21"/>
                <w:szCs w:val="21"/>
                <w:highlight w:val="none"/>
                <w:lang w:val="en-US" w:eastAsia="zh-CN" w:bidi="ar-SA"/>
              </w:rPr>
              <w:t>进行计价,以上所列定额对现场实际不适用的，或套用定额有争议的，双方进行协商。</w:t>
            </w:r>
          </w:p>
          <w:p w14:paraId="104F482A">
            <w:pPr>
              <w:pStyle w:val="50"/>
              <w:keepNext w:val="0"/>
              <w:keepLines w:val="0"/>
              <w:pageBreakBefore w:val="0"/>
              <w:kinsoku/>
              <w:wordWrap/>
              <w:overflowPunct/>
              <w:topLinePunct w:val="0"/>
              <w:autoSpaceDE/>
              <w:autoSpaceDN/>
              <w:bidi w:val="0"/>
              <w:spacing w:line="240" w:lineRule="auto"/>
              <w:ind w:firstLine="420" w:firstLineChars="200"/>
              <w:jc w:val="left"/>
              <w:textAlignment w:val="auto"/>
              <w:rPr>
                <w:rFonts w:hint="default" w:ascii="宋体" w:hAnsi="宋体" w:cs="Times New Roman"/>
                <w:iCs w:val="0"/>
                <w:color w:val="auto"/>
                <w:kern w:val="2"/>
                <w:sz w:val="21"/>
                <w:szCs w:val="21"/>
                <w:highlight w:val="none"/>
                <w:lang w:val="en-US" w:eastAsia="zh-CN" w:bidi="ar-SA"/>
              </w:rPr>
            </w:pPr>
            <w:r>
              <w:rPr>
                <w:rFonts w:hint="eastAsia" w:ascii="宋体" w:hAnsi="宋体" w:eastAsia="宋体" w:cs="Times New Roman"/>
                <w:iCs w:val="0"/>
                <w:color w:val="auto"/>
                <w:kern w:val="2"/>
                <w:sz w:val="21"/>
                <w:szCs w:val="21"/>
                <w:highlight w:val="none"/>
                <w:lang w:val="en-US" w:eastAsia="zh-CN" w:bidi="ar-SA"/>
              </w:rPr>
              <w:t>EPC总包竣工结算价</w:t>
            </w:r>
            <w:r>
              <w:rPr>
                <w:rFonts w:hint="eastAsia" w:ascii="宋体" w:hAnsi="宋体" w:cs="Times New Roman"/>
                <w:iCs w:val="0"/>
                <w:color w:val="auto"/>
                <w:kern w:val="2"/>
                <w:sz w:val="21"/>
                <w:szCs w:val="21"/>
                <w:highlight w:val="none"/>
                <w:lang w:val="en-US" w:eastAsia="zh-CN" w:bidi="ar-SA"/>
              </w:rPr>
              <w:t>=设计费最终价格+建筑安装工程费最终价格。</w:t>
            </w:r>
          </w:p>
          <w:p w14:paraId="3809431C">
            <w:pPr>
              <w:pStyle w:val="50"/>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宋体" w:hAnsi="宋体" w:eastAsia="宋体" w:cs="Times New Roman"/>
                <w:iCs w:val="0"/>
                <w:color w:val="auto"/>
                <w:kern w:val="2"/>
                <w:sz w:val="21"/>
                <w:szCs w:val="21"/>
                <w:highlight w:val="none"/>
                <w:lang w:val="en-US" w:eastAsia="zh-CN" w:bidi="ar-SA"/>
              </w:rPr>
            </w:pPr>
            <w:r>
              <w:rPr>
                <w:rFonts w:hint="eastAsia" w:ascii="宋体" w:hAnsi="宋体" w:cs="Times New Roman"/>
                <w:iCs w:val="0"/>
                <w:color w:val="auto"/>
                <w:kern w:val="2"/>
                <w:sz w:val="21"/>
                <w:szCs w:val="21"/>
                <w:highlight w:val="none"/>
                <w:lang w:val="en-US" w:eastAsia="zh-CN" w:bidi="ar-SA"/>
              </w:rPr>
              <w:t>2</w:t>
            </w:r>
            <w:r>
              <w:rPr>
                <w:rFonts w:hint="eastAsia" w:ascii="宋体" w:hAnsi="宋体" w:eastAsia="宋体" w:cs="Times New Roman"/>
                <w:iCs w:val="0"/>
                <w:color w:val="auto"/>
                <w:kern w:val="2"/>
                <w:sz w:val="21"/>
                <w:szCs w:val="21"/>
                <w:highlight w:val="none"/>
                <w:lang w:val="en-US" w:eastAsia="zh-CN" w:bidi="ar-SA"/>
              </w:rPr>
              <w:t>、竣工验收后，承包人按照最终实际实施的施工图纸、设计变更计算实际发生的工程量、以及实际发生的各项措施，依据计价规则，按中标</w:t>
            </w:r>
            <w:r>
              <w:rPr>
                <w:rFonts w:hint="eastAsia" w:ascii="宋体" w:hAnsi="宋体" w:cs="Times New Roman"/>
                <w:iCs w:val="0"/>
                <w:color w:val="auto"/>
                <w:kern w:val="2"/>
                <w:sz w:val="21"/>
                <w:szCs w:val="21"/>
                <w:highlight w:val="none"/>
                <w:lang w:val="en-US" w:eastAsia="zh-CN" w:bidi="ar-SA"/>
              </w:rPr>
              <w:t>下浮率</w:t>
            </w:r>
            <w:r>
              <w:rPr>
                <w:rFonts w:hint="eastAsia" w:ascii="宋体" w:hAnsi="宋体" w:eastAsia="宋体" w:cs="Times New Roman"/>
                <w:iCs w:val="0"/>
                <w:color w:val="auto"/>
                <w:kern w:val="2"/>
                <w:sz w:val="21"/>
                <w:szCs w:val="21"/>
                <w:highlight w:val="none"/>
                <w:lang w:val="en-US" w:eastAsia="zh-CN" w:bidi="ar-SA"/>
              </w:rPr>
              <w:t>计算EPC总包竣工结算价，并编制竣工结算资料上报发包人审核，</w:t>
            </w:r>
            <w:r>
              <w:rPr>
                <w:rFonts w:hint="eastAsia" w:ascii="宋体" w:hAnsi="宋体" w:cs="Times New Roman"/>
                <w:iCs w:val="0"/>
                <w:color w:val="auto"/>
                <w:kern w:val="2"/>
                <w:sz w:val="21"/>
                <w:szCs w:val="21"/>
                <w:highlight w:val="none"/>
                <w:lang w:val="en-US" w:eastAsia="zh-CN" w:bidi="ar-SA"/>
              </w:rPr>
              <w:t>以</w:t>
            </w:r>
            <w:r>
              <w:rPr>
                <w:rFonts w:hint="eastAsia" w:ascii="宋体" w:hAnsi="宋体" w:eastAsia="宋体" w:cs="Times New Roman"/>
                <w:iCs w:val="0"/>
                <w:color w:val="auto"/>
                <w:kern w:val="2"/>
                <w:sz w:val="21"/>
                <w:szCs w:val="21"/>
                <w:highlight w:val="none"/>
                <w:lang w:val="en-US" w:eastAsia="zh-CN" w:bidi="ar-SA"/>
              </w:rPr>
              <w:t>最终审核结果为准</w:t>
            </w:r>
            <w:r>
              <w:rPr>
                <w:rFonts w:hint="eastAsia" w:ascii="宋体" w:hAnsi="宋体" w:eastAsia="宋体" w:cs="Times New Roman"/>
                <w:iCs w:val="0"/>
                <w:strike w:val="0"/>
                <w:dstrike w:val="0"/>
                <w:color w:val="auto"/>
                <w:kern w:val="2"/>
                <w:sz w:val="21"/>
                <w:szCs w:val="21"/>
                <w:highlight w:val="none"/>
                <w:lang w:val="en-US" w:eastAsia="zh-CN" w:bidi="ar-SA"/>
              </w:rPr>
              <w:t>。EPC总包竣工结算价超过</w:t>
            </w:r>
            <w:r>
              <w:rPr>
                <w:rFonts w:hint="eastAsia" w:ascii="宋体" w:hAnsi="宋体" w:cs="Times New Roman"/>
                <w:iCs w:val="0"/>
                <w:strike w:val="0"/>
                <w:dstrike w:val="0"/>
                <w:color w:val="auto"/>
                <w:kern w:val="2"/>
                <w:sz w:val="21"/>
                <w:szCs w:val="21"/>
                <w:highlight w:val="none"/>
                <w:lang w:val="en-US" w:eastAsia="zh-CN" w:bidi="ar-SA"/>
              </w:rPr>
              <w:t>中标人投标总价时</w:t>
            </w:r>
            <w:r>
              <w:rPr>
                <w:rFonts w:hint="eastAsia" w:ascii="宋体" w:hAnsi="宋体" w:eastAsia="宋体" w:cs="Times New Roman"/>
                <w:iCs w:val="0"/>
                <w:strike w:val="0"/>
                <w:dstrike w:val="0"/>
                <w:color w:val="auto"/>
                <w:kern w:val="2"/>
                <w:sz w:val="21"/>
                <w:szCs w:val="21"/>
                <w:highlight w:val="none"/>
                <w:lang w:val="en-US" w:eastAsia="zh-CN" w:bidi="ar-SA"/>
              </w:rPr>
              <w:t>，超过部分发包人不予支付，由承包人自行消化，即按中标人投标总价进行结算（视作承包方的让利行为</w:t>
            </w:r>
            <w:r>
              <w:rPr>
                <w:rFonts w:hint="eastAsia" w:ascii="宋体" w:hAnsi="宋体" w:cs="Times New Roman"/>
                <w:iCs w:val="0"/>
                <w:strike w:val="0"/>
                <w:dstrike w:val="0"/>
                <w:color w:val="auto"/>
                <w:kern w:val="2"/>
                <w:sz w:val="21"/>
                <w:szCs w:val="21"/>
                <w:highlight w:val="none"/>
                <w:lang w:val="en-US" w:eastAsia="zh-CN" w:bidi="ar-SA"/>
              </w:rPr>
              <w:t>），</w:t>
            </w:r>
            <w:r>
              <w:rPr>
                <w:rFonts w:hint="eastAsia" w:ascii="宋体" w:hAnsi="宋体" w:eastAsia="宋体" w:cs="Times New Roman"/>
                <w:iCs w:val="0"/>
                <w:strike w:val="0"/>
                <w:dstrike w:val="0"/>
                <w:color w:val="auto"/>
                <w:kern w:val="2"/>
                <w:sz w:val="21"/>
                <w:szCs w:val="21"/>
                <w:highlight w:val="none"/>
                <w:lang w:val="en-US" w:eastAsia="zh-CN" w:bidi="ar-SA"/>
              </w:rPr>
              <w:t>清单的各综合单价及可调整措施费均按让利比例向下调整，以调整后清单为基准清单，其金额为基准清单造价，作为计量支付和签证、变更、决算的基础资料）；EPC总包竣工结算价低于</w:t>
            </w:r>
            <w:r>
              <w:rPr>
                <w:rFonts w:hint="eastAsia" w:ascii="宋体" w:hAnsi="宋体" w:cs="Times New Roman"/>
                <w:iCs w:val="0"/>
                <w:strike w:val="0"/>
                <w:dstrike w:val="0"/>
                <w:color w:val="auto"/>
                <w:kern w:val="2"/>
                <w:sz w:val="21"/>
                <w:szCs w:val="21"/>
                <w:highlight w:val="none"/>
                <w:lang w:val="en-US" w:eastAsia="zh-CN" w:bidi="ar-SA"/>
              </w:rPr>
              <w:t>中标人投标总价时</w:t>
            </w:r>
            <w:r>
              <w:rPr>
                <w:rFonts w:hint="eastAsia" w:ascii="宋体" w:hAnsi="宋体" w:eastAsia="宋体" w:cs="Times New Roman"/>
                <w:iCs w:val="0"/>
                <w:strike w:val="0"/>
                <w:dstrike w:val="0"/>
                <w:color w:val="auto"/>
                <w:kern w:val="2"/>
                <w:sz w:val="21"/>
                <w:szCs w:val="21"/>
                <w:highlight w:val="none"/>
                <w:lang w:val="en-US" w:eastAsia="zh-CN" w:bidi="ar-SA"/>
              </w:rPr>
              <w:t>，按EPC总包竣工结算价进行结算。</w:t>
            </w:r>
          </w:p>
          <w:p w14:paraId="3FFF4BE9">
            <w:pPr>
              <w:pStyle w:val="50"/>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宋体" w:hAnsi="宋体" w:eastAsia="宋体" w:cs="Times New Roman"/>
                <w:iCs w:val="0"/>
                <w:color w:val="auto"/>
                <w:kern w:val="2"/>
                <w:sz w:val="21"/>
                <w:szCs w:val="21"/>
                <w:highlight w:val="none"/>
                <w:lang w:val="en-US" w:eastAsia="zh-CN" w:bidi="ar-SA"/>
              </w:rPr>
            </w:pPr>
            <w:r>
              <w:rPr>
                <w:rFonts w:hint="eastAsia" w:ascii="宋体" w:hAnsi="宋体" w:cs="Times New Roman"/>
                <w:iCs w:val="0"/>
                <w:color w:val="auto"/>
                <w:kern w:val="2"/>
                <w:sz w:val="21"/>
                <w:szCs w:val="21"/>
                <w:highlight w:val="none"/>
                <w:lang w:val="en-US" w:eastAsia="zh-CN" w:bidi="ar-SA"/>
              </w:rPr>
              <w:t>3、</w:t>
            </w:r>
            <w:r>
              <w:rPr>
                <w:rFonts w:hint="eastAsia" w:ascii="宋体" w:hAnsi="宋体" w:eastAsia="宋体" w:cs="Times New Roman"/>
                <w:iCs w:val="0"/>
                <w:color w:val="auto"/>
                <w:kern w:val="2"/>
                <w:sz w:val="21"/>
                <w:szCs w:val="21"/>
                <w:highlight w:val="none"/>
                <w:lang w:val="en-US" w:eastAsia="zh-CN" w:bidi="ar-SA"/>
              </w:rPr>
              <w:t>材料价格参照施工期营口市造价信息的材料价格。材料价格在营口市造价信息中都没有的，参照沈阳地区信息价，两个地区信息价都没有的再由发包方或监理单位会同承包方经市场调查、询价后，共同确定品牌及采购单价。</w:t>
            </w:r>
          </w:p>
          <w:p w14:paraId="2F99C4F9">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rPr>
              <w:t>三、根据辽宁省住房和城乡建设厅《关于进一步落实招投标各方主体及从业人员实名制的通知》，施工和监理类项目投标单位【授权委托人】、【项目负责人】（拟派项目经理、总监理工程师）及服务和材料设备类项目投标单位【授权委托人】、【项目负责人】（拟派项目负责人）在投标期间内均必须进行身份证实名认证。</w:t>
            </w:r>
          </w:p>
          <w:p w14:paraId="238F4931">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rPr>
              <w:t>1.实名认证可采用身份证阅读机器进行身份证实体刷卡认证（PC端），也可采用移动端APP软件进行远程实名认证（APP端）。</w:t>
            </w:r>
          </w:p>
          <w:p w14:paraId="0D0F015A">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rPr>
              <w:t>2.授权委托人实名认证：</w:t>
            </w:r>
          </w:p>
          <w:p w14:paraId="68956472">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rPr>
              <w:t>（1）在“项目委托人授权”步骤可以点选或跳过此步骤直接进入“招标文件领取”步骤，但在上传投标文件前（电子开标项目）/中标候选人公示前（纸质开标项目），【授权委托人】必须进行实名认证，否则无法上传投标文件（电子开标项目）/无法在候选人公示选取到单位信息（纸质开标项目）。</w:t>
            </w:r>
          </w:p>
          <w:p w14:paraId="394E7F19">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rPr>
              <w:t>（2）在“项目委托人授权”步骤直接刷其身份证带出【授权委托人】信息，视为【授权委托人】已做实名认证。</w:t>
            </w:r>
          </w:p>
          <w:p w14:paraId="62C99ABD">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rPr>
              <w:t>3.项目负责人实名认证：</w:t>
            </w:r>
          </w:p>
          <w:p w14:paraId="7F37F7BA">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rPr>
              <w:t>（1）【授权委托人】已进行实名认证的：在“招标文件领取”步骤，可以点选【项目负责人】或刷其IC卡或刷其身份证领取招标文件，未刷【项目负责人】身份证领取文件的需要在“项目负责人实名认证”步骤或在二次刷卡时刷其身份证进行实名认证。</w:t>
            </w:r>
          </w:p>
          <w:p w14:paraId="4D5D2018">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rPr>
              <w:t>（2）【授权委托人】未进行实名认证的：在“招标文件领取”步骤，仅可刷【项目负责人】IC卡或其身份证领取招标文件，刷【项目负责人】IC卡领取文件的需要在“项目负责人实名认证”步骤或在二次刷卡时刷其身份证进行实名认证。</w:t>
            </w:r>
          </w:p>
          <w:p w14:paraId="59D6ADFB">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rPr>
              <w:t>4.二次刷卡：</w:t>
            </w:r>
          </w:p>
          <w:p w14:paraId="1F2EA8CE">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rPr>
              <w:t>（1）【项目负责人】已进行实名认证的，二次刷卡可以刷【项目负责人】或【授权委托人】身份证带出【项目负责人】“在建项目信息”及“不良行为信息”。</w:t>
            </w:r>
          </w:p>
          <w:p w14:paraId="17B09CC0">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rPr>
              <w:t>（2）【项目负责人】未进行实名认证的，二次刷卡只能刷其本人身份证带出【项目负责人】“在建项目信息”及“不良行为信息”。</w:t>
            </w:r>
          </w:p>
          <w:p w14:paraId="769652A4">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rPr>
              <w:t>（3）递交投标文件前，投标单位应完成【项目负责人】二次刷卡验证及【授权委托人】、拟派【项目负责人】身份证实名认证，否则无法在候选人公示选取到单位信息。</w:t>
            </w:r>
          </w:p>
          <w:p w14:paraId="38ECFC9C">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rPr>
              <w:t>5.当【授权委托人】与【项目负责人】为同一人时，在以上任一环节进行过实名认证的，其另一身份也视为已实名认证。</w:t>
            </w:r>
          </w:p>
          <w:p w14:paraId="79626FD1">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rPr>
              <w:t>6.【授权委托人】及【项目负责人】认证人员与投标文件中人员不一致的做废标处理。</w:t>
            </w:r>
          </w:p>
          <w:p w14:paraId="649DCAA1">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rPr>
              <w:t>实名认证参考操作说明，详见辽宁建设工程信息网最新操作手册。</w:t>
            </w:r>
          </w:p>
          <w:p w14:paraId="30A770A4">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color w:val="auto"/>
                <w:highlight w:val="none"/>
                <w:lang w:eastAsia="zh-CN"/>
              </w:rPr>
            </w:pPr>
            <w:r>
              <w:rPr>
                <w:rFonts w:hint="eastAsia"/>
                <w:color w:val="auto"/>
                <w:highlight w:val="none"/>
              </w:rPr>
              <w:t>四、本项目招标代理服务费由中标人支付。中标人在中标公示发布后须向本项目的招标代理机构（辽宁咨发工程招标咨询服务有限公司）支付代理服务费。招标代理服务费不得在</w:t>
            </w:r>
            <w:r>
              <w:rPr>
                <w:rFonts w:hint="eastAsia"/>
                <w:color w:val="auto"/>
                <w:highlight w:val="none"/>
                <w:lang w:eastAsia="zh-CN"/>
              </w:rPr>
              <w:t>投标</w:t>
            </w:r>
            <w:r>
              <w:rPr>
                <w:rFonts w:hint="eastAsia"/>
                <w:color w:val="auto"/>
                <w:highlight w:val="none"/>
              </w:rPr>
              <w:t>报价中单独列项，须综合考虑在投标报价中。代理服务费收费标准：</w:t>
            </w:r>
            <w:r>
              <w:rPr>
                <w:rFonts w:hint="eastAsia"/>
                <w:color w:val="auto"/>
                <w:highlight w:val="none"/>
                <w:lang w:val="en-US" w:eastAsia="zh-CN"/>
              </w:rPr>
              <w:t>参照</w:t>
            </w:r>
            <w:r>
              <w:rPr>
                <w:rFonts w:hint="eastAsia"/>
                <w:color w:val="auto"/>
                <w:highlight w:val="none"/>
                <w:lang w:eastAsia="zh-CN"/>
              </w:rPr>
              <w:t>《国家计委关于印发&lt;招标代理服务收费管理暂行办法&gt;的通知》（计价格[2002]1980号）和《国家发展改革委关于降低部分建设项目收费标准规范收费行为等有关问题的通知》（发改价格[2011]534号）规定收费标准</w:t>
            </w:r>
            <w:r>
              <w:rPr>
                <w:rFonts w:hint="eastAsia"/>
                <w:color w:val="auto"/>
                <w:highlight w:val="none"/>
                <w:lang w:val="en-US" w:eastAsia="zh-CN"/>
              </w:rPr>
              <w:t>的30%</w:t>
            </w:r>
            <w:r>
              <w:rPr>
                <w:rFonts w:hint="eastAsia"/>
                <w:color w:val="auto"/>
                <w:highlight w:val="none"/>
                <w:lang w:eastAsia="zh-CN"/>
              </w:rPr>
              <w:t>计算</w:t>
            </w:r>
            <w:r>
              <w:rPr>
                <w:rFonts w:hint="eastAsia"/>
                <w:color w:val="auto"/>
                <w:highlight w:val="none"/>
              </w:rPr>
              <w:t>。</w:t>
            </w:r>
          </w:p>
          <w:p w14:paraId="4986B5D6">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rPr>
              <w:t>五、投标人应将 “实名制管理费用”按《关于建筑工人实名制费用计价方法（暂行）的通知》的要求，作为不可竞争费用计入投标报价，结算时应按建设单位批准的施工方案据实结算。</w:t>
            </w:r>
          </w:p>
          <w:p w14:paraId="72562ADD">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rPr>
              <w:t>六、以联合形式参与投标的，除招标文件规定的联合体协议等须各方签字盖章外，其他材料由联合体牵头人按照要求盖章签字即可。</w:t>
            </w:r>
          </w:p>
          <w:p w14:paraId="420ACC48">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rPr>
              <w:t xml:space="preserve">七、其他补充约定： </w:t>
            </w:r>
          </w:p>
          <w:p w14:paraId="129A579A">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rPr>
              <w:t>1.中标人对工程竣工验收范围内的设计和施工等工作以及竣工验收资料负总责</w:t>
            </w:r>
            <w:r>
              <w:rPr>
                <w:rFonts w:hint="eastAsia"/>
                <w:color w:val="auto"/>
                <w:highlight w:val="none"/>
                <w:lang w:eastAsia="zh-CN"/>
              </w:rPr>
              <w:t>。</w:t>
            </w:r>
          </w:p>
          <w:p w14:paraId="02EAA8A5">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color w:val="auto"/>
                <w:highlight w:val="none"/>
                <w:lang w:eastAsia="zh-CN"/>
              </w:rPr>
            </w:pPr>
            <w:r>
              <w:rPr>
                <w:rFonts w:hint="eastAsia"/>
                <w:color w:val="auto"/>
                <w:highlight w:val="none"/>
              </w:rPr>
              <w:t xml:space="preserve">2.中标人需负责整个项目的安全生产工作，施工围挡需最终经招标人同意后方可进行搭建，施工过程需控制噪音及环境卫生等相关工作。 </w:t>
            </w:r>
          </w:p>
          <w:p w14:paraId="37B456E1">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color w:val="auto"/>
                <w:highlight w:val="none"/>
              </w:rPr>
            </w:pPr>
            <w:r>
              <w:rPr>
                <w:rFonts w:hint="eastAsia"/>
                <w:color w:val="auto"/>
                <w:highlight w:val="none"/>
              </w:rPr>
              <w:t>3.中标人除不可抗力外无论何种原因均确保连续施工。</w:t>
            </w:r>
          </w:p>
          <w:p w14:paraId="6D202247">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color w:val="auto"/>
                <w:highlight w:val="none"/>
                <w:lang w:eastAsia="zh-CN"/>
              </w:rPr>
            </w:pPr>
            <w:r>
              <w:rPr>
                <w:rFonts w:hint="eastAsia"/>
                <w:color w:val="auto"/>
                <w:highlight w:val="none"/>
              </w:rPr>
              <w:t>4.投标人项目实施过程中，如</w:t>
            </w:r>
            <w:r>
              <w:rPr>
                <w:rFonts w:hint="eastAsia"/>
                <w:color w:val="auto"/>
                <w:highlight w:val="none"/>
                <w:lang w:val="en-US" w:eastAsia="zh-CN"/>
              </w:rPr>
              <w:t>勘察</w:t>
            </w:r>
            <w:r>
              <w:rPr>
                <w:rFonts w:hint="eastAsia"/>
                <w:color w:val="auto"/>
                <w:highlight w:val="none"/>
              </w:rPr>
              <w:t>发现问题等不可抗力，延误工期或造成项目终止，中标人应自行承担招标图纸、工程技术要求</w:t>
            </w:r>
            <w:r>
              <w:rPr>
                <w:rFonts w:hint="eastAsia"/>
                <w:color w:val="auto"/>
                <w:highlight w:val="none"/>
                <w:lang w:eastAsia="zh-CN"/>
              </w:rPr>
              <w:t>、</w:t>
            </w:r>
            <w:r>
              <w:rPr>
                <w:rFonts w:hint="eastAsia"/>
                <w:color w:val="auto"/>
                <w:highlight w:val="none"/>
              </w:rPr>
              <w:t>设计与施工规范、施工措施、市场状况、政策调整、天气影响（冬、雨季施工等）、开工延误（招标人原因及不可抗力除外）、工期变化（发包人原因及不可抗力除外）、施工干扰、生产干扰等所有的风险因素。</w:t>
            </w:r>
          </w:p>
          <w:p w14:paraId="36AA383B">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color w:val="auto"/>
                <w:highlight w:val="none"/>
                <w:lang w:eastAsia="zh-CN"/>
              </w:rPr>
            </w:pPr>
            <w:r>
              <w:rPr>
                <w:rFonts w:hint="eastAsia"/>
                <w:color w:val="auto"/>
                <w:highlight w:val="none"/>
                <w:lang w:val="en-US" w:eastAsia="zh-CN"/>
              </w:rPr>
              <w:t>5</w:t>
            </w:r>
            <w:r>
              <w:rPr>
                <w:rFonts w:hint="eastAsia"/>
                <w:color w:val="auto"/>
                <w:highlight w:val="none"/>
              </w:rPr>
              <w:t>.所有的招标资料招标人有权查核确认，如发现弄虚作假的现象，投标人的投标文件将被拒绝</w:t>
            </w:r>
            <w:r>
              <w:rPr>
                <w:rFonts w:hint="eastAsia"/>
                <w:color w:val="auto"/>
                <w:highlight w:val="none"/>
                <w:lang w:eastAsia="zh-CN"/>
              </w:rPr>
              <w:t>。</w:t>
            </w:r>
          </w:p>
          <w:p w14:paraId="686A40B8">
            <w:pPr>
              <w:pStyle w:val="31"/>
              <w:rPr>
                <w:rFonts w:hint="eastAsia"/>
                <w:color w:val="auto"/>
                <w:sz w:val="21"/>
                <w:szCs w:val="21"/>
                <w:highlight w:val="none"/>
                <w:lang w:eastAsia="zh-CN"/>
              </w:rPr>
            </w:pPr>
            <w:r>
              <w:rPr>
                <w:rFonts w:hint="eastAsia"/>
                <w:color w:val="auto"/>
                <w:sz w:val="21"/>
                <w:szCs w:val="21"/>
                <w:highlight w:val="none"/>
              </w:rPr>
              <w:t>6.所有的招标资料招标人有权查核确认，如发现弄虚作假的现象，投标人的投标文件将被拒绝。</w:t>
            </w:r>
          </w:p>
          <w:p w14:paraId="18E535C2">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color w:val="auto"/>
                <w:highlight w:val="none"/>
                <w:lang w:eastAsia="zh-CN"/>
              </w:rPr>
            </w:pPr>
            <w:r>
              <w:rPr>
                <w:rFonts w:hint="eastAsia"/>
                <w:color w:val="auto"/>
                <w:highlight w:val="none"/>
                <w:lang w:val="en-US" w:eastAsia="zh-CN"/>
              </w:rPr>
              <w:t>7</w:t>
            </w:r>
            <w:r>
              <w:rPr>
                <w:rFonts w:hint="eastAsia"/>
                <w:color w:val="auto"/>
                <w:highlight w:val="none"/>
              </w:rPr>
              <w:t xml:space="preserve">.投标文件必须按照招标文件规定的格式、内容填写，投标人对招标文件格式的任何改动均视为偏离。 </w:t>
            </w:r>
          </w:p>
          <w:p w14:paraId="19D048A1">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color w:val="auto"/>
                <w:highlight w:val="none"/>
              </w:rPr>
            </w:pPr>
            <w:r>
              <w:rPr>
                <w:rFonts w:hint="eastAsia"/>
                <w:color w:val="auto"/>
                <w:highlight w:val="none"/>
                <w:lang w:val="en-US" w:eastAsia="zh-CN"/>
              </w:rPr>
              <w:t>8</w:t>
            </w:r>
            <w:r>
              <w:rPr>
                <w:rFonts w:hint="eastAsia"/>
                <w:color w:val="auto"/>
                <w:highlight w:val="none"/>
              </w:rPr>
              <w:t>.中标人须协助招标人办理与本工程相关的一切手续，包括但不限于以下工作：施工图纸审查、图纸会审及设计报批审查、消防审核等工作，且设计图纸须通过审核，并提供上述审查所需的所有材料，如设计图纸与法律法规不符，中标人应及时作出调整并重新申报，且中标人负责期间发生的所有费用。</w:t>
            </w:r>
          </w:p>
          <w:p w14:paraId="2A01ADA8">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color w:val="auto"/>
                <w:highlight w:val="none"/>
                <w:lang w:eastAsia="zh-CN"/>
              </w:rPr>
            </w:pPr>
            <w:r>
              <w:rPr>
                <w:rFonts w:hint="eastAsia"/>
                <w:color w:val="auto"/>
                <w:highlight w:val="none"/>
                <w:lang w:val="en-US" w:eastAsia="zh-CN"/>
              </w:rPr>
              <w:t>9</w:t>
            </w:r>
            <w:r>
              <w:rPr>
                <w:rFonts w:hint="eastAsia"/>
                <w:color w:val="auto"/>
                <w:highlight w:val="none"/>
              </w:rPr>
              <w:t xml:space="preserve">.中标人负责协助招标人办理与本工程相关的手续，按规定由发包人向政府交纳的相关费用由发包人承担，其他费用由承包人自行承担。 </w:t>
            </w:r>
          </w:p>
          <w:p w14:paraId="35380CDC">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color w:val="auto"/>
                <w:highlight w:val="none"/>
              </w:rPr>
            </w:pPr>
            <w:r>
              <w:rPr>
                <w:rFonts w:hint="eastAsia"/>
                <w:color w:val="auto"/>
                <w:highlight w:val="none"/>
                <w:lang w:val="en-US" w:eastAsia="zh-CN"/>
              </w:rPr>
              <w:t>10</w:t>
            </w:r>
            <w:r>
              <w:rPr>
                <w:rFonts w:hint="eastAsia"/>
                <w:color w:val="auto"/>
                <w:highlight w:val="none"/>
              </w:rPr>
              <w:t>.投标人报价必须充分考虑到环卫、交通、噪音、扰民、临建拆迁、道路标识标线恢复施划等不可预见的外界障碍或自然条件等风险因素的影响，投标人在报价中自行考虑。在城区内施工的工程，所有土方不许落地，要充分考虑文明施工的要求。</w:t>
            </w:r>
          </w:p>
          <w:p w14:paraId="69E4C844">
            <w:pPr>
              <w:pStyle w:val="31"/>
              <w:keepNext w:val="0"/>
              <w:keepLines w:val="0"/>
              <w:pageBreakBefore w:val="0"/>
              <w:widowControl/>
              <w:kinsoku/>
              <w:wordWrap/>
              <w:overflowPunct/>
              <w:topLinePunct w:val="0"/>
              <w:autoSpaceDE/>
              <w:autoSpaceDN/>
              <w:bidi w:val="0"/>
              <w:adjustRightInd w:val="0"/>
              <w:snapToGrid w:val="0"/>
              <w:textAlignment w:val="auto"/>
              <w:rPr>
                <w:rFonts w:hint="eastAsia"/>
                <w:color w:val="auto"/>
                <w:sz w:val="21"/>
                <w:szCs w:val="21"/>
                <w:highlight w:val="none"/>
              </w:rPr>
            </w:pPr>
            <w:r>
              <w:rPr>
                <w:rFonts w:hint="eastAsia"/>
                <w:color w:val="auto"/>
                <w:sz w:val="21"/>
                <w:szCs w:val="21"/>
                <w:highlight w:val="none"/>
              </w:rPr>
              <w:t>11.投标人报价应充分考虑工程施工所必需的封道、交通警示等费用。</w:t>
            </w:r>
          </w:p>
          <w:p w14:paraId="19AACE9C">
            <w:pPr>
              <w:pStyle w:val="31"/>
              <w:keepNext w:val="0"/>
              <w:keepLines w:val="0"/>
              <w:pageBreakBefore w:val="0"/>
              <w:widowControl/>
              <w:kinsoku/>
              <w:wordWrap/>
              <w:overflowPunct/>
              <w:topLinePunct w:val="0"/>
              <w:autoSpaceDE/>
              <w:autoSpaceDN/>
              <w:bidi w:val="0"/>
              <w:adjustRightInd w:val="0"/>
              <w:snapToGrid w:val="0"/>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12</w:t>
            </w:r>
            <w:r>
              <w:rPr>
                <w:rFonts w:hint="eastAsia"/>
                <w:color w:val="auto"/>
                <w:highlight w:val="none"/>
              </w:rPr>
              <w:t>.</w:t>
            </w:r>
            <w:r>
              <w:rPr>
                <w:rFonts w:hint="eastAsia"/>
                <w:color w:val="auto"/>
                <w:sz w:val="21"/>
                <w:szCs w:val="21"/>
                <w:highlight w:val="none"/>
              </w:rPr>
              <w:t>工程保险：必须依法缴纳人身意外伤害险及第三方责任险，所发生的费用均由中标人缴纳。中标人在投保项目及其投保期限内，向发包人提供保险单副本、保费支付单据复印件和保险单生效的证明</w:t>
            </w:r>
            <w:r>
              <w:rPr>
                <w:rFonts w:hint="eastAsia"/>
                <w:color w:val="auto"/>
                <w:sz w:val="21"/>
                <w:szCs w:val="21"/>
                <w:highlight w:val="none"/>
                <w:lang w:eastAsia="zh-CN"/>
              </w:rPr>
              <w:t>。</w:t>
            </w:r>
          </w:p>
          <w:p w14:paraId="18591D28">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color w:val="auto"/>
                <w:highlight w:val="none"/>
                <w:lang w:eastAsia="zh-CN"/>
              </w:rPr>
            </w:pPr>
            <w:r>
              <w:rPr>
                <w:rFonts w:hint="eastAsia"/>
                <w:color w:val="auto"/>
                <w:highlight w:val="none"/>
                <w:lang w:val="en-US" w:eastAsia="zh-CN"/>
              </w:rPr>
              <w:t>13</w:t>
            </w:r>
            <w:r>
              <w:rPr>
                <w:rFonts w:hint="eastAsia"/>
                <w:color w:val="auto"/>
                <w:highlight w:val="none"/>
              </w:rPr>
              <w:t>.主要材料、设备要求：投标人在设计成果文件中的材料、设备技术参数必须满足国家强制性标准和省、市技术标准要求，设计审批通过后，施工过程</w:t>
            </w:r>
            <w:r>
              <w:rPr>
                <w:rFonts w:hint="eastAsia"/>
                <w:color w:val="auto"/>
                <w:highlight w:val="none"/>
                <w:lang w:val="en-US" w:eastAsia="zh-CN"/>
              </w:rPr>
              <w:t>中</w:t>
            </w:r>
            <w:r>
              <w:rPr>
                <w:rFonts w:hint="eastAsia"/>
                <w:color w:val="auto"/>
                <w:highlight w:val="none"/>
              </w:rPr>
              <w:t>须严格按照设计图纸的技术参数要求选用材料、设备，产品生产许可证、合格证等证书齐全，检测报告合格有效。严禁使用国家禁止和限制使用产品</w:t>
            </w:r>
            <w:r>
              <w:rPr>
                <w:rFonts w:hint="eastAsia"/>
                <w:color w:val="auto"/>
                <w:highlight w:val="none"/>
                <w:lang w:eastAsia="zh-CN"/>
              </w:rPr>
              <w:t>。</w:t>
            </w:r>
            <w:r>
              <w:rPr>
                <w:rFonts w:hint="eastAsia"/>
                <w:color w:val="auto"/>
                <w:highlight w:val="none"/>
              </w:rPr>
              <w:t xml:space="preserve"> </w:t>
            </w:r>
          </w:p>
          <w:p w14:paraId="20726847">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lang w:val="en-US" w:eastAsia="zh-CN"/>
              </w:rPr>
              <w:t>14</w:t>
            </w:r>
            <w:r>
              <w:rPr>
                <w:rFonts w:hint="eastAsia"/>
                <w:color w:val="auto"/>
                <w:highlight w:val="none"/>
              </w:rPr>
              <w:t>.中标人提供完整施工图并明确主要材料及设备的技术参数、规格，如中标人可以优化设计或提供新的设计，经招标人认可后予以实施</w:t>
            </w:r>
            <w:r>
              <w:rPr>
                <w:rFonts w:hint="eastAsia"/>
                <w:color w:val="auto"/>
                <w:highlight w:val="none"/>
                <w:lang w:eastAsia="zh-CN"/>
              </w:rPr>
              <w:t>。</w:t>
            </w:r>
          </w:p>
          <w:p w14:paraId="0E9D641A">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color w:val="auto"/>
                <w:highlight w:val="none"/>
              </w:rPr>
            </w:pPr>
            <w:r>
              <w:rPr>
                <w:rFonts w:hint="eastAsia"/>
                <w:color w:val="auto"/>
                <w:highlight w:val="none"/>
                <w:lang w:val="en-US" w:eastAsia="zh-CN"/>
              </w:rPr>
              <w:t>15</w:t>
            </w:r>
            <w:r>
              <w:rPr>
                <w:rFonts w:hint="eastAsia"/>
                <w:color w:val="auto"/>
                <w:highlight w:val="none"/>
              </w:rPr>
              <w:t>.竣工清理：在工程竣工后，不管发包人是否已办妥政府有关机构所要求的一切必要的批准、备案手续以及是否已发布移交证书，承包人应安排专业队伍全面履行其合同责任和义务，包括但不限于：从现场清除所有剩余材料、杂物、垃圾等；从现场拆除所有的临时建筑物、构筑物和临时设施并恢复地面原状</w:t>
            </w:r>
            <w:r>
              <w:rPr>
                <w:rFonts w:hint="eastAsia"/>
                <w:color w:val="auto"/>
                <w:highlight w:val="none"/>
                <w:lang w:eastAsia="zh-CN"/>
              </w:rPr>
              <w:t>。</w:t>
            </w:r>
            <w:r>
              <w:rPr>
                <w:rFonts w:hint="eastAsia"/>
                <w:color w:val="auto"/>
                <w:highlight w:val="none"/>
              </w:rPr>
              <w:t xml:space="preserve"> </w:t>
            </w:r>
          </w:p>
          <w:p w14:paraId="4D97C7BA">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color w:val="auto"/>
                <w:highlight w:val="none"/>
                <w:lang w:eastAsia="zh-CN"/>
              </w:rPr>
            </w:pPr>
            <w:r>
              <w:rPr>
                <w:rFonts w:hint="eastAsia"/>
                <w:color w:val="auto"/>
                <w:highlight w:val="none"/>
              </w:rPr>
              <w:t>注：整个工程应达到干净、整洁和能随时投入使用的状态</w:t>
            </w:r>
          </w:p>
          <w:p w14:paraId="00ACFC4E">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color w:val="auto"/>
                <w:highlight w:val="none"/>
              </w:rPr>
            </w:pPr>
            <w:r>
              <w:rPr>
                <w:rFonts w:hint="eastAsia"/>
                <w:color w:val="auto"/>
                <w:highlight w:val="none"/>
                <w:lang w:val="en-US" w:eastAsia="zh-CN"/>
              </w:rPr>
              <w:t>16.</w:t>
            </w:r>
            <w:r>
              <w:rPr>
                <w:rFonts w:hint="eastAsia"/>
                <w:color w:val="auto"/>
                <w:highlight w:val="none"/>
              </w:rPr>
              <w:t>招标文件未尽事宜，以具体签订的合同为准。投标人应认真研究招标文件中的合同文件。中标后，发包人和中标人将在此合同条款的基础上商签合同，招标文件合同条款中已有规定的，须按已有的规定签署不得修改；招标文件合同条款中没有规定的，发包人和中标人可以友好协商。</w:t>
            </w:r>
          </w:p>
          <w:p w14:paraId="3A172516">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lang w:val="en-US" w:eastAsia="zh-CN"/>
              </w:rPr>
              <w:t>17.</w:t>
            </w:r>
            <w:r>
              <w:rPr>
                <w:rFonts w:hint="eastAsia"/>
                <w:color w:val="auto"/>
                <w:highlight w:val="none"/>
              </w:rPr>
              <w:t>如果中标单位为联合体，招标人在向牵头人通报后，招标人向联合体牵头方支付合同款项，再由牵头方向成员方支付，联合体成员分别向招标人开具发票</w:t>
            </w:r>
            <w:r>
              <w:rPr>
                <w:rFonts w:hint="eastAsia"/>
                <w:color w:val="auto"/>
                <w:highlight w:val="none"/>
                <w:lang w:eastAsia="zh-CN"/>
              </w:rPr>
              <w:t>。</w:t>
            </w:r>
          </w:p>
          <w:p w14:paraId="694C8A55">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color w:val="auto"/>
                <w:highlight w:val="none"/>
              </w:rPr>
            </w:pPr>
            <w:r>
              <w:rPr>
                <w:rFonts w:hint="eastAsia"/>
                <w:color w:val="auto"/>
                <w:highlight w:val="none"/>
                <w:lang w:val="en-US" w:eastAsia="zh-CN"/>
              </w:rPr>
              <w:t>18.</w:t>
            </w:r>
            <w:r>
              <w:rPr>
                <w:rFonts w:hint="eastAsia"/>
                <w:color w:val="auto"/>
                <w:highlight w:val="none"/>
              </w:rPr>
              <w:t>中标人应当根据合同约定和项目特点，制定项目管理计划和项目实施计划，建立工程管理与协调制度，加强设计、采购与施工的协调，完善和优化设计，改进施工方案，合理调配设计、采购和施工力量，实现对工程总承包项目的有效控制。</w:t>
            </w:r>
          </w:p>
          <w:p w14:paraId="07C566DD">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color w:val="auto"/>
                <w:highlight w:val="none"/>
                <w:lang w:val="en-US" w:eastAsia="zh-CN"/>
              </w:rPr>
            </w:pPr>
            <w:r>
              <w:rPr>
                <w:rFonts w:hint="eastAsia"/>
                <w:color w:val="auto"/>
                <w:highlight w:val="none"/>
                <w:lang w:val="en-US" w:eastAsia="zh-CN"/>
              </w:rPr>
              <w:t>19</w:t>
            </w:r>
            <w:r>
              <w:rPr>
                <w:rFonts w:hint="default"/>
                <w:color w:val="auto"/>
                <w:highlight w:val="none"/>
                <w:lang w:val="en-US" w:eastAsia="zh-CN"/>
              </w:rPr>
              <w:t>.</w:t>
            </w:r>
            <w:r>
              <w:rPr>
                <w:rFonts w:hint="eastAsia"/>
                <w:color w:val="auto"/>
                <w:highlight w:val="none"/>
                <w:lang w:val="zh-CN"/>
              </w:rPr>
              <w:t>中标人配合招标人调整工程建设进度，招标人有权根据实际情况调整工期及建设计划。</w:t>
            </w:r>
          </w:p>
          <w:p w14:paraId="09349C59">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color w:val="auto"/>
                <w:highlight w:val="none"/>
                <w:lang w:eastAsia="zh-CN"/>
              </w:rPr>
            </w:pPr>
            <w:r>
              <w:rPr>
                <w:rFonts w:hint="eastAsia"/>
                <w:color w:val="auto"/>
                <w:highlight w:val="none"/>
                <w:lang w:val="en-US" w:eastAsia="zh-CN"/>
              </w:rPr>
              <w:t>20</w:t>
            </w:r>
            <w:r>
              <w:rPr>
                <w:rFonts w:hint="eastAsia"/>
                <w:color w:val="auto"/>
                <w:highlight w:val="none"/>
              </w:rPr>
              <w:t>、知识产权：</w:t>
            </w:r>
          </w:p>
          <w:p w14:paraId="5B50BE5B">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eastAsia"/>
                <w:color w:val="auto"/>
                <w:highlight w:val="none"/>
              </w:rPr>
            </w:pPr>
            <w:r>
              <w:rPr>
                <w:rFonts w:hint="eastAsia"/>
                <w:color w:val="auto"/>
                <w:highlight w:val="none"/>
              </w:rPr>
              <w:t>构成本招标文件各个组成部分的文件，未经招标人书面同意，投标人不得擅自复印和用于非本招标项目所需的其他目的。招标人有权全部或者部分使用未中标人投标文件中的技术成果或技术方案时，并不给予费用补偿。</w:t>
            </w:r>
          </w:p>
          <w:p w14:paraId="3611A950">
            <w:pPr>
              <w:pStyle w:val="39"/>
              <w:keepNext w:val="0"/>
              <w:keepLines w:val="0"/>
              <w:pageBreakBefore w:val="0"/>
              <w:widowControl/>
              <w:numPr>
                <w:ilvl w:val="-1"/>
                <w:numId w:val="0"/>
              </w:numPr>
              <w:kinsoku/>
              <w:wordWrap/>
              <w:overflowPunct/>
              <w:topLinePunct w:val="0"/>
              <w:autoSpaceDE/>
              <w:autoSpaceDN/>
              <w:bidi w:val="0"/>
              <w:adjustRightInd w:val="0"/>
              <w:snapToGrid w:val="0"/>
              <w:spacing w:line="320" w:lineRule="exact"/>
              <w:textAlignment w:val="auto"/>
              <w:rPr>
                <w:rFonts w:hint="eastAsia"/>
                <w:color w:val="auto"/>
                <w:highlight w:val="none"/>
              </w:rPr>
            </w:pPr>
            <w:r>
              <w:rPr>
                <w:rFonts w:hint="eastAsia"/>
                <w:color w:val="auto"/>
                <w:highlight w:val="none"/>
                <w:lang w:val="en-US" w:eastAsia="zh-CN"/>
              </w:rPr>
              <w:t>21</w:t>
            </w:r>
            <w:r>
              <w:rPr>
                <w:rFonts w:hint="eastAsia"/>
                <w:color w:val="auto"/>
                <w:highlight w:val="none"/>
              </w:rPr>
              <w:t>本项目建设工程交易服务费按照《省发改委关于降低我省建设工程交易服务收费标准的通知》（辽发改价格【2023】128号）文件要求向</w:t>
            </w:r>
            <w:r>
              <w:rPr>
                <w:rFonts w:hint="eastAsia"/>
                <w:color w:val="auto"/>
                <w:highlight w:val="none"/>
                <w:lang w:val="zh-CN"/>
              </w:rPr>
              <w:t>营口市公共资源交易服务中心盖州分中心</w:t>
            </w:r>
            <w:r>
              <w:rPr>
                <w:rFonts w:hint="eastAsia"/>
                <w:color w:val="auto"/>
                <w:highlight w:val="none"/>
              </w:rPr>
              <w:t>缴纳。</w:t>
            </w:r>
          </w:p>
          <w:p w14:paraId="5FA608D3">
            <w:pPr>
              <w:pStyle w:val="39"/>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eastAsia="宋体"/>
                <w:color w:val="auto"/>
                <w:highlight w:val="none"/>
                <w:lang w:val="en-US" w:eastAsia="zh-CN"/>
              </w:rPr>
            </w:pPr>
            <w:r>
              <w:rPr>
                <w:rFonts w:hint="eastAsia"/>
                <w:color w:val="auto"/>
                <w:highlight w:val="none"/>
                <w:lang w:val="en-US" w:eastAsia="zh-CN"/>
              </w:rPr>
              <w:t>22.</w:t>
            </w:r>
            <w:r>
              <w:rPr>
                <w:rFonts w:hint="eastAsia"/>
                <w:color w:val="auto"/>
                <w:highlight w:val="none"/>
              </w:rPr>
              <w:t>投标人下载招标文件后，法定代表人或授权委托人应持</w:t>
            </w:r>
            <w:r>
              <w:rPr>
                <w:rFonts w:hint="eastAsia"/>
                <w:color w:val="auto"/>
                <w:highlight w:val="none"/>
                <w:lang w:val="en-US" w:eastAsia="zh-CN"/>
              </w:rPr>
              <w:t>下载招标文件证明资料</w:t>
            </w:r>
            <w:r>
              <w:rPr>
                <w:rFonts w:hint="eastAsia"/>
                <w:color w:val="auto"/>
                <w:highlight w:val="none"/>
              </w:rPr>
              <w:t>到招标</w:t>
            </w:r>
            <w:r>
              <w:rPr>
                <w:rFonts w:hint="eastAsia"/>
                <w:color w:val="auto"/>
                <w:highlight w:val="none"/>
                <w:lang w:val="en-US" w:eastAsia="zh-CN"/>
              </w:rPr>
              <w:t>代理</w:t>
            </w:r>
            <w:r>
              <w:rPr>
                <w:rFonts w:hint="eastAsia"/>
                <w:color w:val="auto"/>
                <w:highlight w:val="none"/>
              </w:rPr>
              <w:t>人单位处借阅《</w:t>
            </w:r>
            <w:r>
              <w:rPr>
                <w:rFonts w:hint="eastAsia"/>
                <w:color w:val="auto"/>
                <w:highlight w:val="none"/>
                <w:lang w:eastAsia="zh-CN"/>
              </w:rPr>
              <w:t>中济智造产业基础设施配套项目一期可行性研究报告</w:t>
            </w:r>
            <w:r>
              <w:rPr>
                <w:rFonts w:hint="eastAsia"/>
                <w:color w:val="auto"/>
                <w:highlight w:val="none"/>
              </w:rPr>
              <w:t>》等资料，押金 500元/套，因本项目涉及商业秘密</w:t>
            </w:r>
            <w:r>
              <w:rPr>
                <w:rFonts w:hint="eastAsia"/>
                <w:color w:val="auto"/>
                <w:highlight w:val="none"/>
                <w:lang w:eastAsia="zh-CN"/>
              </w:rPr>
              <w:t>，</w:t>
            </w:r>
            <w:r>
              <w:rPr>
                <w:rFonts w:hint="eastAsia"/>
                <w:color w:val="auto"/>
                <w:highlight w:val="none"/>
              </w:rPr>
              <w:t>同时现场签订保密协议。如投标人因未借阅《</w:t>
            </w:r>
            <w:r>
              <w:rPr>
                <w:rFonts w:hint="eastAsia"/>
                <w:color w:val="auto"/>
                <w:highlight w:val="none"/>
                <w:lang w:eastAsia="zh-CN"/>
              </w:rPr>
              <w:t>中济智造产业基础设施配套项目一期可行性研究报告</w:t>
            </w:r>
            <w:r>
              <w:rPr>
                <w:rFonts w:hint="eastAsia"/>
                <w:color w:val="auto"/>
                <w:highlight w:val="none"/>
              </w:rPr>
              <w:t>》等资料，而造成的承包人建议书未通过评审的后果由投标人自行承担</w:t>
            </w:r>
            <w:r>
              <w:rPr>
                <w:rFonts w:hint="eastAsia"/>
                <w:color w:val="auto"/>
                <w:highlight w:val="none"/>
                <w:lang w:eastAsia="zh-CN"/>
              </w:rPr>
              <w:t>。</w:t>
            </w:r>
            <w:r>
              <w:rPr>
                <w:rFonts w:hint="eastAsia"/>
                <w:color w:val="auto"/>
                <w:highlight w:val="none"/>
                <w:lang w:val="en-US" w:eastAsia="zh-CN"/>
              </w:rPr>
              <w:t>准备领取相关资料的投标人应于2025年*月*日14时前通知招标代理人，以便招标代理人及时准备相关资料，并于次日16时前到招标代理人处领取。</w:t>
            </w:r>
          </w:p>
          <w:p w14:paraId="6B99F3F5">
            <w:pPr>
              <w:pStyle w:val="31"/>
              <w:rPr>
                <w:rFonts w:hint="default" w:eastAsia="宋体"/>
                <w:color w:val="auto"/>
                <w:highlight w:val="none"/>
                <w:lang w:val="en-US" w:eastAsia="zh-CN"/>
              </w:rPr>
            </w:pPr>
            <w:r>
              <w:rPr>
                <w:rFonts w:hint="eastAsia" w:cs="Times New Roman"/>
                <w:iCs w:val="0"/>
                <w:color w:val="auto"/>
                <w:kern w:val="2"/>
                <w:sz w:val="21"/>
                <w:szCs w:val="22"/>
                <w:highlight w:val="none"/>
                <w:lang w:val="en-US" w:eastAsia="zh-CN" w:bidi="ar-SA"/>
              </w:rPr>
              <w:t>23</w:t>
            </w:r>
            <w:r>
              <w:rPr>
                <w:rFonts w:hint="eastAsia" w:ascii="Calibri" w:hAnsi="Calibri" w:eastAsia="宋体" w:cs="Times New Roman"/>
                <w:iCs w:val="0"/>
                <w:color w:val="auto"/>
                <w:kern w:val="2"/>
                <w:sz w:val="21"/>
                <w:szCs w:val="22"/>
                <w:highlight w:val="none"/>
                <w:lang w:val="en-US" w:eastAsia="zh-CN" w:bidi="ar-SA"/>
              </w:rPr>
              <w:t>.编制项目可行性研究报告、工程方案设计、初步设计且具备工程设计资质、工程总承包条件的单位可以参与该工程总承包项目的投标</w:t>
            </w:r>
            <w:r>
              <w:rPr>
                <w:rFonts w:hint="eastAsia" w:cs="Times New Roman"/>
                <w:iCs w:val="0"/>
                <w:color w:val="auto"/>
                <w:kern w:val="2"/>
                <w:sz w:val="21"/>
                <w:szCs w:val="22"/>
                <w:highlight w:val="none"/>
                <w:lang w:val="en-US" w:eastAsia="zh-CN" w:bidi="ar-SA"/>
              </w:rPr>
              <w:t>。</w:t>
            </w:r>
          </w:p>
        </w:tc>
      </w:tr>
    </w:tbl>
    <w:p w14:paraId="04BE5C37">
      <w:pPr>
        <w:rPr>
          <w:color w:val="auto"/>
          <w:highlight w:val="none"/>
        </w:rPr>
      </w:pPr>
      <w:r>
        <w:rPr>
          <w:rFonts w:hint="eastAsia"/>
          <w:color w:val="auto"/>
          <w:highlight w:val="none"/>
        </w:rPr>
        <w:br w:type="page"/>
      </w:r>
    </w:p>
    <w:bookmarkEnd w:id="36"/>
    <w:bookmarkEnd w:id="37"/>
    <w:p w14:paraId="447B592B">
      <w:pPr>
        <w:pStyle w:val="35"/>
        <w:spacing w:line="360" w:lineRule="exact"/>
        <w:rPr>
          <w:rFonts w:cs="Times New Roman"/>
          <w:color w:val="auto"/>
          <w:highlight w:val="none"/>
        </w:rPr>
      </w:pPr>
      <w:bookmarkStart w:id="47" w:name="_Toc145002173"/>
      <w:bookmarkStart w:id="48" w:name="_Toc122602628"/>
      <w:bookmarkStart w:id="49" w:name="_Toc256000004"/>
      <w:bookmarkStart w:id="50" w:name="_Toc1687"/>
      <w:bookmarkStart w:id="51" w:name="_Toc167542376"/>
      <w:bookmarkStart w:id="52" w:name="_Toc144974497"/>
      <w:bookmarkStart w:id="53" w:name="_Toc247527553"/>
      <w:bookmarkStart w:id="54" w:name="_Toc152042305"/>
      <w:bookmarkStart w:id="55" w:name="_Toc152045529"/>
      <w:bookmarkStart w:id="56" w:name="_Toc247513952"/>
      <w:r>
        <w:rPr>
          <w:rFonts w:cs="Times New Roman"/>
          <w:color w:val="auto"/>
          <w:highlight w:val="none"/>
        </w:rPr>
        <w:t>投标人须知正文部分</w:t>
      </w:r>
      <w:bookmarkEnd w:id="47"/>
      <w:bookmarkEnd w:id="48"/>
      <w:bookmarkEnd w:id="49"/>
      <w:bookmarkEnd w:id="50"/>
      <w:bookmarkEnd w:id="51"/>
    </w:p>
    <w:p w14:paraId="674E2E8F">
      <w:pPr>
        <w:pStyle w:val="35"/>
        <w:spacing w:line="360" w:lineRule="exact"/>
        <w:rPr>
          <w:rFonts w:cs="Times New Roman"/>
          <w:color w:val="auto"/>
          <w:highlight w:val="none"/>
        </w:rPr>
      </w:pPr>
      <w:bookmarkStart w:id="57" w:name="_Toc400"/>
      <w:bookmarkStart w:id="58" w:name="_Toc167542377"/>
      <w:bookmarkStart w:id="59" w:name="_Toc256000005"/>
      <w:r>
        <w:rPr>
          <w:rFonts w:cs="Times New Roman"/>
          <w:color w:val="auto"/>
          <w:highlight w:val="none"/>
        </w:rPr>
        <w:t>1.总则</w:t>
      </w:r>
      <w:bookmarkEnd w:id="52"/>
      <w:bookmarkEnd w:id="53"/>
      <w:bookmarkEnd w:id="54"/>
      <w:bookmarkEnd w:id="55"/>
      <w:bookmarkEnd w:id="56"/>
      <w:bookmarkEnd w:id="57"/>
      <w:bookmarkEnd w:id="58"/>
      <w:bookmarkEnd w:id="59"/>
    </w:p>
    <w:p w14:paraId="29E7DDF4">
      <w:pPr>
        <w:pStyle w:val="37"/>
        <w:spacing w:line="360" w:lineRule="exact"/>
        <w:ind w:firstLine="118"/>
        <w:rPr>
          <w:rFonts w:cs="Times New Roman"/>
          <w:color w:val="auto"/>
          <w:highlight w:val="none"/>
        </w:rPr>
      </w:pPr>
      <w:bookmarkStart w:id="60" w:name="_Toc145081411"/>
      <w:bookmarkStart w:id="61" w:name="_Toc17435"/>
      <w:bookmarkStart w:id="62" w:name="_Toc152045530"/>
      <w:bookmarkStart w:id="63" w:name="_Toc256000006"/>
      <w:bookmarkStart w:id="64" w:name="_Toc167542378"/>
      <w:bookmarkStart w:id="65" w:name="_Toc144974498"/>
      <w:bookmarkStart w:id="66" w:name="_Toc247513953"/>
      <w:bookmarkStart w:id="67" w:name="_Toc152042306"/>
      <w:bookmarkStart w:id="68" w:name="_Toc247527554"/>
      <w:r>
        <w:rPr>
          <w:rFonts w:cs="Times New Roman"/>
          <w:color w:val="auto"/>
          <w:highlight w:val="none"/>
        </w:rPr>
        <w:t>1.1项目概况</w:t>
      </w:r>
      <w:bookmarkEnd w:id="60"/>
      <w:bookmarkEnd w:id="61"/>
      <w:bookmarkEnd w:id="62"/>
      <w:bookmarkEnd w:id="63"/>
      <w:bookmarkEnd w:id="64"/>
      <w:bookmarkEnd w:id="65"/>
      <w:bookmarkEnd w:id="66"/>
      <w:bookmarkEnd w:id="67"/>
      <w:bookmarkEnd w:id="68"/>
    </w:p>
    <w:p w14:paraId="1D12B1C8">
      <w:pPr>
        <w:spacing w:line="400" w:lineRule="exact"/>
        <w:ind w:firstLine="420" w:firstLineChars="200"/>
        <w:rPr>
          <w:color w:val="auto"/>
          <w:highlight w:val="none"/>
        </w:rPr>
      </w:pPr>
      <w:r>
        <w:rPr>
          <w:color w:val="auto"/>
          <w:highlight w:val="none"/>
        </w:rPr>
        <w:t>1.1.1根据《中华人民共和国招标投标法》等有关法律、法规和规章的规定，本招标项目已具备招标条件，现对该项目设计施工进行总承包招标。</w:t>
      </w:r>
    </w:p>
    <w:p w14:paraId="0D4A22C7">
      <w:pPr>
        <w:spacing w:line="400" w:lineRule="exact"/>
        <w:ind w:firstLine="420" w:firstLineChars="200"/>
        <w:rPr>
          <w:color w:val="auto"/>
          <w:highlight w:val="none"/>
        </w:rPr>
      </w:pPr>
      <w:r>
        <w:rPr>
          <w:color w:val="auto"/>
          <w:highlight w:val="none"/>
        </w:rPr>
        <w:t xml:space="preserve">1.1.2 </w:t>
      </w:r>
      <w:r>
        <w:rPr>
          <w:rFonts w:hint="eastAsia"/>
          <w:color w:val="auto"/>
          <w:highlight w:val="none"/>
        </w:rPr>
        <w:t>本招标项目招标人</w:t>
      </w:r>
      <w:r>
        <w:rPr>
          <w:color w:val="auto"/>
          <w:highlight w:val="none"/>
        </w:rPr>
        <w:t>：见投标人须知前附表。</w:t>
      </w:r>
    </w:p>
    <w:p w14:paraId="068546DD">
      <w:pPr>
        <w:spacing w:line="400" w:lineRule="exact"/>
        <w:ind w:firstLine="420" w:firstLineChars="200"/>
        <w:rPr>
          <w:color w:val="auto"/>
          <w:highlight w:val="none"/>
        </w:rPr>
      </w:pPr>
      <w:r>
        <w:rPr>
          <w:color w:val="auto"/>
          <w:highlight w:val="none"/>
        </w:rPr>
        <w:t xml:space="preserve">1.1.3 </w:t>
      </w:r>
      <w:r>
        <w:rPr>
          <w:rFonts w:hint="eastAsia"/>
          <w:color w:val="auto"/>
          <w:highlight w:val="none"/>
        </w:rPr>
        <w:t>本标段招标代理机构：</w:t>
      </w:r>
      <w:r>
        <w:rPr>
          <w:color w:val="auto"/>
          <w:highlight w:val="none"/>
        </w:rPr>
        <w:t>见投标人须知前附表。</w:t>
      </w:r>
    </w:p>
    <w:p w14:paraId="73CF8E00">
      <w:pPr>
        <w:spacing w:line="400" w:lineRule="exact"/>
        <w:ind w:firstLine="420" w:firstLineChars="200"/>
        <w:rPr>
          <w:color w:val="auto"/>
          <w:highlight w:val="none"/>
        </w:rPr>
      </w:pPr>
      <w:r>
        <w:rPr>
          <w:color w:val="auto"/>
          <w:highlight w:val="none"/>
        </w:rPr>
        <w:t xml:space="preserve">1.1.4 </w:t>
      </w:r>
      <w:r>
        <w:rPr>
          <w:rFonts w:hint="eastAsia"/>
          <w:color w:val="auto"/>
          <w:highlight w:val="none"/>
        </w:rPr>
        <w:t>本标段项目名称：</w:t>
      </w:r>
      <w:r>
        <w:rPr>
          <w:color w:val="auto"/>
          <w:highlight w:val="none"/>
        </w:rPr>
        <w:t>见投标人须知前附表。</w:t>
      </w:r>
    </w:p>
    <w:p w14:paraId="588656F7">
      <w:pPr>
        <w:spacing w:line="400" w:lineRule="exact"/>
        <w:ind w:firstLine="420" w:firstLineChars="200"/>
        <w:rPr>
          <w:color w:val="auto"/>
          <w:highlight w:val="none"/>
        </w:rPr>
      </w:pPr>
      <w:r>
        <w:rPr>
          <w:color w:val="auto"/>
          <w:highlight w:val="none"/>
        </w:rPr>
        <w:t xml:space="preserve">1.1.5 </w:t>
      </w:r>
      <w:r>
        <w:rPr>
          <w:rFonts w:hint="eastAsia"/>
          <w:color w:val="auto"/>
          <w:highlight w:val="none"/>
        </w:rPr>
        <w:t>本标段建设地点：</w:t>
      </w:r>
      <w:r>
        <w:rPr>
          <w:color w:val="auto"/>
          <w:highlight w:val="none"/>
        </w:rPr>
        <w:t>见投标人须知前附表。</w:t>
      </w:r>
    </w:p>
    <w:p w14:paraId="051E7829">
      <w:pPr>
        <w:spacing w:line="400" w:lineRule="exact"/>
        <w:ind w:firstLine="420" w:firstLineChars="200"/>
        <w:rPr>
          <w:color w:val="auto"/>
          <w:highlight w:val="none"/>
        </w:rPr>
      </w:pPr>
      <w:bookmarkStart w:id="69" w:name="_Toc144974499"/>
      <w:bookmarkStart w:id="70" w:name="_Toc152042307"/>
      <w:bookmarkStart w:id="71" w:name="_Toc247527555"/>
      <w:bookmarkStart w:id="72" w:name="_Toc152045531"/>
      <w:bookmarkStart w:id="73" w:name="_Toc247513954"/>
      <w:r>
        <w:rPr>
          <w:color w:val="auto"/>
          <w:highlight w:val="none"/>
        </w:rPr>
        <w:t xml:space="preserve">1.1.6 </w:t>
      </w:r>
      <w:r>
        <w:rPr>
          <w:rFonts w:hint="eastAsia"/>
          <w:color w:val="auto"/>
          <w:highlight w:val="none"/>
        </w:rPr>
        <w:t>本</w:t>
      </w:r>
      <w:r>
        <w:rPr>
          <w:color w:val="auto"/>
          <w:highlight w:val="none"/>
        </w:rPr>
        <w:t>项目建设规模：见投标人须知前附表。</w:t>
      </w:r>
    </w:p>
    <w:p w14:paraId="7FD12A9F">
      <w:pPr>
        <w:spacing w:line="400" w:lineRule="exact"/>
        <w:ind w:firstLine="420" w:firstLineChars="200"/>
        <w:rPr>
          <w:color w:val="auto"/>
          <w:highlight w:val="none"/>
        </w:rPr>
      </w:pPr>
      <w:r>
        <w:rPr>
          <w:color w:val="auto"/>
          <w:highlight w:val="none"/>
        </w:rPr>
        <w:t xml:space="preserve">1.1.7 </w:t>
      </w:r>
      <w:r>
        <w:rPr>
          <w:rFonts w:hint="eastAsia"/>
          <w:color w:val="auto"/>
          <w:highlight w:val="none"/>
        </w:rPr>
        <w:t>本招标项目</w:t>
      </w:r>
      <w:r>
        <w:rPr>
          <w:color w:val="auto"/>
          <w:highlight w:val="none"/>
        </w:rPr>
        <w:t>投资估算：见投标人须知前附表。</w:t>
      </w:r>
    </w:p>
    <w:p w14:paraId="1F59413B">
      <w:pPr>
        <w:spacing w:line="400" w:lineRule="exact"/>
        <w:ind w:firstLine="420" w:firstLineChars="200"/>
        <w:rPr>
          <w:color w:val="auto"/>
          <w:highlight w:val="none"/>
        </w:rPr>
      </w:pPr>
      <w:r>
        <w:rPr>
          <w:color w:val="auto"/>
          <w:highlight w:val="none"/>
        </w:rPr>
        <w:t xml:space="preserve">1.1.8 </w:t>
      </w:r>
      <w:bookmarkStart w:id="74" w:name="_Hlk144976007"/>
      <w:r>
        <w:rPr>
          <w:color w:val="auto"/>
          <w:highlight w:val="none"/>
        </w:rPr>
        <w:t>本标段采用的电子交易系统名称：见投标人须知前附表。</w:t>
      </w:r>
      <w:bookmarkEnd w:id="74"/>
    </w:p>
    <w:p w14:paraId="2068F3F9">
      <w:pPr>
        <w:pStyle w:val="37"/>
        <w:spacing w:line="360" w:lineRule="exact"/>
        <w:ind w:firstLine="118"/>
        <w:rPr>
          <w:rFonts w:cs="Times New Roman"/>
          <w:color w:val="auto"/>
          <w:highlight w:val="none"/>
        </w:rPr>
      </w:pPr>
      <w:bookmarkStart w:id="75" w:name="_Toc9542"/>
      <w:bookmarkStart w:id="76" w:name="_Toc256000007"/>
      <w:bookmarkStart w:id="77" w:name="_Toc145081412"/>
      <w:bookmarkStart w:id="78" w:name="_Toc167542379"/>
      <w:r>
        <w:rPr>
          <w:rFonts w:cs="Times New Roman"/>
          <w:color w:val="auto"/>
          <w:highlight w:val="none"/>
        </w:rPr>
        <w:t>1.2 项目的资金来源和落实情况</w:t>
      </w:r>
      <w:bookmarkEnd w:id="69"/>
      <w:bookmarkEnd w:id="70"/>
      <w:bookmarkEnd w:id="71"/>
      <w:bookmarkEnd w:id="72"/>
      <w:bookmarkEnd w:id="73"/>
      <w:bookmarkEnd w:id="75"/>
      <w:bookmarkEnd w:id="76"/>
      <w:bookmarkEnd w:id="77"/>
      <w:bookmarkEnd w:id="78"/>
    </w:p>
    <w:p w14:paraId="735D01B6">
      <w:pPr>
        <w:spacing w:line="400" w:lineRule="exact"/>
        <w:ind w:firstLine="420" w:firstLineChars="200"/>
        <w:rPr>
          <w:color w:val="auto"/>
          <w:highlight w:val="none"/>
        </w:rPr>
      </w:pPr>
      <w:r>
        <w:rPr>
          <w:color w:val="auto"/>
          <w:highlight w:val="none"/>
        </w:rPr>
        <w:t xml:space="preserve">1.2.1 </w:t>
      </w:r>
      <w:r>
        <w:rPr>
          <w:rFonts w:hint="eastAsia"/>
          <w:color w:val="auto"/>
          <w:highlight w:val="none"/>
        </w:rPr>
        <w:t>本招标项目的</w:t>
      </w:r>
      <w:r>
        <w:rPr>
          <w:color w:val="auto"/>
          <w:highlight w:val="none"/>
        </w:rPr>
        <w:t>资金来源及比例：见投标人须知前附表。</w:t>
      </w:r>
    </w:p>
    <w:p w14:paraId="1EF1EC29">
      <w:pPr>
        <w:spacing w:line="360" w:lineRule="exact"/>
        <w:ind w:firstLine="420" w:firstLineChars="200"/>
        <w:rPr>
          <w:color w:val="auto"/>
          <w:highlight w:val="none"/>
        </w:rPr>
      </w:pPr>
      <w:bookmarkStart w:id="79" w:name="_Hlk165114533"/>
      <w:bookmarkStart w:id="80" w:name="_Hlk165114515"/>
      <w:r>
        <w:rPr>
          <w:rFonts w:hint="eastAsia"/>
          <w:color w:val="auto"/>
          <w:highlight w:val="none"/>
        </w:rPr>
        <w:t>1.2.</w:t>
      </w:r>
      <w:bookmarkStart w:id="81" w:name="_Hlk165114740"/>
      <w:r>
        <w:rPr>
          <w:rFonts w:hint="eastAsia"/>
          <w:color w:val="auto"/>
          <w:highlight w:val="none"/>
        </w:rPr>
        <w:t>2 本</w:t>
      </w:r>
      <w:bookmarkStart w:id="82" w:name="_Hlk165116025"/>
      <w:r>
        <w:rPr>
          <w:rFonts w:hint="eastAsia"/>
          <w:color w:val="auto"/>
          <w:highlight w:val="none"/>
        </w:rPr>
        <w:t>标段合同估算价：见投标人须知前附表。</w:t>
      </w:r>
      <w:bookmarkEnd w:id="79"/>
      <w:bookmarkEnd w:id="81"/>
      <w:bookmarkEnd w:id="82"/>
    </w:p>
    <w:bookmarkEnd w:id="80"/>
    <w:p w14:paraId="64A061E3">
      <w:pPr>
        <w:spacing w:line="400" w:lineRule="exact"/>
        <w:ind w:firstLine="420" w:firstLineChars="200"/>
        <w:rPr>
          <w:color w:val="auto"/>
          <w:highlight w:val="none"/>
        </w:rPr>
      </w:pPr>
      <w:r>
        <w:rPr>
          <w:color w:val="auto"/>
          <w:highlight w:val="none"/>
        </w:rPr>
        <w:t>1.2.</w:t>
      </w:r>
      <w:r>
        <w:rPr>
          <w:rFonts w:hint="eastAsia"/>
          <w:color w:val="auto"/>
          <w:highlight w:val="none"/>
        </w:rPr>
        <w:t>3</w:t>
      </w:r>
      <w:r>
        <w:rPr>
          <w:color w:val="auto"/>
          <w:highlight w:val="none"/>
        </w:rPr>
        <w:t xml:space="preserve"> </w:t>
      </w:r>
      <w:r>
        <w:rPr>
          <w:rFonts w:hint="eastAsia"/>
          <w:color w:val="auto"/>
          <w:highlight w:val="none"/>
        </w:rPr>
        <w:t>本标段</w:t>
      </w:r>
      <w:r>
        <w:rPr>
          <w:color w:val="auto"/>
          <w:highlight w:val="none"/>
        </w:rPr>
        <w:t>资金落实情况：见投标人须知前附表。</w:t>
      </w:r>
    </w:p>
    <w:p w14:paraId="5450B56F">
      <w:pPr>
        <w:pStyle w:val="37"/>
        <w:spacing w:line="360" w:lineRule="exact"/>
        <w:ind w:firstLine="118"/>
        <w:rPr>
          <w:rFonts w:cs="Times New Roman"/>
          <w:color w:val="auto"/>
          <w:highlight w:val="none"/>
        </w:rPr>
      </w:pPr>
      <w:bookmarkStart w:id="83" w:name="_Toc152045532"/>
      <w:bookmarkStart w:id="84" w:name="_Toc247527556"/>
      <w:bookmarkStart w:id="85" w:name="_Toc144974500"/>
      <w:bookmarkStart w:id="86" w:name="_Toc152042308"/>
      <w:bookmarkStart w:id="87" w:name="_Toc247513955"/>
      <w:bookmarkStart w:id="88" w:name="_Toc167542380"/>
      <w:bookmarkStart w:id="89" w:name="_Toc32212"/>
      <w:bookmarkStart w:id="90" w:name="_Toc256000008"/>
      <w:bookmarkStart w:id="91" w:name="_Toc145081413"/>
      <w:r>
        <w:rPr>
          <w:rFonts w:cs="Times New Roman"/>
          <w:color w:val="auto"/>
          <w:highlight w:val="none"/>
        </w:rPr>
        <w:t>1.3 招标范围、计划工期和</w:t>
      </w:r>
      <w:bookmarkEnd w:id="83"/>
      <w:bookmarkEnd w:id="84"/>
      <w:bookmarkEnd w:id="85"/>
      <w:bookmarkEnd w:id="86"/>
      <w:bookmarkEnd w:id="87"/>
      <w:r>
        <w:rPr>
          <w:rFonts w:cs="Times New Roman"/>
          <w:color w:val="auto"/>
          <w:highlight w:val="none"/>
        </w:rPr>
        <w:t>质量标准</w:t>
      </w:r>
      <w:bookmarkEnd w:id="88"/>
      <w:bookmarkEnd w:id="89"/>
      <w:bookmarkEnd w:id="90"/>
      <w:bookmarkEnd w:id="91"/>
    </w:p>
    <w:p w14:paraId="22484B60">
      <w:pPr>
        <w:spacing w:line="400" w:lineRule="exact"/>
        <w:ind w:firstLine="420" w:firstLineChars="200"/>
        <w:rPr>
          <w:color w:val="auto"/>
          <w:highlight w:val="none"/>
        </w:rPr>
      </w:pPr>
      <w:r>
        <w:rPr>
          <w:color w:val="auto"/>
          <w:highlight w:val="none"/>
        </w:rPr>
        <w:t>1.3.1 招标范围：见投标人须知前附表。</w:t>
      </w:r>
    </w:p>
    <w:p w14:paraId="013D0CE0">
      <w:pPr>
        <w:spacing w:line="400" w:lineRule="exact"/>
        <w:ind w:firstLine="420" w:firstLineChars="200"/>
        <w:rPr>
          <w:color w:val="auto"/>
          <w:highlight w:val="none"/>
        </w:rPr>
      </w:pPr>
      <w:r>
        <w:rPr>
          <w:color w:val="auto"/>
          <w:highlight w:val="none"/>
        </w:rPr>
        <w:t>1.3.2 计划工期：见投标人须知前附表。</w:t>
      </w:r>
    </w:p>
    <w:p w14:paraId="579486C3">
      <w:pPr>
        <w:spacing w:line="400" w:lineRule="exact"/>
        <w:ind w:firstLine="420" w:firstLineChars="200"/>
        <w:rPr>
          <w:color w:val="auto"/>
          <w:highlight w:val="none"/>
        </w:rPr>
      </w:pPr>
      <w:r>
        <w:rPr>
          <w:color w:val="auto"/>
          <w:highlight w:val="none"/>
        </w:rPr>
        <w:t>1.3.3 质量标准：见投标人须知前附表。</w:t>
      </w:r>
    </w:p>
    <w:p w14:paraId="4CD9331E">
      <w:pPr>
        <w:pStyle w:val="37"/>
        <w:spacing w:line="360" w:lineRule="exact"/>
        <w:ind w:firstLine="118"/>
        <w:rPr>
          <w:rFonts w:cs="Times New Roman"/>
          <w:color w:val="auto"/>
          <w:highlight w:val="none"/>
        </w:rPr>
      </w:pPr>
      <w:bookmarkStart w:id="92" w:name="_Toc144974501"/>
      <w:bookmarkStart w:id="93" w:name="_Toc152045533"/>
      <w:bookmarkStart w:id="94" w:name="_Toc256000009"/>
      <w:bookmarkStart w:id="95" w:name="_Toc152042309"/>
      <w:bookmarkStart w:id="96" w:name="_Toc23723"/>
      <w:bookmarkStart w:id="97" w:name="_Toc167542381"/>
      <w:bookmarkStart w:id="98" w:name="_Toc247513956"/>
      <w:bookmarkStart w:id="99" w:name="_Toc145081414"/>
      <w:bookmarkStart w:id="100" w:name="_Toc247527557"/>
      <w:r>
        <w:rPr>
          <w:rFonts w:cs="Times New Roman"/>
          <w:color w:val="auto"/>
          <w:highlight w:val="none"/>
        </w:rPr>
        <w:t>1.4 投标人资格要求（适用于已进行资格预审的）</w:t>
      </w:r>
      <w:bookmarkEnd w:id="92"/>
      <w:bookmarkEnd w:id="93"/>
      <w:bookmarkEnd w:id="94"/>
      <w:bookmarkEnd w:id="95"/>
      <w:bookmarkEnd w:id="96"/>
      <w:bookmarkEnd w:id="97"/>
      <w:bookmarkEnd w:id="98"/>
      <w:bookmarkEnd w:id="99"/>
      <w:bookmarkEnd w:id="100"/>
    </w:p>
    <w:p w14:paraId="3DE6D438">
      <w:pPr>
        <w:spacing w:line="400" w:lineRule="exact"/>
        <w:ind w:firstLine="420" w:firstLineChars="200"/>
        <w:rPr>
          <w:color w:val="auto"/>
          <w:highlight w:val="none"/>
        </w:rPr>
      </w:pPr>
      <w:r>
        <w:rPr>
          <w:color w:val="auto"/>
          <w:highlight w:val="none"/>
        </w:rPr>
        <w:t>投标人应是收到招标人发出投标邀请书的单位。</w:t>
      </w:r>
    </w:p>
    <w:p w14:paraId="63D336E3">
      <w:pPr>
        <w:pStyle w:val="37"/>
        <w:spacing w:line="360" w:lineRule="exact"/>
        <w:ind w:firstLine="118"/>
        <w:rPr>
          <w:rFonts w:cs="Times New Roman"/>
          <w:color w:val="auto"/>
          <w:highlight w:val="none"/>
        </w:rPr>
      </w:pPr>
      <w:bookmarkStart w:id="101" w:name="_Toc144974502"/>
      <w:bookmarkStart w:id="102" w:name="_Toc145081415"/>
      <w:bookmarkStart w:id="103" w:name="_Toc167542382"/>
      <w:bookmarkStart w:id="104" w:name="_Toc256000010"/>
      <w:bookmarkStart w:id="105" w:name="_Toc152045534"/>
      <w:bookmarkStart w:id="106" w:name="_Toc12434"/>
      <w:bookmarkStart w:id="107" w:name="_Toc152042310"/>
      <w:bookmarkStart w:id="108" w:name="_Toc247527558"/>
      <w:bookmarkStart w:id="109" w:name="_Toc247513957"/>
      <w:r>
        <w:rPr>
          <w:rFonts w:cs="Times New Roman"/>
          <w:color w:val="auto"/>
          <w:highlight w:val="none"/>
        </w:rPr>
        <w:t>1.4 投标人资格要求（适用于未进行资格预审的）</w:t>
      </w:r>
      <w:bookmarkEnd w:id="101"/>
      <w:bookmarkEnd w:id="102"/>
      <w:bookmarkEnd w:id="103"/>
      <w:bookmarkEnd w:id="104"/>
      <w:bookmarkEnd w:id="105"/>
      <w:bookmarkEnd w:id="106"/>
      <w:bookmarkEnd w:id="107"/>
      <w:bookmarkEnd w:id="108"/>
      <w:bookmarkEnd w:id="109"/>
    </w:p>
    <w:p w14:paraId="63BEE7FE">
      <w:pPr>
        <w:spacing w:line="400" w:lineRule="exact"/>
        <w:ind w:firstLine="420" w:firstLineChars="200"/>
        <w:rPr>
          <w:color w:val="auto"/>
          <w:highlight w:val="none"/>
        </w:rPr>
      </w:pPr>
      <w:r>
        <w:rPr>
          <w:color w:val="auto"/>
          <w:highlight w:val="none"/>
        </w:rPr>
        <w:t>1.4.1 投标人应具备承担本招标项目资质条件、能力和信誉。</w:t>
      </w:r>
    </w:p>
    <w:p w14:paraId="573DB220">
      <w:pPr>
        <w:spacing w:line="400" w:lineRule="exact"/>
        <w:ind w:firstLine="315" w:firstLineChars="150"/>
        <w:rPr>
          <w:color w:val="auto"/>
          <w:highlight w:val="none"/>
        </w:rPr>
      </w:pPr>
      <w:r>
        <w:rPr>
          <w:color w:val="auto"/>
          <w:highlight w:val="none"/>
        </w:rPr>
        <w:t>（1）资质要求：见投标人须知前附表；</w:t>
      </w:r>
    </w:p>
    <w:p w14:paraId="78D7C290">
      <w:pPr>
        <w:spacing w:line="400" w:lineRule="exact"/>
        <w:ind w:firstLine="315" w:firstLineChars="150"/>
        <w:rPr>
          <w:color w:val="auto"/>
          <w:highlight w:val="none"/>
        </w:rPr>
      </w:pPr>
      <w:r>
        <w:rPr>
          <w:color w:val="auto"/>
          <w:highlight w:val="none"/>
        </w:rPr>
        <w:t>（2）财务要求：见投标人须知前附表（如有）；</w:t>
      </w:r>
    </w:p>
    <w:p w14:paraId="0E7BFD92">
      <w:pPr>
        <w:spacing w:line="400" w:lineRule="exact"/>
        <w:ind w:firstLine="315" w:firstLineChars="150"/>
        <w:rPr>
          <w:color w:val="auto"/>
          <w:highlight w:val="none"/>
        </w:rPr>
      </w:pPr>
      <w:r>
        <w:rPr>
          <w:color w:val="auto"/>
          <w:highlight w:val="none"/>
        </w:rPr>
        <w:t>（3）业绩要求：见投标人须知前附表（如有）；</w:t>
      </w:r>
    </w:p>
    <w:p w14:paraId="471267F6">
      <w:pPr>
        <w:spacing w:line="400" w:lineRule="exact"/>
        <w:ind w:firstLine="315" w:firstLineChars="150"/>
        <w:rPr>
          <w:color w:val="auto"/>
          <w:highlight w:val="none"/>
        </w:rPr>
      </w:pPr>
      <w:r>
        <w:rPr>
          <w:color w:val="auto"/>
          <w:highlight w:val="none"/>
        </w:rPr>
        <w:t>（4）信誉要求：见投标人须知前附表；</w:t>
      </w:r>
    </w:p>
    <w:p w14:paraId="64435311">
      <w:pPr>
        <w:spacing w:line="400" w:lineRule="exact"/>
        <w:ind w:firstLine="315" w:firstLineChars="150"/>
        <w:rPr>
          <w:color w:val="auto"/>
          <w:highlight w:val="none"/>
        </w:rPr>
      </w:pPr>
      <w:r>
        <w:rPr>
          <w:color w:val="auto"/>
          <w:highlight w:val="none"/>
        </w:rPr>
        <w:t>（5）项目经理资格要求：应当具备工程设计类或者工程施工类注册执业资格，具体要求见投标人须知前附表；</w:t>
      </w:r>
    </w:p>
    <w:p w14:paraId="7A1E529F">
      <w:pPr>
        <w:spacing w:line="400" w:lineRule="exact"/>
        <w:ind w:firstLine="315" w:firstLineChars="150"/>
        <w:rPr>
          <w:color w:val="auto"/>
          <w:highlight w:val="none"/>
        </w:rPr>
      </w:pPr>
      <w:r>
        <w:rPr>
          <w:color w:val="auto"/>
          <w:highlight w:val="none"/>
        </w:rPr>
        <w:t>（6）施工负责人资格要求：应当具备工程施工类注册执业资格，具体要求见投标人须知前附表；</w:t>
      </w:r>
    </w:p>
    <w:p w14:paraId="5346AD9B">
      <w:pPr>
        <w:spacing w:line="400" w:lineRule="exact"/>
        <w:ind w:firstLine="315" w:firstLineChars="150"/>
        <w:rPr>
          <w:color w:val="auto"/>
          <w:highlight w:val="none"/>
        </w:rPr>
      </w:pPr>
      <w:r>
        <w:rPr>
          <w:color w:val="auto"/>
          <w:highlight w:val="none"/>
        </w:rPr>
        <w:t>（7）设计负责人资格要求：应当具备工程设计类注册执业资格，具体要求见投标人须知前附表；</w:t>
      </w:r>
    </w:p>
    <w:p w14:paraId="5D30A608">
      <w:pPr>
        <w:spacing w:line="400" w:lineRule="exact"/>
        <w:ind w:firstLine="315" w:firstLineChars="150"/>
        <w:rPr>
          <w:color w:val="auto"/>
          <w:highlight w:val="none"/>
        </w:rPr>
      </w:pPr>
      <w:r>
        <w:rPr>
          <w:color w:val="auto"/>
          <w:highlight w:val="none"/>
        </w:rPr>
        <w:t>（8）施工机械设备要求：见投标人须知前附表；</w:t>
      </w:r>
    </w:p>
    <w:p w14:paraId="550D3EE2">
      <w:pPr>
        <w:spacing w:line="400" w:lineRule="exact"/>
        <w:ind w:firstLine="315" w:firstLineChars="150"/>
        <w:rPr>
          <w:color w:val="auto"/>
          <w:highlight w:val="none"/>
        </w:rPr>
      </w:pPr>
      <w:r>
        <w:rPr>
          <w:color w:val="auto"/>
          <w:highlight w:val="none"/>
        </w:rPr>
        <w:t>（9）项目管理机构主要人员要求：见投标人须知前附表；</w:t>
      </w:r>
    </w:p>
    <w:p w14:paraId="01E443CE">
      <w:pPr>
        <w:spacing w:line="400" w:lineRule="exact"/>
        <w:ind w:firstLine="315" w:firstLineChars="150"/>
        <w:rPr>
          <w:color w:val="auto"/>
          <w:highlight w:val="none"/>
        </w:rPr>
      </w:pPr>
      <w:r>
        <w:rPr>
          <w:color w:val="auto"/>
          <w:highlight w:val="none"/>
        </w:rPr>
        <w:t>（10）其他要求：见投标人须知前附表。</w:t>
      </w:r>
    </w:p>
    <w:p w14:paraId="06A98017">
      <w:pPr>
        <w:spacing w:line="400" w:lineRule="exact"/>
        <w:ind w:firstLine="420" w:firstLineChars="200"/>
        <w:rPr>
          <w:color w:val="auto"/>
          <w:highlight w:val="none"/>
        </w:rPr>
      </w:pPr>
      <w:r>
        <w:rPr>
          <w:color w:val="auto"/>
          <w:highlight w:val="none"/>
        </w:rPr>
        <w:t xml:space="preserve">1.4.2 投标人须知前附表规定接受联合体投标的，除应符合本章第1.4.1项和投标人须知前附表的要求外，还应遵守以下规定： </w:t>
      </w:r>
    </w:p>
    <w:p w14:paraId="1C5EF555">
      <w:pPr>
        <w:spacing w:line="400" w:lineRule="exact"/>
        <w:ind w:firstLine="315" w:firstLineChars="150"/>
        <w:rPr>
          <w:color w:val="auto"/>
          <w:highlight w:val="none"/>
        </w:rPr>
      </w:pPr>
      <w:r>
        <w:rPr>
          <w:color w:val="auto"/>
          <w:highlight w:val="none"/>
        </w:rPr>
        <w:t>（1）联合体各方应按招标文件提供的格式签订联合体协议书，明确联合体牵头人和各方权利义务；</w:t>
      </w:r>
    </w:p>
    <w:p w14:paraId="5EA88CE4">
      <w:pPr>
        <w:spacing w:line="400" w:lineRule="exact"/>
        <w:ind w:firstLine="315" w:firstLineChars="150"/>
        <w:rPr>
          <w:color w:val="auto"/>
          <w:highlight w:val="none"/>
        </w:rPr>
      </w:pPr>
      <w:r>
        <w:rPr>
          <w:color w:val="auto"/>
          <w:highlight w:val="none"/>
        </w:rPr>
        <w:t>（2）由同一专业的单位组成的联合体，按照资质等级较低的单位确定资质等级；</w:t>
      </w:r>
    </w:p>
    <w:p w14:paraId="63F95221">
      <w:pPr>
        <w:spacing w:line="400" w:lineRule="exact"/>
        <w:ind w:firstLine="315" w:firstLineChars="150"/>
        <w:rPr>
          <w:color w:val="auto"/>
          <w:highlight w:val="none"/>
        </w:rPr>
      </w:pPr>
      <w:r>
        <w:rPr>
          <w:color w:val="auto"/>
          <w:highlight w:val="none"/>
        </w:rPr>
        <w:t>（3）联合体各方不得再以自己名义单独或参加其他联合体在本招标项目中投标</w:t>
      </w:r>
      <w:bookmarkStart w:id="110" w:name="_Hlk165796926"/>
      <w:r>
        <w:rPr>
          <w:color w:val="auto"/>
          <w:highlight w:val="none"/>
        </w:rPr>
        <w:t>，否则各相关投标均无效。</w:t>
      </w:r>
      <w:bookmarkEnd w:id="110"/>
    </w:p>
    <w:p w14:paraId="26C286F4">
      <w:pPr>
        <w:spacing w:line="400" w:lineRule="exact"/>
        <w:ind w:firstLine="420" w:firstLineChars="200"/>
        <w:rPr>
          <w:color w:val="auto"/>
          <w:highlight w:val="none"/>
        </w:rPr>
      </w:pPr>
      <w:r>
        <w:rPr>
          <w:color w:val="auto"/>
          <w:highlight w:val="none"/>
        </w:rPr>
        <w:t>1.4.3 投标人不得存在下列情形之一：</w:t>
      </w:r>
    </w:p>
    <w:p w14:paraId="49A5FCCB">
      <w:pPr>
        <w:spacing w:line="400" w:lineRule="exact"/>
        <w:ind w:firstLine="315" w:firstLineChars="150"/>
        <w:rPr>
          <w:color w:val="auto"/>
          <w:highlight w:val="none"/>
        </w:rPr>
      </w:pPr>
      <w:bookmarkStart w:id="111" w:name="_Hlk165797020"/>
      <w:r>
        <w:rPr>
          <w:color w:val="auto"/>
          <w:highlight w:val="none"/>
        </w:rPr>
        <w:t>（1）为招标人不具有独立法人资格的附属机构（单位）；</w:t>
      </w:r>
    </w:p>
    <w:p w14:paraId="06CBBBC6">
      <w:pPr>
        <w:spacing w:line="400" w:lineRule="exact"/>
        <w:ind w:firstLine="315" w:firstLineChars="150"/>
        <w:rPr>
          <w:color w:val="auto"/>
          <w:highlight w:val="none"/>
        </w:rPr>
      </w:pPr>
      <w:r>
        <w:rPr>
          <w:color w:val="auto"/>
          <w:highlight w:val="none"/>
        </w:rPr>
        <w:t>（2）为本招标项目前期准备提供设计或咨询服务的（招标文件另有规定的情形除外）；</w:t>
      </w:r>
    </w:p>
    <w:p w14:paraId="5988DACF">
      <w:pPr>
        <w:spacing w:line="400" w:lineRule="exact"/>
        <w:ind w:firstLine="315" w:firstLineChars="150"/>
        <w:rPr>
          <w:color w:val="auto"/>
          <w:highlight w:val="none"/>
        </w:rPr>
      </w:pPr>
      <w:r>
        <w:rPr>
          <w:color w:val="auto"/>
          <w:highlight w:val="none"/>
        </w:rPr>
        <w:t>（3）为本招标项目的监理人；</w:t>
      </w:r>
    </w:p>
    <w:p w14:paraId="1E831B0A">
      <w:pPr>
        <w:spacing w:line="400" w:lineRule="exact"/>
        <w:ind w:firstLine="315" w:firstLineChars="150"/>
        <w:rPr>
          <w:color w:val="auto"/>
          <w:highlight w:val="none"/>
        </w:rPr>
      </w:pPr>
      <w:r>
        <w:rPr>
          <w:color w:val="auto"/>
          <w:highlight w:val="none"/>
        </w:rPr>
        <w:t xml:space="preserve">（4）为本招标项目的代建人； </w:t>
      </w:r>
    </w:p>
    <w:p w14:paraId="5728878D">
      <w:pPr>
        <w:spacing w:line="400" w:lineRule="exact"/>
        <w:ind w:firstLine="315" w:firstLineChars="150"/>
        <w:rPr>
          <w:color w:val="auto"/>
          <w:highlight w:val="none"/>
        </w:rPr>
      </w:pPr>
      <w:r>
        <w:rPr>
          <w:color w:val="auto"/>
          <w:highlight w:val="none"/>
        </w:rPr>
        <w:t>（5）为本招标项目提供招标代理服务的；</w:t>
      </w:r>
    </w:p>
    <w:p w14:paraId="082DFA6A">
      <w:pPr>
        <w:spacing w:line="400" w:lineRule="exact"/>
        <w:ind w:firstLine="315" w:firstLineChars="150"/>
        <w:rPr>
          <w:color w:val="auto"/>
          <w:highlight w:val="none"/>
        </w:rPr>
      </w:pPr>
      <w:r>
        <w:rPr>
          <w:color w:val="auto"/>
          <w:highlight w:val="none"/>
        </w:rPr>
        <w:t xml:space="preserve">（6）与本招标项目的监理人或代建人或招标代理机构同为一个法定代表人或单位负责人； </w:t>
      </w:r>
    </w:p>
    <w:p w14:paraId="6D065B4A">
      <w:pPr>
        <w:spacing w:line="400" w:lineRule="exact"/>
        <w:ind w:firstLine="315" w:firstLineChars="150"/>
        <w:rPr>
          <w:color w:val="auto"/>
          <w:highlight w:val="none"/>
        </w:rPr>
      </w:pPr>
      <w:r>
        <w:rPr>
          <w:color w:val="auto"/>
          <w:highlight w:val="none"/>
        </w:rPr>
        <w:t>（7）与本招标项目的监理人或代建人或招标代理机构相互控股或参股的；</w:t>
      </w:r>
    </w:p>
    <w:p w14:paraId="5360B2E6">
      <w:pPr>
        <w:spacing w:line="400" w:lineRule="exact"/>
        <w:ind w:firstLine="315" w:firstLineChars="150"/>
        <w:rPr>
          <w:color w:val="auto"/>
          <w:highlight w:val="none"/>
        </w:rPr>
      </w:pPr>
      <w:r>
        <w:rPr>
          <w:color w:val="auto"/>
          <w:highlight w:val="none"/>
        </w:rPr>
        <w:t>（8）与本招标项目的监理人或代建人或招标代理机构法定代表人或单位负责人相互任职或工作；</w:t>
      </w:r>
    </w:p>
    <w:p w14:paraId="5C16537C">
      <w:pPr>
        <w:spacing w:line="400" w:lineRule="exact"/>
        <w:ind w:firstLine="315" w:firstLineChars="150"/>
        <w:rPr>
          <w:color w:val="auto"/>
          <w:highlight w:val="none"/>
        </w:rPr>
      </w:pPr>
      <w:r>
        <w:rPr>
          <w:color w:val="auto"/>
          <w:highlight w:val="none"/>
        </w:rPr>
        <w:t>（9）单位负责人为同一人或者存在控股、管理关系的不同单位，同时参加本标段投标的；</w:t>
      </w:r>
    </w:p>
    <w:p w14:paraId="07EA2FB4">
      <w:pPr>
        <w:spacing w:line="400" w:lineRule="exact"/>
        <w:ind w:firstLine="315" w:firstLineChars="150"/>
        <w:rPr>
          <w:color w:val="auto"/>
          <w:highlight w:val="none"/>
        </w:rPr>
      </w:pPr>
      <w:r>
        <w:rPr>
          <w:color w:val="auto"/>
          <w:highlight w:val="none"/>
        </w:rPr>
        <w:t xml:space="preserve">（10）被依法暂停或取消投标资格（指被本招标项目所在地县级及以上住房城乡建设主管部门或其他行政主管部门暂停或取消投标资格或禁止进入该区域建设市场且处于有效期内）； </w:t>
      </w:r>
    </w:p>
    <w:p w14:paraId="457491B8">
      <w:pPr>
        <w:spacing w:line="400" w:lineRule="exact"/>
        <w:ind w:firstLine="315" w:firstLineChars="150"/>
        <w:rPr>
          <w:color w:val="auto"/>
          <w:highlight w:val="none"/>
        </w:rPr>
      </w:pPr>
      <w:r>
        <w:rPr>
          <w:color w:val="auto"/>
          <w:highlight w:val="none"/>
        </w:rPr>
        <w:t>（11）被责令停产停业、暂扣或者吊销许可证、暂扣或者吊销执照；</w:t>
      </w:r>
    </w:p>
    <w:p w14:paraId="3394CD3C">
      <w:pPr>
        <w:spacing w:line="400" w:lineRule="exact"/>
        <w:ind w:firstLine="315" w:firstLineChars="150"/>
        <w:rPr>
          <w:color w:val="auto"/>
          <w:highlight w:val="none"/>
        </w:rPr>
      </w:pPr>
      <w:r>
        <w:rPr>
          <w:color w:val="auto"/>
          <w:highlight w:val="none"/>
        </w:rPr>
        <w:t>（12）进入清算程序，或被宣告破产，或其他丧失履约能力的情形；</w:t>
      </w:r>
    </w:p>
    <w:p w14:paraId="5CAFF4FF">
      <w:pPr>
        <w:spacing w:line="400" w:lineRule="exact"/>
        <w:ind w:firstLine="315" w:firstLineChars="150"/>
        <w:rPr>
          <w:color w:val="auto"/>
          <w:highlight w:val="none"/>
        </w:rPr>
      </w:pPr>
      <w:r>
        <w:rPr>
          <w:color w:val="auto"/>
          <w:highlight w:val="none"/>
        </w:rPr>
        <w:t>（13）在最近三年内有骗取中标或严重违约或重大工程质量问题的（以相关行业主管部门的行政处罚决定或司法机关出具的有关法律文书为准）；</w:t>
      </w:r>
    </w:p>
    <w:p w14:paraId="2A89C087">
      <w:pPr>
        <w:spacing w:line="400" w:lineRule="exact"/>
        <w:ind w:firstLine="315" w:firstLineChars="150"/>
        <w:rPr>
          <w:color w:val="auto"/>
          <w:highlight w:val="none"/>
        </w:rPr>
      </w:pPr>
      <w:r>
        <w:rPr>
          <w:color w:val="auto"/>
          <w:highlight w:val="none"/>
        </w:rPr>
        <w:t>（14）在“国家企业信用信息公示系统”（www.gsxt.gov.cn）中被列入严重违法失信企业名单；</w:t>
      </w:r>
    </w:p>
    <w:p w14:paraId="21DB3BEA">
      <w:pPr>
        <w:spacing w:line="400" w:lineRule="exact"/>
        <w:ind w:firstLine="315" w:firstLineChars="150"/>
        <w:rPr>
          <w:color w:val="auto"/>
          <w:highlight w:val="none"/>
        </w:rPr>
      </w:pPr>
      <w:r>
        <w:rPr>
          <w:color w:val="auto"/>
          <w:highlight w:val="none"/>
        </w:rPr>
        <w:t>（15）在“信用中国”网站（www.creditchina.gov.cn）或“中国执行信息公开网”（http://zxgk.court.gov.cn/shixin/）被列入失信被执行人名单；</w:t>
      </w:r>
    </w:p>
    <w:p w14:paraId="0C3981A3">
      <w:pPr>
        <w:spacing w:line="400" w:lineRule="exact"/>
        <w:ind w:firstLine="315" w:firstLineChars="150"/>
        <w:rPr>
          <w:color w:val="auto"/>
          <w:highlight w:val="none"/>
        </w:rPr>
      </w:pPr>
      <w:r>
        <w:rPr>
          <w:color w:val="auto"/>
          <w:highlight w:val="none"/>
        </w:rPr>
        <w:t>（16）在辽宁省建设工程招投标监督平台-辽宁建设工程信息网上被列入不良行为记录且在公布期内的；</w:t>
      </w:r>
    </w:p>
    <w:p w14:paraId="4EAC1154">
      <w:pPr>
        <w:spacing w:line="400" w:lineRule="exact"/>
        <w:ind w:firstLine="315" w:firstLineChars="150"/>
        <w:rPr>
          <w:color w:val="auto"/>
          <w:highlight w:val="none"/>
        </w:rPr>
      </w:pPr>
      <w:r>
        <w:rPr>
          <w:color w:val="auto"/>
          <w:highlight w:val="none"/>
        </w:rPr>
        <w:t>（17）法律法规规定的其他情形。</w:t>
      </w:r>
    </w:p>
    <w:bookmarkEnd w:id="111"/>
    <w:p w14:paraId="3B14FDCE">
      <w:pPr>
        <w:pStyle w:val="37"/>
        <w:spacing w:line="360" w:lineRule="exact"/>
        <w:ind w:firstLine="118"/>
        <w:rPr>
          <w:rFonts w:cs="Times New Roman"/>
          <w:color w:val="auto"/>
          <w:highlight w:val="none"/>
        </w:rPr>
      </w:pPr>
      <w:bookmarkStart w:id="112" w:name="_Toc247513958"/>
      <w:bookmarkStart w:id="113" w:name="_Toc152045535"/>
      <w:bookmarkStart w:id="114" w:name="_Toc152042311"/>
      <w:bookmarkStart w:id="115" w:name="_Toc247527559"/>
      <w:bookmarkStart w:id="116" w:name="_Toc144974503"/>
      <w:bookmarkStart w:id="117" w:name="_Toc167542383"/>
      <w:bookmarkStart w:id="118" w:name="_Toc145081416"/>
      <w:bookmarkStart w:id="119" w:name="_Toc9677"/>
      <w:bookmarkStart w:id="120" w:name="_Toc256000011"/>
      <w:r>
        <w:rPr>
          <w:rFonts w:cs="Times New Roman"/>
          <w:color w:val="auto"/>
          <w:highlight w:val="none"/>
        </w:rPr>
        <w:t>1.5 费用承担</w:t>
      </w:r>
      <w:bookmarkEnd w:id="112"/>
      <w:bookmarkEnd w:id="113"/>
      <w:bookmarkEnd w:id="114"/>
      <w:bookmarkEnd w:id="115"/>
      <w:bookmarkEnd w:id="116"/>
      <w:r>
        <w:rPr>
          <w:rFonts w:cs="Times New Roman"/>
          <w:color w:val="auto"/>
          <w:highlight w:val="none"/>
        </w:rPr>
        <w:t>和设计成果补偿</w:t>
      </w:r>
      <w:bookmarkEnd w:id="117"/>
      <w:bookmarkEnd w:id="118"/>
      <w:bookmarkEnd w:id="119"/>
      <w:bookmarkEnd w:id="120"/>
    </w:p>
    <w:p w14:paraId="381C7803">
      <w:pPr>
        <w:spacing w:line="400" w:lineRule="exact"/>
        <w:ind w:firstLine="420" w:firstLineChars="200"/>
        <w:rPr>
          <w:color w:val="auto"/>
          <w:highlight w:val="none"/>
        </w:rPr>
      </w:pPr>
      <w:r>
        <w:rPr>
          <w:color w:val="auto"/>
          <w:highlight w:val="none"/>
        </w:rPr>
        <w:t>1.5.1 投标人准备和参加投标活动发生的费用自理。</w:t>
      </w:r>
    </w:p>
    <w:p w14:paraId="2C7DBB6B">
      <w:pPr>
        <w:spacing w:line="400" w:lineRule="exact"/>
        <w:ind w:firstLine="420" w:firstLineChars="200"/>
        <w:rPr>
          <w:color w:val="auto"/>
          <w:highlight w:val="none"/>
        </w:rPr>
      </w:pPr>
      <w:r>
        <w:rPr>
          <w:color w:val="auto"/>
          <w:highlight w:val="none"/>
        </w:rPr>
        <w:t>1.5.2 招标人对符合招标文件规定的未中标人的设计成果进行补偿的，按投标人须知前附表规定给予补偿，并有权免费使用未中标人设计成果。</w:t>
      </w:r>
    </w:p>
    <w:p w14:paraId="3CBC94ED">
      <w:pPr>
        <w:pStyle w:val="37"/>
        <w:spacing w:line="360" w:lineRule="exact"/>
        <w:ind w:firstLine="118"/>
        <w:rPr>
          <w:rFonts w:cs="Times New Roman"/>
          <w:color w:val="auto"/>
          <w:highlight w:val="none"/>
        </w:rPr>
      </w:pPr>
      <w:bookmarkStart w:id="121" w:name="_Toc256000012"/>
      <w:bookmarkStart w:id="122" w:name="_Toc27837"/>
      <w:bookmarkStart w:id="123" w:name="_Toc167542384"/>
      <w:bookmarkStart w:id="124" w:name="_Toc145081417"/>
      <w:bookmarkStart w:id="125" w:name="_Toc144974504"/>
      <w:bookmarkStart w:id="126" w:name="_Toc247527560"/>
      <w:bookmarkStart w:id="127" w:name="_Toc247513959"/>
      <w:bookmarkStart w:id="128" w:name="_Toc152045536"/>
      <w:bookmarkStart w:id="129" w:name="_Toc152042312"/>
      <w:r>
        <w:rPr>
          <w:rFonts w:cs="Times New Roman"/>
          <w:color w:val="auto"/>
          <w:highlight w:val="none"/>
        </w:rPr>
        <w:t>1.6 保密</w:t>
      </w:r>
      <w:bookmarkEnd w:id="121"/>
      <w:bookmarkEnd w:id="122"/>
      <w:bookmarkEnd w:id="123"/>
      <w:bookmarkEnd w:id="124"/>
      <w:bookmarkEnd w:id="125"/>
      <w:bookmarkEnd w:id="126"/>
      <w:bookmarkEnd w:id="127"/>
      <w:bookmarkEnd w:id="128"/>
      <w:bookmarkEnd w:id="129"/>
    </w:p>
    <w:p w14:paraId="6B525237">
      <w:pPr>
        <w:spacing w:line="400" w:lineRule="exact"/>
        <w:ind w:firstLine="420" w:firstLineChars="200"/>
        <w:rPr>
          <w:color w:val="auto"/>
          <w:highlight w:val="none"/>
        </w:rPr>
      </w:pPr>
      <w:r>
        <w:rPr>
          <w:color w:val="auto"/>
          <w:highlight w:val="none"/>
        </w:rPr>
        <w:t xml:space="preserve">参与招标投标活动的各方应对招标文件和投标文件中的商业和技术等秘密保密，否则应承担相应的法律责任。 </w:t>
      </w:r>
    </w:p>
    <w:p w14:paraId="7EC53F3A">
      <w:pPr>
        <w:pStyle w:val="37"/>
        <w:spacing w:line="360" w:lineRule="exact"/>
        <w:ind w:firstLine="118"/>
        <w:rPr>
          <w:rFonts w:cs="Times New Roman"/>
          <w:color w:val="auto"/>
          <w:highlight w:val="none"/>
        </w:rPr>
      </w:pPr>
      <w:bookmarkStart w:id="130" w:name="_Toc144974505"/>
      <w:bookmarkStart w:id="131" w:name="_Toc30649"/>
      <w:bookmarkStart w:id="132" w:name="_Toc247527561"/>
      <w:bookmarkStart w:id="133" w:name="_Toc167542385"/>
      <w:bookmarkStart w:id="134" w:name="_Toc247513960"/>
      <w:bookmarkStart w:id="135" w:name="_Toc152045537"/>
      <w:bookmarkStart w:id="136" w:name="_Toc256000013"/>
      <w:bookmarkStart w:id="137" w:name="_Toc145081418"/>
      <w:bookmarkStart w:id="138" w:name="_Toc152042313"/>
      <w:r>
        <w:rPr>
          <w:rFonts w:cs="Times New Roman"/>
          <w:color w:val="auto"/>
          <w:highlight w:val="none"/>
        </w:rPr>
        <w:t>1.7 语言</w:t>
      </w:r>
      <w:bookmarkEnd w:id="130"/>
      <w:r>
        <w:rPr>
          <w:rFonts w:cs="Times New Roman"/>
          <w:color w:val="auto"/>
          <w:highlight w:val="none"/>
        </w:rPr>
        <w:t>文字</w:t>
      </w:r>
      <w:bookmarkEnd w:id="131"/>
      <w:bookmarkEnd w:id="132"/>
      <w:bookmarkEnd w:id="133"/>
      <w:bookmarkEnd w:id="134"/>
      <w:bookmarkEnd w:id="135"/>
      <w:bookmarkEnd w:id="136"/>
      <w:bookmarkEnd w:id="137"/>
      <w:bookmarkEnd w:id="138"/>
    </w:p>
    <w:p w14:paraId="1BA86D6F">
      <w:pPr>
        <w:spacing w:line="400" w:lineRule="exact"/>
        <w:ind w:firstLine="420" w:firstLineChars="200"/>
        <w:rPr>
          <w:color w:val="auto"/>
          <w:highlight w:val="none"/>
        </w:rPr>
      </w:pPr>
      <w:r>
        <w:rPr>
          <w:color w:val="auto"/>
          <w:highlight w:val="none"/>
        </w:rPr>
        <w:t>招标投标文件使用的语言文字为中文。专用术语使用外文的，应附有中文注释。</w:t>
      </w:r>
    </w:p>
    <w:p w14:paraId="4E4639E4">
      <w:pPr>
        <w:pStyle w:val="37"/>
        <w:spacing w:line="360" w:lineRule="exact"/>
        <w:ind w:firstLine="118"/>
        <w:rPr>
          <w:rFonts w:cs="Times New Roman"/>
          <w:color w:val="auto"/>
          <w:highlight w:val="none"/>
        </w:rPr>
      </w:pPr>
      <w:bookmarkStart w:id="139" w:name="_Toc152042314"/>
      <w:bookmarkStart w:id="140" w:name="_Toc31824"/>
      <w:bookmarkStart w:id="141" w:name="_Toc256000014"/>
      <w:bookmarkStart w:id="142" w:name="_Toc152045538"/>
      <w:bookmarkStart w:id="143" w:name="_Toc145081419"/>
      <w:bookmarkStart w:id="144" w:name="_Toc247513961"/>
      <w:bookmarkStart w:id="145" w:name="_Toc167542386"/>
      <w:bookmarkStart w:id="146" w:name="_Toc144974506"/>
      <w:bookmarkStart w:id="147" w:name="_Toc247527562"/>
      <w:r>
        <w:rPr>
          <w:rFonts w:cs="Times New Roman"/>
          <w:color w:val="auto"/>
          <w:highlight w:val="none"/>
        </w:rPr>
        <w:t>1.8 计量单位</w:t>
      </w:r>
      <w:bookmarkEnd w:id="139"/>
      <w:bookmarkEnd w:id="140"/>
      <w:bookmarkEnd w:id="141"/>
      <w:bookmarkEnd w:id="142"/>
      <w:bookmarkEnd w:id="143"/>
      <w:bookmarkEnd w:id="144"/>
      <w:bookmarkEnd w:id="145"/>
      <w:bookmarkEnd w:id="146"/>
      <w:bookmarkEnd w:id="147"/>
    </w:p>
    <w:p w14:paraId="7DE83861">
      <w:pPr>
        <w:spacing w:line="400" w:lineRule="exact"/>
        <w:ind w:firstLine="420" w:firstLineChars="200"/>
        <w:rPr>
          <w:color w:val="auto"/>
          <w:highlight w:val="none"/>
        </w:rPr>
      </w:pPr>
      <w:r>
        <w:rPr>
          <w:color w:val="auto"/>
          <w:highlight w:val="none"/>
        </w:rPr>
        <w:t>所有计量均采用中华人民共和国法定计量单位。</w:t>
      </w:r>
    </w:p>
    <w:p w14:paraId="03EC6B5B">
      <w:pPr>
        <w:pStyle w:val="37"/>
        <w:spacing w:line="360" w:lineRule="exact"/>
        <w:ind w:firstLine="118"/>
        <w:rPr>
          <w:rFonts w:cs="Times New Roman"/>
          <w:color w:val="auto"/>
          <w:highlight w:val="none"/>
        </w:rPr>
      </w:pPr>
      <w:bookmarkStart w:id="148" w:name="_Toc256000015"/>
      <w:bookmarkStart w:id="149" w:name="_Toc28443"/>
      <w:bookmarkStart w:id="150" w:name="_Toc247513962"/>
      <w:bookmarkStart w:id="151" w:name="_Toc167542387"/>
      <w:bookmarkStart w:id="152" w:name="_Toc152042315"/>
      <w:bookmarkStart w:id="153" w:name="_Toc247527563"/>
      <w:bookmarkStart w:id="154" w:name="_Toc152045539"/>
      <w:bookmarkStart w:id="155" w:name="_Toc145081420"/>
      <w:bookmarkStart w:id="156" w:name="_Toc144974507"/>
      <w:r>
        <w:rPr>
          <w:rFonts w:cs="Times New Roman"/>
          <w:color w:val="auto"/>
          <w:highlight w:val="none"/>
        </w:rPr>
        <w:t>1.9 踏勘现场</w:t>
      </w:r>
      <w:bookmarkEnd w:id="148"/>
      <w:bookmarkEnd w:id="149"/>
      <w:bookmarkEnd w:id="150"/>
      <w:bookmarkEnd w:id="151"/>
      <w:bookmarkEnd w:id="152"/>
      <w:bookmarkEnd w:id="153"/>
      <w:bookmarkEnd w:id="154"/>
      <w:bookmarkEnd w:id="155"/>
      <w:bookmarkEnd w:id="156"/>
    </w:p>
    <w:p w14:paraId="40169BE9">
      <w:pPr>
        <w:spacing w:line="400" w:lineRule="exact"/>
        <w:ind w:firstLine="420" w:firstLineChars="200"/>
        <w:rPr>
          <w:color w:val="auto"/>
          <w:highlight w:val="none"/>
        </w:rPr>
      </w:pPr>
      <w:r>
        <w:rPr>
          <w:color w:val="auto"/>
          <w:highlight w:val="none"/>
        </w:rPr>
        <w:t xml:space="preserve">1.9.1 投标人须知前附表规定组织踏勘现场的，招标人按投标人须知前附表规定的时间、地点组织投标人踏勘项目现场。 </w:t>
      </w:r>
    </w:p>
    <w:p w14:paraId="2FCE3779">
      <w:pPr>
        <w:spacing w:line="400" w:lineRule="exact"/>
        <w:ind w:firstLine="420" w:firstLineChars="200"/>
        <w:rPr>
          <w:color w:val="auto"/>
          <w:highlight w:val="none"/>
        </w:rPr>
      </w:pPr>
      <w:r>
        <w:rPr>
          <w:color w:val="auto"/>
          <w:highlight w:val="none"/>
        </w:rPr>
        <w:t>1.9.2 投标人踏勘现场发生的费用自理。</w:t>
      </w:r>
    </w:p>
    <w:p w14:paraId="77627E20">
      <w:pPr>
        <w:spacing w:line="400" w:lineRule="exact"/>
        <w:ind w:firstLine="420" w:firstLineChars="200"/>
        <w:rPr>
          <w:color w:val="auto"/>
          <w:highlight w:val="none"/>
        </w:rPr>
      </w:pPr>
      <w:r>
        <w:rPr>
          <w:color w:val="auto"/>
          <w:highlight w:val="none"/>
        </w:rPr>
        <w:t>1.9.3 除招标人的原因外，投标人自行负责在踏勘现场中所发生的人员伤亡和财产损失。</w:t>
      </w:r>
    </w:p>
    <w:p w14:paraId="22D96314">
      <w:pPr>
        <w:spacing w:line="400" w:lineRule="exact"/>
        <w:ind w:firstLine="420" w:firstLineChars="200"/>
        <w:rPr>
          <w:color w:val="auto"/>
          <w:highlight w:val="none"/>
        </w:rPr>
      </w:pPr>
      <w:r>
        <w:rPr>
          <w:color w:val="auto"/>
          <w:highlight w:val="none"/>
        </w:rPr>
        <w:t>1.9.4 招标人在踏勘现场中介绍的工程场地和相关的周边环境情况，供投标人在编制投标文件时参考，招标人不对投标人据此作出的判断和决策负责。</w:t>
      </w:r>
    </w:p>
    <w:p w14:paraId="6EC17CC5">
      <w:pPr>
        <w:pStyle w:val="37"/>
        <w:spacing w:line="360" w:lineRule="exact"/>
        <w:ind w:firstLine="118"/>
        <w:rPr>
          <w:rFonts w:cs="Times New Roman"/>
          <w:color w:val="auto"/>
          <w:highlight w:val="none"/>
        </w:rPr>
      </w:pPr>
      <w:bookmarkStart w:id="157" w:name="_Toc256000016"/>
      <w:bookmarkStart w:id="158" w:name="_Toc145081421"/>
      <w:bookmarkStart w:id="159" w:name="_Toc152045540"/>
      <w:bookmarkStart w:id="160" w:name="_Toc167542388"/>
      <w:bookmarkStart w:id="161" w:name="_Toc144974508"/>
      <w:bookmarkStart w:id="162" w:name="_Toc247513963"/>
      <w:bookmarkStart w:id="163" w:name="_Toc152042316"/>
      <w:bookmarkStart w:id="164" w:name="_Toc247527564"/>
      <w:bookmarkStart w:id="165" w:name="_Toc375"/>
      <w:r>
        <w:rPr>
          <w:rFonts w:cs="Times New Roman"/>
          <w:color w:val="auto"/>
          <w:highlight w:val="none"/>
        </w:rPr>
        <w:t>1.10 投标预备会</w:t>
      </w:r>
      <w:bookmarkEnd w:id="157"/>
      <w:bookmarkEnd w:id="158"/>
      <w:bookmarkEnd w:id="159"/>
      <w:bookmarkEnd w:id="160"/>
      <w:bookmarkEnd w:id="161"/>
      <w:bookmarkEnd w:id="162"/>
      <w:bookmarkEnd w:id="163"/>
      <w:bookmarkEnd w:id="164"/>
      <w:bookmarkEnd w:id="165"/>
    </w:p>
    <w:p w14:paraId="635583BC">
      <w:pPr>
        <w:spacing w:line="400" w:lineRule="exact"/>
        <w:ind w:firstLine="420" w:firstLineChars="200"/>
        <w:rPr>
          <w:color w:val="auto"/>
          <w:highlight w:val="none"/>
        </w:rPr>
      </w:pPr>
      <w:r>
        <w:rPr>
          <w:color w:val="auto"/>
          <w:highlight w:val="none"/>
        </w:rPr>
        <w:t>1.10.1 投标人须知前附表规定召开投标预备会的，招标人按投标人须知前附表规定的时间和地点召开投标预备会，澄清投标人提出的问题。</w:t>
      </w:r>
    </w:p>
    <w:p w14:paraId="07CF7F26">
      <w:pPr>
        <w:spacing w:line="400" w:lineRule="exact"/>
        <w:ind w:firstLine="420" w:firstLineChars="200"/>
        <w:rPr>
          <w:color w:val="auto"/>
          <w:highlight w:val="none"/>
        </w:rPr>
      </w:pPr>
      <w:r>
        <w:rPr>
          <w:color w:val="auto"/>
          <w:highlight w:val="none"/>
        </w:rPr>
        <w:t>1.10.2 在投标人须知前附表规定的时间前，投标人应通过电子交易系统以书面形式将提出的问题送达招标人，以便招标人在会议期间澄清。</w:t>
      </w:r>
    </w:p>
    <w:p w14:paraId="2D46B4E0">
      <w:pPr>
        <w:spacing w:line="400" w:lineRule="exact"/>
        <w:ind w:firstLine="420" w:firstLineChars="200"/>
        <w:rPr>
          <w:color w:val="auto"/>
          <w:highlight w:val="none"/>
        </w:rPr>
      </w:pPr>
      <w:r>
        <w:rPr>
          <w:color w:val="auto"/>
          <w:highlight w:val="none"/>
        </w:rPr>
        <w:t>1.10.3 投标预备会后，招标人将对投标人所提问题的澄清，以投标人须知前附表规定的时间内以书面形式通过法定公告公示信息发布媒介、电子交易系统（投标盲盒工具）等渠道通知所有下载招标文件的投标人。该澄清内容为招标文件的组成部分。</w:t>
      </w:r>
    </w:p>
    <w:p w14:paraId="7B16984B">
      <w:pPr>
        <w:pStyle w:val="37"/>
        <w:spacing w:line="360" w:lineRule="exact"/>
        <w:ind w:firstLine="118"/>
        <w:rPr>
          <w:rFonts w:cs="Times New Roman"/>
          <w:color w:val="auto"/>
          <w:highlight w:val="none"/>
        </w:rPr>
      </w:pPr>
      <w:bookmarkStart w:id="166" w:name="_Toc145081422"/>
      <w:bookmarkStart w:id="167" w:name="_Toc167542389"/>
      <w:bookmarkStart w:id="168" w:name="_Toc247513964"/>
      <w:bookmarkStart w:id="169" w:name="_Toc144974509"/>
      <w:bookmarkStart w:id="170" w:name="_Toc247527565"/>
      <w:bookmarkStart w:id="171" w:name="_Toc152042317"/>
      <w:bookmarkStart w:id="172" w:name="_Toc256000017"/>
      <w:bookmarkStart w:id="173" w:name="_Toc152045541"/>
      <w:bookmarkStart w:id="174" w:name="_Toc1240"/>
      <w:r>
        <w:rPr>
          <w:rFonts w:cs="Times New Roman"/>
          <w:color w:val="auto"/>
          <w:highlight w:val="none"/>
        </w:rPr>
        <w:t>1.11 分包</w:t>
      </w:r>
      <w:bookmarkEnd w:id="166"/>
      <w:bookmarkEnd w:id="167"/>
      <w:bookmarkEnd w:id="168"/>
      <w:bookmarkEnd w:id="169"/>
      <w:bookmarkEnd w:id="170"/>
      <w:bookmarkEnd w:id="171"/>
      <w:bookmarkEnd w:id="172"/>
      <w:bookmarkEnd w:id="173"/>
      <w:bookmarkEnd w:id="174"/>
    </w:p>
    <w:p w14:paraId="4116E64B">
      <w:pPr>
        <w:spacing w:line="400" w:lineRule="exact"/>
        <w:ind w:firstLine="567" w:firstLineChars="270"/>
        <w:rPr>
          <w:color w:val="auto"/>
          <w:highlight w:val="none"/>
        </w:rPr>
      </w:pPr>
      <w:r>
        <w:rPr>
          <w:color w:val="auto"/>
          <w:highlight w:val="none"/>
        </w:rPr>
        <w:t>1.11.1 投标人须知前附表规定应当由分包人实施的非主体、非关键性工作，投标人应当按照第五章“发包人要求”的规定提供分包人</w:t>
      </w:r>
      <w:r>
        <w:rPr>
          <w:rFonts w:hint="eastAsia"/>
          <w:color w:val="auto"/>
          <w:highlight w:val="none"/>
          <w:lang w:val="en-US" w:eastAsia="zh-CN"/>
        </w:rPr>
        <w:t>候</w:t>
      </w:r>
      <w:r>
        <w:rPr>
          <w:color w:val="auto"/>
          <w:highlight w:val="none"/>
        </w:rPr>
        <w:t>选名单及其相应资料。</w:t>
      </w:r>
    </w:p>
    <w:p w14:paraId="700A4E67">
      <w:pPr>
        <w:spacing w:line="400" w:lineRule="exact"/>
        <w:ind w:firstLine="567" w:firstLineChars="270"/>
        <w:rPr>
          <w:color w:val="auto"/>
          <w:highlight w:val="none"/>
        </w:rPr>
      </w:pPr>
      <w:r>
        <w:rPr>
          <w:color w:val="auto"/>
          <w:highlight w:val="none"/>
        </w:rPr>
        <w:t>1.11.2 投标人拟在中标后将中标项目的部分非主体、非关键性工作进行分包的，应符合投标人须知前附表规定的分包内容、分包金额和资质要求等限制性条件。</w:t>
      </w:r>
    </w:p>
    <w:p w14:paraId="1A1CF92C">
      <w:pPr>
        <w:pStyle w:val="37"/>
        <w:spacing w:line="360" w:lineRule="exact"/>
        <w:ind w:firstLine="118"/>
        <w:rPr>
          <w:rFonts w:cs="Times New Roman"/>
          <w:color w:val="auto"/>
          <w:highlight w:val="none"/>
        </w:rPr>
      </w:pPr>
      <w:bookmarkStart w:id="175" w:name="_Toc6985"/>
      <w:bookmarkStart w:id="176" w:name="_Toc256000018"/>
      <w:bookmarkStart w:id="177" w:name="_Toc145081423"/>
      <w:bookmarkStart w:id="178" w:name="_Toc167542390"/>
      <w:bookmarkStart w:id="179" w:name="_Toc247513965"/>
      <w:bookmarkStart w:id="180" w:name="_Toc247527566"/>
      <w:r>
        <w:rPr>
          <w:rFonts w:cs="Times New Roman"/>
          <w:color w:val="auto"/>
          <w:highlight w:val="none"/>
        </w:rPr>
        <w:t>1.12 偏离</w:t>
      </w:r>
      <w:bookmarkEnd w:id="175"/>
      <w:bookmarkEnd w:id="176"/>
      <w:bookmarkEnd w:id="177"/>
      <w:bookmarkEnd w:id="178"/>
      <w:bookmarkEnd w:id="179"/>
      <w:bookmarkEnd w:id="180"/>
    </w:p>
    <w:p w14:paraId="29F84F35">
      <w:pPr>
        <w:spacing w:line="400" w:lineRule="exact"/>
        <w:ind w:firstLine="359" w:firstLineChars="171"/>
        <w:rPr>
          <w:color w:val="auto"/>
          <w:highlight w:val="none"/>
        </w:rPr>
      </w:pPr>
      <w:r>
        <w:rPr>
          <w:color w:val="auto"/>
          <w:highlight w:val="none"/>
        </w:rPr>
        <w:t>投标人须知前附表允许投标文件偏离招标文件某些要求的，偏离应当符合招标文件规定的偏离范围和幅度。</w:t>
      </w:r>
    </w:p>
    <w:p w14:paraId="7C531C23">
      <w:pPr>
        <w:pStyle w:val="35"/>
        <w:spacing w:line="360" w:lineRule="exact"/>
        <w:rPr>
          <w:rFonts w:cs="Times New Roman"/>
          <w:color w:val="auto"/>
          <w:highlight w:val="none"/>
        </w:rPr>
      </w:pPr>
      <w:bookmarkStart w:id="181" w:name="_Toc167542391"/>
      <w:bookmarkStart w:id="182" w:name="_Toc256000019"/>
      <w:bookmarkStart w:id="183" w:name="_Toc247513966"/>
      <w:bookmarkStart w:id="184" w:name="_Toc247527567"/>
      <w:bookmarkStart w:id="185" w:name="_Toc152042318"/>
      <w:bookmarkStart w:id="186" w:name="_Toc18019"/>
      <w:bookmarkStart w:id="187" w:name="_Toc152045542"/>
      <w:bookmarkStart w:id="188" w:name="_Toc144974510"/>
      <w:r>
        <w:rPr>
          <w:rFonts w:cs="Times New Roman"/>
          <w:color w:val="auto"/>
          <w:highlight w:val="none"/>
        </w:rPr>
        <w:t>2. 招标文件</w:t>
      </w:r>
      <w:bookmarkEnd w:id="181"/>
      <w:bookmarkEnd w:id="182"/>
      <w:bookmarkEnd w:id="183"/>
      <w:bookmarkEnd w:id="184"/>
      <w:bookmarkEnd w:id="185"/>
      <w:bookmarkEnd w:id="186"/>
      <w:bookmarkEnd w:id="187"/>
      <w:bookmarkEnd w:id="188"/>
    </w:p>
    <w:p w14:paraId="0432A400">
      <w:pPr>
        <w:pStyle w:val="37"/>
        <w:spacing w:line="360" w:lineRule="exact"/>
        <w:ind w:firstLine="118"/>
        <w:rPr>
          <w:rFonts w:cs="Times New Roman"/>
          <w:color w:val="auto"/>
          <w:highlight w:val="none"/>
        </w:rPr>
      </w:pPr>
      <w:bookmarkStart w:id="189" w:name="_Toc144974511"/>
      <w:bookmarkStart w:id="190" w:name="_Toc18751"/>
      <w:bookmarkStart w:id="191" w:name="_Toc256000020"/>
      <w:bookmarkStart w:id="192" w:name="_Toc247527568"/>
      <w:bookmarkStart w:id="193" w:name="_Toc145081425"/>
      <w:bookmarkStart w:id="194" w:name="_Toc152045543"/>
      <w:bookmarkStart w:id="195" w:name="_Toc247513967"/>
      <w:bookmarkStart w:id="196" w:name="_Toc152042319"/>
      <w:bookmarkStart w:id="197" w:name="_Toc167542392"/>
      <w:r>
        <w:rPr>
          <w:rFonts w:cs="Times New Roman"/>
          <w:color w:val="auto"/>
          <w:highlight w:val="none"/>
        </w:rPr>
        <w:t>2.1 招标文件的组成</w:t>
      </w:r>
      <w:bookmarkEnd w:id="189"/>
      <w:bookmarkEnd w:id="190"/>
      <w:bookmarkEnd w:id="191"/>
      <w:bookmarkEnd w:id="192"/>
      <w:bookmarkEnd w:id="193"/>
      <w:bookmarkEnd w:id="194"/>
      <w:bookmarkEnd w:id="195"/>
      <w:bookmarkEnd w:id="196"/>
      <w:bookmarkEnd w:id="197"/>
    </w:p>
    <w:p w14:paraId="3A9C985B">
      <w:pPr>
        <w:spacing w:line="400" w:lineRule="exact"/>
        <w:rPr>
          <w:color w:val="auto"/>
          <w:highlight w:val="none"/>
        </w:rPr>
      </w:pPr>
      <w:r>
        <w:rPr>
          <w:color w:val="auto"/>
          <w:highlight w:val="none"/>
        </w:rPr>
        <w:t>　　本招标文件包括：</w:t>
      </w:r>
    </w:p>
    <w:p w14:paraId="24C55243">
      <w:pPr>
        <w:spacing w:line="400" w:lineRule="exact"/>
        <w:ind w:firstLine="359" w:firstLineChars="171"/>
        <w:rPr>
          <w:color w:val="auto"/>
          <w:highlight w:val="none"/>
        </w:rPr>
      </w:pPr>
      <w:r>
        <w:rPr>
          <w:color w:val="auto"/>
          <w:highlight w:val="none"/>
        </w:rPr>
        <w:t>（1）招标公告（或投标邀请书）；</w:t>
      </w:r>
    </w:p>
    <w:p w14:paraId="6FE5574C">
      <w:pPr>
        <w:spacing w:line="400" w:lineRule="exact"/>
        <w:ind w:firstLine="359" w:firstLineChars="171"/>
        <w:rPr>
          <w:color w:val="auto"/>
          <w:highlight w:val="none"/>
        </w:rPr>
      </w:pPr>
      <w:r>
        <w:rPr>
          <w:color w:val="auto"/>
          <w:highlight w:val="none"/>
        </w:rPr>
        <w:t>（2）投标人须知；</w:t>
      </w:r>
    </w:p>
    <w:p w14:paraId="50EB44F2">
      <w:pPr>
        <w:spacing w:line="400" w:lineRule="exact"/>
        <w:ind w:firstLine="359" w:firstLineChars="171"/>
        <w:rPr>
          <w:color w:val="auto"/>
          <w:highlight w:val="none"/>
        </w:rPr>
      </w:pPr>
      <w:r>
        <w:rPr>
          <w:color w:val="auto"/>
          <w:highlight w:val="none"/>
        </w:rPr>
        <w:t>（3）评标办法；</w:t>
      </w:r>
    </w:p>
    <w:p w14:paraId="65070B28">
      <w:pPr>
        <w:spacing w:line="400" w:lineRule="exact"/>
        <w:ind w:firstLine="359" w:firstLineChars="171"/>
        <w:rPr>
          <w:color w:val="auto"/>
          <w:highlight w:val="none"/>
        </w:rPr>
      </w:pPr>
      <w:r>
        <w:rPr>
          <w:color w:val="auto"/>
          <w:highlight w:val="none"/>
        </w:rPr>
        <w:t>（4）合同条款及格式；</w:t>
      </w:r>
    </w:p>
    <w:p w14:paraId="7E7DC256">
      <w:pPr>
        <w:spacing w:line="400" w:lineRule="exact"/>
        <w:ind w:firstLine="359" w:firstLineChars="171"/>
        <w:rPr>
          <w:color w:val="auto"/>
          <w:highlight w:val="none"/>
        </w:rPr>
      </w:pPr>
      <w:r>
        <w:rPr>
          <w:color w:val="auto"/>
          <w:highlight w:val="none"/>
        </w:rPr>
        <w:t>（5）发包人要求；</w:t>
      </w:r>
    </w:p>
    <w:p w14:paraId="7DC76EC4">
      <w:pPr>
        <w:spacing w:line="400" w:lineRule="exact"/>
        <w:ind w:firstLine="359" w:firstLineChars="171"/>
        <w:rPr>
          <w:color w:val="auto"/>
          <w:highlight w:val="none"/>
        </w:rPr>
      </w:pPr>
      <w:r>
        <w:rPr>
          <w:color w:val="auto"/>
          <w:highlight w:val="none"/>
        </w:rPr>
        <w:t>（6）发包人提供的资料；</w:t>
      </w:r>
    </w:p>
    <w:p w14:paraId="3AF3A4E0">
      <w:pPr>
        <w:spacing w:line="400" w:lineRule="exact"/>
        <w:ind w:firstLine="359" w:firstLineChars="171"/>
        <w:rPr>
          <w:color w:val="auto"/>
          <w:highlight w:val="none"/>
        </w:rPr>
      </w:pPr>
      <w:r>
        <w:rPr>
          <w:color w:val="auto"/>
          <w:highlight w:val="none"/>
        </w:rPr>
        <w:t>（7）投标文件格式；</w:t>
      </w:r>
    </w:p>
    <w:p w14:paraId="583B6E9A">
      <w:pPr>
        <w:spacing w:line="400" w:lineRule="exact"/>
        <w:ind w:firstLine="359" w:firstLineChars="171"/>
        <w:rPr>
          <w:color w:val="auto"/>
          <w:highlight w:val="none"/>
        </w:rPr>
      </w:pPr>
      <w:r>
        <w:rPr>
          <w:color w:val="auto"/>
          <w:highlight w:val="none"/>
        </w:rPr>
        <w:t>（8）投标人须知前附表规定的其他资料。</w:t>
      </w:r>
    </w:p>
    <w:p w14:paraId="6789322F">
      <w:pPr>
        <w:spacing w:line="400" w:lineRule="exact"/>
        <w:ind w:firstLine="420" w:firstLineChars="200"/>
        <w:rPr>
          <w:color w:val="auto"/>
          <w:highlight w:val="none"/>
        </w:rPr>
      </w:pPr>
      <w:r>
        <w:rPr>
          <w:color w:val="auto"/>
          <w:highlight w:val="none"/>
        </w:rPr>
        <w:t>根据本章第1.10款、第2.2款和第2.3款对招标文件所作的澄清、修改，构成招标文件的组成部分。</w:t>
      </w:r>
    </w:p>
    <w:p w14:paraId="133132B8">
      <w:pPr>
        <w:pStyle w:val="37"/>
        <w:spacing w:line="360" w:lineRule="exact"/>
        <w:ind w:firstLine="118"/>
        <w:rPr>
          <w:rFonts w:cs="Times New Roman"/>
          <w:color w:val="auto"/>
          <w:highlight w:val="none"/>
        </w:rPr>
      </w:pPr>
      <w:bookmarkStart w:id="198" w:name="_Toc247527569"/>
      <w:bookmarkStart w:id="199" w:name="_Toc144974512"/>
      <w:bookmarkStart w:id="200" w:name="_Toc256000021"/>
      <w:bookmarkStart w:id="201" w:name="_Toc1506"/>
      <w:bookmarkStart w:id="202" w:name="_Toc167542393"/>
      <w:bookmarkStart w:id="203" w:name="_Toc145081426"/>
      <w:bookmarkStart w:id="204" w:name="_Toc247513968"/>
      <w:bookmarkStart w:id="205" w:name="_Toc152045544"/>
      <w:bookmarkStart w:id="206" w:name="_Toc152042320"/>
      <w:r>
        <w:rPr>
          <w:rFonts w:cs="Times New Roman"/>
          <w:color w:val="auto"/>
          <w:highlight w:val="none"/>
        </w:rPr>
        <w:t>2.2 招标文件的澄清</w:t>
      </w:r>
      <w:bookmarkEnd w:id="198"/>
      <w:bookmarkEnd w:id="199"/>
      <w:bookmarkEnd w:id="200"/>
      <w:bookmarkEnd w:id="201"/>
      <w:bookmarkEnd w:id="202"/>
      <w:bookmarkEnd w:id="203"/>
      <w:bookmarkEnd w:id="204"/>
      <w:bookmarkEnd w:id="205"/>
      <w:bookmarkEnd w:id="206"/>
    </w:p>
    <w:p w14:paraId="73252F2D">
      <w:pPr>
        <w:spacing w:line="400" w:lineRule="exact"/>
        <w:ind w:firstLine="420" w:firstLineChars="200"/>
        <w:rPr>
          <w:color w:val="auto"/>
          <w:highlight w:val="none"/>
        </w:rPr>
      </w:pPr>
      <w:r>
        <w:rPr>
          <w:color w:val="auto"/>
          <w:highlight w:val="none"/>
        </w:rPr>
        <w:t>2.2.1 投标人应仔细阅读和检查招标文件的全部内容。</w:t>
      </w:r>
      <w:r>
        <w:rPr>
          <w:color w:val="auto"/>
          <w:szCs w:val="21"/>
          <w:highlight w:val="none"/>
        </w:rPr>
        <w:t>如发现缺页或附件不全，应及时向招标人提出，以便补齐。</w:t>
      </w:r>
      <w:r>
        <w:rPr>
          <w:color w:val="auto"/>
          <w:highlight w:val="none"/>
        </w:rPr>
        <w:t>如有疑问，应在投标人须知前附表规定的时间前，通过法定公告公示信息发布媒介、电子交易系统（投标盲盒工具）等渠道以书面形式要求招标人对招标文件予以澄清。</w:t>
      </w:r>
    </w:p>
    <w:p w14:paraId="1798914E">
      <w:pPr>
        <w:spacing w:line="400" w:lineRule="exact"/>
        <w:ind w:firstLine="420" w:firstLineChars="200"/>
        <w:rPr>
          <w:color w:val="auto"/>
          <w:highlight w:val="none"/>
        </w:rPr>
      </w:pPr>
      <w:r>
        <w:rPr>
          <w:color w:val="auto"/>
          <w:highlight w:val="none"/>
        </w:rPr>
        <w:t>2.2.2 招标人对招标文件的澄清通过法定公告公示信息发布媒介、电子交易系统（投标盲盒工具）等渠道以书面形式发给所有下载招标文件的投标人，但不指明澄清问题的来源。澄清发出的时间距投标人须知前附表规定的投标截止时间不足15天的，并且澄清内容确实影响投标文件编制的，</w:t>
      </w:r>
      <w:r>
        <w:rPr>
          <w:rFonts w:hint="eastAsia"/>
          <w:color w:val="auto"/>
          <w:highlight w:val="none"/>
        </w:rPr>
        <w:t>应当</w:t>
      </w:r>
      <w:r>
        <w:rPr>
          <w:color w:val="auto"/>
          <w:highlight w:val="none"/>
        </w:rPr>
        <w:t>相应延长投标截止时间。</w:t>
      </w:r>
    </w:p>
    <w:p w14:paraId="3A60AA68">
      <w:pPr>
        <w:spacing w:line="400" w:lineRule="exact"/>
        <w:ind w:firstLine="420" w:firstLineChars="200"/>
        <w:rPr>
          <w:color w:val="auto"/>
          <w:highlight w:val="none"/>
        </w:rPr>
      </w:pPr>
      <w:r>
        <w:rPr>
          <w:color w:val="auto"/>
          <w:highlight w:val="none"/>
        </w:rPr>
        <w:t>2.2.3 投标人应实时自行关注法定公告公示信息发布媒介、电子交易系统（投标盲盒工具）等渠道上发出的澄清通知，因投标人自身原因未及时获知澄清内容而导致的任何后果将由投标人自行承担。</w:t>
      </w:r>
    </w:p>
    <w:p w14:paraId="08D918AD">
      <w:pPr>
        <w:pStyle w:val="37"/>
        <w:spacing w:line="360" w:lineRule="exact"/>
        <w:ind w:firstLine="118"/>
        <w:rPr>
          <w:rFonts w:cs="Times New Roman"/>
          <w:color w:val="auto"/>
          <w:highlight w:val="none"/>
        </w:rPr>
      </w:pPr>
      <w:bookmarkStart w:id="207" w:name="_Toc167542394"/>
      <w:bookmarkStart w:id="208" w:name="_Toc247527570"/>
      <w:bookmarkStart w:id="209" w:name="_Toc144974513"/>
      <w:bookmarkStart w:id="210" w:name="_Toc247513969"/>
      <w:bookmarkStart w:id="211" w:name="_Toc26721"/>
      <w:bookmarkStart w:id="212" w:name="_Toc256000022"/>
      <w:bookmarkStart w:id="213" w:name="_Toc145081427"/>
      <w:bookmarkStart w:id="214" w:name="_Toc152045545"/>
      <w:bookmarkStart w:id="215" w:name="_Toc152042321"/>
      <w:r>
        <w:rPr>
          <w:rFonts w:cs="Times New Roman"/>
          <w:color w:val="auto"/>
          <w:highlight w:val="none"/>
        </w:rPr>
        <w:t>2.3 招标文件的修改</w:t>
      </w:r>
      <w:bookmarkEnd w:id="207"/>
      <w:bookmarkEnd w:id="208"/>
      <w:bookmarkEnd w:id="209"/>
      <w:bookmarkEnd w:id="210"/>
      <w:bookmarkEnd w:id="211"/>
      <w:bookmarkEnd w:id="212"/>
      <w:bookmarkEnd w:id="213"/>
      <w:bookmarkEnd w:id="214"/>
      <w:bookmarkEnd w:id="215"/>
    </w:p>
    <w:p w14:paraId="342A2CE7">
      <w:pPr>
        <w:spacing w:line="400" w:lineRule="exact"/>
        <w:ind w:firstLine="420" w:firstLineChars="200"/>
        <w:rPr>
          <w:color w:val="auto"/>
          <w:highlight w:val="none"/>
        </w:rPr>
      </w:pPr>
      <w:r>
        <w:rPr>
          <w:color w:val="auto"/>
          <w:highlight w:val="none"/>
        </w:rPr>
        <w:t>2.3.1 招标人可以书面形式修改招标文件，并通过法定公告公示信息发布媒介、电子交易系统（投标盲盒工具）等渠道通知所有已下载招标文件的投标人。修改招标文件的时间距投标人须知前附表规定的投标截止时间不足15天的，并且澄清内容确实影响投标文件编制的，</w:t>
      </w:r>
      <w:r>
        <w:rPr>
          <w:rFonts w:hint="eastAsia"/>
          <w:color w:val="auto"/>
          <w:highlight w:val="none"/>
        </w:rPr>
        <w:t>应当</w:t>
      </w:r>
      <w:r>
        <w:rPr>
          <w:color w:val="auto"/>
          <w:highlight w:val="none"/>
        </w:rPr>
        <w:t xml:space="preserve">相应延长投标截止时间。 </w:t>
      </w:r>
    </w:p>
    <w:p w14:paraId="7110649C">
      <w:pPr>
        <w:spacing w:line="400" w:lineRule="exact"/>
        <w:ind w:firstLine="420" w:firstLineChars="200"/>
        <w:rPr>
          <w:color w:val="auto"/>
          <w:highlight w:val="none"/>
        </w:rPr>
      </w:pPr>
      <w:r>
        <w:rPr>
          <w:color w:val="auto"/>
          <w:highlight w:val="none"/>
        </w:rPr>
        <w:t>2.3.2 投标人应实时自行关注法定公告公示信息发布媒介、电子交易系统（投标盲盒工具）等渠道上发出的修改通知，因投标人自身原因未及时获知修改内容而导致的任何后果将由投标人自行承担。</w:t>
      </w:r>
    </w:p>
    <w:p w14:paraId="70572185">
      <w:pPr>
        <w:pStyle w:val="37"/>
        <w:spacing w:line="360" w:lineRule="exact"/>
        <w:ind w:firstLine="118"/>
        <w:rPr>
          <w:rFonts w:cs="Times New Roman"/>
          <w:color w:val="auto"/>
          <w:highlight w:val="none"/>
        </w:rPr>
      </w:pPr>
      <w:bookmarkStart w:id="216" w:name="_Toc145081428"/>
      <w:bookmarkStart w:id="217" w:name="_Toc256000023"/>
      <w:bookmarkStart w:id="218" w:name="_Toc27565"/>
      <w:bookmarkStart w:id="219" w:name="_Toc167542395"/>
      <w:bookmarkStart w:id="220" w:name="_Toc145002191"/>
      <w:r>
        <w:rPr>
          <w:rFonts w:cs="Times New Roman"/>
          <w:color w:val="auto"/>
          <w:highlight w:val="none"/>
        </w:rPr>
        <w:t>2.4 招标文件的异议</w:t>
      </w:r>
      <w:bookmarkEnd w:id="216"/>
      <w:bookmarkEnd w:id="217"/>
      <w:bookmarkEnd w:id="218"/>
      <w:bookmarkEnd w:id="219"/>
      <w:bookmarkEnd w:id="220"/>
    </w:p>
    <w:p w14:paraId="00F5889B">
      <w:pPr>
        <w:spacing w:line="360" w:lineRule="exact"/>
        <w:ind w:firstLine="420" w:firstLineChars="200"/>
        <w:rPr>
          <w:color w:val="auto"/>
          <w:highlight w:val="none"/>
        </w:rPr>
      </w:pPr>
      <w:r>
        <w:rPr>
          <w:color w:val="auto"/>
          <w:highlight w:val="none"/>
        </w:rPr>
        <w:t>2.4.</w:t>
      </w:r>
      <w:r>
        <w:rPr>
          <w:rFonts w:hint="eastAsia"/>
          <w:color w:val="auto"/>
          <w:highlight w:val="none"/>
        </w:rPr>
        <w:t>1</w:t>
      </w:r>
      <w:r>
        <w:rPr>
          <w:color w:val="auto"/>
          <w:highlight w:val="none"/>
        </w:rPr>
        <w:t>投标人或者其他利害关系人对招标文件有异议的，应当在投标截止时间 10 日前以书面形式提出。招标人将在收到异议之日起 3 日内作出答复；作出答复前，将暂停招标投标活动。逾期提出的，招标人可不予受理。</w:t>
      </w:r>
      <w:r>
        <w:rPr>
          <w:rFonts w:hint="eastAsia"/>
          <w:color w:val="auto"/>
          <w:highlight w:val="none"/>
        </w:rPr>
        <w:t>异议与答复应通过电子招标投标系统（辽宁省工程建设项目招标投标异议投诉处理系统）以书面形式进行。</w:t>
      </w:r>
    </w:p>
    <w:p w14:paraId="32C896FF">
      <w:pPr>
        <w:spacing w:line="360" w:lineRule="exact"/>
        <w:ind w:firstLine="420" w:firstLineChars="200"/>
        <w:rPr>
          <w:color w:val="auto"/>
          <w:highlight w:val="none"/>
        </w:rPr>
      </w:pPr>
      <w:r>
        <w:rPr>
          <w:color w:val="auto"/>
          <w:highlight w:val="none"/>
        </w:rPr>
        <w:t>本条所称异议是指投标人或者其他利害关系人认为招标文件的内容违反法律、法规、规章的强制性规定，违反公平竞争原则，影响投标人投标而向招标人提出的质疑。未在法定时间期限内提出异议视为投标人权利灭失。</w:t>
      </w:r>
    </w:p>
    <w:p w14:paraId="0A9EF651">
      <w:pPr>
        <w:spacing w:line="360" w:lineRule="exact"/>
        <w:ind w:firstLine="420" w:firstLineChars="200"/>
        <w:rPr>
          <w:color w:val="auto"/>
          <w:highlight w:val="none"/>
        </w:rPr>
      </w:pPr>
      <w:r>
        <w:rPr>
          <w:color w:val="auto"/>
          <w:highlight w:val="none"/>
        </w:rPr>
        <w:t>有关异议受理部门及联系方式见投标人须知前附表。</w:t>
      </w:r>
    </w:p>
    <w:p w14:paraId="17C4FCC6">
      <w:pPr>
        <w:spacing w:line="360" w:lineRule="exact"/>
        <w:ind w:firstLine="420" w:firstLineChars="200"/>
        <w:rPr>
          <w:color w:val="auto"/>
          <w:highlight w:val="none"/>
        </w:rPr>
      </w:pPr>
      <w:r>
        <w:rPr>
          <w:color w:val="auto"/>
          <w:highlight w:val="none"/>
        </w:rPr>
        <w:t>2.4.2招标人对异议的答复构成对招标文件澄清或者修改的，招标人将按照本章第2.2款、第2.3款规定办理。</w:t>
      </w:r>
    </w:p>
    <w:p w14:paraId="5C516119">
      <w:pPr>
        <w:pStyle w:val="35"/>
        <w:spacing w:line="360" w:lineRule="exact"/>
        <w:rPr>
          <w:rFonts w:cs="Times New Roman"/>
          <w:color w:val="auto"/>
          <w:highlight w:val="none"/>
        </w:rPr>
      </w:pPr>
      <w:bookmarkStart w:id="221" w:name="_Toc10909"/>
      <w:bookmarkStart w:id="222" w:name="_Toc152045546"/>
      <w:bookmarkStart w:id="223" w:name="_Toc247527571"/>
      <w:bookmarkStart w:id="224" w:name="_Toc247513970"/>
      <w:bookmarkStart w:id="225" w:name="_Toc152042322"/>
      <w:bookmarkStart w:id="226" w:name="_Toc167542396"/>
      <w:bookmarkStart w:id="227" w:name="_Toc144974514"/>
      <w:bookmarkStart w:id="228" w:name="_Toc256000024"/>
      <w:r>
        <w:rPr>
          <w:rFonts w:cs="Times New Roman"/>
          <w:color w:val="auto"/>
          <w:highlight w:val="none"/>
        </w:rPr>
        <w:t>3. 投标文件</w:t>
      </w:r>
      <w:bookmarkEnd w:id="221"/>
      <w:bookmarkEnd w:id="222"/>
      <w:bookmarkEnd w:id="223"/>
      <w:bookmarkEnd w:id="224"/>
      <w:bookmarkEnd w:id="225"/>
      <w:bookmarkEnd w:id="226"/>
      <w:bookmarkEnd w:id="227"/>
      <w:bookmarkEnd w:id="228"/>
    </w:p>
    <w:p w14:paraId="7EBB2435">
      <w:pPr>
        <w:pStyle w:val="37"/>
        <w:spacing w:line="360" w:lineRule="exact"/>
        <w:ind w:firstLine="118"/>
        <w:rPr>
          <w:rFonts w:cs="Times New Roman"/>
          <w:color w:val="auto"/>
          <w:highlight w:val="none"/>
        </w:rPr>
      </w:pPr>
      <w:bookmarkStart w:id="229" w:name="_Toc247513971"/>
      <w:bookmarkStart w:id="230" w:name="_Toc18752"/>
      <w:bookmarkStart w:id="231" w:name="_Toc167542397"/>
      <w:bookmarkStart w:id="232" w:name="_Toc152045547"/>
      <w:bookmarkStart w:id="233" w:name="_Toc152042323"/>
      <w:bookmarkStart w:id="234" w:name="_Toc144974515"/>
      <w:bookmarkStart w:id="235" w:name="_Toc247527572"/>
      <w:bookmarkStart w:id="236" w:name="_Toc256000025"/>
      <w:r>
        <w:rPr>
          <w:rFonts w:cs="Times New Roman"/>
          <w:color w:val="auto"/>
          <w:highlight w:val="none"/>
        </w:rPr>
        <w:t>3.1 投标文件的组成</w:t>
      </w:r>
      <w:bookmarkEnd w:id="229"/>
      <w:bookmarkEnd w:id="230"/>
      <w:bookmarkEnd w:id="231"/>
      <w:bookmarkEnd w:id="232"/>
      <w:bookmarkEnd w:id="233"/>
      <w:bookmarkEnd w:id="234"/>
      <w:bookmarkEnd w:id="235"/>
      <w:bookmarkEnd w:id="236"/>
    </w:p>
    <w:p w14:paraId="4A60143A">
      <w:pPr>
        <w:spacing w:line="400" w:lineRule="exact"/>
        <w:rPr>
          <w:color w:val="auto"/>
          <w:highlight w:val="none"/>
        </w:rPr>
      </w:pPr>
      <w:r>
        <w:rPr>
          <w:color w:val="auto"/>
          <w:highlight w:val="none"/>
        </w:rPr>
        <w:t>　　3.1.1 投标文件应包括下列内容：</w:t>
      </w:r>
    </w:p>
    <w:p w14:paraId="59D11527">
      <w:pPr>
        <w:spacing w:line="400" w:lineRule="exact"/>
        <w:ind w:firstLine="359" w:firstLineChars="171"/>
        <w:rPr>
          <w:color w:val="auto"/>
          <w:highlight w:val="none"/>
        </w:rPr>
      </w:pPr>
      <w:r>
        <w:rPr>
          <w:color w:val="auto"/>
          <w:highlight w:val="none"/>
        </w:rPr>
        <w:t>（1）投标函及投标函附录等；</w:t>
      </w:r>
    </w:p>
    <w:p w14:paraId="733EF83B">
      <w:pPr>
        <w:spacing w:line="400" w:lineRule="exact"/>
        <w:ind w:firstLine="359" w:firstLineChars="171"/>
        <w:rPr>
          <w:rFonts w:hint="eastAsia"/>
          <w:color w:val="auto"/>
          <w:highlight w:val="none"/>
        </w:rPr>
      </w:pPr>
      <w:r>
        <w:rPr>
          <w:color w:val="auto"/>
          <w:highlight w:val="none"/>
        </w:rPr>
        <w:t>（2）法定代表人身份证明</w:t>
      </w:r>
      <w:r>
        <w:rPr>
          <w:rFonts w:hint="eastAsia"/>
          <w:color w:val="auto"/>
          <w:highlight w:val="none"/>
          <w:lang w:eastAsia="zh-CN"/>
        </w:rPr>
        <w:t>；</w:t>
      </w:r>
    </w:p>
    <w:p w14:paraId="2382FC32">
      <w:pPr>
        <w:spacing w:line="400" w:lineRule="exact"/>
        <w:ind w:firstLine="359" w:firstLineChars="171"/>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授权委托书；</w:t>
      </w:r>
    </w:p>
    <w:p w14:paraId="2F3AE6D9">
      <w:pPr>
        <w:spacing w:line="400" w:lineRule="exact"/>
        <w:ind w:firstLine="359" w:firstLineChars="171"/>
        <w:rPr>
          <w:color w:val="auto"/>
          <w:highlight w:val="none"/>
        </w:rPr>
      </w:pPr>
      <w:r>
        <w:rPr>
          <w:color w:val="auto"/>
          <w:highlight w:val="none"/>
        </w:rPr>
        <w:t>（3）投标保证金；</w:t>
      </w:r>
    </w:p>
    <w:p w14:paraId="51334515">
      <w:pPr>
        <w:spacing w:line="400" w:lineRule="exact"/>
        <w:ind w:firstLine="359" w:firstLineChars="171"/>
        <w:rPr>
          <w:color w:val="auto"/>
          <w:highlight w:val="none"/>
        </w:rPr>
      </w:pPr>
      <w:r>
        <w:rPr>
          <w:color w:val="auto"/>
          <w:highlight w:val="none"/>
        </w:rPr>
        <w:t>（4）联合体协议书；</w:t>
      </w:r>
    </w:p>
    <w:p w14:paraId="35343E1D">
      <w:pPr>
        <w:spacing w:line="400" w:lineRule="exact"/>
        <w:ind w:firstLine="359" w:firstLineChars="171"/>
        <w:rPr>
          <w:color w:val="auto"/>
          <w:highlight w:val="none"/>
        </w:rPr>
      </w:pPr>
      <w:r>
        <w:rPr>
          <w:color w:val="auto"/>
          <w:highlight w:val="none"/>
        </w:rPr>
        <w:t>（5）价格清单；</w:t>
      </w:r>
    </w:p>
    <w:p w14:paraId="651AF9DF">
      <w:pPr>
        <w:spacing w:line="400" w:lineRule="exact"/>
        <w:ind w:firstLine="359" w:firstLineChars="171"/>
        <w:rPr>
          <w:color w:val="auto"/>
          <w:highlight w:val="none"/>
        </w:rPr>
      </w:pPr>
      <w:r>
        <w:rPr>
          <w:color w:val="auto"/>
          <w:highlight w:val="none"/>
        </w:rPr>
        <w:t>（6）承包人建议书；</w:t>
      </w:r>
    </w:p>
    <w:p w14:paraId="2D1C1975">
      <w:pPr>
        <w:spacing w:line="400" w:lineRule="exact"/>
        <w:ind w:firstLine="359" w:firstLineChars="171"/>
        <w:rPr>
          <w:color w:val="auto"/>
          <w:highlight w:val="none"/>
        </w:rPr>
      </w:pPr>
      <w:r>
        <w:rPr>
          <w:color w:val="auto"/>
          <w:highlight w:val="none"/>
        </w:rPr>
        <w:t>（7）承包人实施方案；</w:t>
      </w:r>
    </w:p>
    <w:p w14:paraId="62DD6F0C">
      <w:pPr>
        <w:spacing w:line="400" w:lineRule="exact"/>
        <w:ind w:firstLine="359" w:firstLineChars="171"/>
        <w:rPr>
          <w:color w:val="auto"/>
          <w:highlight w:val="none"/>
        </w:rPr>
      </w:pPr>
      <w:r>
        <w:rPr>
          <w:color w:val="auto"/>
          <w:highlight w:val="none"/>
        </w:rPr>
        <w:t>（8）资格审查资料；</w:t>
      </w:r>
    </w:p>
    <w:p w14:paraId="518496F9">
      <w:pPr>
        <w:spacing w:line="400" w:lineRule="exact"/>
        <w:ind w:firstLine="359" w:firstLineChars="171"/>
        <w:rPr>
          <w:color w:val="auto"/>
          <w:highlight w:val="none"/>
        </w:rPr>
      </w:pPr>
      <w:r>
        <w:rPr>
          <w:color w:val="auto"/>
          <w:highlight w:val="none"/>
        </w:rPr>
        <w:t>（9）投标人须知前附表规定的其他资料。</w:t>
      </w:r>
    </w:p>
    <w:p w14:paraId="30C53AC5">
      <w:pPr>
        <w:spacing w:line="400" w:lineRule="exact"/>
        <w:ind w:firstLine="359" w:firstLineChars="171"/>
        <w:rPr>
          <w:color w:val="auto"/>
          <w:highlight w:val="none"/>
        </w:rPr>
      </w:pPr>
      <w:r>
        <w:rPr>
          <w:color w:val="auto"/>
          <w:highlight w:val="none"/>
        </w:rPr>
        <w:t xml:space="preserve">3.1.2 投标人须知前附表规定不接受联合体投标的，或投标人没有组成联合体的，投标文件不包括本章第3.1.1（4）目所指的联合体协议书。 </w:t>
      </w:r>
    </w:p>
    <w:p w14:paraId="03E1AE67">
      <w:pPr>
        <w:pStyle w:val="37"/>
        <w:spacing w:line="360" w:lineRule="exact"/>
        <w:ind w:firstLine="118"/>
        <w:rPr>
          <w:rFonts w:cs="Times New Roman"/>
          <w:color w:val="auto"/>
          <w:highlight w:val="none"/>
        </w:rPr>
      </w:pPr>
      <w:bookmarkStart w:id="237" w:name="_Toc144974516"/>
      <w:bookmarkStart w:id="238" w:name="_Toc145081431"/>
      <w:bookmarkStart w:id="239" w:name="_Toc256000026"/>
      <w:bookmarkStart w:id="240" w:name="_Toc152042324"/>
      <w:bookmarkStart w:id="241" w:name="_Toc247513972"/>
      <w:bookmarkStart w:id="242" w:name="_Toc247527573"/>
      <w:bookmarkStart w:id="243" w:name="_Toc152045548"/>
      <w:bookmarkStart w:id="244" w:name="_Toc167542398"/>
      <w:bookmarkStart w:id="245" w:name="_Toc31027"/>
      <w:r>
        <w:rPr>
          <w:rFonts w:cs="Times New Roman"/>
          <w:color w:val="auto"/>
          <w:highlight w:val="none"/>
        </w:rPr>
        <w:t>3.2 投标报价</w:t>
      </w:r>
      <w:bookmarkEnd w:id="237"/>
      <w:bookmarkEnd w:id="238"/>
      <w:bookmarkEnd w:id="239"/>
      <w:bookmarkEnd w:id="240"/>
      <w:bookmarkEnd w:id="241"/>
      <w:bookmarkEnd w:id="242"/>
      <w:bookmarkEnd w:id="243"/>
      <w:bookmarkEnd w:id="244"/>
      <w:bookmarkEnd w:id="245"/>
      <w:r>
        <w:rPr>
          <w:rFonts w:cs="Times New Roman"/>
          <w:color w:val="auto"/>
          <w:highlight w:val="none"/>
        </w:rPr>
        <w:t xml:space="preserve"> </w:t>
      </w:r>
    </w:p>
    <w:p w14:paraId="045A0310">
      <w:pPr>
        <w:spacing w:line="400" w:lineRule="exact"/>
        <w:ind w:firstLine="420" w:firstLineChars="200"/>
        <w:rPr>
          <w:color w:val="auto"/>
          <w:highlight w:val="none"/>
        </w:rPr>
      </w:pPr>
      <w:r>
        <w:rPr>
          <w:color w:val="auto"/>
          <w:highlight w:val="none"/>
        </w:rPr>
        <w:t>3.2.1 投标人应按第七章“投标文件格式”的要求填写价格清单。</w:t>
      </w:r>
    </w:p>
    <w:p w14:paraId="2EAC8152">
      <w:pPr>
        <w:spacing w:line="440" w:lineRule="exact"/>
        <w:ind w:firstLine="420" w:firstLineChars="200"/>
        <w:rPr>
          <w:color w:val="auto"/>
          <w:szCs w:val="21"/>
          <w:highlight w:val="none"/>
        </w:rPr>
      </w:pPr>
      <w:r>
        <w:rPr>
          <w:color w:val="auto"/>
          <w:highlight w:val="none"/>
        </w:rPr>
        <w:t xml:space="preserve">3.2.2 </w:t>
      </w:r>
      <w:r>
        <w:rPr>
          <w:color w:val="auto"/>
          <w:szCs w:val="21"/>
          <w:highlight w:val="none"/>
        </w:rPr>
        <w:t>投标人应充分了解施工场地的位置、周边环境、道路、装卸、保管、安装限制以及影响投标报价的其他要素。投标人根据投标设计，结合市场情况进行投标报价。</w:t>
      </w:r>
    </w:p>
    <w:p w14:paraId="7987AFEA">
      <w:pPr>
        <w:spacing w:line="400" w:lineRule="exact"/>
        <w:ind w:firstLine="420" w:firstLineChars="200"/>
        <w:rPr>
          <w:color w:val="auto"/>
          <w:highlight w:val="none"/>
        </w:rPr>
      </w:pPr>
      <w:r>
        <w:rPr>
          <w:color w:val="auto"/>
          <w:highlight w:val="none"/>
        </w:rPr>
        <w:t>3.2.3 投标人在投标截止时间前修改投标函中的投标报价总额，应同时修改投标文件“价格清单”中的相应报价，投标报价总额为各分项金额之和。此修改须符合本章第4.3款的有关要求。</w:t>
      </w:r>
    </w:p>
    <w:p w14:paraId="14A30F2E">
      <w:pPr>
        <w:spacing w:line="400" w:lineRule="exact"/>
        <w:ind w:firstLine="420" w:firstLineChars="200"/>
        <w:rPr>
          <w:color w:val="auto"/>
          <w:highlight w:val="none"/>
        </w:rPr>
      </w:pPr>
      <w:r>
        <w:rPr>
          <w:color w:val="auto"/>
          <w:highlight w:val="none"/>
        </w:rPr>
        <w:t>3.2.4 招标人设有最高投标限价的，投标人的投标报价不得超过最高投标限价，最高投标限价或其计算方法在投标人须知前附表中载明。</w:t>
      </w:r>
    </w:p>
    <w:p w14:paraId="1A9A17F3">
      <w:pPr>
        <w:spacing w:line="400" w:lineRule="exact"/>
        <w:ind w:firstLine="420" w:firstLineChars="200"/>
        <w:rPr>
          <w:color w:val="auto"/>
          <w:highlight w:val="none"/>
        </w:rPr>
      </w:pPr>
      <w:r>
        <w:rPr>
          <w:color w:val="auto"/>
          <w:highlight w:val="none"/>
        </w:rPr>
        <w:t>3.2.5 投标报价的其他要求见投标人须知前附表。</w:t>
      </w:r>
    </w:p>
    <w:p w14:paraId="44F92A79">
      <w:pPr>
        <w:pStyle w:val="37"/>
        <w:spacing w:line="360" w:lineRule="exact"/>
        <w:ind w:firstLine="118"/>
        <w:rPr>
          <w:rFonts w:cs="Times New Roman"/>
          <w:color w:val="auto"/>
          <w:highlight w:val="none"/>
        </w:rPr>
      </w:pPr>
      <w:bookmarkStart w:id="246" w:name="_Toc145081432"/>
      <w:bookmarkStart w:id="247" w:name="_Toc152045549"/>
      <w:bookmarkStart w:id="248" w:name="_Toc152042325"/>
      <w:bookmarkStart w:id="249" w:name="_Toc247527574"/>
      <w:bookmarkStart w:id="250" w:name="_Toc11066"/>
      <w:bookmarkStart w:id="251" w:name="_Toc247513973"/>
      <w:bookmarkStart w:id="252" w:name="_Toc256000027"/>
      <w:bookmarkStart w:id="253" w:name="_Toc167542399"/>
      <w:bookmarkStart w:id="254" w:name="_Toc144974517"/>
      <w:r>
        <w:rPr>
          <w:rFonts w:cs="Times New Roman"/>
          <w:color w:val="auto"/>
          <w:highlight w:val="none"/>
        </w:rPr>
        <w:t>3.3 投标有效期</w:t>
      </w:r>
      <w:bookmarkEnd w:id="246"/>
      <w:bookmarkEnd w:id="247"/>
      <w:bookmarkEnd w:id="248"/>
      <w:bookmarkEnd w:id="249"/>
      <w:bookmarkEnd w:id="250"/>
      <w:bookmarkEnd w:id="251"/>
      <w:bookmarkEnd w:id="252"/>
      <w:bookmarkEnd w:id="253"/>
      <w:bookmarkEnd w:id="254"/>
    </w:p>
    <w:p w14:paraId="3D0DBB4C">
      <w:pPr>
        <w:spacing w:line="400" w:lineRule="exact"/>
        <w:ind w:firstLine="420" w:firstLineChars="200"/>
        <w:rPr>
          <w:color w:val="auto"/>
          <w:highlight w:val="none"/>
        </w:rPr>
      </w:pPr>
      <w:r>
        <w:rPr>
          <w:color w:val="auto"/>
          <w:highlight w:val="none"/>
        </w:rPr>
        <w:t>3.3.1 在投标人须知前附表规定的投标有效期内，投标人不得要求撤销或修改其投标文件。</w:t>
      </w:r>
    </w:p>
    <w:p w14:paraId="1173D5D6">
      <w:pPr>
        <w:spacing w:line="400" w:lineRule="exact"/>
        <w:ind w:firstLine="420" w:firstLineChars="200"/>
        <w:rPr>
          <w:color w:val="auto"/>
          <w:highlight w:val="none"/>
        </w:rPr>
      </w:pPr>
      <w:r>
        <w:rPr>
          <w:color w:val="auto"/>
          <w:highlight w:val="none"/>
        </w:rPr>
        <w:t xml:space="preserve">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p>
    <w:p w14:paraId="00ED954E">
      <w:pPr>
        <w:pStyle w:val="37"/>
        <w:spacing w:line="360" w:lineRule="exact"/>
        <w:ind w:firstLine="118"/>
        <w:rPr>
          <w:rFonts w:cs="Times New Roman"/>
          <w:color w:val="auto"/>
          <w:highlight w:val="none"/>
        </w:rPr>
      </w:pPr>
      <w:bookmarkStart w:id="255" w:name="_Toc247513974"/>
      <w:bookmarkStart w:id="256" w:name="_Toc247527575"/>
      <w:bookmarkStart w:id="257" w:name="_Toc144974518"/>
      <w:bookmarkStart w:id="258" w:name="_Toc24370"/>
      <w:bookmarkStart w:id="259" w:name="_Toc152045550"/>
      <w:bookmarkStart w:id="260" w:name="_Toc256000028"/>
      <w:bookmarkStart w:id="261" w:name="_Toc152042326"/>
      <w:bookmarkStart w:id="262" w:name="_Toc145081433"/>
      <w:bookmarkStart w:id="263" w:name="_Toc167542400"/>
      <w:r>
        <w:rPr>
          <w:rFonts w:cs="Times New Roman"/>
          <w:color w:val="auto"/>
          <w:highlight w:val="none"/>
        </w:rPr>
        <w:t>3.4 投标保证金</w:t>
      </w:r>
      <w:bookmarkEnd w:id="255"/>
      <w:bookmarkEnd w:id="256"/>
      <w:bookmarkEnd w:id="257"/>
      <w:bookmarkEnd w:id="258"/>
      <w:bookmarkEnd w:id="259"/>
      <w:bookmarkEnd w:id="260"/>
      <w:bookmarkEnd w:id="261"/>
      <w:bookmarkEnd w:id="262"/>
      <w:bookmarkEnd w:id="263"/>
    </w:p>
    <w:p w14:paraId="5CB80F12">
      <w:pPr>
        <w:spacing w:line="400" w:lineRule="exact"/>
        <w:ind w:firstLine="420" w:firstLineChars="200"/>
        <w:rPr>
          <w:color w:val="auto"/>
          <w:highlight w:val="none"/>
        </w:rPr>
      </w:pPr>
      <w:r>
        <w:rPr>
          <w:color w:val="auto"/>
          <w:highlight w:val="none"/>
        </w:rPr>
        <w:t>3.4.1 投标人在递交投标文件的同时，应按投标人须知前附表规定的金额、担保形式和第七章“投标文件格式”规定的投标保证金格式递交投标保证金，并作为其投标文件的组成部分。联合体投标的，其投标保证金由牵头人递交，并应符合投标人须知前附表的规定。</w:t>
      </w:r>
    </w:p>
    <w:p w14:paraId="13F73DB8">
      <w:pPr>
        <w:spacing w:line="400" w:lineRule="exact"/>
        <w:ind w:firstLine="420" w:firstLineChars="200"/>
        <w:rPr>
          <w:color w:val="auto"/>
          <w:highlight w:val="none"/>
        </w:rPr>
      </w:pPr>
      <w:r>
        <w:rPr>
          <w:color w:val="auto"/>
          <w:highlight w:val="none"/>
        </w:rPr>
        <w:t>3.4.2 投标人不按本章第3.4.1项要求提交投标保证金的，评标委员会将否决其投标。</w:t>
      </w:r>
    </w:p>
    <w:p w14:paraId="5CCAA942">
      <w:pPr>
        <w:spacing w:line="400" w:lineRule="exact"/>
        <w:ind w:firstLine="420" w:firstLineChars="200"/>
        <w:rPr>
          <w:color w:val="auto"/>
          <w:highlight w:val="none"/>
        </w:rPr>
      </w:pPr>
      <w:r>
        <w:rPr>
          <w:color w:val="auto"/>
          <w:highlight w:val="none"/>
        </w:rPr>
        <w:t>3.4.3 招标人最迟将在中标人签订合同后5日内，向未中标的投标人和中标人退还投标保证金。投标保证金以现金或者支票形式递交的，还应退还银行同期存款利息。投标保证金及利息的计息标准和退还方式见投标人须知前附表。</w:t>
      </w:r>
    </w:p>
    <w:p w14:paraId="72C14B5A">
      <w:pPr>
        <w:spacing w:line="400" w:lineRule="exact"/>
        <w:ind w:firstLine="420" w:firstLineChars="200"/>
        <w:rPr>
          <w:color w:val="auto"/>
          <w:highlight w:val="none"/>
        </w:rPr>
      </w:pPr>
      <w:r>
        <w:rPr>
          <w:color w:val="auto"/>
          <w:highlight w:val="none"/>
        </w:rPr>
        <w:t xml:space="preserve">3.4.4 有下列情形之一的，投标保证金将不予退还： </w:t>
      </w:r>
    </w:p>
    <w:p w14:paraId="721EE490">
      <w:pPr>
        <w:spacing w:line="400" w:lineRule="exact"/>
        <w:ind w:firstLine="315" w:firstLineChars="150"/>
        <w:rPr>
          <w:color w:val="auto"/>
          <w:highlight w:val="none"/>
        </w:rPr>
      </w:pPr>
      <w:r>
        <w:rPr>
          <w:color w:val="auto"/>
          <w:highlight w:val="none"/>
        </w:rPr>
        <w:t>（1）投标人在规定的投标有效期内撤销或修改其投标文件；</w:t>
      </w:r>
    </w:p>
    <w:p w14:paraId="615BD0BF">
      <w:pPr>
        <w:spacing w:line="400" w:lineRule="exact"/>
        <w:ind w:firstLine="315" w:firstLineChars="150"/>
        <w:rPr>
          <w:color w:val="auto"/>
          <w:highlight w:val="none"/>
        </w:rPr>
      </w:pPr>
      <w:r>
        <w:rPr>
          <w:color w:val="auto"/>
          <w:highlight w:val="none"/>
        </w:rPr>
        <w:t>（2）中标人在收到中标通知书后，无正当理由拒签合同、在签订合同时向招标人提出附加条件或未按招标文件规定提交履约保证金。</w:t>
      </w:r>
    </w:p>
    <w:p w14:paraId="00155C47">
      <w:pPr>
        <w:pStyle w:val="37"/>
        <w:spacing w:line="360" w:lineRule="exact"/>
        <w:ind w:firstLine="118"/>
        <w:rPr>
          <w:rFonts w:cs="Times New Roman"/>
          <w:color w:val="auto"/>
          <w:highlight w:val="none"/>
        </w:rPr>
      </w:pPr>
      <w:bookmarkStart w:id="264" w:name="_Toc256000029"/>
      <w:bookmarkStart w:id="265" w:name="_Toc145081434"/>
      <w:bookmarkStart w:id="266" w:name="_Toc166326864"/>
      <w:bookmarkStart w:id="267" w:name="_Toc167542401"/>
      <w:bookmarkStart w:id="268" w:name="_Toc30220"/>
      <w:bookmarkStart w:id="269" w:name="_Toc247513975"/>
      <w:bookmarkStart w:id="270" w:name="_Toc144974519"/>
      <w:bookmarkStart w:id="271" w:name="_Toc162104038"/>
      <w:bookmarkStart w:id="272" w:name="_Toc152045551"/>
      <w:bookmarkStart w:id="273" w:name="_Toc152042327"/>
      <w:bookmarkStart w:id="274" w:name="_Toc247527576"/>
      <w:bookmarkStart w:id="275" w:name="_Toc152042328"/>
      <w:bookmarkStart w:id="276" w:name="_Toc247513976"/>
      <w:bookmarkStart w:id="277" w:name="_Toc145081435"/>
      <w:bookmarkStart w:id="278" w:name="_Toc247527577"/>
      <w:bookmarkStart w:id="279" w:name="_Toc144974520"/>
      <w:bookmarkStart w:id="280" w:name="_Toc152045552"/>
      <w:r>
        <w:rPr>
          <w:rFonts w:cs="Times New Roman"/>
          <w:color w:val="auto"/>
          <w:highlight w:val="none"/>
        </w:rPr>
        <w:t>3.5 资格审查资料（适用于已进行资格预审的）</w:t>
      </w:r>
      <w:bookmarkEnd w:id="264"/>
      <w:bookmarkEnd w:id="265"/>
      <w:bookmarkEnd w:id="266"/>
      <w:bookmarkEnd w:id="267"/>
      <w:bookmarkEnd w:id="268"/>
      <w:bookmarkEnd w:id="269"/>
      <w:bookmarkEnd w:id="270"/>
      <w:bookmarkEnd w:id="271"/>
      <w:bookmarkEnd w:id="272"/>
      <w:bookmarkEnd w:id="273"/>
      <w:bookmarkEnd w:id="274"/>
    </w:p>
    <w:p w14:paraId="4568E262">
      <w:pPr>
        <w:spacing w:line="400" w:lineRule="exact"/>
        <w:ind w:firstLine="420" w:firstLineChars="200"/>
        <w:rPr>
          <w:color w:val="auto"/>
          <w:highlight w:val="none"/>
        </w:rPr>
      </w:pPr>
      <w:r>
        <w:rPr>
          <w:color w:val="auto"/>
          <w:highlight w:val="none"/>
        </w:rPr>
        <w:t>投标人在递交投标文件前，发生可能影响其投标资格的新情况的，应更新或补充其在申请资格预审时提供的资料，以证实其各项资格条件仍能继续满足资格预审文件的要求，且没有实质性降低。</w:t>
      </w:r>
    </w:p>
    <w:p w14:paraId="71EFC70C">
      <w:pPr>
        <w:pStyle w:val="37"/>
        <w:spacing w:line="360" w:lineRule="exact"/>
        <w:ind w:firstLine="118"/>
        <w:rPr>
          <w:rFonts w:cs="Times New Roman"/>
          <w:color w:val="auto"/>
          <w:highlight w:val="none"/>
        </w:rPr>
      </w:pPr>
      <w:bookmarkStart w:id="281" w:name="_Toc256000030"/>
      <w:bookmarkStart w:id="282" w:name="_Toc167542402"/>
      <w:bookmarkStart w:id="283" w:name="_Toc9833"/>
      <w:r>
        <w:rPr>
          <w:rFonts w:cs="Times New Roman"/>
          <w:color w:val="auto"/>
          <w:highlight w:val="none"/>
        </w:rPr>
        <w:t>3.5 资格审查资料</w:t>
      </w:r>
      <w:bookmarkEnd w:id="275"/>
      <w:bookmarkEnd w:id="276"/>
      <w:bookmarkEnd w:id="277"/>
      <w:bookmarkEnd w:id="278"/>
      <w:bookmarkEnd w:id="279"/>
      <w:bookmarkEnd w:id="280"/>
      <w:r>
        <w:rPr>
          <w:rFonts w:hint="eastAsia" w:cs="Times New Roman"/>
          <w:color w:val="auto"/>
          <w:highlight w:val="none"/>
        </w:rPr>
        <w:t>（适用于未进行资格预审的）</w:t>
      </w:r>
      <w:bookmarkEnd w:id="281"/>
      <w:bookmarkEnd w:id="282"/>
      <w:bookmarkEnd w:id="283"/>
      <w:r>
        <w:rPr>
          <w:rFonts w:hint="eastAsia" w:cs="Times New Roman"/>
          <w:color w:val="auto"/>
          <w:highlight w:val="none"/>
        </w:rPr>
        <w:t xml:space="preserve"> </w:t>
      </w:r>
    </w:p>
    <w:p w14:paraId="56839CC8">
      <w:pPr>
        <w:spacing w:line="400" w:lineRule="exact"/>
        <w:ind w:firstLine="420" w:firstLineChars="200"/>
        <w:rPr>
          <w:color w:val="auto"/>
          <w:highlight w:val="none"/>
        </w:rPr>
      </w:pPr>
      <w:r>
        <w:rPr>
          <w:color w:val="auto"/>
          <w:highlight w:val="none"/>
        </w:rPr>
        <w:t>3.5.1 “投标人基本情况表”应附投标人营业执照、资质证书和安全生产许可证等材料。</w:t>
      </w:r>
    </w:p>
    <w:p w14:paraId="4CEE83B8">
      <w:pPr>
        <w:spacing w:line="400" w:lineRule="exact"/>
        <w:ind w:firstLine="420" w:firstLineChars="200"/>
        <w:rPr>
          <w:color w:val="auto"/>
          <w:highlight w:val="none"/>
        </w:rPr>
      </w:pPr>
      <w:r>
        <w:rPr>
          <w:color w:val="auto"/>
          <w:highlight w:val="none"/>
        </w:rPr>
        <w:t>3.5.2 “近年财务状况表”应附经会计师事务所或审计机构审计的财务会计报表，具体年份要求见投标人须知前附表。</w:t>
      </w:r>
    </w:p>
    <w:p w14:paraId="16BC8003">
      <w:pPr>
        <w:spacing w:line="400" w:lineRule="exact"/>
        <w:ind w:firstLine="420" w:firstLineChars="200"/>
        <w:rPr>
          <w:color w:val="auto"/>
          <w:highlight w:val="none"/>
        </w:rPr>
      </w:pPr>
      <w:r>
        <w:rPr>
          <w:color w:val="auto"/>
          <w:highlight w:val="none"/>
        </w:rPr>
        <w:t>3.5.3 “近年完成的类似设计施工总承包项目情况表”应附中标通知书和（或）合同协议书、工程接收证书（工程竣工验收证书）等材料；或“近年完成的类似工程设计项目情况表”应附中标通知书和（或）合同协议书、发包人出具的证明文件等材料；“近年完成的类似施工项目情况表”应附中标通知书和（或）合同协议书、工程接收证书（工程竣工验收证书）等材料。具体年份要求见投标人须知前附表，每张表格只填写一个项目，并标明序号。</w:t>
      </w:r>
    </w:p>
    <w:p w14:paraId="056CDA48">
      <w:pPr>
        <w:spacing w:line="400" w:lineRule="exact"/>
        <w:ind w:firstLine="420" w:firstLineChars="200"/>
        <w:rPr>
          <w:color w:val="auto"/>
          <w:highlight w:val="none"/>
        </w:rPr>
      </w:pPr>
      <w:r>
        <w:rPr>
          <w:color w:val="auto"/>
          <w:highlight w:val="none"/>
        </w:rPr>
        <w:t>3.5.4 “正在实施和新承接的项目情况表”应附中标通知书和（或）合同协议书等材料。每张表格只填写一个项目，并标明序号。</w:t>
      </w:r>
    </w:p>
    <w:p w14:paraId="25BF9116">
      <w:pPr>
        <w:spacing w:line="400" w:lineRule="exact"/>
        <w:ind w:firstLine="420" w:firstLineChars="200"/>
        <w:rPr>
          <w:color w:val="auto"/>
          <w:highlight w:val="none"/>
        </w:rPr>
      </w:pPr>
      <w:r>
        <w:rPr>
          <w:color w:val="auto"/>
          <w:highlight w:val="none"/>
        </w:rPr>
        <w:t>3.5.5 “近年发生的重大诉讼及仲裁情况”应说明相关情况，并附法院或仲裁机构作出的判决、裁决等有关法律文书的材料，具体年份要求见投标人须知前附表。</w:t>
      </w:r>
    </w:p>
    <w:p w14:paraId="2EF1277B">
      <w:pPr>
        <w:spacing w:line="400" w:lineRule="exact"/>
        <w:ind w:firstLine="420" w:firstLineChars="200"/>
        <w:rPr>
          <w:color w:val="auto"/>
          <w:highlight w:val="none"/>
        </w:rPr>
      </w:pPr>
      <w:r>
        <w:rPr>
          <w:color w:val="auto"/>
          <w:highlight w:val="none"/>
        </w:rPr>
        <w:t>3.5.6 投标人须知前附表规定接受联合体投标的，本章第3.5.1项至第3.5.5项规定的表格和资料应包括联合体各方相关情况。</w:t>
      </w:r>
    </w:p>
    <w:p w14:paraId="3DC0A8D0">
      <w:pPr>
        <w:spacing w:line="360" w:lineRule="exact"/>
        <w:ind w:firstLine="420" w:firstLineChars="200"/>
        <w:rPr>
          <w:color w:val="auto"/>
          <w:highlight w:val="none"/>
        </w:rPr>
      </w:pPr>
      <w:r>
        <w:rPr>
          <w:color w:val="auto"/>
          <w:highlight w:val="none"/>
        </w:rPr>
        <w:t>3.5.7投标人应按招标文件第七章“投标文件格式”中规定的表格内容填写资格审查表，并按各资格审查表的具体要求提供相关证件及证明材料。</w:t>
      </w:r>
    </w:p>
    <w:p w14:paraId="7AA1AAF3">
      <w:pPr>
        <w:spacing w:line="360" w:lineRule="exact"/>
        <w:ind w:firstLine="420" w:firstLineChars="200"/>
        <w:rPr>
          <w:color w:val="auto"/>
          <w:highlight w:val="none"/>
        </w:rPr>
      </w:pPr>
      <w:bookmarkStart w:id="284" w:name="_Hlk161651311"/>
      <w:r>
        <w:rPr>
          <w:color w:val="auto"/>
          <w:highlight w:val="none"/>
        </w:rPr>
        <w:t>3.5.8本招标文件中“类似项目”的定义见投标人须知前附表第10.1.1条目规定。</w:t>
      </w:r>
      <w:bookmarkEnd w:id="284"/>
    </w:p>
    <w:p w14:paraId="74ED084C">
      <w:pPr>
        <w:spacing w:line="360" w:lineRule="exact"/>
        <w:ind w:firstLine="420" w:firstLineChars="200"/>
        <w:rPr>
          <w:color w:val="auto"/>
          <w:highlight w:val="none"/>
        </w:rPr>
      </w:pPr>
      <w:bookmarkStart w:id="285" w:name="_Toc247513977"/>
      <w:bookmarkStart w:id="286" w:name="_Toc144974521"/>
      <w:bookmarkStart w:id="287" w:name="_Toc152042329"/>
      <w:bookmarkStart w:id="288" w:name="_Toc247527578"/>
      <w:bookmarkStart w:id="289" w:name="_Toc152045553"/>
      <w:bookmarkStart w:id="290" w:name="_Toc145081436"/>
      <w:r>
        <w:rPr>
          <w:color w:val="auto"/>
          <w:highlight w:val="none"/>
        </w:rPr>
        <w:t>3.5.9项目经理的已完成的类似项目的业绩，具体年份要求见投标人须知前附表。</w:t>
      </w:r>
    </w:p>
    <w:p w14:paraId="27247586">
      <w:pPr>
        <w:pStyle w:val="37"/>
        <w:spacing w:line="360" w:lineRule="exact"/>
        <w:ind w:firstLine="118"/>
        <w:rPr>
          <w:rFonts w:cs="Times New Roman"/>
          <w:color w:val="auto"/>
          <w:highlight w:val="none"/>
        </w:rPr>
      </w:pPr>
      <w:bookmarkStart w:id="291" w:name="_Toc256000031"/>
      <w:bookmarkStart w:id="292" w:name="_Toc20225"/>
      <w:bookmarkStart w:id="293" w:name="_Toc167542403"/>
      <w:r>
        <w:rPr>
          <w:rFonts w:cs="Times New Roman"/>
          <w:color w:val="auto"/>
          <w:highlight w:val="none"/>
        </w:rPr>
        <w:t>3.6 备选投标方案</w:t>
      </w:r>
      <w:bookmarkEnd w:id="285"/>
      <w:bookmarkEnd w:id="286"/>
      <w:bookmarkEnd w:id="287"/>
      <w:bookmarkEnd w:id="288"/>
      <w:bookmarkEnd w:id="289"/>
      <w:bookmarkEnd w:id="290"/>
      <w:bookmarkEnd w:id="291"/>
      <w:bookmarkEnd w:id="292"/>
      <w:bookmarkEnd w:id="293"/>
    </w:p>
    <w:p w14:paraId="6894B5A4">
      <w:pPr>
        <w:spacing w:line="400" w:lineRule="exact"/>
        <w:ind w:firstLine="420" w:firstLineChars="200"/>
        <w:rPr>
          <w:color w:val="auto"/>
          <w:highlight w:val="none"/>
        </w:rPr>
      </w:pPr>
      <w:r>
        <w:rPr>
          <w:color w:val="auto"/>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14:paraId="44BB2572">
      <w:pPr>
        <w:pStyle w:val="37"/>
        <w:spacing w:line="360" w:lineRule="exact"/>
        <w:ind w:firstLine="118"/>
        <w:rPr>
          <w:rFonts w:cs="Times New Roman"/>
          <w:color w:val="auto"/>
          <w:highlight w:val="none"/>
        </w:rPr>
      </w:pPr>
      <w:bookmarkStart w:id="294" w:name="_Toc167542404"/>
      <w:bookmarkStart w:id="295" w:name="_Toc247527579"/>
      <w:bookmarkStart w:id="296" w:name="_Toc152045554"/>
      <w:bookmarkStart w:id="297" w:name="_Toc247513978"/>
      <w:bookmarkStart w:id="298" w:name="_Toc256000032"/>
      <w:bookmarkStart w:id="299" w:name="_Toc144974522"/>
      <w:bookmarkStart w:id="300" w:name="_Toc7905"/>
      <w:bookmarkStart w:id="301" w:name="_Toc152042330"/>
      <w:bookmarkStart w:id="302" w:name="_Toc145081437"/>
      <w:r>
        <w:rPr>
          <w:rFonts w:cs="Times New Roman"/>
          <w:color w:val="auto"/>
          <w:highlight w:val="none"/>
        </w:rPr>
        <w:t>3.7 投标文件的编制</w:t>
      </w:r>
      <w:bookmarkEnd w:id="294"/>
      <w:bookmarkEnd w:id="295"/>
      <w:bookmarkEnd w:id="296"/>
      <w:bookmarkEnd w:id="297"/>
      <w:bookmarkEnd w:id="298"/>
      <w:bookmarkEnd w:id="299"/>
      <w:bookmarkEnd w:id="300"/>
      <w:bookmarkEnd w:id="301"/>
      <w:bookmarkEnd w:id="302"/>
    </w:p>
    <w:p w14:paraId="4E1D0D60">
      <w:pPr>
        <w:spacing w:line="400" w:lineRule="exact"/>
        <w:ind w:firstLine="420" w:firstLineChars="200"/>
        <w:rPr>
          <w:color w:val="auto"/>
          <w:highlight w:val="none"/>
        </w:rPr>
      </w:pPr>
      <w:r>
        <w:rPr>
          <w:color w:val="auto"/>
          <w:highlight w:val="none"/>
        </w:rPr>
        <w:t>3.7.1 投标文件应按第七章“投标文件格式”进行编写，如有必要，可以增加附页，作为投标文件的组成部分。其中，投标函附录在满足招标文件实质性要求的基础上，可以提出比招标文件要求更有利于招标人的承诺。</w:t>
      </w:r>
    </w:p>
    <w:p w14:paraId="0D5B900C">
      <w:pPr>
        <w:spacing w:line="400" w:lineRule="exact"/>
        <w:ind w:firstLine="420" w:firstLineChars="200"/>
        <w:rPr>
          <w:color w:val="auto"/>
          <w:szCs w:val="21"/>
          <w:highlight w:val="none"/>
        </w:rPr>
      </w:pPr>
      <w:r>
        <w:rPr>
          <w:color w:val="auto"/>
          <w:highlight w:val="none"/>
        </w:rPr>
        <w:t>3.7.2 投标文件应当对招标文件有关</w:t>
      </w:r>
      <w:r>
        <w:rPr>
          <w:color w:val="auto"/>
          <w:szCs w:val="21"/>
          <w:highlight w:val="none"/>
        </w:rPr>
        <w:t>招标范围、投标有效期、工期、质量标准、发包人要求等实质性内容作出响应。</w:t>
      </w:r>
    </w:p>
    <w:p w14:paraId="7C8F8F75">
      <w:pPr>
        <w:spacing w:line="360" w:lineRule="exact"/>
        <w:ind w:firstLine="420" w:firstLineChars="200"/>
        <w:rPr>
          <w:color w:val="auto"/>
          <w:highlight w:val="none"/>
        </w:rPr>
      </w:pPr>
      <w:r>
        <w:rPr>
          <w:color w:val="auto"/>
          <w:highlight w:val="none"/>
        </w:rPr>
        <w:t>3.7.3 投标文件制作</w:t>
      </w:r>
    </w:p>
    <w:p w14:paraId="22211D2A">
      <w:pPr>
        <w:spacing w:line="360" w:lineRule="exact"/>
        <w:ind w:firstLine="420" w:firstLineChars="200"/>
        <w:rPr>
          <w:color w:val="auto"/>
          <w:highlight w:val="none"/>
        </w:rPr>
      </w:pPr>
      <w:r>
        <w:rPr>
          <w:color w:val="auto"/>
          <w:highlight w:val="none"/>
        </w:rPr>
        <w:t>（1）投标文件由投标人使用符合标准的数字化投标文件制作软件制作生成。</w:t>
      </w:r>
    </w:p>
    <w:p w14:paraId="3FA22551">
      <w:pPr>
        <w:spacing w:line="360" w:lineRule="exact"/>
        <w:ind w:firstLine="420" w:firstLineChars="200"/>
        <w:rPr>
          <w:color w:val="auto"/>
          <w:highlight w:val="none"/>
        </w:rPr>
      </w:pPr>
      <w:r>
        <w:rPr>
          <w:color w:val="auto"/>
          <w:highlight w:val="none"/>
        </w:rPr>
        <w:t>（2）投标人在编制投标文件时应当建立分级目录，并按照提示录入</w:t>
      </w:r>
      <w:r>
        <w:rPr>
          <w:rFonts w:hint="eastAsia"/>
          <w:color w:val="auto"/>
          <w:highlight w:val="none"/>
        </w:rPr>
        <w:t>或填写</w:t>
      </w:r>
      <w:r>
        <w:rPr>
          <w:color w:val="auto"/>
          <w:highlight w:val="none"/>
        </w:rPr>
        <w:t>相关内容。</w:t>
      </w:r>
    </w:p>
    <w:p w14:paraId="60F6E8F9">
      <w:pPr>
        <w:spacing w:line="360" w:lineRule="exact"/>
        <w:ind w:firstLine="420" w:firstLineChars="200"/>
        <w:rPr>
          <w:color w:val="auto"/>
          <w:highlight w:val="none"/>
        </w:rPr>
      </w:pPr>
      <w:r>
        <w:rPr>
          <w:color w:val="auto"/>
          <w:highlight w:val="none"/>
        </w:rPr>
        <w:t>（3）</w:t>
      </w:r>
      <w:r>
        <w:rPr>
          <w:rFonts w:hint="eastAsia"/>
          <w:color w:val="auto"/>
          <w:highlight w:val="none"/>
        </w:rPr>
        <w:t>投标人应当从企业主体信息库（2024年新版本辽宁省工程建设项目主体云库）中选择用于评审的佐证或证明材料并获取相应的数据信息，在制作投标文件时生成应用于项目评审的数字证照或影印件。如发现获取信息内容有错误应当在企业主体信息库修改和完善，并重新获取并生成数字证照或影印件。</w:t>
      </w:r>
    </w:p>
    <w:p w14:paraId="3ED64001">
      <w:pPr>
        <w:spacing w:line="360" w:lineRule="exact"/>
        <w:ind w:firstLine="420" w:firstLineChars="200"/>
        <w:rPr>
          <w:color w:val="auto"/>
          <w:highlight w:val="none"/>
        </w:rPr>
      </w:pPr>
      <w:r>
        <w:rPr>
          <w:rFonts w:hint="eastAsia"/>
          <w:color w:val="auto"/>
          <w:highlight w:val="none"/>
        </w:rPr>
        <w:t>投标人投标文件中数字证照数据信息内容是专家评审凭证和依据，投标人应当自行校核和确认数字证照数据信息内容，确保其准确有效和响应招标文件要求。</w:t>
      </w:r>
    </w:p>
    <w:p w14:paraId="395ED563">
      <w:pPr>
        <w:spacing w:line="360" w:lineRule="exact"/>
        <w:ind w:firstLine="420" w:firstLineChars="200"/>
        <w:rPr>
          <w:color w:val="auto"/>
          <w:highlight w:val="none"/>
        </w:rPr>
      </w:pPr>
      <w:r>
        <w:rPr>
          <w:rFonts w:hint="eastAsia"/>
          <w:color w:val="auto"/>
          <w:highlight w:val="none"/>
        </w:rPr>
        <w:t>投标人应用于投标的数字证照可通过主体信息库调取、下载和追溯其数据原始材料，用于核查、归档、调查或异议投诉处理等事宜。如发现投标人投标文件中应用于评审的数据证照信息数据内容存在不实或弄虚作假的，即按照弄虚作假骗取中标行为予以认定并依法依规处理。</w:t>
      </w:r>
    </w:p>
    <w:p w14:paraId="0F30058C">
      <w:pPr>
        <w:spacing w:line="360" w:lineRule="exact"/>
        <w:ind w:firstLine="420" w:firstLineChars="200"/>
        <w:rPr>
          <w:color w:val="auto"/>
          <w:highlight w:val="none"/>
        </w:rPr>
      </w:pPr>
      <w:r>
        <w:rPr>
          <w:rFonts w:hint="eastAsia"/>
          <w:color w:val="auto"/>
          <w:highlight w:val="none"/>
        </w:rPr>
        <w:t>应用数字证照评审的节点和材料内容见投标人须知前附表。</w:t>
      </w:r>
    </w:p>
    <w:p w14:paraId="1A844794">
      <w:pPr>
        <w:spacing w:line="360" w:lineRule="exact"/>
        <w:ind w:firstLine="420" w:firstLineChars="200"/>
        <w:rPr>
          <w:color w:val="auto"/>
          <w:highlight w:val="none"/>
        </w:rPr>
      </w:pPr>
      <w:r>
        <w:rPr>
          <w:color w:val="auto"/>
          <w:highlight w:val="none"/>
        </w:rPr>
        <w:t>（4）第七章投标文件格式文件要求“盖单位章”的地方，投标人应使用数字证书（CA）加盖投标人的单位电子印章；要求“签章”的地方，投标人应使用数字证书（CA）加盖法定代表人（授权委托人）的个人电子印章或电子签名。联合体投标的，投标文件由联合体牵头人按上述规定在要求“盖单位章”的地方加盖联合体牵头人单位电子印章；在要求“签章”的地方加盖联合体牵头人法定代表人（授权委托人）的个人电子印章或电子签名。招标文件有特别说明的除外。</w:t>
      </w:r>
    </w:p>
    <w:p w14:paraId="0FF96D43">
      <w:pPr>
        <w:spacing w:line="360" w:lineRule="exact"/>
        <w:ind w:firstLine="420" w:firstLineChars="200"/>
        <w:rPr>
          <w:color w:val="auto"/>
          <w:highlight w:val="none"/>
        </w:rPr>
      </w:pPr>
      <w:r>
        <w:rPr>
          <w:color w:val="auto"/>
          <w:highlight w:val="none"/>
        </w:rPr>
        <w:t>（5）投标文件制作完成后，将生成一份加密的电子投标文件。投标人应当自行验证电子投标文件格式、内容和数据的准确性，原则上电子投标文件大小不得超过500M。电子投标文件由于格式、内容或数据存在错误造成无法解密或解析，视为撤回投标文件，责任由投标人自行承担。</w:t>
      </w:r>
    </w:p>
    <w:p w14:paraId="36A814BB">
      <w:pPr>
        <w:spacing w:line="360" w:lineRule="exact"/>
        <w:ind w:firstLine="420" w:firstLineChars="200"/>
        <w:rPr>
          <w:color w:val="auto"/>
          <w:highlight w:val="none"/>
        </w:rPr>
      </w:pPr>
      <w:r>
        <w:rPr>
          <w:color w:val="auto"/>
          <w:highlight w:val="none"/>
        </w:rPr>
        <w:t>（6）投标文件制作的具体方法详见“数字化投标文件制作软件”中的操作说明。</w:t>
      </w:r>
    </w:p>
    <w:p w14:paraId="0C8B3B9E">
      <w:pPr>
        <w:spacing w:line="360" w:lineRule="exact"/>
        <w:ind w:firstLine="420" w:firstLineChars="200"/>
        <w:rPr>
          <w:color w:val="auto"/>
          <w:highlight w:val="none"/>
        </w:rPr>
      </w:pPr>
      <w:r>
        <w:rPr>
          <w:color w:val="auto"/>
          <w:highlight w:val="none"/>
        </w:rPr>
        <w:t>3.7.4 投标人须知前附表规定“承包人实施方案”采用“</w:t>
      </w:r>
      <w:r>
        <w:rPr>
          <w:rFonts w:hint="eastAsia"/>
          <w:color w:val="auto"/>
          <w:highlight w:val="none"/>
        </w:rPr>
        <w:t>模块化</w:t>
      </w:r>
      <w:r>
        <w:rPr>
          <w:color w:val="auto"/>
          <w:highlight w:val="none"/>
        </w:rPr>
        <w:t>暗标”，“承包人实施方案”应按本章第3.7.3项制作投标文件并应满足下列要求：</w:t>
      </w:r>
    </w:p>
    <w:p w14:paraId="4A2E67F0">
      <w:pPr>
        <w:spacing w:line="360" w:lineRule="exact"/>
        <w:ind w:firstLine="420" w:firstLineChars="200"/>
        <w:rPr>
          <w:color w:val="auto"/>
          <w:highlight w:val="none"/>
        </w:rPr>
      </w:pPr>
      <w:r>
        <w:rPr>
          <w:color w:val="auto"/>
          <w:highlight w:val="none"/>
        </w:rPr>
        <w:t>（1）采用A4规格纸张，纸张方向为纵向，段落采用单倍行距，</w:t>
      </w:r>
      <w:bookmarkStart w:id="303" w:name="_Hlk152147349"/>
      <w:r>
        <w:rPr>
          <w:color w:val="auto"/>
          <w:highlight w:val="none"/>
        </w:rPr>
        <w:t>“文档网格”设置为“无网格”，</w:t>
      </w:r>
      <w:bookmarkEnd w:id="303"/>
      <w:r>
        <w:rPr>
          <w:color w:val="auto"/>
          <w:highlight w:val="none"/>
        </w:rPr>
        <w:t>对齐方式两端对齐，大纲级别正文文本，左侧、右侧缩进0个字符，首行缩进2个字符，段前、段后0行。编辑软件可采用Microsoft Word 2010及以上版本或WPS 2013版本及以上版本。</w:t>
      </w:r>
    </w:p>
    <w:p w14:paraId="5324CBA9">
      <w:pPr>
        <w:spacing w:line="360" w:lineRule="exact"/>
        <w:ind w:firstLine="420" w:firstLineChars="200"/>
        <w:rPr>
          <w:color w:val="auto"/>
          <w:highlight w:val="none"/>
        </w:rPr>
      </w:pPr>
      <w:r>
        <w:rPr>
          <w:color w:val="auto"/>
          <w:highlight w:val="none"/>
        </w:rPr>
        <w:t>（2）标题（包括章、节、条、款、项）、正文要求：采用A4规格纸张，文字为黑色小四号宋体，标题可加粗。</w:t>
      </w:r>
    </w:p>
    <w:p w14:paraId="7633D048">
      <w:pPr>
        <w:spacing w:line="360" w:lineRule="exact"/>
        <w:ind w:firstLine="420" w:firstLineChars="200"/>
        <w:rPr>
          <w:color w:val="auto"/>
          <w:highlight w:val="none"/>
        </w:rPr>
      </w:pPr>
      <w:r>
        <w:rPr>
          <w:color w:val="auto"/>
          <w:highlight w:val="none"/>
        </w:rPr>
        <w:t>（3）图表要求：图表应尽可能采用A4规格白色底色，对于比较大的图表可使用A3规格白色底色。</w:t>
      </w:r>
      <w:r>
        <w:rPr>
          <w:color w:val="auto"/>
          <w:szCs w:val="21"/>
          <w:highlight w:val="none"/>
        </w:rPr>
        <w:t>图表中的文字采用黑色，字体、字号不限（不包括纯表格，纯表格中文字要求同正文要求）。</w:t>
      </w:r>
      <w:r>
        <w:rPr>
          <w:color w:val="auto"/>
          <w:highlight w:val="none"/>
        </w:rPr>
        <w:t>图表（包括框图、流程图、结构图等，不包括纯表格）内容需转换为“图片”格式插入到文件对应位置上。</w:t>
      </w:r>
    </w:p>
    <w:p w14:paraId="475BDB6C">
      <w:pPr>
        <w:spacing w:line="360" w:lineRule="exact"/>
        <w:ind w:firstLine="420" w:firstLineChars="200"/>
        <w:rPr>
          <w:color w:val="auto"/>
          <w:highlight w:val="none"/>
        </w:rPr>
      </w:pPr>
      <w:r>
        <w:rPr>
          <w:color w:val="auto"/>
          <w:highlight w:val="none"/>
        </w:rPr>
        <w:t>（4）页眉和页脚（包括页码）设置要求：不允许出现页眉，且页脚只准出现页码，页码格式采用阿拉伯数字格式，字体为五号宋体，设在页脚居中位置，页码应当连续。</w:t>
      </w:r>
    </w:p>
    <w:p w14:paraId="3456FACE">
      <w:pPr>
        <w:spacing w:line="360" w:lineRule="exact"/>
        <w:ind w:firstLine="420" w:firstLineChars="200"/>
        <w:rPr>
          <w:color w:val="auto"/>
          <w:highlight w:val="none"/>
        </w:rPr>
      </w:pPr>
      <w:r>
        <w:rPr>
          <w:color w:val="auto"/>
          <w:highlight w:val="none"/>
        </w:rPr>
        <w:t>（5）不允许有目录，不允许涂改或删除痕迹，不允许字体涂色。</w:t>
      </w:r>
    </w:p>
    <w:p w14:paraId="4FC94A59">
      <w:pPr>
        <w:spacing w:line="400" w:lineRule="exact"/>
        <w:ind w:firstLine="420" w:firstLineChars="200"/>
        <w:rPr>
          <w:color w:val="auto"/>
          <w:highlight w:val="none"/>
        </w:rPr>
      </w:pPr>
      <w:r>
        <w:rPr>
          <w:color w:val="auto"/>
          <w:highlight w:val="none"/>
        </w:rPr>
        <w:t>（6）任何情况下， 承包人实施方案中不得出现投标人的名称和其</w:t>
      </w:r>
      <w:r>
        <w:rPr>
          <w:rFonts w:hint="eastAsia"/>
          <w:color w:val="auto"/>
          <w:highlight w:val="none"/>
          <w:lang w:val="en-US" w:eastAsia="zh-CN"/>
        </w:rPr>
        <w:t>他</w:t>
      </w:r>
      <w:r>
        <w:rPr>
          <w:color w:val="auto"/>
          <w:highlight w:val="none"/>
        </w:rPr>
        <w:t>可</w:t>
      </w:r>
      <w:r>
        <w:rPr>
          <w:rFonts w:hint="eastAsia"/>
          <w:color w:val="auto"/>
          <w:highlight w:val="none"/>
        </w:rPr>
        <w:t>以</w:t>
      </w:r>
      <w:r>
        <w:rPr>
          <w:color w:val="auto"/>
          <w:highlight w:val="none"/>
        </w:rPr>
        <w:t>识别投标人身份的字符、徽标、人员名称等以及雷同性标记内容。</w:t>
      </w:r>
    </w:p>
    <w:p w14:paraId="1345A090">
      <w:pPr>
        <w:pStyle w:val="35"/>
        <w:spacing w:line="360" w:lineRule="exact"/>
        <w:rPr>
          <w:rFonts w:cs="Times New Roman"/>
          <w:color w:val="auto"/>
          <w:highlight w:val="none"/>
        </w:rPr>
      </w:pPr>
      <w:bookmarkStart w:id="304" w:name="_Toc256000033"/>
      <w:bookmarkStart w:id="305" w:name="_Toc247513979"/>
      <w:bookmarkStart w:id="306" w:name="_Toc144974523"/>
      <w:bookmarkStart w:id="307" w:name="_Toc152042331"/>
      <w:bookmarkStart w:id="308" w:name="_Toc152045555"/>
      <w:bookmarkStart w:id="309" w:name="_Toc11838"/>
      <w:bookmarkStart w:id="310" w:name="_Toc167542405"/>
      <w:bookmarkStart w:id="311" w:name="_Toc247527580"/>
      <w:r>
        <w:rPr>
          <w:rFonts w:cs="Times New Roman"/>
          <w:color w:val="auto"/>
          <w:highlight w:val="none"/>
        </w:rPr>
        <w:t>4. 投标</w:t>
      </w:r>
      <w:bookmarkEnd w:id="304"/>
      <w:bookmarkEnd w:id="305"/>
      <w:bookmarkEnd w:id="306"/>
      <w:bookmarkEnd w:id="307"/>
      <w:bookmarkEnd w:id="308"/>
      <w:bookmarkEnd w:id="309"/>
      <w:bookmarkEnd w:id="310"/>
      <w:bookmarkEnd w:id="311"/>
    </w:p>
    <w:p w14:paraId="3C73C227">
      <w:pPr>
        <w:pStyle w:val="37"/>
        <w:spacing w:line="360" w:lineRule="exact"/>
        <w:ind w:firstLine="118"/>
        <w:rPr>
          <w:rFonts w:cs="Times New Roman"/>
          <w:color w:val="auto"/>
          <w:highlight w:val="none"/>
        </w:rPr>
      </w:pPr>
      <w:bookmarkStart w:id="312" w:name="_Toc144974524"/>
      <w:bookmarkStart w:id="313" w:name="_Toc152042332"/>
      <w:bookmarkStart w:id="314" w:name="_Toc247527581"/>
      <w:bookmarkStart w:id="315" w:name="_Toc152045556"/>
      <w:bookmarkStart w:id="316" w:name="_Toc247513980"/>
      <w:bookmarkStart w:id="317" w:name="_Toc167542406"/>
      <w:bookmarkStart w:id="318" w:name="_Toc256000034"/>
      <w:bookmarkStart w:id="319" w:name="_Toc12127"/>
      <w:bookmarkStart w:id="320" w:name="_Toc145081439"/>
      <w:r>
        <w:rPr>
          <w:rFonts w:cs="Times New Roman"/>
          <w:color w:val="auto"/>
          <w:highlight w:val="none"/>
        </w:rPr>
        <w:t>4.1 投标文件的</w:t>
      </w:r>
      <w:bookmarkEnd w:id="312"/>
      <w:bookmarkEnd w:id="313"/>
      <w:bookmarkEnd w:id="314"/>
      <w:bookmarkEnd w:id="315"/>
      <w:bookmarkEnd w:id="316"/>
      <w:r>
        <w:rPr>
          <w:rFonts w:cs="Times New Roman"/>
          <w:color w:val="auto"/>
          <w:highlight w:val="none"/>
        </w:rPr>
        <w:t>加密</w:t>
      </w:r>
      <w:bookmarkEnd w:id="317"/>
      <w:bookmarkEnd w:id="318"/>
      <w:bookmarkEnd w:id="319"/>
      <w:bookmarkEnd w:id="320"/>
    </w:p>
    <w:p w14:paraId="7A26CB06">
      <w:pPr>
        <w:spacing w:line="360" w:lineRule="exact"/>
        <w:ind w:firstLine="420" w:firstLineChars="200"/>
        <w:rPr>
          <w:color w:val="auto"/>
          <w:highlight w:val="none"/>
        </w:rPr>
      </w:pPr>
      <w:r>
        <w:rPr>
          <w:color w:val="auto"/>
          <w:highlight w:val="none"/>
        </w:rPr>
        <w:t>投标人应当按照本章第3.7.3项要求制作投标文件，并在投标时上传加密的投标文件，未加密的投标文件，招标人（</w:t>
      </w:r>
      <w:bookmarkStart w:id="321" w:name="_Hlk157864029"/>
      <w:r>
        <w:rPr>
          <w:color w:val="auto"/>
          <w:highlight w:val="none"/>
        </w:rPr>
        <w:t>电子招标投标系统</w:t>
      </w:r>
      <w:bookmarkEnd w:id="321"/>
      <w:r>
        <w:rPr>
          <w:color w:val="auto"/>
          <w:highlight w:val="none"/>
        </w:rPr>
        <w:t>）将拒收并提示。</w:t>
      </w:r>
    </w:p>
    <w:p w14:paraId="73729247">
      <w:pPr>
        <w:pStyle w:val="37"/>
        <w:spacing w:line="360" w:lineRule="exact"/>
        <w:ind w:firstLine="118"/>
        <w:rPr>
          <w:rFonts w:cs="Times New Roman"/>
          <w:color w:val="auto"/>
          <w:highlight w:val="none"/>
        </w:rPr>
      </w:pPr>
      <w:bookmarkStart w:id="322" w:name="_Toc247513981"/>
      <w:bookmarkStart w:id="323" w:name="_Toc247527582"/>
      <w:bookmarkStart w:id="324" w:name="_Toc256000035"/>
      <w:bookmarkStart w:id="325" w:name="_Toc152045557"/>
      <w:bookmarkStart w:id="326" w:name="_Toc144974525"/>
      <w:bookmarkStart w:id="327" w:name="_Toc167542407"/>
      <w:bookmarkStart w:id="328" w:name="_Toc152042333"/>
      <w:bookmarkStart w:id="329" w:name="_Toc22978"/>
      <w:bookmarkStart w:id="330" w:name="_Toc145081440"/>
      <w:r>
        <w:rPr>
          <w:rFonts w:cs="Times New Roman"/>
          <w:color w:val="auto"/>
          <w:highlight w:val="none"/>
        </w:rPr>
        <w:t>4.2 投标文件的递交</w:t>
      </w:r>
      <w:bookmarkEnd w:id="322"/>
      <w:bookmarkEnd w:id="323"/>
      <w:bookmarkEnd w:id="324"/>
      <w:bookmarkEnd w:id="325"/>
      <w:bookmarkEnd w:id="326"/>
      <w:bookmarkEnd w:id="327"/>
      <w:bookmarkEnd w:id="328"/>
      <w:bookmarkEnd w:id="329"/>
      <w:bookmarkEnd w:id="330"/>
    </w:p>
    <w:p w14:paraId="07957316">
      <w:pPr>
        <w:spacing w:line="400" w:lineRule="exact"/>
        <w:ind w:firstLine="420" w:firstLineChars="200"/>
        <w:rPr>
          <w:color w:val="auto"/>
          <w:highlight w:val="none"/>
        </w:rPr>
      </w:pPr>
      <w:r>
        <w:rPr>
          <w:color w:val="auto"/>
          <w:highlight w:val="none"/>
        </w:rPr>
        <w:t>4.2.1 投标人应在投标人须知前附表规定的投标截止时间前递交投标文件。</w:t>
      </w:r>
    </w:p>
    <w:p w14:paraId="0DBE1C46">
      <w:pPr>
        <w:spacing w:line="360" w:lineRule="exact"/>
        <w:ind w:firstLine="420" w:firstLineChars="200"/>
        <w:rPr>
          <w:color w:val="auto"/>
          <w:highlight w:val="none"/>
        </w:rPr>
      </w:pPr>
      <w:r>
        <w:rPr>
          <w:color w:val="auto"/>
          <w:highlight w:val="none"/>
        </w:rPr>
        <w:t>4.2.2</w:t>
      </w:r>
      <w:bookmarkStart w:id="331" w:name="_Hlk162093171"/>
      <w:r>
        <w:rPr>
          <w:color w:val="auto"/>
          <w:highlight w:val="none"/>
        </w:rPr>
        <w:t>投标人应当在投标截止时间前，通过</w:t>
      </w:r>
      <w:bookmarkStart w:id="332" w:name="_Hlk164706113"/>
      <w:r>
        <w:rPr>
          <w:color w:val="auto"/>
          <w:highlight w:val="none"/>
        </w:rPr>
        <w:t>电子交易系统（投标盲盒工具）</w:t>
      </w:r>
      <w:bookmarkEnd w:id="332"/>
      <w:r>
        <w:rPr>
          <w:color w:val="auto"/>
          <w:highlight w:val="none"/>
        </w:rPr>
        <w:t>选择所投标段将加密的投标文件上传至</w:t>
      </w:r>
      <w:r>
        <w:rPr>
          <w:rFonts w:hint="eastAsia"/>
          <w:color w:val="auto"/>
          <w:highlight w:val="none"/>
        </w:rPr>
        <w:t>电子招标投标系统（</w:t>
      </w:r>
      <w:r>
        <w:rPr>
          <w:bCs/>
          <w:color w:val="auto"/>
          <w:highlight w:val="none"/>
        </w:rPr>
        <w:t>辽宁省工程建设项目数字化开标评标系统</w:t>
      </w:r>
      <w:r>
        <w:rPr>
          <w:rFonts w:hint="eastAsia"/>
          <w:color w:val="auto"/>
          <w:highlight w:val="none"/>
        </w:rPr>
        <w:t>）</w:t>
      </w:r>
      <w:r>
        <w:rPr>
          <w:color w:val="auto"/>
          <w:highlight w:val="none"/>
        </w:rPr>
        <w:t>。投标人应充分考虑上传文件时的不可预见因素，投标文件未在投标截止时间前完成上传的，视为逾期送达，招标人</w:t>
      </w:r>
      <w:r>
        <w:rPr>
          <w:rFonts w:hint="eastAsia"/>
          <w:color w:val="auto"/>
          <w:highlight w:val="none"/>
        </w:rPr>
        <w:t>（</w:t>
      </w:r>
      <w:r>
        <w:rPr>
          <w:color w:val="auto"/>
          <w:highlight w:val="none"/>
        </w:rPr>
        <w:t>电子</w:t>
      </w:r>
      <w:r>
        <w:rPr>
          <w:rFonts w:hint="eastAsia"/>
          <w:color w:val="auto"/>
          <w:highlight w:val="none"/>
        </w:rPr>
        <w:t>交易系统）</w:t>
      </w:r>
      <w:r>
        <w:rPr>
          <w:color w:val="auto"/>
          <w:highlight w:val="none"/>
        </w:rPr>
        <w:t>将拒收其投标文件。</w:t>
      </w:r>
    </w:p>
    <w:p w14:paraId="5E53FD0F">
      <w:pPr>
        <w:spacing w:line="360" w:lineRule="exact"/>
        <w:ind w:firstLine="420" w:firstLineChars="200"/>
        <w:rPr>
          <w:color w:val="auto"/>
          <w:highlight w:val="none"/>
        </w:rPr>
      </w:pPr>
      <w:r>
        <w:rPr>
          <w:color w:val="auto"/>
          <w:highlight w:val="none"/>
        </w:rPr>
        <w:t>投标人完成投标文件上传成功后，电子交易系统向投标人发出电子签收凭证，递交时间以电子签收凭证载明的时间为准。</w:t>
      </w:r>
      <w:bookmarkEnd w:id="331"/>
    </w:p>
    <w:p w14:paraId="542DA7D9">
      <w:pPr>
        <w:spacing w:line="400" w:lineRule="exact"/>
        <w:ind w:firstLine="420" w:firstLineChars="200"/>
        <w:rPr>
          <w:color w:val="auto"/>
          <w:highlight w:val="none"/>
        </w:rPr>
      </w:pPr>
      <w:r>
        <w:rPr>
          <w:color w:val="auto"/>
          <w:highlight w:val="none"/>
        </w:rPr>
        <w:t>4.2.3 除投标人须知前附表另有规定外，投标人所递交的投标文件不予退还。</w:t>
      </w:r>
    </w:p>
    <w:p w14:paraId="3E8BC3DC">
      <w:pPr>
        <w:pStyle w:val="37"/>
        <w:spacing w:line="360" w:lineRule="exact"/>
        <w:ind w:firstLine="118"/>
        <w:rPr>
          <w:rFonts w:cs="Times New Roman"/>
          <w:color w:val="auto"/>
          <w:highlight w:val="none"/>
        </w:rPr>
      </w:pPr>
      <w:bookmarkStart w:id="333" w:name="_Toc167542408"/>
      <w:bookmarkStart w:id="334" w:name="_Toc144974526"/>
      <w:bookmarkStart w:id="335" w:name="_Toc247527583"/>
      <w:bookmarkStart w:id="336" w:name="_Toc152042334"/>
      <w:bookmarkStart w:id="337" w:name="_Toc247513982"/>
      <w:bookmarkStart w:id="338" w:name="_Toc24306"/>
      <w:bookmarkStart w:id="339" w:name="_Toc145081441"/>
      <w:bookmarkStart w:id="340" w:name="_Toc256000036"/>
      <w:bookmarkStart w:id="341" w:name="_Toc152045558"/>
      <w:r>
        <w:rPr>
          <w:rFonts w:cs="Times New Roman"/>
          <w:color w:val="auto"/>
          <w:highlight w:val="none"/>
        </w:rPr>
        <w:t>4.3 投标文件的修改与撤回</w:t>
      </w:r>
      <w:bookmarkEnd w:id="333"/>
      <w:bookmarkEnd w:id="334"/>
      <w:bookmarkEnd w:id="335"/>
      <w:bookmarkEnd w:id="336"/>
      <w:bookmarkEnd w:id="337"/>
      <w:bookmarkEnd w:id="338"/>
      <w:bookmarkEnd w:id="339"/>
      <w:bookmarkEnd w:id="340"/>
      <w:bookmarkEnd w:id="341"/>
    </w:p>
    <w:p w14:paraId="17E9C24E">
      <w:pPr>
        <w:spacing w:line="400" w:lineRule="exact"/>
        <w:ind w:firstLine="420" w:firstLineChars="200"/>
        <w:rPr>
          <w:color w:val="auto"/>
          <w:highlight w:val="none"/>
        </w:rPr>
      </w:pPr>
      <w:r>
        <w:rPr>
          <w:color w:val="auto"/>
          <w:highlight w:val="none"/>
        </w:rPr>
        <w:t>4.3.1 在本章第4.2.1项规定的投标截止时间前，投标人可以修改或撤回已递交的投标文件。</w:t>
      </w:r>
    </w:p>
    <w:p w14:paraId="2055D9B5">
      <w:pPr>
        <w:spacing w:line="400" w:lineRule="exact"/>
        <w:ind w:firstLine="420" w:firstLineChars="200"/>
        <w:rPr>
          <w:color w:val="auto"/>
          <w:highlight w:val="none"/>
        </w:rPr>
      </w:pPr>
      <w:r>
        <w:rPr>
          <w:color w:val="auto"/>
          <w:highlight w:val="none"/>
        </w:rPr>
        <w:t>4.3.2 投标人撤回投标文件的，在电子交易系统（投标盲盒工具）直接进行撤回操作。</w:t>
      </w:r>
    </w:p>
    <w:p w14:paraId="615D33FD">
      <w:pPr>
        <w:spacing w:line="400" w:lineRule="exact"/>
        <w:ind w:firstLine="420" w:firstLineChars="200"/>
        <w:rPr>
          <w:color w:val="auto"/>
          <w:highlight w:val="none"/>
        </w:rPr>
      </w:pPr>
      <w:r>
        <w:rPr>
          <w:color w:val="auto"/>
          <w:highlight w:val="none"/>
        </w:rPr>
        <w:t>4.3.3 投标人修改投标文件的，应当先按本章第4.3.2项的规定撤回投标文件，再使用投标文件制作软件制作成完整的投标文件，并按照本章第3条、第4条规定进行编制和递交</w:t>
      </w:r>
      <w:bookmarkStart w:id="342" w:name="_Hlk161477706"/>
      <w:bookmarkStart w:id="343" w:name="_Hlk161651407"/>
      <w:r>
        <w:rPr>
          <w:color w:val="auto"/>
          <w:highlight w:val="none"/>
        </w:rPr>
        <w:t>，递交时间以投标截止时间前最后完成上传的文件为准</w:t>
      </w:r>
      <w:bookmarkEnd w:id="342"/>
      <w:r>
        <w:rPr>
          <w:color w:val="auto"/>
          <w:highlight w:val="none"/>
        </w:rPr>
        <w:t>。</w:t>
      </w:r>
      <w:bookmarkEnd w:id="343"/>
    </w:p>
    <w:p w14:paraId="19B3C867">
      <w:pPr>
        <w:pStyle w:val="35"/>
        <w:spacing w:line="360" w:lineRule="exact"/>
        <w:rPr>
          <w:rFonts w:cs="Times New Roman"/>
          <w:color w:val="auto"/>
          <w:highlight w:val="none"/>
        </w:rPr>
      </w:pPr>
      <w:bookmarkStart w:id="344" w:name="_Toc256000037"/>
      <w:bookmarkStart w:id="345" w:name="_Toc152042335"/>
      <w:bookmarkStart w:id="346" w:name="_Toc247513983"/>
      <w:bookmarkStart w:id="347" w:name="_Toc167542409"/>
      <w:bookmarkStart w:id="348" w:name="_Toc152045559"/>
      <w:bookmarkStart w:id="349" w:name="_Toc144974527"/>
      <w:bookmarkStart w:id="350" w:name="_Toc247527584"/>
      <w:bookmarkStart w:id="351" w:name="_Toc22855"/>
      <w:r>
        <w:rPr>
          <w:rFonts w:cs="Times New Roman"/>
          <w:color w:val="auto"/>
          <w:highlight w:val="none"/>
        </w:rPr>
        <w:t>5. 开标</w:t>
      </w:r>
      <w:bookmarkEnd w:id="344"/>
      <w:bookmarkEnd w:id="345"/>
      <w:bookmarkEnd w:id="346"/>
      <w:bookmarkEnd w:id="347"/>
      <w:bookmarkEnd w:id="348"/>
      <w:bookmarkEnd w:id="349"/>
      <w:bookmarkEnd w:id="350"/>
      <w:bookmarkEnd w:id="351"/>
    </w:p>
    <w:p w14:paraId="2694379E">
      <w:pPr>
        <w:pStyle w:val="37"/>
        <w:spacing w:line="360" w:lineRule="exact"/>
        <w:ind w:firstLine="118"/>
        <w:rPr>
          <w:rFonts w:cs="Times New Roman"/>
          <w:color w:val="auto"/>
          <w:highlight w:val="none"/>
        </w:rPr>
      </w:pPr>
      <w:bookmarkStart w:id="352" w:name="_Toc256000038"/>
      <w:bookmarkStart w:id="353" w:name="_Toc145081443"/>
      <w:bookmarkStart w:id="354" w:name="_Toc152045560"/>
      <w:bookmarkStart w:id="355" w:name="_Toc152042336"/>
      <w:bookmarkStart w:id="356" w:name="_Toc144974528"/>
      <w:bookmarkStart w:id="357" w:name="_Toc247513984"/>
      <w:bookmarkStart w:id="358" w:name="_Toc247527585"/>
      <w:bookmarkStart w:id="359" w:name="_Toc167542410"/>
      <w:bookmarkStart w:id="360" w:name="_Toc18379"/>
      <w:r>
        <w:rPr>
          <w:rFonts w:cs="Times New Roman"/>
          <w:color w:val="auto"/>
          <w:highlight w:val="none"/>
        </w:rPr>
        <w:t>5.1 开标时间和地点</w:t>
      </w:r>
      <w:bookmarkEnd w:id="352"/>
      <w:bookmarkEnd w:id="353"/>
      <w:bookmarkEnd w:id="354"/>
      <w:bookmarkEnd w:id="355"/>
      <w:bookmarkEnd w:id="356"/>
      <w:bookmarkEnd w:id="357"/>
      <w:bookmarkEnd w:id="358"/>
      <w:bookmarkEnd w:id="359"/>
      <w:bookmarkEnd w:id="360"/>
    </w:p>
    <w:p w14:paraId="300D6251">
      <w:pPr>
        <w:spacing w:line="400" w:lineRule="exact"/>
        <w:ind w:firstLine="420" w:firstLineChars="200"/>
        <w:rPr>
          <w:color w:val="auto"/>
          <w:highlight w:val="none"/>
        </w:rPr>
      </w:pPr>
      <w:r>
        <w:rPr>
          <w:color w:val="auto"/>
          <w:highlight w:val="none"/>
        </w:rPr>
        <w:t>5.1.1招标人在本章第4.2.1项规定的投标截止时间（开标时间）在</w:t>
      </w:r>
      <w:r>
        <w:rPr>
          <w:rFonts w:hint="eastAsia"/>
          <w:color w:val="auto"/>
          <w:highlight w:val="none"/>
        </w:rPr>
        <w:t>电子招标投标系统（</w:t>
      </w:r>
      <w:r>
        <w:rPr>
          <w:color w:val="auto"/>
          <w:highlight w:val="none"/>
        </w:rPr>
        <w:t>辽宁省工程建设项目数字化开标评标系统</w:t>
      </w:r>
      <w:r>
        <w:rPr>
          <w:rFonts w:hint="eastAsia"/>
          <w:color w:val="auto"/>
          <w:highlight w:val="none"/>
        </w:rPr>
        <w:t>）</w:t>
      </w:r>
      <w:r>
        <w:rPr>
          <w:color w:val="auto"/>
          <w:highlight w:val="none"/>
        </w:rPr>
        <w:t>上公开进行开标，所有投标人均应当参加开标。招标人按照投标人须知前附表规定的方式组织开标。</w:t>
      </w:r>
    </w:p>
    <w:p w14:paraId="3FD03821">
      <w:pPr>
        <w:spacing w:line="360" w:lineRule="exact"/>
        <w:ind w:firstLine="420" w:firstLineChars="200"/>
        <w:rPr>
          <w:color w:val="auto"/>
          <w:highlight w:val="none"/>
        </w:rPr>
      </w:pPr>
      <w:r>
        <w:rPr>
          <w:color w:val="auto"/>
          <w:highlight w:val="none"/>
        </w:rPr>
        <w:t>5.1.2招标人在投标人须知前附表规定的地点组织开标，并在投标截止时间30分钟前，登录并进入</w:t>
      </w:r>
      <w:r>
        <w:rPr>
          <w:rFonts w:hint="eastAsia"/>
          <w:color w:val="auto"/>
          <w:highlight w:val="none"/>
        </w:rPr>
        <w:t>电子招标投标系统（</w:t>
      </w:r>
      <w:r>
        <w:rPr>
          <w:color w:val="auto"/>
          <w:highlight w:val="none"/>
        </w:rPr>
        <w:t>辽宁省工程建设项目数字化开标评标系统</w:t>
      </w:r>
      <w:r>
        <w:rPr>
          <w:rFonts w:hint="eastAsia"/>
          <w:color w:val="auto"/>
          <w:highlight w:val="none"/>
        </w:rPr>
        <w:t>）</w:t>
      </w:r>
      <w:r>
        <w:rPr>
          <w:color w:val="auto"/>
          <w:highlight w:val="none"/>
        </w:rPr>
        <w:t>选择相应标段作开标的准备工作。</w:t>
      </w:r>
    </w:p>
    <w:p w14:paraId="05A58DAF">
      <w:pPr>
        <w:spacing w:line="400" w:lineRule="exact"/>
        <w:ind w:firstLine="420" w:firstLineChars="200"/>
        <w:rPr>
          <w:color w:val="auto"/>
          <w:highlight w:val="none"/>
        </w:rPr>
      </w:pPr>
      <w:r>
        <w:rPr>
          <w:color w:val="auto"/>
          <w:highlight w:val="none"/>
        </w:rPr>
        <w:t>5.1.3 投标人应当在能够保证设施设备可靠、互联网畅通的任意地点，按照本章第5.1.1项规定的组织方式，通过互联网远程在线或现场集中参加开标，使用加密其投标文件的数字证书（CA）登录</w:t>
      </w:r>
      <w:r>
        <w:rPr>
          <w:rFonts w:hint="eastAsia"/>
          <w:color w:val="auto"/>
          <w:highlight w:val="none"/>
        </w:rPr>
        <w:t>电子招标投标系统（</w:t>
      </w:r>
      <w:r>
        <w:rPr>
          <w:color w:val="auto"/>
          <w:highlight w:val="none"/>
        </w:rPr>
        <w:t>辽宁省工程建设项目数字化开标评标系统</w:t>
      </w:r>
      <w:r>
        <w:rPr>
          <w:rFonts w:hint="eastAsia"/>
          <w:color w:val="auto"/>
          <w:highlight w:val="none"/>
        </w:rPr>
        <w:t>）</w:t>
      </w:r>
      <w:r>
        <w:rPr>
          <w:color w:val="auto"/>
          <w:highlight w:val="none"/>
        </w:rPr>
        <w:t>选择所投标段进行签到，并实时关注招标人的操作情况。</w:t>
      </w:r>
    </w:p>
    <w:p w14:paraId="46316732">
      <w:pPr>
        <w:pStyle w:val="37"/>
        <w:spacing w:line="360" w:lineRule="exact"/>
        <w:ind w:firstLine="118"/>
        <w:rPr>
          <w:rFonts w:cs="Times New Roman"/>
          <w:color w:val="auto"/>
          <w:highlight w:val="none"/>
        </w:rPr>
      </w:pPr>
      <w:bookmarkStart w:id="361" w:name="_Toc247513985"/>
      <w:bookmarkStart w:id="362" w:name="_Toc256000039"/>
      <w:bookmarkStart w:id="363" w:name="_Toc144974529"/>
      <w:bookmarkStart w:id="364" w:name="_Toc145081444"/>
      <w:bookmarkStart w:id="365" w:name="_Toc12844"/>
      <w:bookmarkStart w:id="366" w:name="_Toc247527586"/>
      <w:bookmarkStart w:id="367" w:name="_Toc167542411"/>
      <w:bookmarkStart w:id="368" w:name="_Toc152042337"/>
      <w:bookmarkStart w:id="369" w:name="_Toc152045561"/>
      <w:r>
        <w:rPr>
          <w:rFonts w:cs="Times New Roman"/>
          <w:color w:val="auto"/>
          <w:highlight w:val="none"/>
        </w:rPr>
        <w:t>5.2 开标程序</w:t>
      </w:r>
      <w:bookmarkEnd w:id="361"/>
      <w:bookmarkEnd w:id="362"/>
      <w:bookmarkEnd w:id="363"/>
      <w:bookmarkEnd w:id="364"/>
      <w:bookmarkEnd w:id="365"/>
      <w:bookmarkEnd w:id="366"/>
      <w:bookmarkEnd w:id="367"/>
      <w:bookmarkEnd w:id="368"/>
      <w:bookmarkEnd w:id="369"/>
    </w:p>
    <w:p w14:paraId="6195B23D">
      <w:pPr>
        <w:spacing w:line="400" w:lineRule="exact"/>
        <w:ind w:firstLine="420" w:firstLineChars="200"/>
        <w:rPr>
          <w:color w:val="auto"/>
          <w:highlight w:val="none"/>
        </w:rPr>
      </w:pPr>
      <w:r>
        <w:rPr>
          <w:color w:val="auto"/>
          <w:highlight w:val="none"/>
        </w:rPr>
        <w:t>5.2.1主持人按下列程序在</w:t>
      </w:r>
      <w:r>
        <w:rPr>
          <w:rFonts w:hint="eastAsia"/>
          <w:color w:val="auto"/>
          <w:highlight w:val="none"/>
        </w:rPr>
        <w:t>电子招标投标系统（</w:t>
      </w:r>
      <w:r>
        <w:rPr>
          <w:color w:val="auto"/>
          <w:highlight w:val="none"/>
        </w:rPr>
        <w:t>辽宁省工程建设项目数字化开标评标系统</w:t>
      </w:r>
      <w:r>
        <w:rPr>
          <w:rFonts w:hint="eastAsia"/>
          <w:color w:val="auto"/>
          <w:highlight w:val="none"/>
        </w:rPr>
        <w:t>）</w:t>
      </w:r>
      <w:r>
        <w:rPr>
          <w:color w:val="auto"/>
          <w:highlight w:val="none"/>
        </w:rPr>
        <w:t>进行开标：</w:t>
      </w:r>
    </w:p>
    <w:p w14:paraId="06C51AE4">
      <w:pPr>
        <w:spacing w:line="400" w:lineRule="exact"/>
        <w:ind w:firstLine="359" w:firstLineChars="171"/>
        <w:rPr>
          <w:color w:val="auto"/>
          <w:highlight w:val="none"/>
        </w:rPr>
      </w:pPr>
      <w:r>
        <w:rPr>
          <w:color w:val="auto"/>
          <w:highlight w:val="none"/>
        </w:rPr>
        <w:t>（1）宣布开标纪律；</w:t>
      </w:r>
    </w:p>
    <w:p w14:paraId="164986DD">
      <w:pPr>
        <w:spacing w:line="400" w:lineRule="exact"/>
        <w:ind w:firstLine="359" w:firstLineChars="171"/>
        <w:rPr>
          <w:color w:val="auto"/>
          <w:highlight w:val="none"/>
        </w:rPr>
      </w:pPr>
      <w:r>
        <w:rPr>
          <w:color w:val="auto"/>
          <w:highlight w:val="none"/>
        </w:rPr>
        <w:t xml:space="preserve">（2）公布主持人、招标人代表、监标人等有关人员姓名； </w:t>
      </w:r>
    </w:p>
    <w:p w14:paraId="7B028AF9">
      <w:pPr>
        <w:spacing w:line="400" w:lineRule="exact"/>
        <w:ind w:firstLine="359" w:firstLineChars="171"/>
        <w:rPr>
          <w:color w:val="auto"/>
          <w:highlight w:val="none"/>
        </w:rPr>
      </w:pPr>
      <w:r>
        <w:rPr>
          <w:color w:val="auto"/>
          <w:highlight w:val="none"/>
        </w:rPr>
        <w:t>（3）公布在投标截止时间前投标文件的递交情况；</w:t>
      </w:r>
    </w:p>
    <w:p w14:paraId="06DB1E1A">
      <w:pPr>
        <w:spacing w:line="400" w:lineRule="exact"/>
        <w:ind w:firstLine="359" w:firstLineChars="171"/>
        <w:rPr>
          <w:color w:val="auto"/>
          <w:highlight w:val="none"/>
        </w:rPr>
      </w:pPr>
      <w:r>
        <w:rPr>
          <w:color w:val="auto"/>
          <w:highlight w:val="none"/>
        </w:rPr>
        <w:t>（4）公布投标保证金递交情况（对担保保函、保证保险进行实时验真）；</w:t>
      </w:r>
    </w:p>
    <w:p w14:paraId="6B5566C0">
      <w:pPr>
        <w:spacing w:line="400" w:lineRule="exact"/>
        <w:ind w:firstLine="359" w:firstLineChars="171"/>
        <w:rPr>
          <w:color w:val="auto"/>
          <w:highlight w:val="none"/>
        </w:rPr>
      </w:pPr>
      <w:r>
        <w:rPr>
          <w:color w:val="auto"/>
          <w:highlight w:val="none"/>
        </w:rPr>
        <w:t>（5）投标人根据提示在投标人须知前附表规定的时间内解密投标文件；</w:t>
      </w:r>
    </w:p>
    <w:p w14:paraId="047DD822">
      <w:pPr>
        <w:spacing w:line="400" w:lineRule="exact"/>
        <w:ind w:firstLine="359" w:firstLineChars="171"/>
        <w:rPr>
          <w:color w:val="auto"/>
          <w:highlight w:val="none"/>
        </w:rPr>
      </w:pPr>
      <w:r>
        <w:rPr>
          <w:color w:val="auto"/>
          <w:highlight w:val="none"/>
        </w:rPr>
        <w:t>（6）读取已解密的投标文件的内容；</w:t>
      </w:r>
    </w:p>
    <w:p w14:paraId="5A035740">
      <w:pPr>
        <w:spacing w:line="400" w:lineRule="exact"/>
        <w:ind w:firstLine="359" w:firstLineChars="171"/>
        <w:rPr>
          <w:color w:val="auto"/>
          <w:highlight w:val="none"/>
        </w:rPr>
      </w:pPr>
      <w:r>
        <w:rPr>
          <w:color w:val="auto"/>
          <w:highlight w:val="none"/>
        </w:rPr>
        <w:t>（7）公布投标人名称、标段名称、投标保证金的递交情况、投标报价、项目经理姓名及其他内容，并生成开标记录；</w:t>
      </w:r>
    </w:p>
    <w:p w14:paraId="31F43DE2">
      <w:pPr>
        <w:spacing w:line="400" w:lineRule="exact"/>
        <w:ind w:firstLine="359" w:firstLineChars="171"/>
        <w:rPr>
          <w:color w:val="auto"/>
          <w:highlight w:val="none"/>
        </w:rPr>
      </w:pPr>
      <w:r>
        <w:rPr>
          <w:color w:val="auto"/>
          <w:highlight w:val="none"/>
        </w:rPr>
        <w:t>（8）投标人对开标记录进行确认；</w:t>
      </w:r>
    </w:p>
    <w:p w14:paraId="532725EE">
      <w:pPr>
        <w:spacing w:line="400" w:lineRule="exact"/>
        <w:ind w:firstLine="359" w:firstLineChars="171"/>
        <w:rPr>
          <w:color w:val="auto"/>
          <w:highlight w:val="none"/>
        </w:rPr>
      </w:pPr>
      <w:r>
        <w:rPr>
          <w:color w:val="auto"/>
          <w:highlight w:val="none"/>
        </w:rPr>
        <w:t>（9）开标结束。</w:t>
      </w:r>
    </w:p>
    <w:p w14:paraId="245AED03">
      <w:pPr>
        <w:spacing w:line="360" w:lineRule="exact"/>
        <w:ind w:firstLine="420" w:firstLineChars="200"/>
        <w:rPr>
          <w:color w:val="auto"/>
          <w:highlight w:val="none"/>
        </w:rPr>
      </w:pPr>
      <w:r>
        <w:rPr>
          <w:color w:val="auto"/>
          <w:highlight w:val="none"/>
        </w:rPr>
        <w:t>5.2.2 生成开标记录后10分钟内，投标人通过</w:t>
      </w:r>
      <w:r>
        <w:rPr>
          <w:rFonts w:hint="eastAsia"/>
          <w:color w:val="auto"/>
          <w:highlight w:val="none"/>
        </w:rPr>
        <w:t>电子招标投标系统（</w:t>
      </w:r>
      <w:r>
        <w:rPr>
          <w:color w:val="auto"/>
          <w:highlight w:val="none"/>
        </w:rPr>
        <w:t>辽宁省工程建设项目数字化开标评标系统</w:t>
      </w:r>
      <w:r>
        <w:rPr>
          <w:rFonts w:hint="eastAsia"/>
          <w:color w:val="auto"/>
          <w:highlight w:val="none"/>
        </w:rPr>
        <w:t>）</w:t>
      </w:r>
      <w:r>
        <w:rPr>
          <w:color w:val="auto"/>
          <w:highlight w:val="none"/>
        </w:rPr>
        <w:t>对开标结果予以确认。未在规定时间内确认或未确认的视为对开标过程及结果无异议。</w:t>
      </w:r>
    </w:p>
    <w:p w14:paraId="4B700374">
      <w:pPr>
        <w:spacing w:line="360" w:lineRule="exact"/>
        <w:ind w:firstLine="420" w:firstLineChars="200"/>
        <w:rPr>
          <w:bCs/>
          <w:iCs/>
          <w:color w:val="auto"/>
          <w:highlight w:val="none"/>
        </w:rPr>
      </w:pPr>
      <w:r>
        <w:rPr>
          <w:color w:val="auto"/>
          <w:highlight w:val="none"/>
        </w:rPr>
        <w:t xml:space="preserve">5.2.3 </w:t>
      </w:r>
      <w:bookmarkStart w:id="370" w:name="_Hlk161477723"/>
      <w:r>
        <w:rPr>
          <w:bCs/>
          <w:iCs/>
          <w:color w:val="auto"/>
          <w:highlight w:val="none"/>
        </w:rPr>
        <w:t>在本章第5.2.1（5）目规定的时间内，已解密的投标文件少于三个的，招标失败；已解密的投标文件不少于三个，开标继续进行。</w:t>
      </w:r>
    </w:p>
    <w:p w14:paraId="755BB883">
      <w:pPr>
        <w:spacing w:line="360" w:lineRule="exact"/>
        <w:ind w:firstLine="420" w:firstLineChars="200"/>
        <w:rPr>
          <w:bCs/>
          <w:iCs/>
          <w:color w:val="auto"/>
          <w:highlight w:val="none"/>
        </w:rPr>
      </w:pPr>
      <w:r>
        <w:rPr>
          <w:bCs/>
          <w:iCs/>
          <w:color w:val="auto"/>
          <w:highlight w:val="none"/>
        </w:rPr>
        <w:t>因投标人原因（如数字证书（CA）损坏或密码丢失或输入错误、投标人自身网络中断等非开标系统原因）造成投标文件未解密的，视为投标人撤回投标文件。</w:t>
      </w:r>
    </w:p>
    <w:p w14:paraId="38669493">
      <w:pPr>
        <w:spacing w:line="400" w:lineRule="exact"/>
        <w:ind w:firstLine="359" w:firstLineChars="171"/>
        <w:rPr>
          <w:color w:val="auto"/>
          <w:highlight w:val="none"/>
        </w:rPr>
      </w:pPr>
      <w:r>
        <w:rPr>
          <w:bCs/>
          <w:iCs/>
          <w:color w:val="auto"/>
          <w:highlight w:val="none"/>
        </w:rPr>
        <w:t>因投标人之外原因，如因网络、开标系统故障等非投标人自身原因，招标代理机构工作人员应及时将情况反馈到交易平台运营单位、项目监管部门以及相关技术服务单位，在监管部门指导下将立即启动应急响应机制，积极排查和解决问题，投标人应予以配合，监管部门应根据现场实际适当延长解密时间。</w:t>
      </w:r>
      <w:bookmarkEnd w:id="370"/>
    </w:p>
    <w:p w14:paraId="6447791C">
      <w:pPr>
        <w:pStyle w:val="37"/>
        <w:spacing w:line="360" w:lineRule="exact"/>
        <w:ind w:firstLine="118"/>
        <w:rPr>
          <w:rFonts w:cs="Times New Roman"/>
          <w:color w:val="auto"/>
          <w:highlight w:val="none"/>
        </w:rPr>
      </w:pPr>
      <w:bookmarkStart w:id="371" w:name="_Toc167542412"/>
      <w:bookmarkStart w:id="372" w:name="_Toc9711"/>
      <w:bookmarkStart w:id="373" w:name="_Toc256000040"/>
      <w:bookmarkStart w:id="374" w:name="_Toc145081445"/>
      <w:r>
        <w:rPr>
          <w:rFonts w:cs="Times New Roman"/>
          <w:color w:val="auto"/>
          <w:highlight w:val="none"/>
        </w:rPr>
        <w:t>5.3 开标异议</w:t>
      </w:r>
      <w:bookmarkEnd w:id="371"/>
      <w:bookmarkEnd w:id="372"/>
      <w:bookmarkEnd w:id="373"/>
      <w:bookmarkEnd w:id="374"/>
    </w:p>
    <w:p w14:paraId="55E45C38">
      <w:pPr>
        <w:spacing w:line="400" w:lineRule="exact"/>
        <w:ind w:firstLine="359" w:firstLineChars="171"/>
        <w:rPr>
          <w:color w:val="auto"/>
          <w:highlight w:val="none"/>
        </w:rPr>
      </w:pPr>
      <w:bookmarkStart w:id="375" w:name="_Toc247513986"/>
      <w:bookmarkStart w:id="376" w:name="_Toc152045562"/>
      <w:bookmarkStart w:id="377" w:name="_Toc247527587"/>
      <w:bookmarkStart w:id="378" w:name="_Toc152042338"/>
      <w:bookmarkStart w:id="379" w:name="_Toc144974530"/>
      <w:r>
        <w:rPr>
          <w:color w:val="auto"/>
          <w:highlight w:val="none"/>
        </w:rPr>
        <w:t>5.3.1投标人对开标有异议的，应当在开标过程中提出；招标人当场对异议作出答复，并记入开标记录。异议与答复应通过</w:t>
      </w:r>
      <w:r>
        <w:rPr>
          <w:rFonts w:hint="eastAsia"/>
          <w:color w:val="auto"/>
          <w:highlight w:val="none"/>
        </w:rPr>
        <w:t>电子招标投标系统（</w:t>
      </w:r>
      <w:r>
        <w:rPr>
          <w:color w:val="auto"/>
          <w:highlight w:val="none"/>
        </w:rPr>
        <w:t>辽宁省工程建设项目数字化开标评标系统</w:t>
      </w:r>
      <w:r>
        <w:rPr>
          <w:rFonts w:hint="eastAsia"/>
          <w:color w:val="auto"/>
          <w:highlight w:val="none"/>
        </w:rPr>
        <w:t>）</w:t>
      </w:r>
      <w:r>
        <w:rPr>
          <w:color w:val="auto"/>
          <w:highlight w:val="none"/>
        </w:rPr>
        <w:t>以书面形式进行。</w:t>
      </w:r>
    </w:p>
    <w:p w14:paraId="08EF81A2">
      <w:pPr>
        <w:spacing w:line="400" w:lineRule="exact"/>
        <w:ind w:firstLine="359" w:firstLineChars="171"/>
        <w:rPr>
          <w:color w:val="auto"/>
          <w:highlight w:val="none"/>
        </w:rPr>
      </w:pPr>
      <w:r>
        <w:rPr>
          <w:color w:val="auto"/>
          <w:highlight w:val="none"/>
        </w:rPr>
        <w:t>本条所称异议是指投标人在开标过程中对投标文件提交、投标截止时间、开标程序、开标记录以及投标人和招标人或者投标人相互之间存在利益冲突的情形等提出的质疑。</w:t>
      </w:r>
    </w:p>
    <w:p w14:paraId="05592D7A">
      <w:pPr>
        <w:spacing w:line="400" w:lineRule="exact"/>
        <w:ind w:firstLine="359" w:firstLineChars="171"/>
        <w:rPr>
          <w:color w:val="auto"/>
          <w:highlight w:val="none"/>
        </w:rPr>
      </w:pPr>
      <w:r>
        <w:rPr>
          <w:color w:val="auto"/>
          <w:highlight w:val="none"/>
        </w:rPr>
        <w:t>5.3.2 投标人异议成立的，招标人将及时采取纠正措施，或者提交评标委员会评审确认；投标人异议不成立的，招标人将当场给予解释说明。</w:t>
      </w:r>
    </w:p>
    <w:p w14:paraId="1C528405">
      <w:pPr>
        <w:spacing w:line="400" w:lineRule="exact"/>
        <w:ind w:firstLine="359" w:firstLineChars="171"/>
        <w:rPr>
          <w:color w:val="auto"/>
          <w:highlight w:val="none"/>
        </w:rPr>
      </w:pPr>
      <w:r>
        <w:rPr>
          <w:color w:val="auto"/>
          <w:highlight w:val="none"/>
        </w:rPr>
        <w:t>5.3.3投标人未在开标过程中提出异议，视为异议权利灭失，不可再对开标提出异议。</w:t>
      </w:r>
    </w:p>
    <w:p w14:paraId="026F59DA">
      <w:pPr>
        <w:pStyle w:val="37"/>
        <w:spacing w:line="360" w:lineRule="exact"/>
        <w:ind w:firstLine="118"/>
        <w:rPr>
          <w:rFonts w:cs="Times New Roman"/>
          <w:color w:val="auto"/>
          <w:highlight w:val="none"/>
        </w:rPr>
      </w:pPr>
      <w:bookmarkStart w:id="380" w:name="_Toc29664"/>
      <w:bookmarkStart w:id="381" w:name="_Toc256000041"/>
      <w:bookmarkStart w:id="382" w:name="_Toc167542413"/>
      <w:bookmarkStart w:id="383" w:name="_Toc718"/>
      <w:bookmarkStart w:id="384" w:name="_Toc400530224"/>
      <w:bookmarkStart w:id="385" w:name="_Toc402465011"/>
      <w:r>
        <w:rPr>
          <w:rFonts w:cs="Times New Roman"/>
          <w:color w:val="auto"/>
          <w:highlight w:val="none"/>
        </w:rPr>
        <w:t>5.4 特殊情况的处置</w:t>
      </w:r>
      <w:bookmarkEnd w:id="380"/>
      <w:bookmarkEnd w:id="381"/>
      <w:bookmarkEnd w:id="382"/>
      <w:bookmarkEnd w:id="383"/>
    </w:p>
    <w:p w14:paraId="2908D4B7">
      <w:pPr>
        <w:spacing w:line="360" w:lineRule="exact"/>
        <w:ind w:firstLine="420" w:firstLineChars="200"/>
        <w:rPr>
          <w:color w:val="auto"/>
          <w:highlight w:val="none"/>
        </w:rPr>
      </w:pPr>
      <w:r>
        <w:rPr>
          <w:color w:val="auto"/>
          <w:highlight w:val="none"/>
        </w:rPr>
        <w:t>5.4.1因</w:t>
      </w:r>
      <w:r>
        <w:rPr>
          <w:rFonts w:hint="eastAsia"/>
          <w:color w:val="auto"/>
          <w:highlight w:val="none"/>
        </w:rPr>
        <w:t>电子招标投标系统（</w:t>
      </w:r>
      <w:r>
        <w:rPr>
          <w:bCs/>
          <w:color w:val="auto"/>
          <w:highlight w:val="none"/>
        </w:rPr>
        <w:t>辽宁省工程建设项目数字化开标评标系统</w:t>
      </w:r>
      <w:r>
        <w:rPr>
          <w:rFonts w:hint="eastAsia"/>
          <w:bCs/>
          <w:color w:val="auto"/>
          <w:highlight w:val="none"/>
        </w:rPr>
        <w:t>）</w:t>
      </w:r>
      <w:r>
        <w:rPr>
          <w:color w:val="auto"/>
          <w:highlight w:val="none"/>
        </w:rPr>
        <w:t>故障导致无法投标的，管理部门及时通知招标人，招标人视情况决定是否顺延投标截止时间。因投标人自身原因导致无法完成投标的，由投标人自行承担后果。</w:t>
      </w:r>
    </w:p>
    <w:p w14:paraId="5FD5457B">
      <w:pPr>
        <w:spacing w:line="360" w:lineRule="exact"/>
        <w:ind w:firstLine="420" w:firstLineChars="200"/>
        <w:rPr>
          <w:color w:val="auto"/>
          <w:highlight w:val="none"/>
        </w:rPr>
      </w:pPr>
      <w:r>
        <w:rPr>
          <w:color w:val="auto"/>
          <w:highlight w:val="none"/>
        </w:rPr>
        <w:t>5.4.2 因</w:t>
      </w:r>
      <w:r>
        <w:rPr>
          <w:rFonts w:hint="eastAsia"/>
          <w:color w:val="auto"/>
          <w:highlight w:val="none"/>
        </w:rPr>
        <w:t>电子招标投标系统（</w:t>
      </w:r>
      <w:r>
        <w:rPr>
          <w:bCs/>
          <w:color w:val="auto"/>
          <w:highlight w:val="none"/>
        </w:rPr>
        <w:t>辽宁省工程建设项目数字化开标评标系统</w:t>
      </w:r>
      <w:r>
        <w:rPr>
          <w:rFonts w:hint="eastAsia"/>
          <w:bCs/>
          <w:color w:val="auto"/>
          <w:highlight w:val="none"/>
        </w:rPr>
        <w:t>）</w:t>
      </w:r>
      <w:r>
        <w:rPr>
          <w:color w:val="auto"/>
          <w:highlight w:val="none"/>
        </w:rPr>
        <w:t>故障导致无法正常开标的，招标人将暂停开标，待系统恢复正常后继续开标。</w:t>
      </w:r>
    </w:p>
    <w:p w14:paraId="22BB1139">
      <w:pPr>
        <w:spacing w:line="360" w:lineRule="exact"/>
        <w:ind w:firstLine="420" w:firstLineChars="200"/>
        <w:rPr>
          <w:color w:val="auto"/>
          <w:highlight w:val="none"/>
        </w:rPr>
      </w:pPr>
      <w:r>
        <w:rPr>
          <w:rFonts w:hint="eastAsia"/>
          <w:color w:val="auto"/>
          <w:highlight w:val="none"/>
        </w:rPr>
        <w:t>电子招标投标系统（</w:t>
      </w:r>
      <w:r>
        <w:rPr>
          <w:bCs/>
          <w:color w:val="auto"/>
          <w:highlight w:val="none"/>
        </w:rPr>
        <w:t>辽宁省工程建设项目数字化开标评标系统</w:t>
      </w:r>
      <w:r>
        <w:rPr>
          <w:rFonts w:hint="eastAsia"/>
          <w:bCs/>
          <w:color w:val="auto"/>
          <w:highlight w:val="none"/>
        </w:rPr>
        <w:t>）</w:t>
      </w:r>
      <w:r>
        <w:rPr>
          <w:bCs/>
          <w:color w:val="auto"/>
          <w:highlight w:val="none"/>
        </w:rPr>
        <w:t>技术服务单位将立即启动应急响应机制，积极排查系统故障，解决问题。</w:t>
      </w:r>
    </w:p>
    <w:p w14:paraId="34FDD635">
      <w:pPr>
        <w:spacing w:line="360" w:lineRule="exact"/>
        <w:ind w:firstLine="420" w:firstLineChars="200"/>
        <w:rPr>
          <w:color w:val="auto"/>
          <w:highlight w:val="none"/>
        </w:rPr>
      </w:pPr>
      <w:r>
        <w:rPr>
          <w:color w:val="auto"/>
          <w:highlight w:val="none"/>
        </w:rPr>
        <w:t xml:space="preserve">5.4.3 </w:t>
      </w:r>
      <w:r>
        <w:rPr>
          <w:rFonts w:hint="eastAsia"/>
          <w:color w:val="auto"/>
          <w:highlight w:val="none"/>
        </w:rPr>
        <w:t>电子招标投标系统（</w:t>
      </w:r>
      <w:r>
        <w:rPr>
          <w:bCs/>
          <w:color w:val="auto"/>
          <w:highlight w:val="none"/>
        </w:rPr>
        <w:t>辽宁省工程建设项目数字化开标评标系统</w:t>
      </w:r>
      <w:r>
        <w:rPr>
          <w:rFonts w:hint="eastAsia"/>
          <w:bCs/>
          <w:color w:val="auto"/>
          <w:highlight w:val="none"/>
        </w:rPr>
        <w:t>）</w:t>
      </w:r>
      <w:r>
        <w:rPr>
          <w:color w:val="auto"/>
          <w:highlight w:val="none"/>
        </w:rPr>
        <w:t>故障是指下列情形：</w:t>
      </w:r>
    </w:p>
    <w:p w14:paraId="564827FC">
      <w:pPr>
        <w:spacing w:line="360" w:lineRule="exact"/>
        <w:ind w:firstLine="420" w:firstLineChars="200"/>
        <w:rPr>
          <w:color w:val="auto"/>
          <w:highlight w:val="none"/>
        </w:rPr>
      </w:pPr>
      <w:r>
        <w:rPr>
          <w:color w:val="auto"/>
          <w:highlight w:val="none"/>
        </w:rPr>
        <w:t>（1）系统服务器发生故障，无法访问或无法使用系统；</w:t>
      </w:r>
    </w:p>
    <w:p w14:paraId="2ACF9499">
      <w:pPr>
        <w:spacing w:line="360" w:lineRule="exact"/>
        <w:ind w:firstLine="420" w:firstLineChars="200"/>
        <w:rPr>
          <w:color w:val="auto"/>
          <w:highlight w:val="none"/>
        </w:rPr>
      </w:pPr>
      <w:r>
        <w:rPr>
          <w:color w:val="auto"/>
          <w:highlight w:val="none"/>
        </w:rPr>
        <w:t>（2）系统的软件或数据库出现错误，不能进行正常操作；</w:t>
      </w:r>
    </w:p>
    <w:p w14:paraId="78994726">
      <w:pPr>
        <w:spacing w:line="360" w:lineRule="exact"/>
        <w:ind w:firstLine="420" w:firstLineChars="200"/>
        <w:rPr>
          <w:color w:val="auto"/>
          <w:highlight w:val="none"/>
        </w:rPr>
      </w:pPr>
      <w:r>
        <w:rPr>
          <w:color w:val="auto"/>
          <w:highlight w:val="none"/>
        </w:rPr>
        <w:t>（3）系统发现有安全漏洞，有潜在的泄密危险；</w:t>
      </w:r>
    </w:p>
    <w:p w14:paraId="6A584686">
      <w:pPr>
        <w:spacing w:line="360" w:lineRule="exact"/>
        <w:ind w:firstLine="420" w:firstLineChars="200"/>
        <w:rPr>
          <w:color w:val="auto"/>
          <w:highlight w:val="none"/>
        </w:rPr>
      </w:pPr>
      <w:r>
        <w:rPr>
          <w:color w:val="auto"/>
          <w:highlight w:val="none"/>
        </w:rPr>
        <w:t>（4）系统出现网络攻击；</w:t>
      </w:r>
    </w:p>
    <w:p w14:paraId="5B76273B">
      <w:pPr>
        <w:spacing w:line="360" w:lineRule="exact"/>
        <w:ind w:firstLine="420" w:firstLineChars="200"/>
        <w:rPr>
          <w:color w:val="auto"/>
          <w:highlight w:val="none"/>
        </w:rPr>
      </w:pPr>
      <w:r>
        <w:rPr>
          <w:color w:val="auto"/>
          <w:highlight w:val="none"/>
        </w:rPr>
        <w:t>（5）出现断电、断网事故；</w:t>
      </w:r>
    </w:p>
    <w:p w14:paraId="6C0AE93E">
      <w:pPr>
        <w:spacing w:line="360" w:lineRule="exact"/>
        <w:ind w:firstLine="420" w:firstLineChars="200"/>
        <w:rPr>
          <w:color w:val="auto"/>
          <w:highlight w:val="none"/>
        </w:rPr>
      </w:pPr>
      <w:r>
        <w:rPr>
          <w:color w:val="auto"/>
          <w:highlight w:val="none"/>
        </w:rPr>
        <w:t>（6）出现法定不可抗力因素；</w:t>
      </w:r>
    </w:p>
    <w:p w14:paraId="37781899">
      <w:pPr>
        <w:spacing w:line="360" w:lineRule="exact"/>
        <w:ind w:firstLine="420" w:firstLineChars="200"/>
        <w:rPr>
          <w:color w:val="auto"/>
          <w:highlight w:val="none"/>
        </w:rPr>
      </w:pPr>
      <w:r>
        <w:rPr>
          <w:color w:val="auto"/>
          <w:highlight w:val="none"/>
        </w:rPr>
        <w:t>（7）其他无法保证招投标过程正常进行的情形。</w:t>
      </w:r>
      <w:bookmarkEnd w:id="384"/>
      <w:bookmarkEnd w:id="385"/>
    </w:p>
    <w:p w14:paraId="775D2498">
      <w:pPr>
        <w:pStyle w:val="35"/>
        <w:spacing w:line="360" w:lineRule="exact"/>
        <w:rPr>
          <w:rFonts w:cs="Times New Roman"/>
          <w:color w:val="auto"/>
          <w:highlight w:val="none"/>
        </w:rPr>
      </w:pPr>
      <w:bookmarkStart w:id="386" w:name="_Toc2194"/>
      <w:bookmarkStart w:id="387" w:name="_Toc167542414"/>
      <w:bookmarkStart w:id="388" w:name="_Toc256000042"/>
      <w:r>
        <w:rPr>
          <w:rFonts w:cs="Times New Roman"/>
          <w:color w:val="auto"/>
          <w:highlight w:val="none"/>
        </w:rPr>
        <w:t>6. 评标</w:t>
      </w:r>
      <w:bookmarkEnd w:id="375"/>
      <w:bookmarkEnd w:id="376"/>
      <w:bookmarkEnd w:id="377"/>
      <w:bookmarkEnd w:id="378"/>
      <w:bookmarkEnd w:id="379"/>
      <w:bookmarkEnd w:id="386"/>
      <w:bookmarkEnd w:id="387"/>
      <w:bookmarkEnd w:id="388"/>
    </w:p>
    <w:p w14:paraId="16971D39">
      <w:pPr>
        <w:pStyle w:val="37"/>
        <w:spacing w:line="360" w:lineRule="exact"/>
        <w:ind w:firstLine="118"/>
        <w:rPr>
          <w:rFonts w:cs="Times New Roman"/>
          <w:color w:val="auto"/>
          <w:highlight w:val="none"/>
        </w:rPr>
      </w:pPr>
      <w:bookmarkStart w:id="389" w:name="_Toc247513987"/>
      <w:bookmarkStart w:id="390" w:name="_Toc152042339"/>
      <w:bookmarkStart w:id="391" w:name="_Toc8284"/>
      <w:bookmarkStart w:id="392" w:name="_Toc256000043"/>
      <w:bookmarkStart w:id="393" w:name="_Toc144974531"/>
      <w:bookmarkStart w:id="394" w:name="_Toc167542415"/>
      <w:bookmarkStart w:id="395" w:name="_Toc145081447"/>
      <w:bookmarkStart w:id="396" w:name="_Toc247527588"/>
      <w:bookmarkStart w:id="397" w:name="_Toc152045563"/>
      <w:r>
        <w:rPr>
          <w:rFonts w:cs="Times New Roman"/>
          <w:color w:val="auto"/>
          <w:highlight w:val="none"/>
        </w:rPr>
        <w:t>6.1 评标委员会</w:t>
      </w:r>
      <w:bookmarkEnd w:id="389"/>
      <w:bookmarkEnd w:id="390"/>
      <w:bookmarkEnd w:id="391"/>
      <w:bookmarkEnd w:id="392"/>
      <w:bookmarkEnd w:id="393"/>
      <w:bookmarkEnd w:id="394"/>
      <w:bookmarkEnd w:id="395"/>
      <w:bookmarkEnd w:id="396"/>
      <w:bookmarkEnd w:id="397"/>
    </w:p>
    <w:p w14:paraId="28983B3E">
      <w:pPr>
        <w:spacing w:line="400" w:lineRule="exact"/>
        <w:ind w:firstLine="420" w:firstLineChars="200"/>
        <w:rPr>
          <w:color w:val="auto"/>
          <w:highlight w:val="none"/>
        </w:rPr>
      </w:pPr>
      <w:r>
        <w:rPr>
          <w:color w:val="auto"/>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130AFA32">
      <w:pPr>
        <w:spacing w:line="400" w:lineRule="exact"/>
        <w:ind w:firstLine="420" w:firstLineChars="200"/>
        <w:rPr>
          <w:color w:val="auto"/>
          <w:highlight w:val="none"/>
        </w:rPr>
      </w:pPr>
      <w:r>
        <w:rPr>
          <w:color w:val="auto"/>
          <w:highlight w:val="none"/>
        </w:rPr>
        <w:t>6.1.2 评标委员会成员有下列情形之一的，应当回避：</w:t>
      </w:r>
    </w:p>
    <w:p w14:paraId="60996E08">
      <w:pPr>
        <w:spacing w:line="400" w:lineRule="exact"/>
        <w:ind w:firstLine="718" w:firstLineChars="342"/>
        <w:rPr>
          <w:color w:val="auto"/>
          <w:highlight w:val="none"/>
        </w:rPr>
      </w:pPr>
      <w:r>
        <w:rPr>
          <w:color w:val="auto"/>
          <w:highlight w:val="none"/>
        </w:rPr>
        <w:t>（1）投标人或投标人主要负责人的近亲属；</w:t>
      </w:r>
    </w:p>
    <w:p w14:paraId="2C0E5D82">
      <w:pPr>
        <w:spacing w:line="400" w:lineRule="exact"/>
        <w:ind w:firstLine="718" w:firstLineChars="342"/>
        <w:rPr>
          <w:color w:val="auto"/>
          <w:highlight w:val="none"/>
        </w:rPr>
      </w:pPr>
      <w:r>
        <w:rPr>
          <w:color w:val="auto"/>
          <w:highlight w:val="none"/>
        </w:rPr>
        <w:t>（2）项目主管部门或者行政监督部门的人员；</w:t>
      </w:r>
    </w:p>
    <w:p w14:paraId="301565B0">
      <w:pPr>
        <w:spacing w:line="400" w:lineRule="exact"/>
        <w:ind w:firstLine="718" w:firstLineChars="342"/>
        <w:rPr>
          <w:color w:val="auto"/>
          <w:highlight w:val="none"/>
        </w:rPr>
      </w:pPr>
      <w:r>
        <w:rPr>
          <w:color w:val="auto"/>
          <w:highlight w:val="none"/>
        </w:rPr>
        <w:t>（3）与投标人有经济利益关系，可能影响对投标公正评审的；</w:t>
      </w:r>
    </w:p>
    <w:p w14:paraId="33A22E34">
      <w:pPr>
        <w:spacing w:line="400" w:lineRule="exact"/>
        <w:ind w:firstLine="718" w:firstLineChars="342"/>
        <w:rPr>
          <w:color w:val="auto"/>
          <w:highlight w:val="none"/>
        </w:rPr>
      </w:pPr>
      <w:r>
        <w:rPr>
          <w:color w:val="auto"/>
          <w:highlight w:val="none"/>
        </w:rPr>
        <w:t>（4）曾因在招标、评标以及其他与招标投标有关活动中从事违法行为而受过行政处罚或刑事处罚的。</w:t>
      </w:r>
    </w:p>
    <w:p w14:paraId="5A8AEB08">
      <w:pPr>
        <w:pStyle w:val="37"/>
        <w:spacing w:line="360" w:lineRule="exact"/>
        <w:ind w:firstLine="118"/>
        <w:rPr>
          <w:rFonts w:cs="Times New Roman"/>
          <w:color w:val="auto"/>
          <w:highlight w:val="none"/>
        </w:rPr>
      </w:pPr>
      <w:bookmarkStart w:id="398" w:name="_Toc8976"/>
      <w:bookmarkStart w:id="399" w:name="_Toc152045564"/>
      <w:bookmarkStart w:id="400" w:name="_Toc247527589"/>
      <w:bookmarkStart w:id="401" w:name="_Toc144974532"/>
      <w:bookmarkStart w:id="402" w:name="_Toc256000044"/>
      <w:bookmarkStart w:id="403" w:name="_Toc145081448"/>
      <w:bookmarkStart w:id="404" w:name="_Toc167542416"/>
      <w:bookmarkStart w:id="405" w:name="_Toc247513988"/>
      <w:bookmarkStart w:id="406" w:name="_Toc152042340"/>
      <w:r>
        <w:rPr>
          <w:rFonts w:cs="Times New Roman"/>
          <w:color w:val="auto"/>
          <w:highlight w:val="none"/>
        </w:rPr>
        <w:t>6.2 评标原则</w:t>
      </w:r>
      <w:bookmarkEnd w:id="398"/>
      <w:bookmarkEnd w:id="399"/>
      <w:bookmarkEnd w:id="400"/>
      <w:bookmarkEnd w:id="401"/>
      <w:bookmarkEnd w:id="402"/>
      <w:bookmarkEnd w:id="403"/>
      <w:bookmarkEnd w:id="404"/>
      <w:bookmarkEnd w:id="405"/>
      <w:bookmarkEnd w:id="406"/>
      <w:r>
        <w:rPr>
          <w:rFonts w:cs="Times New Roman"/>
          <w:color w:val="auto"/>
          <w:highlight w:val="none"/>
        </w:rPr>
        <w:tab/>
      </w:r>
    </w:p>
    <w:p w14:paraId="36500428">
      <w:pPr>
        <w:spacing w:line="400" w:lineRule="exact"/>
        <w:ind w:firstLine="420" w:firstLineChars="200"/>
        <w:rPr>
          <w:color w:val="auto"/>
          <w:highlight w:val="none"/>
        </w:rPr>
      </w:pPr>
      <w:r>
        <w:rPr>
          <w:color w:val="auto"/>
          <w:highlight w:val="none"/>
        </w:rPr>
        <w:t>评标活动遵循公平、公正、科学和择优的原则。</w:t>
      </w:r>
    </w:p>
    <w:p w14:paraId="34FCDC2B">
      <w:pPr>
        <w:pStyle w:val="37"/>
        <w:spacing w:line="360" w:lineRule="exact"/>
        <w:ind w:firstLine="118"/>
        <w:rPr>
          <w:rFonts w:cs="Times New Roman"/>
          <w:color w:val="auto"/>
          <w:highlight w:val="none"/>
        </w:rPr>
      </w:pPr>
      <w:bookmarkStart w:id="407" w:name="_Toc167542417"/>
      <w:bookmarkStart w:id="408" w:name="_Toc152045565"/>
      <w:bookmarkStart w:id="409" w:name="_Toc256000045"/>
      <w:bookmarkStart w:id="410" w:name="_Toc247527590"/>
      <w:bookmarkStart w:id="411" w:name="_Toc152042341"/>
      <w:bookmarkStart w:id="412" w:name="_Toc247513989"/>
      <w:bookmarkStart w:id="413" w:name="_Toc145081449"/>
      <w:bookmarkStart w:id="414" w:name="_Toc6572"/>
      <w:bookmarkStart w:id="415" w:name="_Toc144974533"/>
      <w:r>
        <w:rPr>
          <w:rFonts w:cs="Times New Roman"/>
          <w:color w:val="auto"/>
          <w:highlight w:val="none"/>
        </w:rPr>
        <w:t>6.3 评标</w:t>
      </w:r>
      <w:bookmarkEnd w:id="407"/>
      <w:bookmarkEnd w:id="408"/>
      <w:bookmarkEnd w:id="409"/>
      <w:bookmarkEnd w:id="410"/>
      <w:bookmarkEnd w:id="411"/>
      <w:bookmarkEnd w:id="412"/>
      <w:bookmarkEnd w:id="413"/>
      <w:bookmarkEnd w:id="414"/>
      <w:bookmarkEnd w:id="415"/>
    </w:p>
    <w:p w14:paraId="4288A260">
      <w:pPr>
        <w:spacing w:line="360" w:lineRule="exact"/>
        <w:ind w:firstLine="420" w:firstLineChars="200"/>
        <w:rPr>
          <w:color w:val="auto"/>
          <w:highlight w:val="none"/>
        </w:rPr>
      </w:pPr>
      <w:bookmarkStart w:id="416" w:name="_Toc152042342"/>
      <w:bookmarkStart w:id="417" w:name="_Toc247513990"/>
      <w:bookmarkStart w:id="418" w:name="_Toc152045566"/>
      <w:bookmarkStart w:id="419" w:name="_Toc144974534"/>
      <w:bookmarkStart w:id="420" w:name="_Toc247527591"/>
      <w:r>
        <w:rPr>
          <w:color w:val="auto"/>
          <w:highlight w:val="none"/>
        </w:rPr>
        <w:t>评标委员会按照第三章“评标办法”规定的方法、评审因素、标准和程序对投标文件进行评审。第三章“评标办法”没有规定的方法、评审因素和标准，不作为评标依据。</w:t>
      </w:r>
    </w:p>
    <w:p w14:paraId="5E586DFC">
      <w:pPr>
        <w:spacing w:line="360" w:lineRule="exact"/>
        <w:ind w:firstLine="420" w:firstLineChars="200"/>
        <w:rPr>
          <w:color w:val="auto"/>
          <w:highlight w:val="none"/>
        </w:rPr>
      </w:pPr>
      <w:r>
        <w:rPr>
          <w:color w:val="auto"/>
          <w:highlight w:val="none"/>
        </w:rPr>
        <w:t>评标采用方式详见投标人须知前附表。</w:t>
      </w:r>
    </w:p>
    <w:p w14:paraId="2558A090">
      <w:pPr>
        <w:pStyle w:val="37"/>
        <w:spacing w:line="360" w:lineRule="exact"/>
        <w:ind w:firstLine="118"/>
        <w:rPr>
          <w:rFonts w:cs="Times New Roman"/>
          <w:color w:val="auto"/>
          <w:highlight w:val="none"/>
        </w:rPr>
      </w:pPr>
      <w:bookmarkStart w:id="421" w:name="_Toc145081452"/>
      <w:bookmarkStart w:id="422" w:name="_Toc25312"/>
      <w:bookmarkStart w:id="423" w:name="_Toc256000046"/>
      <w:bookmarkStart w:id="424" w:name="_Toc167542418"/>
      <w:r>
        <w:rPr>
          <w:rFonts w:cs="Times New Roman"/>
          <w:color w:val="auto"/>
          <w:highlight w:val="none"/>
        </w:rPr>
        <w:t>6.4 评标结果公示</w:t>
      </w:r>
      <w:bookmarkEnd w:id="421"/>
      <w:bookmarkEnd w:id="422"/>
      <w:bookmarkEnd w:id="423"/>
      <w:bookmarkEnd w:id="424"/>
    </w:p>
    <w:p w14:paraId="39133AAA">
      <w:pPr>
        <w:spacing w:line="360" w:lineRule="exact"/>
        <w:ind w:firstLine="420" w:firstLineChars="200"/>
        <w:rPr>
          <w:color w:val="auto"/>
          <w:highlight w:val="none"/>
        </w:rPr>
      </w:pPr>
      <w:r>
        <w:rPr>
          <w:color w:val="auto"/>
          <w:highlight w:val="none"/>
        </w:rPr>
        <w:t>招标人在收到评标报告之日起3日内，按照投标人须知前附表规定的公示媒介和期限公示中标候选人，公示期不得少于3日。招标人在中标候选人公示前将对评标委员会提交的评标报告进行审查，发现异常情形的，依照法定程序进行复核，确认存在问题的，依照法定程序予以纠正。</w:t>
      </w:r>
    </w:p>
    <w:p w14:paraId="7B3FEFD1">
      <w:pPr>
        <w:spacing w:line="360" w:lineRule="exact"/>
        <w:ind w:firstLine="420" w:firstLineChars="200"/>
        <w:rPr>
          <w:color w:val="auto"/>
          <w:highlight w:val="none"/>
        </w:rPr>
      </w:pPr>
      <w:r>
        <w:rPr>
          <w:color w:val="auto"/>
          <w:highlight w:val="none"/>
        </w:rPr>
        <w:t>投标人或者其他利害关系人对评标结果有异议的，应当在中标候选人公示（评标结果公示）期间提出。招标人自收到异议之日起3日内作出答复；作出答复前，暂停招标投标活动。在法定时间期限内未提出视为投标人权利灭失。</w:t>
      </w:r>
      <w:r>
        <w:rPr>
          <w:rFonts w:hint="eastAsia"/>
          <w:color w:val="auto"/>
          <w:highlight w:val="none"/>
        </w:rPr>
        <w:t>异议与答复应通过电子招标投标系统（辽宁省工程建设项目招标投标异议投诉处理系统）以书面形式进行。</w:t>
      </w:r>
    </w:p>
    <w:p w14:paraId="1522D2B0">
      <w:pPr>
        <w:pStyle w:val="37"/>
        <w:spacing w:line="360" w:lineRule="exact"/>
        <w:ind w:firstLine="118"/>
        <w:rPr>
          <w:rFonts w:cs="Times New Roman"/>
          <w:color w:val="auto"/>
          <w:highlight w:val="none"/>
        </w:rPr>
      </w:pPr>
      <w:bookmarkStart w:id="425" w:name="_Toc256000047"/>
      <w:bookmarkStart w:id="426" w:name="_Toc152264344"/>
      <w:bookmarkStart w:id="427" w:name="_Toc167542419"/>
      <w:bookmarkStart w:id="428" w:name="_Toc426495250"/>
      <w:bookmarkStart w:id="429" w:name="_Toc17569"/>
      <w:r>
        <w:rPr>
          <w:rFonts w:cs="Times New Roman"/>
          <w:color w:val="auto"/>
          <w:highlight w:val="none"/>
        </w:rPr>
        <w:t>6.5 履约能力的核查（如有）</w:t>
      </w:r>
      <w:bookmarkEnd w:id="425"/>
      <w:bookmarkEnd w:id="426"/>
      <w:bookmarkEnd w:id="427"/>
      <w:bookmarkEnd w:id="428"/>
      <w:bookmarkEnd w:id="429"/>
    </w:p>
    <w:p w14:paraId="176BDEC6">
      <w:pPr>
        <w:spacing w:line="360" w:lineRule="exact"/>
        <w:ind w:firstLine="420" w:firstLineChars="200"/>
        <w:rPr>
          <w:color w:val="auto"/>
          <w:highlight w:val="none"/>
        </w:rPr>
      </w:pPr>
      <w:r>
        <w:rPr>
          <w:color w:val="auto"/>
          <w:highlight w:val="none"/>
        </w:rPr>
        <w:t>如果中标候选人的经营、财务状况发生较大变化或者存在违法行为，招标人认为可能影响其履约能力的，将在发出中标通知书前报请行政监督部门后，召集原评标委员会按照招标文件规定的标准和方法</w:t>
      </w:r>
      <w:r>
        <w:rPr>
          <w:rFonts w:hint="eastAsia"/>
          <w:color w:val="auto"/>
          <w:highlight w:val="none"/>
        </w:rPr>
        <w:t>核查</w:t>
      </w:r>
      <w:r>
        <w:rPr>
          <w:color w:val="auto"/>
          <w:highlight w:val="none"/>
        </w:rPr>
        <w:t>确认。</w:t>
      </w:r>
    </w:p>
    <w:p w14:paraId="7C091311">
      <w:pPr>
        <w:pStyle w:val="35"/>
        <w:spacing w:line="360" w:lineRule="exact"/>
        <w:rPr>
          <w:rFonts w:cs="Times New Roman"/>
          <w:color w:val="auto"/>
          <w:highlight w:val="none"/>
        </w:rPr>
      </w:pPr>
      <w:bookmarkStart w:id="430" w:name="_Toc256000048"/>
      <w:bookmarkStart w:id="431" w:name="_Toc23031"/>
      <w:bookmarkStart w:id="432" w:name="_Toc167542420"/>
      <w:r>
        <w:rPr>
          <w:rFonts w:cs="Times New Roman"/>
          <w:color w:val="auto"/>
          <w:highlight w:val="none"/>
        </w:rPr>
        <w:t>7. 合同授予</w:t>
      </w:r>
      <w:bookmarkEnd w:id="416"/>
      <w:bookmarkEnd w:id="417"/>
      <w:bookmarkEnd w:id="418"/>
      <w:bookmarkEnd w:id="419"/>
      <w:bookmarkEnd w:id="420"/>
      <w:bookmarkEnd w:id="430"/>
      <w:bookmarkEnd w:id="431"/>
      <w:bookmarkEnd w:id="432"/>
    </w:p>
    <w:p w14:paraId="7DED962C">
      <w:pPr>
        <w:pStyle w:val="37"/>
        <w:spacing w:line="360" w:lineRule="exact"/>
        <w:ind w:firstLine="118"/>
        <w:rPr>
          <w:rFonts w:cs="Times New Roman"/>
          <w:color w:val="auto"/>
          <w:highlight w:val="none"/>
        </w:rPr>
      </w:pPr>
      <w:bookmarkStart w:id="433" w:name="_Toc144974535"/>
      <w:bookmarkStart w:id="434" w:name="_Toc247527592"/>
      <w:bookmarkStart w:id="435" w:name="_Toc21016"/>
      <w:bookmarkStart w:id="436" w:name="_Toc152042343"/>
      <w:bookmarkStart w:id="437" w:name="_Toc145081451"/>
      <w:bookmarkStart w:id="438" w:name="_Toc167542421"/>
      <w:bookmarkStart w:id="439" w:name="_Toc152045567"/>
      <w:bookmarkStart w:id="440" w:name="_Toc247513991"/>
      <w:bookmarkStart w:id="441" w:name="_Toc256000049"/>
      <w:r>
        <w:rPr>
          <w:rFonts w:cs="Times New Roman"/>
          <w:color w:val="auto"/>
          <w:highlight w:val="none"/>
        </w:rPr>
        <w:t>7.1 定标方式</w:t>
      </w:r>
      <w:bookmarkEnd w:id="433"/>
      <w:bookmarkEnd w:id="434"/>
      <w:bookmarkEnd w:id="435"/>
      <w:bookmarkEnd w:id="436"/>
      <w:bookmarkEnd w:id="437"/>
      <w:bookmarkEnd w:id="438"/>
      <w:bookmarkEnd w:id="439"/>
      <w:bookmarkEnd w:id="440"/>
      <w:bookmarkEnd w:id="441"/>
    </w:p>
    <w:p w14:paraId="58E144F7">
      <w:pPr>
        <w:spacing w:line="360" w:lineRule="exact"/>
        <w:ind w:firstLine="420" w:firstLineChars="200"/>
        <w:rPr>
          <w:color w:val="auto"/>
          <w:highlight w:val="none"/>
        </w:rPr>
      </w:pPr>
      <w:bookmarkStart w:id="442" w:name="_Hlk162096279"/>
      <w:r>
        <w:rPr>
          <w:rFonts w:hint="eastAsia"/>
          <w:color w:val="auto"/>
          <w:highlight w:val="none"/>
        </w:rPr>
        <w:t>除投标人须知前附表规定评标委员会直接确定中标人外，招标人依据评标委员会推荐的中标候选人确定中标人或从评标委员会推荐的中标候选人范围内自主研究确定中标人，</w:t>
      </w:r>
      <w:bookmarkStart w:id="443" w:name="_Hlk166315975"/>
      <w:r>
        <w:rPr>
          <w:rFonts w:hint="eastAsia"/>
          <w:color w:val="auto"/>
          <w:highlight w:val="none"/>
        </w:rPr>
        <w:t>评标委员会推荐中标候选人的人数见投标人须知前附表。</w:t>
      </w:r>
      <w:bookmarkEnd w:id="442"/>
      <w:bookmarkEnd w:id="443"/>
    </w:p>
    <w:p w14:paraId="1CE96036">
      <w:pPr>
        <w:spacing w:line="360" w:lineRule="exact"/>
        <w:ind w:firstLine="420" w:firstLineChars="200"/>
        <w:rPr>
          <w:color w:val="auto"/>
          <w:highlight w:val="none"/>
        </w:rPr>
      </w:pPr>
      <w:r>
        <w:rPr>
          <w:rFonts w:hint="eastAsia"/>
          <w:color w:val="auto"/>
          <w:highlight w:val="none"/>
        </w:rPr>
        <w:t>招标人从评标委员会推荐的中标候选人范围内自主研究确定中标人的，招标人按照定标办法规定的规则组建定标委员会，</w:t>
      </w:r>
      <w:bookmarkStart w:id="444" w:name="_Hlk157862819"/>
      <w:r>
        <w:rPr>
          <w:rFonts w:hint="eastAsia" w:cs="宋体"/>
          <w:color w:val="auto"/>
          <w:kern w:val="1"/>
          <w:szCs w:val="21"/>
          <w:highlight w:val="none"/>
        </w:rPr>
        <w:t>定标委员会按照</w:t>
      </w:r>
      <w:r>
        <w:rPr>
          <w:rFonts w:hint="eastAsia"/>
          <w:color w:val="auto"/>
          <w:szCs w:val="21"/>
          <w:highlight w:val="none"/>
        </w:rPr>
        <w:t>定标办法</w:t>
      </w:r>
      <w:r>
        <w:rPr>
          <w:rFonts w:hint="eastAsia" w:cs="宋体"/>
          <w:color w:val="auto"/>
          <w:kern w:val="1"/>
          <w:szCs w:val="21"/>
          <w:highlight w:val="none"/>
        </w:rPr>
        <w:t>规定的方法、规则、标准和程序在中标候选人中定标，确定中标人。</w:t>
      </w:r>
      <w:r>
        <w:rPr>
          <w:rFonts w:hint="eastAsia"/>
          <w:color w:val="auto"/>
          <w:szCs w:val="21"/>
          <w:highlight w:val="none"/>
        </w:rPr>
        <w:t>定标办法</w:t>
      </w:r>
      <w:r>
        <w:rPr>
          <w:rFonts w:hint="eastAsia" w:cs="宋体"/>
          <w:color w:val="auto"/>
          <w:kern w:val="1"/>
          <w:szCs w:val="21"/>
          <w:highlight w:val="none"/>
        </w:rPr>
        <w:t>没有规定的方法、规则、标准，不得作为定标依据。</w:t>
      </w:r>
      <w:bookmarkEnd w:id="444"/>
    </w:p>
    <w:p w14:paraId="519F135D">
      <w:pPr>
        <w:pStyle w:val="37"/>
        <w:spacing w:line="360" w:lineRule="exact"/>
        <w:ind w:firstLine="118"/>
        <w:rPr>
          <w:rFonts w:cs="Times New Roman"/>
          <w:color w:val="auto"/>
          <w:highlight w:val="none"/>
        </w:rPr>
      </w:pPr>
      <w:bookmarkStart w:id="445" w:name="_Toc152042344"/>
      <w:bookmarkStart w:id="446" w:name="_Toc18807"/>
      <w:bookmarkStart w:id="447" w:name="_Toc247513992"/>
      <w:bookmarkStart w:id="448" w:name="_Toc256000050"/>
      <w:bookmarkStart w:id="449" w:name="_Toc152045568"/>
      <w:bookmarkStart w:id="450" w:name="_Toc167542422"/>
      <w:bookmarkStart w:id="451" w:name="_Toc247527593"/>
      <w:bookmarkStart w:id="452" w:name="_Toc145081453"/>
      <w:bookmarkStart w:id="453" w:name="_Toc144974536"/>
      <w:r>
        <w:rPr>
          <w:rFonts w:cs="Times New Roman"/>
          <w:color w:val="auto"/>
          <w:highlight w:val="none"/>
        </w:rPr>
        <w:t>7.2 中标通知</w:t>
      </w:r>
      <w:bookmarkEnd w:id="445"/>
      <w:bookmarkEnd w:id="446"/>
      <w:bookmarkEnd w:id="447"/>
      <w:bookmarkEnd w:id="448"/>
      <w:bookmarkEnd w:id="449"/>
      <w:bookmarkEnd w:id="450"/>
      <w:bookmarkEnd w:id="451"/>
      <w:bookmarkEnd w:id="452"/>
      <w:bookmarkEnd w:id="453"/>
    </w:p>
    <w:p w14:paraId="4D7CBD1C">
      <w:pPr>
        <w:spacing w:line="360" w:lineRule="exact"/>
        <w:ind w:firstLine="420" w:firstLineChars="200"/>
        <w:rPr>
          <w:color w:val="auto"/>
          <w:highlight w:val="none"/>
        </w:rPr>
      </w:pPr>
      <w:r>
        <w:rPr>
          <w:color w:val="auto"/>
          <w:highlight w:val="none"/>
        </w:rPr>
        <w:t>在本章第 3.3 款规定的投标有效期内，招标人通过电子</w:t>
      </w:r>
      <w:r>
        <w:rPr>
          <w:rFonts w:hint="eastAsia"/>
          <w:color w:val="auto"/>
          <w:highlight w:val="none"/>
        </w:rPr>
        <w:t>交易</w:t>
      </w:r>
      <w:r>
        <w:rPr>
          <w:color w:val="auto"/>
          <w:highlight w:val="none"/>
        </w:rPr>
        <w:t>系统以书面形式向中标人发出经电子监督系统验证备案的中标通知书，同时将中标结果通知未中标的投标人。</w:t>
      </w:r>
    </w:p>
    <w:p w14:paraId="74BB407A">
      <w:pPr>
        <w:spacing w:line="360" w:lineRule="exact"/>
        <w:ind w:firstLine="420" w:firstLineChars="200"/>
        <w:rPr>
          <w:color w:val="auto"/>
          <w:highlight w:val="none"/>
        </w:rPr>
      </w:pPr>
      <w:bookmarkStart w:id="454" w:name="_Hlk162096908"/>
      <w:r>
        <w:rPr>
          <w:color w:val="auto"/>
          <w:highlight w:val="none"/>
        </w:rPr>
        <w:t>中标通知书发出的同时，招标人将在投标人须知前附表第6.4款规定的媒介发布中标结果公示。</w:t>
      </w:r>
    </w:p>
    <w:bookmarkEnd w:id="454"/>
    <w:p w14:paraId="3D0C7634">
      <w:pPr>
        <w:pStyle w:val="37"/>
        <w:spacing w:line="360" w:lineRule="exact"/>
        <w:ind w:firstLine="118"/>
        <w:rPr>
          <w:rFonts w:cs="Times New Roman"/>
          <w:color w:val="auto"/>
          <w:highlight w:val="none"/>
        </w:rPr>
      </w:pPr>
      <w:bookmarkStart w:id="455" w:name="_Toc152045569"/>
      <w:bookmarkStart w:id="456" w:name="_Toc247513993"/>
      <w:bookmarkStart w:id="457" w:name="_Toc145081454"/>
      <w:bookmarkStart w:id="458" w:name="_Toc256000051"/>
      <w:bookmarkStart w:id="459" w:name="_Toc144974537"/>
      <w:bookmarkStart w:id="460" w:name="_Toc167542423"/>
      <w:bookmarkStart w:id="461" w:name="_Toc247527594"/>
      <w:bookmarkStart w:id="462" w:name="_Toc152042345"/>
      <w:bookmarkStart w:id="463" w:name="_Toc27522"/>
      <w:r>
        <w:rPr>
          <w:rFonts w:cs="Times New Roman"/>
          <w:color w:val="auto"/>
          <w:highlight w:val="none"/>
        </w:rPr>
        <w:t>7.3 履约担保</w:t>
      </w:r>
      <w:bookmarkEnd w:id="455"/>
      <w:bookmarkEnd w:id="456"/>
      <w:bookmarkEnd w:id="457"/>
      <w:bookmarkEnd w:id="458"/>
      <w:bookmarkEnd w:id="459"/>
      <w:bookmarkEnd w:id="460"/>
      <w:bookmarkEnd w:id="461"/>
      <w:bookmarkEnd w:id="462"/>
      <w:bookmarkEnd w:id="463"/>
    </w:p>
    <w:p w14:paraId="0A774BFF">
      <w:pPr>
        <w:spacing w:line="400" w:lineRule="exact"/>
        <w:ind w:firstLine="420" w:firstLineChars="200"/>
        <w:rPr>
          <w:color w:val="auto"/>
          <w:highlight w:val="none"/>
        </w:rPr>
      </w:pPr>
      <w:r>
        <w:rPr>
          <w:color w:val="auto"/>
          <w:highlight w:val="none"/>
        </w:rPr>
        <w:t>7.3.1 在签订合同前，中标人应按投标人须知前附表规定的担保形式和招标文件第四章“合同条款及格式”规定的或者事先经过招标人书面认可的履约担保格式向招标人提交履约担保。联合体中标的，其履约担保由联合体各方或者联合体中牵头人的名义提交。</w:t>
      </w:r>
    </w:p>
    <w:p w14:paraId="1D3179D0">
      <w:pPr>
        <w:spacing w:line="400" w:lineRule="exact"/>
        <w:ind w:firstLine="420" w:firstLineChars="200"/>
        <w:rPr>
          <w:color w:val="auto"/>
          <w:highlight w:val="none"/>
        </w:rPr>
      </w:pPr>
      <w:r>
        <w:rPr>
          <w:color w:val="auto"/>
          <w:highlight w:val="none"/>
        </w:rPr>
        <w:t>7.3.2 中标人不能按本章第7.3.1项要求提交履约担保的，视为放弃中标，其投标保证金不予退还，给招标人造成的损失超过投标保证金数额的，中标人还应当对超过部分予以赔偿。</w:t>
      </w:r>
    </w:p>
    <w:p w14:paraId="3D24D0B2">
      <w:pPr>
        <w:pStyle w:val="37"/>
        <w:spacing w:line="360" w:lineRule="exact"/>
        <w:ind w:firstLine="118"/>
        <w:rPr>
          <w:rFonts w:cs="Times New Roman"/>
          <w:color w:val="auto"/>
          <w:highlight w:val="none"/>
        </w:rPr>
      </w:pPr>
      <w:bookmarkStart w:id="464" w:name="_Toc152045570"/>
      <w:bookmarkStart w:id="465" w:name="_Toc247527595"/>
      <w:bookmarkStart w:id="466" w:name="_Toc13981"/>
      <w:bookmarkStart w:id="467" w:name="_Toc167542424"/>
      <w:bookmarkStart w:id="468" w:name="_Toc145081455"/>
      <w:bookmarkStart w:id="469" w:name="_Toc152042346"/>
      <w:bookmarkStart w:id="470" w:name="_Toc144974538"/>
      <w:bookmarkStart w:id="471" w:name="_Toc247513994"/>
      <w:bookmarkStart w:id="472" w:name="_Toc256000052"/>
      <w:r>
        <w:rPr>
          <w:rFonts w:cs="Times New Roman"/>
          <w:color w:val="auto"/>
          <w:highlight w:val="none"/>
        </w:rPr>
        <w:t>7.4 签订合同</w:t>
      </w:r>
      <w:bookmarkEnd w:id="464"/>
      <w:bookmarkEnd w:id="465"/>
      <w:bookmarkEnd w:id="466"/>
      <w:bookmarkEnd w:id="467"/>
      <w:bookmarkEnd w:id="468"/>
      <w:bookmarkEnd w:id="469"/>
      <w:bookmarkEnd w:id="470"/>
      <w:bookmarkEnd w:id="471"/>
      <w:bookmarkEnd w:id="472"/>
    </w:p>
    <w:p w14:paraId="51C672EB">
      <w:pPr>
        <w:spacing w:line="400" w:lineRule="exact"/>
        <w:ind w:firstLine="420" w:firstLineChars="200"/>
        <w:rPr>
          <w:color w:val="auto"/>
          <w:highlight w:val="none"/>
        </w:rPr>
      </w:pPr>
      <w:r>
        <w:rPr>
          <w:color w:val="auto"/>
          <w:highlight w:val="none"/>
        </w:rPr>
        <w:t xml:space="preserve">7.4.1 招标人和中标人应当自中标通知书发出之日起30天内，根据招标文件和中标人的投标文件（以经评标委员会评审的文件版本为准）订立书面合同。中标人无正当理由拒签合同的，招标人取消其中标资格，其投标保证金不予退还；给招标人造成的损失超过投标保证金数额的，中标人还应当对超过部分予以赔偿。 </w:t>
      </w:r>
    </w:p>
    <w:p w14:paraId="595B6188">
      <w:pPr>
        <w:spacing w:line="400" w:lineRule="exact"/>
        <w:ind w:firstLine="420" w:firstLineChars="200"/>
        <w:rPr>
          <w:color w:val="auto"/>
          <w:highlight w:val="none"/>
        </w:rPr>
      </w:pPr>
      <w:r>
        <w:rPr>
          <w:color w:val="auto"/>
          <w:highlight w:val="none"/>
        </w:rPr>
        <w:t>7.4.2 发出中标通知书后，招标人无正当理由拒签合同的，招标人向中标人退还投标保证金；给中标人造成损失的，还应当赔偿损失。</w:t>
      </w:r>
    </w:p>
    <w:p w14:paraId="66259387">
      <w:pPr>
        <w:spacing w:line="360" w:lineRule="exact"/>
        <w:ind w:firstLine="420" w:firstLineChars="200"/>
        <w:rPr>
          <w:color w:val="auto"/>
          <w:highlight w:val="none"/>
        </w:rPr>
      </w:pPr>
      <w:r>
        <w:rPr>
          <w:color w:val="auto"/>
          <w:highlight w:val="none"/>
        </w:rPr>
        <w:t>7.4.3 联合体中标的，联合体各方应当共同与招标人签订合同，就中标项目向招标人承担连带责任。</w:t>
      </w:r>
    </w:p>
    <w:p w14:paraId="59987F55">
      <w:pPr>
        <w:spacing w:line="360" w:lineRule="exact"/>
        <w:ind w:firstLine="420" w:firstLineChars="200"/>
        <w:rPr>
          <w:color w:val="auto"/>
          <w:highlight w:val="none"/>
        </w:rPr>
      </w:pPr>
      <w:r>
        <w:rPr>
          <w:color w:val="auto"/>
          <w:highlight w:val="none"/>
        </w:rPr>
        <w:t>7.4.4 签约合同价的确定原则如下：</w:t>
      </w:r>
    </w:p>
    <w:p w14:paraId="6CFEAD91">
      <w:pPr>
        <w:spacing w:line="360" w:lineRule="exact"/>
        <w:ind w:firstLine="420" w:firstLineChars="200"/>
        <w:rPr>
          <w:color w:val="auto"/>
          <w:highlight w:val="none"/>
        </w:rPr>
      </w:pPr>
      <w:r>
        <w:rPr>
          <w:color w:val="auto"/>
          <w:highlight w:val="none"/>
        </w:rPr>
        <w:t>开标时投标函中大写投标总价应为签约合同价。按照第三章“评标办法”的规定，如投标报价有算术错误的，修正的价格经投标人书面确认后，以修正后的投标总价为签约合同价。</w:t>
      </w:r>
    </w:p>
    <w:p w14:paraId="6D286F70">
      <w:pPr>
        <w:spacing w:line="360" w:lineRule="exact"/>
        <w:ind w:firstLine="420" w:firstLineChars="200"/>
        <w:rPr>
          <w:color w:val="auto"/>
          <w:highlight w:val="none"/>
        </w:rPr>
      </w:pPr>
      <w:r>
        <w:rPr>
          <w:color w:val="auto"/>
          <w:highlight w:val="none"/>
        </w:rPr>
        <w:t>7.4.5 招标人和中标人应当在中标通知书发出之日起30日内，登录</w:t>
      </w:r>
      <w:r>
        <w:rPr>
          <w:rFonts w:hint="eastAsia"/>
          <w:color w:val="auto"/>
          <w:highlight w:val="none"/>
        </w:rPr>
        <w:t>辽宁省工程建设项目合同履约管理系统</w:t>
      </w:r>
      <w:r>
        <w:rPr>
          <w:color w:val="auto"/>
          <w:highlight w:val="none"/>
        </w:rPr>
        <w:t>签订合同并向电子监督系统提交电子合同文件归档。按照信息公示规定对合同签订等信息进行公示公开，依法应当保护的商业秘密除外。</w:t>
      </w:r>
    </w:p>
    <w:p w14:paraId="6F6B91ED">
      <w:pPr>
        <w:pStyle w:val="35"/>
        <w:spacing w:line="360" w:lineRule="exact"/>
        <w:rPr>
          <w:rFonts w:cs="Times New Roman"/>
          <w:color w:val="auto"/>
          <w:highlight w:val="none"/>
        </w:rPr>
      </w:pPr>
      <w:bookmarkStart w:id="473" w:name="_Toc179632589"/>
      <w:bookmarkStart w:id="474" w:name="_Toc122602675"/>
      <w:bookmarkStart w:id="475" w:name="_Toc256000053"/>
      <w:bookmarkStart w:id="476" w:name="_Toc9351"/>
      <w:bookmarkStart w:id="477" w:name="_Toc167542425"/>
      <w:r>
        <w:rPr>
          <w:rFonts w:cs="Times New Roman"/>
          <w:color w:val="auto"/>
          <w:highlight w:val="none"/>
        </w:rPr>
        <w:t>8. 重新招标、不再招标</w:t>
      </w:r>
      <w:bookmarkEnd w:id="473"/>
      <w:r>
        <w:rPr>
          <w:rFonts w:cs="Times New Roman"/>
          <w:color w:val="auto"/>
          <w:highlight w:val="none"/>
        </w:rPr>
        <w:t>和终止招标</w:t>
      </w:r>
      <w:bookmarkEnd w:id="474"/>
      <w:bookmarkEnd w:id="475"/>
      <w:bookmarkEnd w:id="476"/>
      <w:bookmarkEnd w:id="477"/>
    </w:p>
    <w:p w14:paraId="29DA7278">
      <w:pPr>
        <w:pStyle w:val="37"/>
        <w:spacing w:line="360" w:lineRule="exact"/>
        <w:ind w:firstLine="118"/>
        <w:rPr>
          <w:rFonts w:cs="Times New Roman"/>
          <w:color w:val="auto"/>
          <w:highlight w:val="none"/>
        </w:rPr>
      </w:pPr>
      <w:bookmarkStart w:id="478" w:name="_Toc152042348"/>
      <w:bookmarkStart w:id="479" w:name="_Toc144974540"/>
      <w:bookmarkStart w:id="480" w:name="_Toc122602676"/>
      <w:bookmarkStart w:id="481" w:name="_Toc256000054"/>
      <w:bookmarkStart w:id="482" w:name="_Toc145081457"/>
      <w:bookmarkStart w:id="483" w:name="_Toc1095"/>
      <w:bookmarkStart w:id="484" w:name="_Toc179632590"/>
      <w:bookmarkStart w:id="485" w:name="_Toc152045572"/>
      <w:bookmarkStart w:id="486" w:name="_Toc167542426"/>
      <w:r>
        <w:rPr>
          <w:rFonts w:cs="Times New Roman"/>
          <w:color w:val="auto"/>
          <w:highlight w:val="none"/>
        </w:rPr>
        <w:t>8.1 重新招标</w:t>
      </w:r>
      <w:bookmarkEnd w:id="478"/>
      <w:bookmarkEnd w:id="479"/>
      <w:bookmarkEnd w:id="480"/>
      <w:bookmarkEnd w:id="481"/>
      <w:bookmarkEnd w:id="482"/>
      <w:bookmarkEnd w:id="483"/>
      <w:bookmarkEnd w:id="484"/>
      <w:bookmarkEnd w:id="485"/>
      <w:bookmarkEnd w:id="486"/>
    </w:p>
    <w:p w14:paraId="15F2D653">
      <w:pPr>
        <w:spacing w:line="360" w:lineRule="exact"/>
        <w:ind w:firstLine="359" w:firstLineChars="171"/>
        <w:rPr>
          <w:color w:val="auto"/>
          <w:highlight w:val="none"/>
        </w:rPr>
      </w:pPr>
      <w:r>
        <w:rPr>
          <w:color w:val="auto"/>
          <w:highlight w:val="none"/>
        </w:rPr>
        <w:t>有下列情形之一的，招标人将重新招标：</w:t>
      </w:r>
    </w:p>
    <w:p w14:paraId="4B3EAC5F">
      <w:pPr>
        <w:spacing w:line="360" w:lineRule="exact"/>
        <w:ind w:firstLine="359" w:firstLineChars="171"/>
        <w:rPr>
          <w:color w:val="auto"/>
          <w:highlight w:val="none"/>
        </w:rPr>
      </w:pPr>
      <w:r>
        <w:rPr>
          <w:color w:val="auto"/>
          <w:highlight w:val="none"/>
        </w:rPr>
        <w:t>（1）投标截止时间止，投标人少于3个的；</w:t>
      </w:r>
    </w:p>
    <w:p w14:paraId="2DD9BB12">
      <w:pPr>
        <w:spacing w:line="360" w:lineRule="exact"/>
        <w:ind w:firstLine="359" w:firstLineChars="171"/>
        <w:rPr>
          <w:color w:val="auto"/>
          <w:highlight w:val="none"/>
        </w:rPr>
      </w:pPr>
      <w:r>
        <w:rPr>
          <w:color w:val="auto"/>
          <w:highlight w:val="none"/>
        </w:rPr>
        <w:t>（2）经评标委员会评审后否决所有投标的；</w:t>
      </w:r>
    </w:p>
    <w:p w14:paraId="0F52B007">
      <w:pPr>
        <w:spacing w:line="360" w:lineRule="exact"/>
        <w:ind w:firstLine="359" w:firstLineChars="171"/>
        <w:rPr>
          <w:color w:val="auto"/>
          <w:highlight w:val="none"/>
        </w:rPr>
      </w:pPr>
      <w:r>
        <w:rPr>
          <w:color w:val="auto"/>
          <w:highlight w:val="none"/>
        </w:rPr>
        <w:t>（3）第一中标候选人或所有中标候选人存在不同程度的问题，不能签订合同的；</w:t>
      </w:r>
    </w:p>
    <w:p w14:paraId="12B5E522">
      <w:pPr>
        <w:spacing w:line="360" w:lineRule="exact"/>
        <w:ind w:firstLine="359" w:firstLineChars="171"/>
        <w:rPr>
          <w:color w:val="auto"/>
          <w:highlight w:val="none"/>
        </w:rPr>
      </w:pPr>
      <w:r>
        <w:rPr>
          <w:color w:val="auto"/>
          <w:highlight w:val="none"/>
        </w:rPr>
        <w:t>（4）在投标有效期内同意延长投标有效期的投标人少于三个的；</w:t>
      </w:r>
    </w:p>
    <w:p w14:paraId="32BC0D01">
      <w:pPr>
        <w:spacing w:line="360" w:lineRule="exact"/>
        <w:ind w:firstLine="359" w:firstLineChars="171"/>
        <w:rPr>
          <w:color w:val="auto"/>
          <w:highlight w:val="none"/>
        </w:rPr>
      </w:pPr>
      <w:r>
        <w:rPr>
          <w:color w:val="auto"/>
          <w:highlight w:val="none"/>
        </w:rPr>
        <w:t>（5）法律、法规规定的其他情形。</w:t>
      </w:r>
    </w:p>
    <w:p w14:paraId="0C5C8A7E">
      <w:pPr>
        <w:pStyle w:val="37"/>
        <w:spacing w:line="360" w:lineRule="exact"/>
        <w:ind w:firstLine="118"/>
        <w:rPr>
          <w:rFonts w:cs="Times New Roman"/>
          <w:color w:val="auto"/>
          <w:highlight w:val="none"/>
        </w:rPr>
      </w:pPr>
      <w:bookmarkStart w:id="487" w:name="_Toc122602677"/>
      <w:bookmarkStart w:id="488" w:name="_Toc144974541"/>
      <w:bookmarkStart w:id="489" w:name="_Toc167542427"/>
      <w:bookmarkStart w:id="490" w:name="_Toc256000055"/>
      <w:bookmarkStart w:id="491" w:name="_Toc152042349"/>
      <w:bookmarkStart w:id="492" w:name="_Toc145081458"/>
      <w:bookmarkStart w:id="493" w:name="_Toc152045573"/>
      <w:bookmarkStart w:id="494" w:name="_Toc25346"/>
      <w:bookmarkStart w:id="495" w:name="_Toc179632591"/>
      <w:r>
        <w:rPr>
          <w:rFonts w:cs="Times New Roman"/>
          <w:color w:val="auto"/>
          <w:highlight w:val="none"/>
        </w:rPr>
        <w:t>8.2 不再招标</w:t>
      </w:r>
      <w:bookmarkEnd w:id="487"/>
      <w:bookmarkEnd w:id="488"/>
      <w:bookmarkEnd w:id="489"/>
      <w:bookmarkEnd w:id="490"/>
      <w:bookmarkEnd w:id="491"/>
      <w:bookmarkEnd w:id="492"/>
      <w:bookmarkEnd w:id="493"/>
      <w:bookmarkEnd w:id="494"/>
      <w:bookmarkEnd w:id="495"/>
    </w:p>
    <w:p w14:paraId="2270562B">
      <w:pPr>
        <w:spacing w:line="360" w:lineRule="exact"/>
        <w:ind w:firstLine="420" w:firstLineChars="200"/>
        <w:rPr>
          <w:color w:val="auto"/>
          <w:highlight w:val="none"/>
        </w:rPr>
      </w:pPr>
      <w:r>
        <w:rPr>
          <w:color w:val="auto"/>
          <w:highlight w:val="none"/>
        </w:rPr>
        <w:t>重新招标后投标人仍少于3个或者所有投标被否决的，属于必须审批或核准的工程建设项目，经原审批或核准部门批准后不再进行招标。</w:t>
      </w:r>
    </w:p>
    <w:p w14:paraId="213C9BAD">
      <w:pPr>
        <w:pStyle w:val="37"/>
        <w:spacing w:line="360" w:lineRule="exact"/>
        <w:ind w:firstLine="118"/>
        <w:rPr>
          <w:rFonts w:cs="Times New Roman"/>
          <w:color w:val="auto"/>
          <w:highlight w:val="none"/>
        </w:rPr>
      </w:pPr>
      <w:bookmarkStart w:id="496" w:name="_Toc145081459"/>
      <w:bookmarkStart w:id="497" w:name="_Toc167542428"/>
      <w:bookmarkStart w:id="498" w:name="_Toc122602678"/>
      <w:bookmarkStart w:id="499" w:name="_Toc256000056"/>
      <w:bookmarkStart w:id="500" w:name="_Toc7565"/>
      <w:r>
        <w:rPr>
          <w:rFonts w:cs="Times New Roman"/>
          <w:color w:val="auto"/>
          <w:highlight w:val="none"/>
        </w:rPr>
        <w:t>8.3 终止招标</w:t>
      </w:r>
      <w:bookmarkEnd w:id="496"/>
      <w:bookmarkEnd w:id="497"/>
      <w:bookmarkEnd w:id="498"/>
      <w:bookmarkEnd w:id="499"/>
      <w:bookmarkEnd w:id="500"/>
    </w:p>
    <w:p w14:paraId="01CB1A89">
      <w:pPr>
        <w:spacing w:line="360" w:lineRule="exact"/>
        <w:ind w:firstLine="420" w:firstLineChars="200"/>
        <w:rPr>
          <w:color w:val="auto"/>
          <w:highlight w:val="none"/>
        </w:rPr>
      </w:pPr>
      <w:r>
        <w:rPr>
          <w:color w:val="auto"/>
          <w:highlight w:val="none"/>
        </w:rPr>
        <w:t>因不可抗力等原因，招标人终止招标的，将通过法定公告公示信息发布媒介、电子交易系统（投标盲盒工具）等渠道及时发布公告，或者以书面形式通知被邀请的或者已经获取招标文件的潜在投标人。已经收取投标保证金的，招标人将及时退还所收取投标保证金及银行同期存款利息。</w:t>
      </w:r>
    </w:p>
    <w:p w14:paraId="133A736B">
      <w:pPr>
        <w:pStyle w:val="35"/>
        <w:spacing w:line="360" w:lineRule="exact"/>
        <w:rPr>
          <w:rFonts w:cs="Times New Roman"/>
          <w:color w:val="auto"/>
          <w:highlight w:val="none"/>
        </w:rPr>
      </w:pPr>
      <w:bookmarkStart w:id="501" w:name="_Toc14252"/>
      <w:bookmarkStart w:id="502" w:name="_Toc256000057"/>
      <w:bookmarkStart w:id="503" w:name="_Toc167542429"/>
      <w:bookmarkStart w:id="504" w:name="_Toc247527599"/>
      <w:bookmarkStart w:id="505" w:name="_Toc152042350"/>
      <w:bookmarkStart w:id="506" w:name="_Toc144974542"/>
      <w:bookmarkStart w:id="507" w:name="_Toc152045574"/>
      <w:bookmarkStart w:id="508" w:name="_Toc247513998"/>
      <w:r>
        <w:rPr>
          <w:rFonts w:cs="Times New Roman"/>
          <w:color w:val="auto"/>
          <w:highlight w:val="none"/>
        </w:rPr>
        <w:t>9. 纪律和监督</w:t>
      </w:r>
      <w:bookmarkEnd w:id="501"/>
      <w:bookmarkEnd w:id="502"/>
      <w:bookmarkEnd w:id="503"/>
      <w:bookmarkEnd w:id="504"/>
      <w:bookmarkEnd w:id="505"/>
      <w:bookmarkEnd w:id="506"/>
      <w:bookmarkEnd w:id="507"/>
      <w:bookmarkEnd w:id="508"/>
    </w:p>
    <w:p w14:paraId="03BFC205">
      <w:pPr>
        <w:pStyle w:val="37"/>
        <w:spacing w:line="360" w:lineRule="exact"/>
        <w:ind w:firstLine="118"/>
        <w:rPr>
          <w:rFonts w:cs="Times New Roman"/>
          <w:color w:val="auto"/>
          <w:highlight w:val="none"/>
        </w:rPr>
      </w:pPr>
      <w:bookmarkStart w:id="509" w:name="_Toc152042351"/>
      <w:bookmarkStart w:id="510" w:name="_Toc256000058"/>
      <w:bookmarkStart w:id="511" w:name="_Toc167542430"/>
      <w:bookmarkStart w:id="512" w:name="_Toc144974543"/>
      <w:bookmarkStart w:id="513" w:name="_Toc247527600"/>
      <w:bookmarkStart w:id="514" w:name="_Toc247513999"/>
      <w:bookmarkStart w:id="515" w:name="_Toc25151"/>
      <w:bookmarkStart w:id="516" w:name="_Toc152045575"/>
      <w:bookmarkStart w:id="517" w:name="_Toc145081461"/>
      <w:r>
        <w:rPr>
          <w:rFonts w:cs="Times New Roman"/>
          <w:color w:val="auto"/>
          <w:highlight w:val="none"/>
        </w:rPr>
        <w:t>9.1 对招标人的纪律要求</w:t>
      </w:r>
      <w:bookmarkEnd w:id="509"/>
      <w:bookmarkEnd w:id="510"/>
      <w:bookmarkEnd w:id="511"/>
      <w:bookmarkEnd w:id="512"/>
      <w:bookmarkEnd w:id="513"/>
      <w:bookmarkEnd w:id="514"/>
      <w:bookmarkEnd w:id="515"/>
      <w:bookmarkEnd w:id="516"/>
      <w:bookmarkEnd w:id="517"/>
    </w:p>
    <w:p w14:paraId="3717EA04">
      <w:pPr>
        <w:spacing w:line="400" w:lineRule="exact"/>
        <w:ind w:firstLine="420" w:firstLineChars="200"/>
        <w:rPr>
          <w:color w:val="auto"/>
          <w:highlight w:val="none"/>
        </w:rPr>
      </w:pPr>
      <w:r>
        <w:rPr>
          <w:color w:val="auto"/>
          <w:highlight w:val="none"/>
        </w:rPr>
        <w:t>招标人不得泄</w:t>
      </w:r>
      <w:r>
        <w:rPr>
          <w:rFonts w:hint="eastAsia"/>
          <w:color w:val="auto"/>
          <w:highlight w:val="none"/>
          <w:lang w:val="en-US" w:eastAsia="zh-CN"/>
        </w:rPr>
        <w:t>露</w:t>
      </w:r>
      <w:r>
        <w:rPr>
          <w:color w:val="auto"/>
          <w:highlight w:val="none"/>
        </w:rPr>
        <w:t>招标投标活动中应当保密的情况和资料，不得与投标人串通损害国家利益、社会公共利益或者他人合法权益。</w:t>
      </w:r>
    </w:p>
    <w:p w14:paraId="2F652F8B">
      <w:pPr>
        <w:pStyle w:val="37"/>
        <w:spacing w:line="360" w:lineRule="exact"/>
        <w:ind w:firstLine="118"/>
        <w:rPr>
          <w:rFonts w:cs="Times New Roman"/>
          <w:color w:val="auto"/>
          <w:highlight w:val="none"/>
        </w:rPr>
      </w:pPr>
      <w:bookmarkStart w:id="518" w:name="_Toc145081462"/>
      <w:bookmarkStart w:id="519" w:name="_Toc256000059"/>
      <w:bookmarkStart w:id="520" w:name="_Toc247527601"/>
      <w:bookmarkStart w:id="521" w:name="_Toc247514000"/>
      <w:bookmarkStart w:id="522" w:name="_Toc167542431"/>
      <w:bookmarkStart w:id="523" w:name="_Toc144974544"/>
      <w:bookmarkStart w:id="524" w:name="_Toc152045576"/>
      <w:bookmarkStart w:id="525" w:name="_Toc152042352"/>
      <w:bookmarkStart w:id="526" w:name="_Toc13602"/>
      <w:r>
        <w:rPr>
          <w:rFonts w:cs="Times New Roman"/>
          <w:color w:val="auto"/>
          <w:highlight w:val="none"/>
        </w:rPr>
        <w:t>9.2 对投标人的纪律要求</w:t>
      </w:r>
      <w:bookmarkEnd w:id="518"/>
      <w:bookmarkEnd w:id="519"/>
      <w:bookmarkEnd w:id="520"/>
      <w:bookmarkEnd w:id="521"/>
      <w:bookmarkEnd w:id="522"/>
      <w:bookmarkEnd w:id="523"/>
      <w:bookmarkEnd w:id="524"/>
      <w:bookmarkEnd w:id="525"/>
      <w:bookmarkEnd w:id="526"/>
    </w:p>
    <w:p w14:paraId="26A1D3CD">
      <w:pPr>
        <w:spacing w:line="400" w:lineRule="exact"/>
        <w:ind w:firstLine="420" w:firstLineChars="200"/>
        <w:rPr>
          <w:color w:val="auto"/>
          <w:highlight w:val="none"/>
        </w:rPr>
      </w:pPr>
      <w:r>
        <w:rPr>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075DFB7F">
      <w:pPr>
        <w:pStyle w:val="37"/>
        <w:spacing w:line="360" w:lineRule="exact"/>
        <w:ind w:firstLine="118"/>
        <w:rPr>
          <w:rFonts w:cs="Times New Roman"/>
          <w:color w:val="auto"/>
          <w:highlight w:val="none"/>
        </w:rPr>
      </w:pPr>
      <w:bookmarkStart w:id="527" w:name="_Toc19536"/>
      <w:bookmarkStart w:id="528" w:name="_Toc167542432"/>
      <w:bookmarkStart w:id="529" w:name="_Toc144974545"/>
      <w:bookmarkStart w:id="530" w:name="_Toc256000060"/>
      <w:bookmarkStart w:id="531" w:name="_Toc145081463"/>
      <w:bookmarkStart w:id="532" w:name="_Toc152042353"/>
      <w:bookmarkStart w:id="533" w:name="_Toc247514001"/>
      <w:bookmarkStart w:id="534" w:name="_Toc152045577"/>
      <w:bookmarkStart w:id="535" w:name="_Toc247527602"/>
      <w:r>
        <w:rPr>
          <w:rFonts w:cs="Times New Roman"/>
          <w:color w:val="auto"/>
          <w:highlight w:val="none"/>
        </w:rPr>
        <w:t>9.3 对评标委员会成员的纪律要求</w:t>
      </w:r>
      <w:bookmarkEnd w:id="527"/>
      <w:bookmarkEnd w:id="528"/>
      <w:bookmarkEnd w:id="529"/>
      <w:bookmarkEnd w:id="530"/>
      <w:bookmarkEnd w:id="531"/>
      <w:bookmarkEnd w:id="532"/>
      <w:bookmarkEnd w:id="533"/>
      <w:bookmarkEnd w:id="534"/>
      <w:bookmarkEnd w:id="535"/>
    </w:p>
    <w:p w14:paraId="0BFF31D4">
      <w:pPr>
        <w:spacing w:line="400" w:lineRule="exact"/>
        <w:ind w:firstLine="420" w:firstLineChars="200"/>
        <w:rPr>
          <w:color w:val="auto"/>
          <w:highlight w:val="none"/>
        </w:rPr>
      </w:pPr>
      <w:r>
        <w:rPr>
          <w:color w:val="auto"/>
          <w:highlight w:val="none"/>
        </w:rPr>
        <w:t>评标委员会应当根据招标文件规定的评标标准和方法，对投标文件进行系统地评审和比较，第三章“评标办法”没有规定的评审因素和标准不能作为评标依据。评标委员会成员不得对其他评标委员会成员的独立评审施加不当影响，不得与任何投标人或者与招标结果有利害关系的人进行私下接触，不得收受投标人、中介人、其他利害关系人的财物或者其他好处，不得向他人</w:t>
      </w:r>
      <w:r>
        <w:rPr>
          <w:rFonts w:hint="eastAsia"/>
          <w:color w:val="auto"/>
          <w:highlight w:val="none"/>
          <w:lang w:eastAsia="zh-CN"/>
        </w:rPr>
        <w:t>透露</w:t>
      </w:r>
      <w:r>
        <w:rPr>
          <w:color w:val="auto"/>
          <w:highlight w:val="none"/>
        </w:rPr>
        <w:t>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敷衍塞责随意评标，不得在合法的评标劳务费之外额外索取、接受报酬或者其他好处。</w:t>
      </w:r>
    </w:p>
    <w:p w14:paraId="3C8736FC">
      <w:pPr>
        <w:pStyle w:val="37"/>
        <w:spacing w:line="360" w:lineRule="exact"/>
        <w:ind w:firstLine="118"/>
        <w:rPr>
          <w:rFonts w:cs="Times New Roman"/>
          <w:color w:val="auto"/>
          <w:highlight w:val="none"/>
        </w:rPr>
      </w:pPr>
      <w:bookmarkStart w:id="536" w:name="_Toc54"/>
      <w:bookmarkStart w:id="537" w:name="_Toc256000061"/>
      <w:bookmarkStart w:id="538" w:name="_Toc152042354"/>
      <w:bookmarkStart w:id="539" w:name="_Toc247527603"/>
      <w:bookmarkStart w:id="540" w:name="_Toc247514002"/>
      <w:bookmarkStart w:id="541" w:name="_Toc167542433"/>
      <w:bookmarkStart w:id="542" w:name="_Toc152045578"/>
      <w:bookmarkStart w:id="543" w:name="_Toc145081464"/>
      <w:bookmarkStart w:id="544" w:name="_Toc144974546"/>
      <w:r>
        <w:rPr>
          <w:rFonts w:cs="Times New Roman"/>
          <w:color w:val="auto"/>
          <w:highlight w:val="none"/>
        </w:rPr>
        <w:t>9.4 对与评标活动有关的工作人员的纪律要求</w:t>
      </w:r>
      <w:bookmarkEnd w:id="536"/>
      <w:bookmarkEnd w:id="537"/>
      <w:bookmarkEnd w:id="538"/>
      <w:bookmarkEnd w:id="539"/>
      <w:bookmarkEnd w:id="540"/>
      <w:bookmarkEnd w:id="541"/>
      <w:bookmarkEnd w:id="542"/>
      <w:bookmarkEnd w:id="543"/>
    </w:p>
    <w:p w14:paraId="71C2F8DD">
      <w:pPr>
        <w:spacing w:line="400" w:lineRule="exact"/>
        <w:ind w:firstLine="420" w:firstLineChars="200"/>
        <w:rPr>
          <w:color w:val="auto"/>
          <w:highlight w:val="none"/>
        </w:rPr>
      </w:pPr>
      <w:bookmarkStart w:id="545" w:name="_Toc152042355"/>
      <w:r>
        <w:rPr>
          <w:color w:val="auto"/>
          <w:highlight w:val="none"/>
        </w:rPr>
        <w:t>与评标活动有关的工作人员不得收受他人的财物或者其他好处，不得向他人</w:t>
      </w:r>
      <w:r>
        <w:rPr>
          <w:rFonts w:hint="eastAsia"/>
          <w:color w:val="auto"/>
          <w:highlight w:val="none"/>
          <w:lang w:eastAsia="zh-CN"/>
        </w:rPr>
        <w:t>透露</w:t>
      </w:r>
      <w:r>
        <w:rPr>
          <w:color w:val="auto"/>
          <w:highlight w:val="none"/>
        </w:rPr>
        <w:t>对投标文件的评审和比较、中标候选人的推荐情况以及评标有关的其他情况。在评标活动中，与评标活动有关的工作人员不得擅离职守，影响评标程序正常进行。</w:t>
      </w:r>
      <w:bookmarkEnd w:id="545"/>
    </w:p>
    <w:p w14:paraId="767E22CA">
      <w:pPr>
        <w:pStyle w:val="37"/>
        <w:spacing w:line="360" w:lineRule="exact"/>
        <w:ind w:firstLine="118"/>
        <w:rPr>
          <w:rFonts w:cs="Times New Roman"/>
          <w:color w:val="auto"/>
          <w:highlight w:val="none"/>
        </w:rPr>
      </w:pPr>
      <w:bookmarkStart w:id="546" w:name="_Toc256000062"/>
      <w:bookmarkStart w:id="547" w:name="_Toc145081465"/>
      <w:bookmarkStart w:id="548" w:name="_Toc152042356"/>
      <w:bookmarkStart w:id="549" w:name="_Toc247527604"/>
      <w:bookmarkStart w:id="550" w:name="_Toc152045579"/>
      <w:bookmarkStart w:id="551" w:name="_Toc167542434"/>
      <w:bookmarkStart w:id="552" w:name="_Toc15716"/>
      <w:bookmarkStart w:id="553" w:name="_Toc247514003"/>
      <w:r>
        <w:rPr>
          <w:rFonts w:cs="Times New Roman"/>
          <w:color w:val="auto"/>
          <w:highlight w:val="none"/>
        </w:rPr>
        <w:t>9.5 投诉</w:t>
      </w:r>
      <w:bookmarkEnd w:id="544"/>
      <w:bookmarkEnd w:id="546"/>
      <w:bookmarkEnd w:id="547"/>
      <w:bookmarkEnd w:id="548"/>
      <w:bookmarkEnd w:id="549"/>
      <w:bookmarkEnd w:id="550"/>
      <w:bookmarkEnd w:id="551"/>
      <w:bookmarkEnd w:id="552"/>
      <w:bookmarkEnd w:id="553"/>
    </w:p>
    <w:p w14:paraId="426EFFD9">
      <w:pPr>
        <w:spacing w:line="360" w:lineRule="exact"/>
        <w:ind w:firstLine="420" w:firstLineChars="200"/>
        <w:rPr>
          <w:color w:val="auto"/>
          <w:highlight w:val="none"/>
        </w:rPr>
      </w:pPr>
      <w:bookmarkStart w:id="554" w:name="_Toc152045580"/>
      <w:bookmarkStart w:id="555" w:name="_Toc152042357"/>
      <w:bookmarkStart w:id="556" w:name="_Toc247527605"/>
      <w:bookmarkStart w:id="557" w:name="_Toc247514004"/>
      <w:bookmarkStart w:id="558" w:name="_Toc144974547"/>
      <w:r>
        <w:rPr>
          <w:color w:val="auto"/>
          <w:highlight w:val="none"/>
        </w:rPr>
        <w:t>投标人和其他利害关系人认为本次招标活动违反法律、法规和规章规定的，有权自知道或者应当知道之日起10日内向有关行政监督部门投诉，其中对招标文件的内容（包括最高投标限价）、开标、评标结果进行投诉的，应当按本章第2.4款、第5.3款、第7.2款的规定先向招标人提出异议后，方可向有关行政监督部门投诉，异议答复期不计算在规定的投诉时效期限内。</w:t>
      </w:r>
    </w:p>
    <w:p w14:paraId="5FB2B7BA">
      <w:pPr>
        <w:spacing w:line="360" w:lineRule="exact"/>
        <w:ind w:firstLine="420" w:firstLineChars="200"/>
        <w:rPr>
          <w:color w:val="auto"/>
          <w:highlight w:val="none"/>
        </w:rPr>
      </w:pPr>
      <w:r>
        <w:rPr>
          <w:color w:val="auto"/>
          <w:highlight w:val="none"/>
        </w:rPr>
        <w:t>投标人和其他利害关系人的投诉应按照《工程建设项目招标投标活动投诉处理办法》的规定进行。</w:t>
      </w:r>
    </w:p>
    <w:p w14:paraId="0A0E5A6C">
      <w:pPr>
        <w:spacing w:line="360" w:lineRule="exact"/>
        <w:ind w:firstLine="420" w:firstLineChars="200"/>
        <w:rPr>
          <w:color w:val="auto"/>
          <w:highlight w:val="none"/>
        </w:rPr>
      </w:pPr>
      <w:r>
        <w:rPr>
          <w:color w:val="auto"/>
          <w:highlight w:val="none"/>
        </w:rPr>
        <w:t>有关行政监督部门的联系方式见投标人须知前附表。</w:t>
      </w:r>
    </w:p>
    <w:p w14:paraId="59E6A7B7">
      <w:pPr>
        <w:pStyle w:val="35"/>
        <w:spacing w:line="360" w:lineRule="exact"/>
        <w:rPr>
          <w:rFonts w:cs="Times New Roman"/>
          <w:color w:val="auto"/>
          <w:highlight w:val="none"/>
        </w:rPr>
      </w:pPr>
      <w:bookmarkStart w:id="559" w:name="_Toc27560"/>
      <w:bookmarkStart w:id="560" w:name="_Toc167542435"/>
      <w:bookmarkStart w:id="561" w:name="_Toc256000063"/>
      <w:r>
        <w:rPr>
          <w:rFonts w:cs="Times New Roman"/>
          <w:color w:val="auto"/>
          <w:highlight w:val="none"/>
        </w:rPr>
        <w:t>10. 需要补充的其他内容</w:t>
      </w:r>
      <w:bookmarkEnd w:id="554"/>
      <w:bookmarkEnd w:id="555"/>
      <w:bookmarkEnd w:id="556"/>
      <w:bookmarkEnd w:id="557"/>
      <w:bookmarkEnd w:id="558"/>
      <w:bookmarkEnd w:id="559"/>
      <w:bookmarkEnd w:id="560"/>
      <w:bookmarkEnd w:id="561"/>
    </w:p>
    <w:p w14:paraId="1972A770">
      <w:pPr>
        <w:pStyle w:val="37"/>
        <w:spacing w:line="360" w:lineRule="exact"/>
        <w:ind w:firstLine="118"/>
        <w:rPr>
          <w:rFonts w:cs="Times New Roman"/>
          <w:color w:val="auto"/>
          <w:highlight w:val="none"/>
        </w:rPr>
      </w:pPr>
      <w:bookmarkStart w:id="562" w:name="_Toc145002232"/>
      <w:bookmarkStart w:id="563" w:name="_Toc145081467"/>
      <w:bookmarkStart w:id="564" w:name="_Toc7720"/>
      <w:bookmarkStart w:id="565" w:name="_Toc256000064"/>
      <w:bookmarkStart w:id="566" w:name="_Toc167542436"/>
      <w:bookmarkStart w:id="567" w:name="_Toc122602686"/>
      <w:bookmarkStart w:id="568" w:name="_Toc426495265"/>
      <w:r>
        <w:rPr>
          <w:rFonts w:cs="Times New Roman"/>
          <w:color w:val="auto"/>
          <w:highlight w:val="none"/>
        </w:rPr>
        <w:t>10.1 词语定义</w:t>
      </w:r>
      <w:bookmarkEnd w:id="562"/>
      <w:bookmarkEnd w:id="563"/>
      <w:bookmarkEnd w:id="564"/>
      <w:bookmarkEnd w:id="565"/>
      <w:bookmarkEnd w:id="566"/>
      <w:bookmarkEnd w:id="567"/>
    </w:p>
    <w:p w14:paraId="36F605F3">
      <w:pPr>
        <w:spacing w:line="360" w:lineRule="exact"/>
        <w:ind w:firstLine="420" w:firstLineChars="200"/>
        <w:rPr>
          <w:color w:val="auto"/>
          <w:highlight w:val="none"/>
        </w:rPr>
      </w:pPr>
      <w:r>
        <w:rPr>
          <w:color w:val="auto"/>
          <w:highlight w:val="none"/>
        </w:rPr>
        <w:t>词语定义规定：见投标人须知前附表。</w:t>
      </w:r>
    </w:p>
    <w:bookmarkEnd w:id="568"/>
    <w:p w14:paraId="34817590">
      <w:pPr>
        <w:pStyle w:val="37"/>
        <w:spacing w:line="360" w:lineRule="exact"/>
        <w:ind w:firstLine="118"/>
        <w:rPr>
          <w:rFonts w:cs="Times New Roman"/>
          <w:color w:val="auto"/>
          <w:highlight w:val="none"/>
        </w:rPr>
      </w:pPr>
      <w:bookmarkStart w:id="569" w:name="_Toc387753565"/>
      <w:bookmarkStart w:id="570" w:name="_Toc145081468"/>
      <w:bookmarkStart w:id="571" w:name="_Toc145002233"/>
      <w:bookmarkStart w:id="572" w:name="_Toc167542437"/>
      <w:bookmarkStart w:id="573" w:name="_Toc256000065"/>
      <w:bookmarkStart w:id="574" w:name="_Toc17075"/>
      <w:bookmarkStart w:id="575" w:name="_Toc456173253"/>
      <w:bookmarkStart w:id="576" w:name="_Toc122602687"/>
      <w:r>
        <w:rPr>
          <w:rFonts w:cs="Times New Roman"/>
          <w:color w:val="auto"/>
          <w:highlight w:val="none"/>
        </w:rPr>
        <w:t>10.2 中标人的投标文件</w:t>
      </w:r>
      <w:bookmarkEnd w:id="569"/>
      <w:bookmarkEnd w:id="570"/>
      <w:bookmarkEnd w:id="571"/>
      <w:bookmarkEnd w:id="572"/>
      <w:bookmarkEnd w:id="573"/>
      <w:bookmarkEnd w:id="574"/>
      <w:bookmarkEnd w:id="575"/>
      <w:bookmarkEnd w:id="576"/>
    </w:p>
    <w:p w14:paraId="48ADFB9B">
      <w:pPr>
        <w:spacing w:line="360" w:lineRule="exact"/>
        <w:ind w:firstLine="420" w:firstLineChars="200"/>
        <w:rPr>
          <w:color w:val="auto"/>
          <w:highlight w:val="none"/>
        </w:rPr>
      </w:pPr>
      <w:r>
        <w:rPr>
          <w:color w:val="auto"/>
          <w:highlight w:val="none"/>
        </w:rPr>
        <w:t>中标人在签订合同前须向招标人另行提交的纸质投标文件份数：见投标人须知前附表。</w:t>
      </w:r>
    </w:p>
    <w:p w14:paraId="43017E83">
      <w:pPr>
        <w:pStyle w:val="37"/>
        <w:spacing w:line="360" w:lineRule="exact"/>
        <w:ind w:firstLine="118"/>
        <w:rPr>
          <w:rFonts w:cs="Times New Roman"/>
          <w:color w:val="auto"/>
          <w:highlight w:val="none"/>
        </w:rPr>
      </w:pPr>
      <w:bookmarkStart w:id="577" w:name="_Toc426495266"/>
      <w:bookmarkStart w:id="578" w:name="_Toc145002234"/>
      <w:bookmarkStart w:id="579" w:name="_Toc256000066"/>
      <w:bookmarkStart w:id="580" w:name="_Toc145081469"/>
      <w:bookmarkStart w:id="581" w:name="_Toc167542438"/>
      <w:bookmarkStart w:id="582" w:name="_Toc16671"/>
      <w:bookmarkStart w:id="583" w:name="_Toc122602688"/>
      <w:r>
        <w:rPr>
          <w:rFonts w:cs="Times New Roman"/>
          <w:color w:val="auto"/>
          <w:highlight w:val="none"/>
        </w:rPr>
        <w:t>10.3 知识产权</w:t>
      </w:r>
      <w:bookmarkEnd w:id="577"/>
      <w:bookmarkEnd w:id="578"/>
      <w:bookmarkEnd w:id="579"/>
      <w:bookmarkEnd w:id="580"/>
      <w:bookmarkEnd w:id="581"/>
      <w:bookmarkEnd w:id="582"/>
      <w:bookmarkEnd w:id="583"/>
    </w:p>
    <w:p w14:paraId="1C31B764">
      <w:pPr>
        <w:spacing w:line="360" w:lineRule="exact"/>
        <w:ind w:firstLine="420" w:firstLineChars="200"/>
        <w:rPr>
          <w:color w:val="auto"/>
          <w:highlight w:val="none"/>
        </w:rPr>
      </w:pPr>
      <w:r>
        <w:rPr>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p w14:paraId="7CABFD70">
      <w:pPr>
        <w:pStyle w:val="37"/>
        <w:spacing w:line="360" w:lineRule="exact"/>
        <w:ind w:firstLine="118"/>
        <w:rPr>
          <w:rFonts w:cs="Times New Roman"/>
          <w:color w:val="auto"/>
          <w:highlight w:val="none"/>
        </w:rPr>
      </w:pPr>
      <w:bookmarkStart w:id="584" w:name="_Toc122602689"/>
      <w:bookmarkStart w:id="585" w:name="_Toc167542439"/>
      <w:bookmarkStart w:id="586" w:name="_Toc145081470"/>
      <w:bookmarkStart w:id="587" w:name="_Toc145002235"/>
      <w:bookmarkStart w:id="588" w:name="_Toc426495267"/>
      <w:bookmarkStart w:id="589" w:name="_Toc256000067"/>
      <w:bookmarkStart w:id="590" w:name="_Toc2305"/>
      <w:r>
        <w:rPr>
          <w:rFonts w:cs="Times New Roman"/>
          <w:color w:val="auto"/>
          <w:highlight w:val="none"/>
        </w:rPr>
        <w:t>10.4 同义词语</w:t>
      </w:r>
      <w:bookmarkEnd w:id="584"/>
      <w:bookmarkEnd w:id="585"/>
      <w:bookmarkEnd w:id="586"/>
      <w:bookmarkEnd w:id="587"/>
      <w:bookmarkEnd w:id="588"/>
      <w:bookmarkEnd w:id="589"/>
      <w:bookmarkEnd w:id="590"/>
    </w:p>
    <w:p w14:paraId="72DF97A4">
      <w:pPr>
        <w:spacing w:line="360" w:lineRule="exact"/>
        <w:ind w:firstLine="420" w:firstLineChars="200"/>
        <w:rPr>
          <w:color w:val="auto"/>
          <w:highlight w:val="none"/>
        </w:rPr>
      </w:pPr>
      <w:r>
        <w:rPr>
          <w:color w:val="auto"/>
          <w:highlight w:val="none"/>
        </w:rPr>
        <w:t>构成招标文件组成部分的“通用合同条件”、“专用合同条件”、“发包人要求”等章节中出现的措辞“发包人”和“承包人”，在招标投标阶段应当分别按“招标人”和“投标人”进行理解。</w:t>
      </w:r>
    </w:p>
    <w:p w14:paraId="6B88F7C2">
      <w:pPr>
        <w:pStyle w:val="37"/>
        <w:spacing w:line="360" w:lineRule="exact"/>
        <w:ind w:firstLine="118"/>
        <w:rPr>
          <w:rFonts w:cs="Times New Roman"/>
          <w:color w:val="auto"/>
          <w:highlight w:val="none"/>
        </w:rPr>
      </w:pPr>
      <w:bookmarkStart w:id="591" w:name="_Toc145081471"/>
      <w:bookmarkStart w:id="592" w:name="_Toc167542440"/>
      <w:bookmarkStart w:id="593" w:name="_Toc256000068"/>
      <w:bookmarkStart w:id="594" w:name="_Toc145002236"/>
      <w:bookmarkStart w:id="595" w:name="_Toc122602690"/>
      <w:bookmarkStart w:id="596" w:name="_Toc27822"/>
      <w:bookmarkStart w:id="597" w:name="_Toc426495268"/>
      <w:r>
        <w:rPr>
          <w:rFonts w:cs="Times New Roman"/>
          <w:color w:val="auto"/>
          <w:highlight w:val="none"/>
        </w:rPr>
        <w:t>10.5 解释权</w:t>
      </w:r>
      <w:bookmarkEnd w:id="591"/>
      <w:bookmarkEnd w:id="592"/>
      <w:bookmarkEnd w:id="593"/>
      <w:bookmarkEnd w:id="594"/>
      <w:bookmarkEnd w:id="595"/>
      <w:bookmarkEnd w:id="596"/>
      <w:bookmarkEnd w:id="597"/>
    </w:p>
    <w:p w14:paraId="259337A4">
      <w:pPr>
        <w:spacing w:line="360" w:lineRule="exact"/>
        <w:ind w:firstLine="420" w:firstLineChars="200"/>
        <w:rPr>
          <w:color w:val="auto"/>
          <w:highlight w:val="none"/>
        </w:rPr>
      </w:pPr>
      <w:r>
        <w:rPr>
          <w:color w:val="auto"/>
          <w:highlight w:val="none"/>
        </w:rPr>
        <w:t>构成本招标文件的各个组成文件应互为解释，互为说明；如有不明确或不一致，构成合同文件组成内容的，以合同文件约定内容为准，且以专用合同条件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p w14:paraId="73913B52">
      <w:pPr>
        <w:pStyle w:val="37"/>
        <w:spacing w:line="360" w:lineRule="exact"/>
        <w:ind w:firstLine="118"/>
        <w:rPr>
          <w:rFonts w:cs="Times New Roman"/>
          <w:color w:val="auto"/>
          <w:highlight w:val="none"/>
        </w:rPr>
      </w:pPr>
      <w:bookmarkStart w:id="598" w:name="_Toc145002238"/>
      <w:bookmarkStart w:id="599" w:name="_Toc122602692"/>
      <w:bookmarkStart w:id="600" w:name="_Toc167542441"/>
      <w:bookmarkStart w:id="601" w:name="_Toc17116"/>
      <w:bookmarkStart w:id="602" w:name="_Toc256000069"/>
      <w:bookmarkStart w:id="603" w:name="_Toc145081473"/>
      <w:bookmarkStart w:id="604" w:name="_Toc426495269"/>
      <w:r>
        <w:rPr>
          <w:rFonts w:cs="Times New Roman"/>
          <w:color w:val="auto"/>
          <w:highlight w:val="none"/>
        </w:rPr>
        <w:t>10.6 招标人补充的其他内容</w:t>
      </w:r>
      <w:bookmarkEnd w:id="598"/>
      <w:bookmarkEnd w:id="599"/>
      <w:bookmarkEnd w:id="600"/>
      <w:bookmarkEnd w:id="601"/>
      <w:bookmarkEnd w:id="602"/>
      <w:bookmarkEnd w:id="603"/>
      <w:bookmarkEnd w:id="604"/>
    </w:p>
    <w:p w14:paraId="52A69D23">
      <w:pPr>
        <w:spacing w:line="360" w:lineRule="exact"/>
        <w:ind w:firstLine="420" w:firstLineChars="200"/>
        <w:rPr>
          <w:color w:val="auto"/>
          <w:highlight w:val="none"/>
        </w:rPr>
      </w:pPr>
      <w:r>
        <w:rPr>
          <w:color w:val="auto"/>
          <w:highlight w:val="none"/>
        </w:rPr>
        <w:t>招标人补充的其他内容：见投标人须知前附表。</w:t>
      </w:r>
    </w:p>
    <w:p w14:paraId="0F6243FE">
      <w:pPr>
        <w:spacing w:line="400" w:lineRule="exact"/>
        <w:ind w:firstLine="420" w:firstLineChars="200"/>
        <w:rPr>
          <w:color w:val="auto"/>
          <w:highlight w:val="none"/>
        </w:rPr>
      </w:pPr>
    </w:p>
    <w:p w14:paraId="6A04E3A4">
      <w:pPr>
        <w:spacing w:line="400" w:lineRule="exact"/>
        <w:rPr>
          <w:color w:val="auto"/>
          <w:highlight w:val="none"/>
        </w:rPr>
      </w:pPr>
      <w:r>
        <w:rPr>
          <w:color w:val="auto"/>
          <w:highlight w:val="none"/>
        </w:rPr>
        <w:br w:type="page"/>
      </w:r>
    </w:p>
    <w:p w14:paraId="374D4D6A">
      <w:pPr>
        <w:pStyle w:val="3"/>
        <w:rPr>
          <w:rFonts w:hint="eastAsia" w:ascii="仿宋_GB2312" w:hAnsi="黑体" w:eastAsia="仿宋_GB2312"/>
          <w:b w:val="0"/>
          <w:bCs w:val="0"/>
          <w:color w:val="auto"/>
          <w:spacing w:val="12"/>
          <w:sz w:val="24"/>
          <w:highlight w:val="none"/>
        </w:rPr>
      </w:pPr>
      <w:bookmarkStart w:id="605" w:name="_Toc25375"/>
      <w:bookmarkStart w:id="606" w:name="_Toc353544000"/>
      <w:bookmarkStart w:id="607" w:name="_Toc256000070"/>
      <w:bookmarkStart w:id="608" w:name="_Toc165804340"/>
      <w:r>
        <w:rPr>
          <w:rFonts w:hint="eastAsia"/>
          <w:b w:val="0"/>
          <w:color w:val="auto"/>
          <w:sz w:val="24"/>
          <w:szCs w:val="24"/>
          <w:highlight w:val="none"/>
        </w:rPr>
        <w:t>附表一：招标文件澄清申请函</w:t>
      </w:r>
      <w:bookmarkEnd w:id="605"/>
      <w:bookmarkEnd w:id="606"/>
      <w:bookmarkEnd w:id="607"/>
      <w:bookmarkEnd w:id="608"/>
    </w:p>
    <w:p w14:paraId="19501284">
      <w:pPr>
        <w:rPr>
          <w:rFonts w:ascii="仿宋_GB2312" w:eastAsia="仿宋_GB2312"/>
          <w:color w:val="auto"/>
          <w:highlight w:val="none"/>
        </w:rPr>
      </w:pPr>
    </w:p>
    <w:p w14:paraId="57A65141">
      <w:pPr>
        <w:spacing w:before="120" w:beforeLines="50" w:after="120" w:afterLines="50"/>
        <w:jc w:val="center"/>
        <w:rPr>
          <w:rFonts w:ascii="仿宋_GB2312" w:eastAsia="仿宋_GB2312"/>
          <w:color w:val="auto"/>
          <w:sz w:val="28"/>
          <w:szCs w:val="28"/>
          <w:highlight w:val="none"/>
        </w:rPr>
      </w:pPr>
    </w:p>
    <w:p w14:paraId="661A9D7A">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招标文件澄清申请函</w:t>
      </w:r>
    </w:p>
    <w:p w14:paraId="4EA6BAB6">
      <w:pPr>
        <w:rPr>
          <w:rFonts w:hint="eastAsia" w:ascii="宋体" w:hAnsi="宋体"/>
          <w:color w:val="auto"/>
          <w:highlight w:val="none"/>
        </w:rPr>
      </w:pPr>
    </w:p>
    <w:p w14:paraId="2E50D888">
      <w:pPr>
        <w:ind w:firstLine="6195" w:firstLineChars="2950"/>
        <w:rPr>
          <w:rFonts w:hint="eastAsia" w:ascii="宋体" w:hAnsi="宋体"/>
          <w:color w:val="auto"/>
          <w:szCs w:val="21"/>
          <w:highlight w:val="none"/>
        </w:rPr>
      </w:pPr>
      <w:r>
        <w:rPr>
          <w:rFonts w:hint="eastAsia" w:ascii="宋体" w:hAnsi="宋体"/>
          <w:color w:val="auto"/>
          <w:szCs w:val="21"/>
          <w:highlight w:val="none"/>
        </w:rPr>
        <w:t>编号：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667685E0">
      <w:pPr>
        <w:spacing w:line="560" w:lineRule="exact"/>
        <w:ind w:firstLine="420" w:firstLineChars="200"/>
        <w:rPr>
          <w:rFonts w:hint="eastAsia" w:ascii="宋体" w:hAnsi="宋体"/>
          <w:color w:val="auto"/>
          <w:szCs w:val="21"/>
          <w:highlight w:val="none"/>
          <w:u w:val="single"/>
        </w:rPr>
      </w:pPr>
    </w:p>
    <w:p w14:paraId="0DE00760">
      <w:pPr>
        <w:spacing w:line="560" w:lineRule="exact"/>
        <w:rPr>
          <w:rFonts w:hint="eastAsia"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（招标人名称）：</w:t>
      </w:r>
    </w:p>
    <w:p w14:paraId="6D76F868">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经过仔细阅读</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招标文件后，我方申请对以下问题予以澄清：</w:t>
      </w:r>
    </w:p>
    <w:p w14:paraId="5AE2C3AE">
      <w:pPr>
        <w:spacing w:line="560" w:lineRule="exact"/>
        <w:ind w:firstLine="105" w:firstLineChars="50"/>
        <w:rPr>
          <w:rFonts w:hint="eastAsia" w:ascii="宋体" w:hAnsi="宋体"/>
          <w:color w:val="auto"/>
          <w:szCs w:val="21"/>
          <w:highlight w:val="none"/>
        </w:rPr>
      </w:pPr>
      <w:bookmarkStart w:id="609" w:name="_Hlt269064826"/>
      <w:r>
        <w:rPr>
          <w:rFonts w:hint="eastAsia" w:ascii="宋体" w:hAnsi="宋体"/>
          <w:color w:val="auto"/>
          <w:szCs w:val="21"/>
          <w:highlight w:val="none"/>
        </w:rPr>
        <w:t>　1.……</w:t>
      </w:r>
    </w:p>
    <w:p w14:paraId="249AC4B1">
      <w:pPr>
        <w:spacing w:line="5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2.……</w:t>
      </w:r>
    </w:p>
    <w:p w14:paraId="5D66F681">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p w14:paraId="07FDFD33">
      <w:pPr>
        <w:spacing w:line="560" w:lineRule="exact"/>
        <w:ind w:firstLine="420" w:firstLineChars="200"/>
        <w:rPr>
          <w:rFonts w:hint="eastAsia" w:ascii="宋体" w:hAnsi="宋体"/>
          <w:color w:val="auto"/>
          <w:szCs w:val="21"/>
          <w:highlight w:val="none"/>
        </w:rPr>
      </w:pPr>
    </w:p>
    <w:bookmarkEnd w:id="609"/>
    <w:p w14:paraId="7725135A">
      <w:pPr>
        <w:spacing w:line="560" w:lineRule="exact"/>
        <w:ind w:firstLine="420" w:firstLineChars="200"/>
        <w:rPr>
          <w:rFonts w:hint="eastAsia" w:ascii="宋体" w:hAnsi="宋体"/>
          <w:color w:val="auto"/>
          <w:szCs w:val="21"/>
          <w:highlight w:val="none"/>
        </w:rPr>
      </w:pPr>
    </w:p>
    <w:p w14:paraId="0974775B">
      <w:pPr>
        <w:wordWrap w:val="0"/>
        <w:jc w:val="right"/>
        <w:rPr>
          <w:rFonts w:hint="eastAsia" w:ascii="宋体" w:hAnsi="宋体"/>
          <w:color w:val="auto"/>
          <w:highlight w:val="none"/>
        </w:rPr>
      </w:pPr>
      <w:r>
        <w:rPr>
          <w:rFonts w:hint="eastAsia" w:ascii="宋体" w:hAnsi="宋体"/>
          <w:color w:val="auto"/>
          <w:szCs w:val="21"/>
          <w:highlight w:val="none"/>
        </w:rPr>
        <w:t xml:space="preserve">　　　　　　　　　　　　　　　  </w:t>
      </w:r>
      <w:r>
        <w:rPr>
          <w:rFonts w:hint="eastAsia" w:ascii="宋体" w:hAnsi="宋体"/>
          <w:color w:val="auto"/>
          <w:highlight w:val="none"/>
        </w:rPr>
        <w:t>投标人：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14:paraId="352722A1">
      <w:pPr>
        <w:jc w:val="right"/>
        <w:rPr>
          <w:rFonts w:hint="eastAsia" w:ascii="宋体" w:hAnsi="宋体"/>
          <w:color w:val="auto"/>
          <w:highlight w:val="none"/>
        </w:rPr>
      </w:pPr>
    </w:p>
    <w:p w14:paraId="62298D1F">
      <w:pPr>
        <w:spacing w:line="560" w:lineRule="exact"/>
        <w:ind w:firstLine="420" w:firstLineChars="200"/>
        <w:rPr>
          <w:rFonts w:hint="eastAsia"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14:paraId="51269B4B">
      <w:pPr>
        <w:spacing w:line="560" w:lineRule="exact"/>
        <w:ind w:firstLine="420" w:firstLineChars="200"/>
        <w:rPr>
          <w:rFonts w:hint="eastAsia" w:ascii="宋体" w:hAnsi="宋体"/>
          <w:color w:val="auto"/>
          <w:szCs w:val="21"/>
          <w:highlight w:val="none"/>
        </w:rPr>
      </w:pPr>
    </w:p>
    <w:p w14:paraId="406EAF22">
      <w:pPr>
        <w:spacing w:line="560" w:lineRule="exact"/>
        <w:ind w:firstLine="420" w:firstLineChars="200"/>
        <w:rPr>
          <w:rFonts w:hint="eastAsia" w:ascii="宋体" w:hAnsi="宋体"/>
          <w:color w:val="auto"/>
          <w:szCs w:val="21"/>
          <w:highlight w:val="none"/>
        </w:rPr>
      </w:pPr>
    </w:p>
    <w:p w14:paraId="14754164">
      <w:pPr>
        <w:spacing w:line="560" w:lineRule="exact"/>
        <w:ind w:firstLine="420" w:firstLineChars="200"/>
        <w:rPr>
          <w:rFonts w:hint="eastAsia" w:ascii="宋体" w:hAnsi="宋体"/>
          <w:color w:val="auto"/>
          <w:szCs w:val="21"/>
          <w:highlight w:val="none"/>
        </w:rPr>
      </w:pPr>
    </w:p>
    <w:p w14:paraId="78F1C8D8">
      <w:pPr>
        <w:spacing w:line="560" w:lineRule="exact"/>
        <w:ind w:firstLine="420" w:firstLineChars="200"/>
        <w:rPr>
          <w:rFonts w:hint="eastAsia" w:ascii="宋体" w:hAnsi="宋体"/>
          <w:color w:val="auto"/>
          <w:szCs w:val="21"/>
          <w:highlight w:val="none"/>
        </w:rPr>
      </w:pPr>
    </w:p>
    <w:p w14:paraId="1F69775D">
      <w:pPr>
        <w:spacing w:line="560" w:lineRule="exact"/>
        <w:rPr>
          <w:rFonts w:hint="eastAsia" w:ascii="宋体" w:hAnsi="宋体"/>
          <w:color w:val="auto"/>
          <w:szCs w:val="21"/>
          <w:highlight w:val="none"/>
        </w:rPr>
      </w:pPr>
    </w:p>
    <w:p w14:paraId="175CC541">
      <w:pPr>
        <w:spacing w:line="560" w:lineRule="exact"/>
        <w:ind w:right="840" w:rightChars="400"/>
        <w:rPr>
          <w:rFonts w:hint="eastAsia" w:ascii="宋体" w:hAnsi="宋体"/>
          <w:color w:val="auto"/>
          <w:sz w:val="24"/>
          <w:highlight w:val="none"/>
        </w:rPr>
      </w:pPr>
      <w:r>
        <w:rPr>
          <w:rFonts w:ascii="宋体" w:hAnsi="宋体"/>
          <w:color w:val="auto"/>
          <w:sz w:val="24"/>
          <w:highlight w:val="none"/>
        </w:rPr>
        <w:br w:type="page"/>
      </w:r>
    </w:p>
    <w:p w14:paraId="4C10A167">
      <w:pPr>
        <w:pStyle w:val="3"/>
        <w:rPr>
          <w:b w:val="0"/>
          <w:color w:val="auto"/>
          <w:sz w:val="24"/>
          <w:szCs w:val="24"/>
          <w:highlight w:val="none"/>
        </w:rPr>
      </w:pPr>
      <w:bookmarkStart w:id="610" w:name="_Toc256000071"/>
      <w:bookmarkStart w:id="611" w:name="_Toc26276"/>
      <w:bookmarkStart w:id="612" w:name="_Toc165804341"/>
      <w:bookmarkStart w:id="613" w:name="_Toc353544001"/>
      <w:r>
        <w:rPr>
          <w:rFonts w:hint="eastAsia"/>
          <w:b w:val="0"/>
          <w:color w:val="auto"/>
          <w:sz w:val="24"/>
          <w:szCs w:val="24"/>
          <w:highlight w:val="none"/>
        </w:rPr>
        <w:t>附表二：招标文件澄清通知</w:t>
      </w:r>
      <w:bookmarkEnd w:id="610"/>
      <w:bookmarkEnd w:id="611"/>
      <w:bookmarkEnd w:id="612"/>
      <w:bookmarkEnd w:id="613"/>
    </w:p>
    <w:p w14:paraId="143F65D0">
      <w:pPr>
        <w:spacing w:line="560" w:lineRule="exact"/>
        <w:ind w:right="840" w:rightChars="400"/>
        <w:rPr>
          <w:rFonts w:ascii="仿宋_GB2312" w:eastAsia="仿宋_GB2312"/>
          <w:color w:val="auto"/>
          <w:sz w:val="24"/>
          <w:highlight w:val="none"/>
        </w:rPr>
      </w:pPr>
    </w:p>
    <w:p w14:paraId="24998DE5">
      <w:pPr>
        <w:rPr>
          <w:rFonts w:ascii="仿宋_GB2312" w:eastAsia="仿宋_GB2312"/>
          <w:color w:val="auto"/>
          <w:highlight w:val="none"/>
        </w:rPr>
      </w:pPr>
    </w:p>
    <w:p w14:paraId="1E6C5A50">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招标文件澄清通知</w:t>
      </w:r>
    </w:p>
    <w:p w14:paraId="689B97F4">
      <w:pPr>
        <w:rPr>
          <w:rFonts w:hint="eastAsia" w:ascii="宋体" w:hAnsi="宋体"/>
          <w:color w:val="auto"/>
          <w:highlight w:val="none"/>
        </w:rPr>
      </w:pPr>
    </w:p>
    <w:p w14:paraId="39F1FF4B">
      <w:pPr>
        <w:ind w:firstLine="5985" w:firstLineChars="2850"/>
        <w:rPr>
          <w:rFonts w:hint="eastAsia" w:ascii="宋体" w:hAnsi="宋体"/>
          <w:color w:val="auto"/>
          <w:highlight w:val="none"/>
        </w:rPr>
      </w:pPr>
      <w:r>
        <w:rPr>
          <w:rFonts w:hint="eastAsia" w:ascii="宋体" w:hAnsi="宋体"/>
          <w:color w:val="auto"/>
          <w:highlight w:val="none"/>
        </w:rPr>
        <w:t>编号：</w:t>
      </w:r>
      <w:r>
        <w:rPr>
          <w:rFonts w:hint="eastAsia" w:ascii="宋体" w:hAnsi="宋体"/>
          <w:color w:val="auto"/>
          <w:highlight w:val="none"/>
          <w:u w:val="single"/>
        </w:rPr>
        <w:t>　        　</w:t>
      </w:r>
    </w:p>
    <w:p w14:paraId="7E584DC9">
      <w:pPr>
        <w:rPr>
          <w:rFonts w:hint="eastAsia" w:ascii="宋体" w:hAnsi="宋体"/>
          <w:color w:val="auto"/>
          <w:highlight w:val="none"/>
        </w:rPr>
      </w:pPr>
    </w:p>
    <w:p w14:paraId="60A1D035">
      <w:pPr>
        <w:spacing w:line="560" w:lineRule="exact"/>
        <w:rPr>
          <w:rFonts w:hint="eastAsia" w:ascii="宋体" w:hAnsi="宋体"/>
          <w:color w:val="auto"/>
          <w:szCs w:val="21"/>
          <w:highlight w:val="none"/>
        </w:rPr>
      </w:pPr>
      <w:r>
        <w:rPr>
          <w:rFonts w:hint="eastAsia" w:ascii="宋体" w:hAnsi="宋体"/>
          <w:color w:val="auto"/>
          <w:highlight w:val="none"/>
        </w:rPr>
        <w:t>各</w:t>
      </w:r>
      <w:r>
        <w:rPr>
          <w:rFonts w:hint="eastAsia" w:ascii="宋体" w:hAnsi="宋体"/>
          <w:color w:val="auto"/>
          <w:szCs w:val="21"/>
          <w:highlight w:val="none"/>
        </w:rPr>
        <w:t>投标人：</w:t>
      </w:r>
    </w:p>
    <w:p w14:paraId="18B34D25">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经研究，对</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招标文件，作如下澄清：</w:t>
      </w:r>
    </w:p>
    <w:p w14:paraId="51F28643">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p>
    <w:p w14:paraId="28C53ADF">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p>
    <w:p w14:paraId="20410A34">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p w14:paraId="3B55D07A">
      <w:pPr>
        <w:spacing w:line="560" w:lineRule="exact"/>
        <w:rPr>
          <w:rFonts w:hint="eastAsia" w:ascii="宋体" w:hAnsi="宋体"/>
          <w:color w:val="auto"/>
          <w:szCs w:val="21"/>
          <w:highlight w:val="none"/>
        </w:rPr>
      </w:pPr>
    </w:p>
    <w:p w14:paraId="5371FAF5">
      <w:pPr>
        <w:spacing w:line="560" w:lineRule="exact"/>
        <w:ind w:firstLine="420" w:firstLineChars="200"/>
        <w:rPr>
          <w:rFonts w:hint="eastAsia" w:ascii="宋体" w:hAnsi="宋体"/>
          <w:color w:val="auto"/>
          <w:szCs w:val="21"/>
          <w:highlight w:val="none"/>
        </w:rPr>
      </w:pPr>
    </w:p>
    <w:p w14:paraId="00660F8A">
      <w:pPr>
        <w:spacing w:line="560" w:lineRule="exact"/>
        <w:ind w:firstLine="420" w:firstLineChars="200"/>
        <w:rPr>
          <w:rFonts w:hint="eastAsia" w:ascii="宋体" w:hAnsi="宋体"/>
          <w:color w:val="auto"/>
          <w:szCs w:val="21"/>
          <w:highlight w:val="none"/>
        </w:rPr>
      </w:pPr>
    </w:p>
    <w:p w14:paraId="342D759C">
      <w:pPr>
        <w:spacing w:line="560" w:lineRule="exact"/>
        <w:ind w:firstLine="420" w:firstLineChars="200"/>
        <w:rPr>
          <w:rFonts w:hint="eastAsia" w:ascii="宋体" w:hAnsi="宋体"/>
          <w:color w:val="auto"/>
          <w:szCs w:val="21"/>
          <w:highlight w:val="none"/>
        </w:rPr>
      </w:pPr>
    </w:p>
    <w:p w14:paraId="7C6ECF3A">
      <w:pPr>
        <w:wordWrap w:val="0"/>
        <w:jc w:val="right"/>
        <w:rPr>
          <w:rFonts w:hint="eastAsia" w:ascii="宋体" w:hAnsi="宋体"/>
          <w:color w:val="auto"/>
          <w:highlight w:val="none"/>
        </w:rPr>
      </w:pPr>
      <w:r>
        <w:rPr>
          <w:rFonts w:hint="eastAsia" w:ascii="宋体" w:hAnsi="宋体"/>
          <w:color w:val="auto"/>
          <w:szCs w:val="21"/>
          <w:highlight w:val="none"/>
        </w:rPr>
        <w:t>　　　　　　　　　　　　　　　　</w:t>
      </w: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14:paraId="10AE2A92">
      <w:pPr>
        <w:spacing w:line="560" w:lineRule="exact"/>
        <w:ind w:firstLine="420" w:firstLineChars="200"/>
        <w:rPr>
          <w:rFonts w:hint="eastAsia" w:ascii="宋体" w:hAnsi="宋体"/>
          <w:color w:val="auto"/>
          <w:highlight w:val="none"/>
        </w:rPr>
      </w:pPr>
    </w:p>
    <w:p w14:paraId="7381FDDF">
      <w:pPr>
        <w:spacing w:line="560" w:lineRule="exact"/>
        <w:ind w:firstLine="420" w:firstLineChars="200"/>
        <w:rPr>
          <w:rFonts w:hint="eastAsia"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14:paraId="5EFE2847">
      <w:pPr>
        <w:spacing w:line="560" w:lineRule="exact"/>
        <w:rPr>
          <w:rFonts w:hint="eastAsia" w:ascii="宋体" w:hAnsi="宋体"/>
          <w:color w:val="auto"/>
          <w:szCs w:val="21"/>
          <w:highlight w:val="none"/>
        </w:rPr>
      </w:pPr>
    </w:p>
    <w:p w14:paraId="1D9F8058">
      <w:pPr>
        <w:spacing w:line="560" w:lineRule="exact"/>
        <w:rPr>
          <w:rFonts w:hint="eastAsia" w:ascii="宋体" w:hAnsi="宋体"/>
          <w:color w:val="auto"/>
          <w:szCs w:val="21"/>
          <w:highlight w:val="none"/>
        </w:rPr>
      </w:pPr>
    </w:p>
    <w:p w14:paraId="2A976744">
      <w:pPr>
        <w:spacing w:line="560" w:lineRule="exact"/>
        <w:ind w:firstLine="420" w:firstLineChars="200"/>
        <w:rPr>
          <w:rFonts w:ascii="仿宋_GB2312" w:eastAsia="仿宋_GB2312"/>
          <w:color w:val="auto"/>
          <w:szCs w:val="21"/>
          <w:highlight w:val="none"/>
        </w:rPr>
      </w:pPr>
      <w:r>
        <w:rPr>
          <w:rFonts w:ascii="仿宋_GB2312" w:eastAsia="仿宋_GB2312"/>
          <w:color w:val="auto"/>
          <w:szCs w:val="21"/>
          <w:highlight w:val="none"/>
        </w:rPr>
        <w:br w:type="page"/>
      </w:r>
    </w:p>
    <w:p w14:paraId="790611BD">
      <w:pPr>
        <w:pStyle w:val="3"/>
        <w:rPr>
          <w:b w:val="0"/>
          <w:color w:val="auto"/>
          <w:sz w:val="24"/>
          <w:szCs w:val="24"/>
          <w:highlight w:val="none"/>
        </w:rPr>
      </w:pPr>
      <w:bookmarkStart w:id="614" w:name="_Toc256000072"/>
      <w:bookmarkStart w:id="615" w:name="_Toc353544002"/>
      <w:bookmarkStart w:id="616" w:name="_Toc165804342"/>
      <w:bookmarkStart w:id="617" w:name="_Toc2331"/>
      <w:r>
        <w:rPr>
          <w:rFonts w:hint="eastAsia"/>
          <w:b w:val="0"/>
          <w:color w:val="auto"/>
          <w:sz w:val="24"/>
          <w:szCs w:val="24"/>
          <w:highlight w:val="none"/>
        </w:rPr>
        <w:t>附表三：招标文件修改通知</w:t>
      </w:r>
      <w:bookmarkEnd w:id="614"/>
      <w:bookmarkEnd w:id="615"/>
      <w:bookmarkEnd w:id="616"/>
      <w:bookmarkEnd w:id="617"/>
    </w:p>
    <w:p w14:paraId="7A97CE57">
      <w:pPr>
        <w:spacing w:line="560" w:lineRule="exact"/>
        <w:ind w:right="840" w:rightChars="400"/>
        <w:rPr>
          <w:rFonts w:ascii="仿宋_GB2312" w:eastAsia="仿宋_GB2312"/>
          <w:color w:val="auto"/>
          <w:sz w:val="24"/>
          <w:highlight w:val="none"/>
        </w:rPr>
      </w:pPr>
    </w:p>
    <w:p w14:paraId="457158B1">
      <w:pPr>
        <w:rPr>
          <w:rFonts w:ascii="仿宋_GB2312" w:eastAsia="仿宋_GB2312"/>
          <w:color w:val="auto"/>
          <w:highlight w:val="none"/>
        </w:rPr>
      </w:pPr>
    </w:p>
    <w:p w14:paraId="3A5955CF">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招标文件修改通知</w:t>
      </w:r>
    </w:p>
    <w:p w14:paraId="5B3D0533">
      <w:pPr>
        <w:rPr>
          <w:rFonts w:hint="eastAsia" w:ascii="宋体" w:hAnsi="宋体"/>
          <w:color w:val="auto"/>
          <w:highlight w:val="none"/>
        </w:rPr>
      </w:pPr>
    </w:p>
    <w:p w14:paraId="21642AF3">
      <w:pPr>
        <w:ind w:left="5985" w:leftChars="2850"/>
        <w:rPr>
          <w:rFonts w:hint="eastAsia" w:ascii="宋体" w:hAnsi="宋体"/>
          <w:color w:val="auto"/>
          <w:highlight w:val="none"/>
        </w:rPr>
      </w:pPr>
      <w:r>
        <w:rPr>
          <w:rFonts w:hint="eastAsia" w:ascii="宋体" w:hAnsi="宋体"/>
          <w:color w:val="auto"/>
          <w:highlight w:val="none"/>
        </w:rPr>
        <w:t xml:space="preserve">                                   编号：</w:t>
      </w:r>
      <w:r>
        <w:rPr>
          <w:rFonts w:hint="eastAsia" w:ascii="宋体" w:hAnsi="宋体"/>
          <w:color w:val="auto"/>
          <w:highlight w:val="none"/>
          <w:u w:val="single"/>
        </w:rPr>
        <w:t>　        　</w:t>
      </w:r>
    </w:p>
    <w:p w14:paraId="70052F94">
      <w:pPr>
        <w:rPr>
          <w:rFonts w:hint="eastAsia" w:ascii="宋体" w:hAnsi="宋体"/>
          <w:color w:val="auto"/>
          <w:highlight w:val="none"/>
        </w:rPr>
      </w:pPr>
    </w:p>
    <w:p w14:paraId="60E7249F">
      <w:pPr>
        <w:spacing w:line="560" w:lineRule="exact"/>
        <w:rPr>
          <w:rFonts w:hint="eastAsia" w:ascii="宋体" w:hAnsi="宋体"/>
          <w:color w:val="auto"/>
          <w:szCs w:val="21"/>
          <w:highlight w:val="none"/>
        </w:rPr>
      </w:pPr>
      <w:r>
        <w:rPr>
          <w:rFonts w:hint="eastAsia" w:ascii="宋体" w:hAnsi="宋体"/>
          <w:color w:val="auto"/>
          <w:highlight w:val="none"/>
        </w:rPr>
        <w:t>各</w:t>
      </w:r>
      <w:r>
        <w:rPr>
          <w:rFonts w:hint="eastAsia" w:ascii="宋体" w:hAnsi="宋体"/>
          <w:color w:val="auto"/>
          <w:szCs w:val="21"/>
          <w:highlight w:val="none"/>
        </w:rPr>
        <w:t>投标人：</w:t>
      </w:r>
    </w:p>
    <w:p w14:paraId="6C27BC66">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经研究，对</w:t>
      </w:r>
      <w:r>
        <w:rPr>
          <w:rFonts w:ascii="宋体" w:hAnsi="宋体"/>
          <w:color w:val="auto"/>
          <w:szCs w:val="21"/>
          <w:highlight w:val="non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 xml:space="preserve"> （标段名称）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招标文件，作如下修改：</w:t>
      </w:r>
    </w:p>
    <w:p w14:paraId="6E9B5C3E">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p>
    <w:p w14:paraId="44BD5E7C">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p>
    <w:p w14:paraId="6721CFBA">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p w14:paraId="0840A07B">
      <w:pPr>
        <w:spacing w:line="560" w:lineRule="exact"/>
        <w:rPr>
          <w:rFonts w:hint="eastAsia" w:ascii="宋体" w:hAnsi="宋体"/>
          <w:color w:val="auto"/>
          <w:szCs w:val="21"/>
          <w:highlight w:val="none"/>
        </w:rPr>
      </w:pPr>
    </w:p>
    <w:p w14:paraId="0F5229AE">
      <w:pPr>
        <w:spacing w:line="560" w:lineRule="exact"/>
        <w:ind w:firstLine="420" w:firstLineChars="200"/>
        <w:rPr>
          <w:rFonts w:hint="eastAsia" w:ascii="宋体" w:hAnsi="宋体"/>
          <w:color w:val="auto"/>
          <w:szCs w:val="21"/>
          <w:highlight w:val="none"/>
          <w:bdr w:val="single" w:color="auto" w:sz="4" w:space="0"/>
        </w:rPr>
      </w:pPr>
    </w:p>
    <w:p w14:paraId="798F01CA">
      <w:pPr>
        <w:spacing w:line="560" w:lineRule="exact"/>
        <w:ind w:firstLine="420" w:firstLineChars="200"/>
        <w:rPr>
          <w:rFonts w:hint="eastAsia" w:ascii="宋体" w:hAnsi="宋体"/>
          <w:color w:val="auto"/>
          <w:szCs w:val="21"/>
          <w:highlight w:val="none"/>
        </w:rPr>
      </w:pPr>
    </w:p>
    <w:p w14:paraId="108FDBFE">
      <w:pPr>
        <w:spacing w:line="560" w:lineRule="exact"/>
        <w:ind w:firstLine="420" w:firstLineChars="200"/>
        <w:rPr>
          <w:rFonts w:hint="eastAsia" w:ascii="宋体" w:hAnsi="宋体"/>
          <w:color w:val="auto"/>
          <w:szCs w:val="21"/>
          <w:highlight w:val="none"/>
        </w:rPr>
      </w:pPr>
    </w:p>
    <w:p w14:paraId="2A052AD9">
      <w:pPr>
        <w:wordWrap w:val="0"/>
        <w:jc w:val="right"/>
        <w:rPr>
          <w:rFonts w:hint="eastAsia" w:ascii="宋体" w:hAnsi="宋体"/>
          <w:color w:val="auto"/>
          <w:highlight w:val="none"/>
        </w:rPr>
      </w:pPr>
      <w:r>
        <w:rPr>
          <w:rFonts w:hint="eastAsia" w:ascii="宋体" w:hAnsi="宋体"/>
          <w:color w:val="auto"/>
          <w:szCs w:val="21"/>
          <w:highlight w:val="none"/>
        </w:rPr>
        <w:t>　　　　　　　　　　　　　　　　</w:t>
      </w: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14:paraId="3C024122">
      <w:pPr>
        <w:spacing w:line="560" w:lineRule="exact"/>
        <w:ind w:firstLine="420" w:firstLineChars="200"/>
        <w:rPr>
          <w:rFonts w:hint="eastAsia" w:ascii="宋体" w:hAnsi="宋体"/>
          <w:color w:val="auto"/>
          <w:highlight w:val="none"/>
        </w:rPr>
      </w:pPr>
    </w:p>
    <w:p w14:paraId="04D24366">
      <w:pPr>
        <w:spacing w:line="560" w:lineRule="exact"/>
        <w:ind w:firstLine="420" w:firstLineChars="200"/>
        <w:rPr>
          <w:rFonts w:hint="eastAsia"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14:paraId="0D4C5296">
      <w:pPr>
        <w:spacing w:line="560" w:lineRule="exact"/>
        <w:rPr>
          <w:rFonts w:hint="eastAsia" w:ascii="宋体" w:hAnsi="宋体"/>
          <w:color w:val="auto"/>
          <w:szCs w:val="21"/>
          <w:highlight w:val="none"/>
        </w:rPr>
      </w:pPr>
    </w:p>
    <w:p w14:paraId="29884335">
      <w:pPr>
        <w:spacing w:line="560" w:lineRule="exact"/>
        <w:rPr>
          <w:rFonts w:hint="eastAsia" w:ascii="宋体" w:hAnsi="宋体"/>
          <w:color w:val="auto"/>
          <w:szCs w:val="21"/>
          <w:highlight w:val="none"/>
        </w:rPr>
      </w:pPr>
    </w:p>
    <w:p w14:paraId="1DC72175">
      <w:pPr>
        <w:spacing w:after="360" w:afterLines="150"/>
        <w:rPr>
          <w:rFonts w:ascii="仿宋_GB2312" w:eastAsia="仿宋_GB2312"/>
          <w:color w:val="auto"/>
          <w:sz w:val="24"/>
          <w:highlight w:val="none"/>
        </w:rPr>
      </w:pPr>
      <w:r>
        <w:rPr>
          <w:rFonts w:ascii="仿宋_GB2312" w:eastAsia="仿宋_GB2312"/>
          <w:color w:val="auto"/>
          <w:sz w:val="24"/>
          <w:highlight w:val="none"/>
        </w:rPr>
        <w:br w:type="page"/>
      </w:r>
    </w:p>
    <w:p w14:paraId="15A885B4">
      <w:pPr>
        <w:pStyle w:val="3"/>
        <w:rPr>
          <w:b w:val="0"/>
          <w:color w:val="auto"/>
          <w:sz w:val="24"/>
          <w:szCs w:val="24"/>
          <w:highlight w:val="none"/>
        </w:rPr>
      </w:pPr>
      <w:bookmarkStart w:id="618" w:name="_Toc353544004"/>
      <w:bookmarkStart w:id="619" w:name="_Toc19665"/>
      <w:bookmarkStart w:id="620" w:name="_Toc165804343"/>
      <w:bookmarkStart w:id="621" w:name="_Toc256000073"/>
      <w:r>
        <w:rPr>
          <w:rFonts w:hint="eastAsia"/>
          <w:b w:val="0"/>
          <w:color w:val="auto"/>
          <w:sz w:val="24"/>
          <w:szCs w:val="24"/>
          <w:highlight w:val="none"/>
        </w:rPr>
        <w:t>附表四：投标文件递交电子签收凭证</w:t>
      </w:r>
      <w:bookmarkEnd w:id="618"/>
      <w:bookmarkEnd w:id="619"/>
      <w:bookmarkEnd w:id="620"/>
      <w:bookmarkEnd w:id="621"/>
    </w:p>
    <w:p w14:paraId="55F513C5">
      <w:pPr>
        <w:spacing w:before="240" w:beforeLines="100" w:after="240" w:afterLines="100" w:line="480" w:lineRule="exact"/>
        <w:jc w:val="center"/>
        <w:rPr>
          <w:rFonts w:ascii="黑体" w:eastAsia="黑体"/>
          <w:color w:val="auto"/>
          <w:sz w:val="28"/>
          <w:szCs w:val="28"/>
          <w:highlight w:val="none"/>
        </w:rPr>
      </w:pPr>
    </w:p>
    <w:p w14:paraId="7C367BB6">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投标文件递交电子签收凭证</w:t>
      </w:r>
    </w:p>
    <w:p w14:paraId="399D1828">
      <w:pPr>
        <w:spacing w:before="72" w:beforeLines="30"/>
        <w:jc w:val="right"/>
        <w:rPr>
          <w:rFonts w:hint="eastAsia" w:ascii="宋体" w:hAnsi="宋体" w:cs="宋体"/>
          <w:color w:val="auto"/>
          <w:kern w:val="0"/>
          <w:szCs w:val="21"/>
          <w:highlight w:val="none"/>
        </w:rPr>
      </w:pPr>
      <w:bookmarkStart w:id="622" w:name="_Hlk152086657"/>
    </w:p>
    <w:p w14:paraId="7FE738F4">
      <w:pPr>
        <w:spacing w:before="72" w:beforeLines="30"/>
        <w:jc w:val="right"/>
        <w:rPr>
          <w:rFonts w:hint="eastAsia" w:ascii="宋体" w:hAnsi="宋体" w:cs="宋体"/>
          <w:color w:val="auto"/>
          <w:kern w:val="0"/>
          <w:szCs w:val="21"/>
          <w:highlight w:val="none"/>
        </w:rPr>
      </w:pPr>
    </w:p>
    <w:p w14:paraId="0AEF1BEC">
      <w:pPr>
        <w:pStyle w:val="15"/>
        <w:spacing w:line="480" w:lineRule="auto"/>
        <w:ind w:firstLine="0"/>
        <w:rPr>
          <w:rFonts w:hint="eastAsia" w:hAnsi="宋体" w:cs="仿宋_GB2312"/>
          <w:color w:val="auto"/>
          <w:highlight w:val="none"/>
        </w:rPr>
      </w:pPr>
      <w:r>
        <w:rPr>
          <w:rFonts w:hint="eastAsia" w:hAnsi="宋体" w:cs="仿宋_GB2312"/>
          <w:color w:val="auto"/>
          <w:highlight w:val="none"/>
          <w:u w:val="single"/>
        </w:rPr>
        <w:t xml:space="preserve"> </w:t>
      </w:r>
      <w:r>
        <w:rPr>
          <w:rFonts w:hAnsi="宋体" w:cs="仿宋_GB2312"/>
          <w:color w:val="auto"/>
          <w:highlight w:val="none"/>
          <w:u w:val="single"/>
        </w:rPr>
        <w:t xml:space="preserve">                </w:t>
      </w:r>
      <w:r>
        <w:rPr>
          <w:rFonts w:hint="eastAsia" w:hAnsi="宋体" w:cs="仿宋_GB2312"/>
          <w:color w:val="auto"/>
          <w:highlight w:val="none"/>
        </w:rPr>
        <w:t>（投标人名称）：</w:t>
      </w:r>
    </w:p>
    <w:p w14:paraId="2344B3A2">
      <w:pPr>
        <w:spacing w:line="360" w:lineRule="auto"/>
        <w:ind w:firstLine="420" w:firstLineChars="200"/>
        <w:jc w:val="left"/>
        <w:rPr>
          <w:rFonts w:hint="eastAsia" w:ascii="宋体" w:hAnsi="宋体" w:cs="仿宋_GB2312"/>
          <w:color w:val="auto"/>
          <w:szCs w:val="21"/>
          <w:highlight w:val="none"/>
          <w:u w:val="single"/>
        </w:rPr>
      </w:pPr>
      <w:r>
        <w:rPr>
          <w:rFonts w:hint="eastAsia" w:ascii="宋体" w:hAnsi="宋体" w:cs="仿宋_GB2312"/>
          <w:color w:val="auto"/>
          <w:szCs w:val="21"/>
          <w:highlight w:val="none"/>
        </w:rPr>
        <w:t>您单位参与的</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s="仿宋_GB2312"/>
          <w:color w:val="auto"/>
          <w:szCs w:val="21"/>
          <w:highlight w:val="none"/>
        </w:rPr>
        <w:t>，投标文件于</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年</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月</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日</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时</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分</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秒上传成功。</w:t>
      </w:r>
    </w:p>
    <w:p w14:paraId="0E289704">
      <w:pPr>
        <w:spacing w:line="360" w:lineRule="auto"/>
        <w:ind w:firstLine="420" w:firstLineChars="200"/>
        <w:jc w:val="left"/>
        <w:rPr>
          <w:rFonts w:hint="eastAsia" w:ascii="宋体" w:hAnsi="宋体" w:cs="仿宋_GB2312"/>
          <w:color w:val="auto"/>
          <w:szCs w:val="21"/>
          <w:highlight w:val="none"/>
        </w:rPr>
      </w:pPr>
    </w:p>
    <w:p w14:paraId="4617955F">
      <w:pPr>
        <w:spacing w:line="360" w:lineRule="auto"/>
        <w:ind w:firstLine="420" w:firstLineChars="200"/>
        <w:jc w:val="left"/>
        <w:rPr>
          <w:rFonts w:hint="eastAsia" w:ascii="宋体" w:hAnsi="宋体" w:cs="仿宋_GB2312"/>
          <w:color w:val="auto"/>
          <w:szCs w:val="21"/>
          <w:highlight w:val="none"/>
        </w:rPr>
      </w:pPr>
      <w:r>
        <w:rPr>
          <w:rFonts w:hint="eastAsia" w:ascii="宋体" w:hAnsi="宋体" w:cs="仿宋_GB2312"/>
          <w:color w:val="auto"/>
          <w:szCs w:val="21"/>
          <w:highlight w:val="none"/>
        </w:rPr>
        <w:t>项目经理：</w:t>
      </w:r>
      <w:r>
        <w:rPr>
          <w:rFonts w:hint="eastAsia" w:ascii="宋体" w:hAnsi="宋体" w:cs="仿宋_GB2312"/>
          <w:color w:val="auto"/>
          <w:szCs w:val="21"/>
          <w:highlight w:val="none"/>
          <w:u w:val="single"/>
        </w:rPr>
        <w:t xml:space="preserve">  </w:t>
      </w:r>
      <w:r>
        <w:rPr>
          <w:rFonts w:ascii="宋体" w:hAnsi="宋体" w:cs="仿宋_GB2312"/>
          <w:color w:val="auto"/>
          <w:szCs w:val="21"/>
          <w:highlight w:val="none"/>
          <w:u w:val="single"/>
        </w:rPr>
        <w:t xml:space="preserve">                           </w:t>
      </w:r>
      <w:r>
        <w:rPr>
          <w:rFonts w:hint="eastAsia" w:ascii="宋体" w:hAnsi="宋体" w:cs="仿宋_GB2312"/>
          <w:color w:val="auto"/>
          <w:szCs w:val="21"/>
          <w:highlight w:val="none"/>
          <w:u w:val="single"/>
        </w:rPr>
        <w:t xml:space="preserve">  </w:t>
      </w:r>
    </w:p>
    <w:p w14:paraId="7B2FCEF4">
      <w:pPr>
        <w:spacing w:before="72" w:beforeLines="30" w:line="360" w:lineRule="auto"/>
        <w:ind w:firstLine="420" w:firstLineChars="200"/>
        <w:rPr>
          <w:rFonts w:hint="eastAsia" w:ascii="宋体" w:hAnsi="宋体" w:cs="宋体"/>
          <w:color w:val="auto"/>
          <w:kern w:val="0"/>
          <w:szCs w:val="21"/>
          <w:highlight w:val="none"/>
        </w:rPr>
      </w:pPr>
      <w:r>
        <w:rPr>
          <w:rFonts w:hint="eastAsia" w:ascii="宋体" w:hAnsi="宋体" w:cs="仿宋_GB2312"/>
          <w:color w:val="auto"/>
          <w:szCs w:val="21"/>
          <w:highlight w:val="none"/>
        </w:rPr>
        <w:t>回执码：</w:t>
      </w:r>
      <w:r>
        <w:rPr>
          <w:rFonts w:hint="eastAsia" w:ascii="宋体" w:hAnsi="宋体" w:cs="仿宋_GB2312"/>
          <w:color w:val="auto"/>
          <w:szCs w:val="21"/>
          <w:highlight w:val="none"/>
          <w:u w:val="single"/>
        </w:rPr>
        <w:t xml:space="preserve">  </w:t>
      </w:r>
      <w:r>
        <w:rPr>
          <w:rFonts w:ascii="宋体" w:hAnsi="宋体" w:cs="仿宋_GB2312"/>
          <w:color w:val="auto"/>
          <w:szCs w:val="21"/>
          <w:highlight w:val="none"/>
          <w:u w:val="single"/>
        </w:rPr>
        <w:t xml:space="preserve">                             </w:t>
      </w:r>
      <w:r>
        <w:rPr>
          <w:rFonts w:hint="eastAsia" w:ascii="宋体" w:hAnsi="宋体" w:cs="仿宋_GB2312"/>
          <w:color w:val="auto"/>
          <w:szCs w:val="21"/>
          <w:highlight w:val="none"/>
          <w:u w:val="single"/>
        </w:rPr>
        <w:t xml:space="preserve">  </w:t>
      </w:r>
    </w:p>
    <w:bookmarkEnd w:id="622"/>
    <w:p w14:paraId="340093DA">
      <w:pPr>
        <w:spacing w:before="72" w:beforeLines="30"/>
        <w:ind w:firstLine="4305" w:firstLineChars="2050"/>
        <w:rPr>
          <w:rFonts w:hint="eastAsia" w:ascii="宋体" w:hAnsi="宋体"/>
          <w:color w:val="auto"/>
          <w:highlight w:val="none"/>
        </w:rPr>
      </w:pPr>
    </w:p>
    <w:p w14:paraId="37BC197E">
      <w:pPr>
        <w:spacing w:line="400" w:lineRule="exact"/>
        <w:rPr>
          <w:rFonts w:hint="eastAsia" w:ascii="宋体" w:hAnsi="宋体"/>
          <w:color w:val="auto"/>
          <w:highlight w:val="none"/>
        </w:rPr>
      </w:pPr>
    </w:p>
    <w:p w14:paraId="1E15DE14">
      <w:pPr>
        <w:spacing w:line="400" w:lineRule="exact"/>
        <w:rPr>
          <w:color w:val="auto"/>
          <w:sz w:val="24"/>
          <w:highlight w:val="none"/>
        </w:rPr>
      </w:pPr>
    </w:p>
    <w:p w14:paraId="1DF48C59">
      <w:pPr>
        <w:pStyle w:val="3"/>
        <w:rPr>
          <w:b w:val="0"/>
          <w:color w:val="auto"/>
          <w:sz w:val="24"/>
          <w:szCs w:val="24"/>
          <w:highlight w:val="none"/>
        </w:rPr>
        <w:sectPr>
          <w:pgSz w:w="11906" w:h="16838"/>
          <w:pgMar w:top="1440" w:right="1797" w:bottom="1440" w:left="1797" w:header="851" w:footer="851" w:gutter="0"/>
          <w:pgBorders>
            <w:top w:val="none" w:sz="0" w:space="0"/>
            <w:left w:val="none" w:sz="0" w:space="0"/>
            <w:bottom w:val="none" w:sz="0" w:space="0"/>
            <w:right w:val="none" w:sz="0" w:space="0"/>
          </w:pgBorders>
          <w:cols w:space="720" w:num="1"/>
          <w:docGrid w:linePitch="312" w:charSpace="0"/>
        </w:sectPr>
      </w:pPr>
    </w:p>
    <w:p w14:paraId="1BDAEFF2">
      <w:pPr>
        <w:pStyle w:val="3"/>
        <w:rPr>
          <w:b w:val="0"/>
          <w:color w:val="auto"/>
          <w:sz w:val="24"/>
          <w:szCs w:val="24"/>
          <w:highlight w:val="none"/>
        </w:rPr>
      </w:pPr>
      <w:bookmarkStart w:id="623" w:name="_Toc10702"/>
      <w:bookmarkStart w:id="624" w:name="_Toc256000074"/>
      <w:bookmarkStart w:id="625" w:name="_Toc165804344"/>
      <w:r>
        <w:rPr>
          <w:rFonts w:hint="eastAsia"/>
          <w:b w:val="0"/>
          <w:color w:val="auto"/>
          <w:sz w:val="24"/>
          <w:szCs w:val="24"/>
          <w:highlight w:val="none"/>
        </w:rPr>
        <w:t>附表五：开标记录表</w:t>
      </w:r>
      <w:bookmarkEnd w:id="623"/>
      <w:bookmarkEnd w:id="624"/>
      <w:bookmarkEnd w:id="625"/>
    </w:p>
    <w:p w14:paraId="1FAEDA30">
      <w:pPr>
        <w:spacing w:before="240" w:beforeLines="100" w:after="240" w:afterLines="100" w:line="400" w:lineRule="exact"/>
        <w:ind w:firstLine="4620" w:firstLineChars="1650"/>
        <w:rPr>
          <w:rFonts w:ascii="黑体" w:eastAsia="黑体"/>
          <w:color w:val="auto"/>
          <w:sz w:val="28"/>
          <w:szCs w:val="28"/>
          <w:highlight w:val="none"/>
        </w:rPr>
      </w:pP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rPr>
        <w:t>（标段名称）项目开标记录表</w:t>
      </w:r>
    </w:p>
    <w:p w14:paraId="30B89045">
      <w:pPr>
        <w:spacing w:line="400" w:lineRule="exact"/>
        <w:ind w:firstLine="105" w:firstLineChars="50"/>
        <w:rPr>
          <w:rFonts w:hint="eastAsia" w:ascii="宋体" w:hAnsi="宋体"/>
          <w:color w:val="auto"/>
          <w:highlight w:val="none"/>
        </w:rPr>
      </w:pPr>
      <w:r>
        <w:rPr>
          <w:rFonts w:hint="eastAsia" w:ascii="宋体" w:hAnsi="宋体"/>
          <w:color w:val="auto"/>
          <w:highlight w:val="none"/>
        </w:rPr>
        <w:t>开标时间：</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r>
        <w:rPr>
          <w:rFonts w:hint="eastAsia" w:ascii="宋体" w:hAnsi="宋体"/>
          <w:color w:val="auto"/>
          <w:highlight w:val="none"/>
          <w:u w:val="single"/>
        </w:rPr>
        <w:t xml:space="preserve">    </w:t>
      </w:r>
      <w:r>
        <w:rPr>
          <w:rFonts w:hint="eastAsia" w:ascii="宋体" w:hAnsi="宋体"/>
          <w:color w:val="auto"/>
          <w:highlight w:val="none"/>
        </w:rPr>
        <w:t>时</w:t>
      </w:r>
      <w:r>
        <w:rPr>
          <w:rFonts w:hint="eastAsia" w:ascii="宋体" w:hAnsi="宋体"/>
          <w:color w:val="auto"/>
          <w:highlight w:val="none"/>
          <w:u w:val="single"/>
        </w:rPr>
        <w:t xml:space="preserve">    </w:t>
      </w:r>
      <w:r>
        <w:rPr>
          <w:rFonts w:hint="eastAsia" w:ascii="宋体" w:hAnsi="宋体"/>
          <w:color w:val="auto"/>
          <w:highlight w:val="none"/>
        </w:rPr>
        <w:t>分     开标地点：</w:t>
      </w:r>
      <w:r>
        <w:rPr>
          <w:rFonts w:hint="eastAsia" w:ascii="宋体" w:hAnsi="宋体"/>
          <w:color w:val="auto"/>
          <w:highlight w:val="none"/>
          <w:u w:val="single"/>
        </w:rPr>
        <w:t xml:space="preserve">                            </w:t>
      </w: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开标方式：</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p>
    <w:tbl>
      <w:tblPr>
        <w:tblStyle w:val="25"/>
        <w:tblW w:w="14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481"/>
        <w:gridCol w:w="992"/>
        <w:gridCol w:w="1134"/>
        <w:gridCol w:w="1134"/>
        <w:gridCol w:w="1134"/>
        <w:gridCol w:w="1134"/>
        <w:gridCol w:w="1134"/>
        <w:gridCol w:w="1276"/>
        <w:gridCol w:w="1701"/>
        <w:gridCol w:w="1276"/>
      </w:tblGrid>
      <w:tr w14:paraId="67C3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6" w:type="dxa"/>
            <w:vMerge w:val="restart"/>
            <w:tcMar>
              <w:left w:w="28" w:type="dxa"/>
              <w:right w:w="28" w:type="dxa"/>
            </w:tcMar>
            <w:vAlign w:val="center"/>
          </w:tcPr>
          <w:p w14:paraId="7E761F1A">
            <w:pPr>
              <w:jc w:val="center"/>
              <w:rPr>
                <w:rFonts w:hint="eastAsia" w:ascii="宋体" w:hAnsi="宋体"/>
                <w:color w:val="auto"/>
                <w:highlight w:val="none"/>
              </w:rPr>
            </w:pPr>
            <w:r>
              <w:rPr>
                <w:rFonts w:hint="eastAsia" w:ascii="宋体" w:hAnsi="宋体"/>
                <w:color w:val="auto"/>
                <w:highlight w:val="none"/>
              </w:rPr>
              <w:t>序号</w:t>
            </w:r>
          </w:p>
        </w:tc>
        <w:tc>
          <w:tcPr>
            <w:tcW w:w="2481" w:type="dxa"/>
            <w:vMerge w:val="restart"/>
            <w:tcMar>
              <w:left w:w="28" w:type="dxa"/>
              <w:right w:w="28" w:type="dxa"/>
            </w:tcMar>
            <w:vAlign w:val="center"/>
          </w:tcPr>
          <w:p w14:paraId="5C551134">
            <w:pPr>
              <w:jc w:val="center"/>
              <w:rPr>
                <w:rFonts w:hint="eastAsia" w:ascii="宋体" w:hAnsi="宋体"/>
                <w:color w:val="auto"/>
                <w:highlight w:val="none"/>
              </w:rPr>
            </w:pPr>
            <w:r>
              <w:rPr>
                <w:rFonts w:hint="eastAsia" w:ascii="宋体" w:hAnsi="宋体"/>
                <w:color w:val="auto"/>
                <w:highlight w:val="none"/>
              </w:rPr>
              <w:t>投标人名称</w:t>
            </w:r>
          </w:p>
        </w:tc>
        <w:tc>
          <w:tcPr>
            <w:tcW w:w="992" w:type="dxa"/>
            <w:vMerge w:val="restart"/>
            <w:tcMar>
              <w:left w:w="28" w:type="dxa"/>
              <w:right w:w="28" w:type="dxa"/>
            </w:tcMar>
            <w:vAlign w:val="center"/>
          </w:tcPr>
          <w:p w14:paraId="141DA222">
            <w:pPr>
              <w:jc w:val="center"/>
              <w:rPr>
                <w:rFonts w:hint="eastAsia" w:ascii="宋体" w:hAnsi="宋体"/>
                <w:color w:val="auto"/>
                <w:highlight w:val="none"/>
              </w:rPr>
            </w:pPr>
            <w:r>
              <w:rPr>
                <w:rFonts w:hint="eastAsia" w:ascii="宋体" w:hAnsi="宋体"/>
                <w:color w:val="auto"/>
                <w:highlight w:val="none"/>
              </w:rPr>
              <w:t>投标报价（元）</w:t>
            </w:r>
          </w:p>
        </w:tc>
        <w:tc>
          <w:tcPr>
            <w:tcW w:w="1134" w:type="dxa"/>
            <w:vMerge w:val="restart"/>
            <w:tcMar>
              <w:left w:w="28" w:type="dxa"/>
              <w:right w:w="28" w:type="dxa"/>
            </w:tcMar>
            <w:vAlign w:val="center"/>
          </w:tcPr>
          <w:p w14:paraId="76D72EB6">
            <w:pPr>
              <w:jc w:val="center"/>
              <w:rPr>
                <w:rFonts w:hint="eastAsia" w:ascii="宋体" w:hAnsi="宋体"/>
                <w:color w:val="auto"/>
                <w:highlight w:val="none"/>
              </w:rPr>
            </w:pPr>
            <w:r>
              <w:rPr>
                <w:rFonts w:hint="eastAsia" w:ascii="宋体" w:hAnsi="宋体"/>
                <w:color w:val="auto"/>
                <w:highlight w:val="none"/>
              </w:rPr>
              <w:t>工期</w:t>
            </w:r>
          </w:p>
          <w:p w14:paraId="74D1A34C">
            <w:pPr>
              <w:jc w:val="center"/>
              <w:rPr>
                <w:rFonts w:hint="eastAsia" w:ascii="宋体" w:hAnsi="宋体"/>
                <w:color w:val="auto"/>
                <w:highlight w:val="none"/>
              </w:rPr>
            </w:pPr>
            <w:r>
              <w:rPr>
                <w:rFonts w:hint="eastAsia" w:ascii="宋体" w:hAnsi="宋体"/>
                <w:color w:val="auto"/>
                <w:highlight w:val="none"/>
              </w:rPr>
              <w:t>（日历天）</w:t>
            </w:r>
          </w:p>
        </w:tc>
        <w:tc>
          <w:tcPr>
            <w:tcW w:w="1134" w:type="dxa"/>
            <w:vMerge w:val="restart"/>
            <w:tcMar>
              <w:left w:w="28" w:type="dxa"/>
              <w:right w:w="28" w:type="dxa"/>
            </w:tcMar>
            <w:vAlign w:val="center"/>
          </w:tcPr>
          <w:p w14:paraId="2096C8DA">
            <w:pPr>
              <w:jc w:val="center"/>
              <w:rPr>
                <w:rFonts w:hint="eastAsia" w:ascii="宋体" w:hAnsi="宋体"/>
                <w:color w:val="auto"/>
                <w:highlight w:val="none"/>
              </w:rPr>
            </w:pPr>
            <w:r>
              <w:rPr>
                <w:rFonts w:hint="eastAsia" w:ascii="宋体" w:hAnsi="宋体"/>
                <w:color w:val="auto"/>
                <w:highlight w:val="none"/>
              </w:rPr>
              <w:t>质量目标</w:t>
            </w:r>
          </w:p>
        </w:tc>
        <w:tc>
          <w:tcPr>
            <w:tcW w:w="1134" w:type="dxa"/>
            <w:vMerge w:val="restart"/>
            <w:vAlign w:val="center"/>
          </w:tcPr>
          <w:p w14:paraId="121F4045">
            <w:pPr>
              <w:jc w:val="center"/>
              <w:rPr>
                <w:rFonts w:hint="eastAsia" w:ascii="宋体" w:hAnsi="宋体"/>
                <w:color w:val="auto"/>
                <w:highlight w:val="none"/>
              </w:rPr>
            </w:pPr>
            <w:r>
              <w:rPr>
                <w:rFonts w:hint="eastAsia" w:ascii="宋体" w:hAnsi="宋体"/>
                <w:color w:val="auto"/>
                <w:highlight w:val="none"/>
              </w:rPr>
              <w:t>投标有效期（天）</w:t>
            </w:r>
          </w:p>
        </w:tc>
        <w:tc>
          <w:tcPr>
            <w:tcW w:w="1134" w:type="dxa"/>
            <w:vMerge w:val="restart"/>
            <w:tcMar>
              <w:left w:w="28" w:type="dxa"/>
              <w:right w:w="28" w:type="dxa"/>
            </w:tcMar>
            <w:vAlign w:val="center"/>
          </w:tcPr>
          <w:p w14:paraId="4BF1EFE0">
            <w:pPr>
              <w:jc w:val="center"/>
              <w:rPr>
                <w:rFonts w:hint="eastAsia" w:ascii="宋体" w:hAnsi="宋体"/>
                <w:color w:val="auto"/>
                <w:highlight w:val="none"/>
              </w:rPr>
            </w:pPr>
            <w:r>
              <w:rPr>
                <w:rFonts w:hint="eastAsia" w:ascii="宋体" w:hAnsi="宋体"/>
                <w:color w:val="auto"/>
                <w:highlight w:val="none"/>
              </w:rPr>
              <w:t>项目经理</w:t>
            </w:r>
          </w:p>
          <w:p w14:paraId="6769C231">
            <w:pPr>
              <w:jc w:val="center"/>
              <w:rPr>
                <w:rFonts w:hint="eastAsia" w:ascii="宋体" w:hAnsi="宋体"/>
                <w:color w:val="auto"/>
                <w:highlight w:val="none"/>
              </w:rPr>
            </w:pPr>
            <w:r>
              <w:rPr>
                <w:rFonts w:hint="eastAsia" w:ascii="宋体" w:hAnsi="宋体"/>
                <w:color w:val="auto"/>
                <w:highlight w:val="none"/>
              </w:rPr>
              <w:t>姓名</w:t>
            </w:r>
          </w:p>
        </w:tc>
        <w:tc>
          <w:tcPr>
            <w:tcW w:w="2410" w:type="dxa"/>
            <w:gridSpan w:val="2"/>
          </w:tcPr>
          <w:p w14:paraId="13B94C83">
            <w:pPr>
              <w:jc w:val="center"/>
              <w:rPr>
                <w:rFonts w:hint="eastAsia" w:ascii="宋体" w:hAnsi="宋体"/>
                <w:color w:val="auto"/>
                <w:highlight w:val="none"/>
              </w:rPr>
            </w:pPr>
            <w:r>
              <w:rPr>
                <w:rFonts w:hint="eastAsia" w:ascii="宋体" w:hAnsi="宋体"/>
                <w:color w:val="auto"/>
                <w:highlight w:val="none"/>
              </w:rPr>
              <w:t>投标保证金</w:t>
            </w:r>
          </w:p>
        </w:tc>
        <w:tc>
          <w:tcPr>
            <w:tcW w:w="1701" w:type="dxa"/>
            <w:vMerge w:val="restart"/>
            <w:tcMar>
              <w:left w:w="28" w:type="dxa"/>
              <w:right w:w="28" w:type="dxa"/>
            </w:tcMar>
            <w:vAlign w:val="center"/>
          </w:tcPr>
          <w:p w14:paraId="45612300">
            <w:pPr>
              <w:jc w:val="center"/>
              <w:rPr>
                <w:rFonts w:hint="eastAsia" w:ascii="宋体" w:hAnsi="宋体"/>
                <w:color w:val="auto"/>
                <w:highlight w:val="none"/>
              </w:rPr>
            </w:pPr>
            <w:r>
              <w:rPr>
                <w:rFonts w:hint="eastAsia" w:ascii="宋体" w:hAnsi="宋体"/>
                <w:color w:val="auto"/>
                <w:highlight w:val="none"/>
              </w:rPr>
              <w:t>法定代表人或授权委托人确认</w:t>
            </w:r>
          </w:p>
        </w:tc>
        <w:tc>
          <w:tcPr>
            <w:tcW w:w="1276" w:type="dxa"/>
            <w:vMerge w:val="restart"/>
            <w:vAlign w:val="center"/>
          </w:tcPr>
          <w:p w14:paraId="7F55694C">
            <w:pPr>
              <w:jc w:val="center"/>
              <w:rPr>
                <w:rFonts w:hint="eastAsia" w:ascii="宋体" w:hAnsi="宋体"/>
                <w:color w:val="auto"/>
                <w:highlight w:val="none"/>
              </w:rPr>
            </w:pPr>
            <w:r>
              <w:rPr>
                <w:rFonts w:hint="eastAsia" w:ascii="宋体" w:hAnsi="宋体"/>
                <w:color w:val="auto"/>
                <w:highlight w:val="none"/>
              </w:rPr>
              <w:t>联系电话</w:t>
            </w:r>
          </w:p>
        </w:tc>
      </w:tr>
      <w:tr w14:paraId="3A74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6" w:type="dxa"/>
            <w:vMerge w:val="continue"/>
            <w:tcMar>
              <w:left w:w="28" w:type="dxa"/>
              <w:right w:w="28" w:type="dxa"/>
            </w:tcMar>
            <w:vAlign w:val="center"/>
          </w:tcPr>
          <w:p w14:paraId="06D33794">
            <w:pPr>
              <w:jc w:val="center"/>
              <w:rPr>
                <w:rFonts w:hint="eastAsia" w:ascii="宋体" w:hAnsi="宋体"/>
                <w:color w:val="auto"/>
                <w:highlight w:val="none"/>
              </w:rPr>
            </w:pPr>
          </w:p>
        </w:tc>
        <w:tc>
          <w:tcPr>
            <w:tcW w:w="2481" w:type="dxa"/>
            <w:vMerge w:val="continue"/>
            <w:tcMar>
              <w:left w:w="28" w:type="dxa"/>
              <w:right w:w="28" w:type="dxa"/>
            </w:tcMar>
            <w:vAlign w:val="center"/>
          </w:tcPr>
          <w:p w14:paraId="5B5DE7A3">
            <w:pPr>
              <w:jc w:val="center"/>
              <w:rPr>
                <w:rFonts w:hint="eastAsia" w:ascii="宋体" w:hAnsi="宋体"/>
                <w:color w:val="auto"/>
                <w:highlight w:val="none"/>
              </w:rPr>
            </w:pPr>
          </w:p>
        </w:tc>
        <w:tc>
          <w:tcPr>
            <w:tcW w:w="992" w:type="dxa"/>
            <w:vMerge w:val="continue"/>
            <w:tcMar>
              <w:left w:w="28" w:type="dxa"/>
              <w:right w:w="28" w:type="dxa"/>
            </w:tcMar>
            <w:vAlign w:val="center"/>
          </w:tcPr>
          <w:p w14:paraId="39A1C21D">
            <w:pPr>
              <w:jc w:val="center"/>
              <w:rPr>
                <w:rFonts w:hint="eastAsia" w:ascii="宋体" w:hAnsi="宋体"/>
                <w:color w:val="auto"/>
                <w:highlight w:val="none"/>
              </w:rPr>
            </w:pPr>
          </w:p>
        </w:tc>
        <w:tc>
          <w:tcPr>
            <w:tcW w:w="1134" w:type="dxa"/>
            <w:vMerge w:val="continue"/>
            <w:tcMar>
              <w:left w:w="28" w:type="dxa"/>
              <w:right w:w="28" w:type="dxa"/>
            </w:tcMar>
            <w:vAlign w:val="center"/>
          </w:tcPr>
          <w:p w14:paraId="2915FEB8">
            <w:pPr>
              <w:jc w:val="center"/>
              <w:rPr>
                <w:rFonts w:hint="eastAsia" w:ascii="宋体" w:hAnsi="宋体"/>
                <w:color w:val="auto"/>
                <w:highlight w:val="none"/>
              </w:rPr>
            </w:pPr>
          </w:p>
        </w:tc>
        <w:tc>
          <w:tcPr>
            <w:tcW w:w="1134" w:type="dxa"/>
            <w:vMerge w:val="continue"/>
            <w:tcMar>
              <w:left w:w="28" w:type="dxa"/>
              <w:right w:w="28" w:type="dxa"/>
            </w:tcMar>
            <w:vAlign w:val="center"/>
          </w:tcPr>
          <w:p w14:paraId="00125DAE">
            <w:pPr>
              <w:jc w:val="center"/>
              <w:rPr>
                <w:rFonts w:hint="eastAsia" w:ascii="宋体" w:hAnsi="宋体"/>
                <w:color w:val="auto"/>
                <w:highlight w:val="none"/>
              </w:rPr>
            </w:pPr>
          </w:p>
        </w:tc>
        <w:tc>
          <w:tcPr>
            <w:tcW w:w="1134" w:type="dxa"/>
            <w:vMerge w:val="continue"/>
            <w:vAlign w:val="center"/>
          </w:tcPr>
          <w:p w14:paraId="666878A7">
            <w:pPr>
              <w:jc w:val="center"/>
              <w:rPr>
                <w:rFonts w:hint="eastAsia" w:ascii="宋体" w:hAnsi="宋体"/>
                <w:color w:val="auto"/>
                <w:highlight w:val="none"/>
              </w:rPr>
            </w:pPr>
          </w:p>
        </w:tc>
        <w:tc>
          <w:tcPr>
            <w:tcW w:w="1134" w:type="dxa"/>
            <w:vMerge w:val="continue"/>
            <w:tcMar>
              <w:left w:w="28" w:type="dxa"/>
              <w:right w:w="28" w:type="dxa"/>
            </w:tcMar>
            <w:vAlign w:val="center"/>
          </w:tcPr>
          <w:p w14:paraId="503A44B0">
            <w:pPr>
              <w:jc w:val="center"/>
              <w:rPr>
                <w:rFonts w:hint="eastAsia" w:ascii="宋体" w:hAnsi="宋体"/>
                <w:color w:val="auto"/>
                <w:highlight w:val="none"/>
              </w:rPr>
            </w:pPr>
          </w:p>
        </w:tc>
        <w:tc>
          <w:tcPr>
            <w:tcW w:w="1134" w:type="dxa"/>
          </w:tcPr>
          <w:p w14:paraId="61DA5FDA">
            <w:pPr>
              <w:jc w:val="center"/>
              <w:rPr>
                <w:rFonts w:hint="eastAsia" w:ascii="宋体" w:hAnsi="宋体"/>
                <w:color w:val="auto"/>
                <w:highlight w:val="none"/>
              </w:rPr>
            </w:pPr>
            <w:r>
              <w:rPr>
                <w:rFonts w:hint="eastAsia" w:ascii="宋体" w:hAnsi="宋体"/>
                <w:color w:val="auto"/>
                <w:highlight w:val="none"/>
              </w:rPr>
              <w:t>金额（元）</w:t>
            </w:r>
          </w:p>
        </w:tc>
        <w:tc>
          <w:tcPr>
            <w:tcW w:w="1276" w:type="dxa"/>
            <w:tcMar>
              <w:left w:w="28" w:type="dxa"/>
              <w:right w:w="28" w:type="dxa"/>
            </w:tcMar>
            <w:vAlign w:val="center"/>
          </w:tcPr>
          <w:p w14:paraId="2684F6D3">
            <w:pPr>
              <w:jc w:val="center"/>
              <w:rPr>
                <w:rFonts w:hint="eastAsia" w:ascii="宋体" w:hAnsi="宋体"/>
                <w:color w:val="auto"/>
                <w:highlight w:val="none"/>
              </w:rPr>
            </w:pPr>
            <w:r>
              <w:rPr>
                <w:rFonts w:hint="eastAsia" w:ascii="宋体" w:hAnsi="宋体"/>
                <w:color w:val="auto"/>
                <w:highlight w:val="none"/>
              </w:rPr>
              <w:t>缴纳方式</w:t>
            </w:r>
          </w:p>
        </w:tc>
        <w:tc>
          <w:tcPr>
            <w:tcW w:w="1701" w:type="dxa"/>
            <w:vMerge w:val="continue"/>
            <w:tcMar>
              <w:left w:w="28" w:type="dxa"/>
              <w:right w:w="28" w:type="dxa"/>
            </w:tcMar>
            <w:vAlign w:val="center"/>
          </w:tcPr>
          <w:p w14:paraId="60E9BCD7">
            <w:pPr>
              <w:jc w:val="center"/>
              <w:rPr>
                <w:rFonts w:hint="eastAsia" w:ascii="宋体" w:hAnsi="宋体"/>
                <w:color w:val="auto"/>
                <w:highlight w:val="none"/>
              </w:rPr>
            </w:pPr>
          </w:p>
        </w:tc>
        <w:tc>
          <w:tcPr>
            <w:tcW w:w="1276" w:type="dxa"/>
            <w:vMerge w:val="continue"/>
            <w:vAlign w:val="center"/>
          </w:tcPr>
          <w:p w14:paraId="583EDD6F">
            <w:pPr>
              <w:jc w:val="center"/>
              <w:rPr>
                <w:rFonts w:hint="eastAsia" w:ascii="宋体" w:hAnsi="宋体"/>
                <w:color w:val="auto"/>
                <w:highlight w:val="none"/>
              </w:rPr>
            </w:pPr>
          </w:p>
        </w:tc>
      </w:tr>
      <w:tr w14:paraId="384D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518878C6">
            <w:pPr>
              <w:jc w:val="center"/>
              <w:rPr>
                <w:rFonts w:hint="eastAsia" w:ascii="宋体" w:hAnsi="宋体"/>
                <w:color w:val="auto"/>
                <w:highlight w:val="none"/>
              </w:rPr>
            </w:pPr>
          </w:p>
        </w:tc>
        <w:tc>
          <w:tcPr>
            <w:tcW w:w="2481" w:type="dxa"/>
            <w:tcMar>
              <w:left w:w="28" w:type="dxa"/>
              <w:right w:w="28" w:type="dxa"/>
            </w:tcMar>
            <w:vAlign w:val="center"/>
          </w:tcPr>
          <w:p w14:paraId="6606CCAC">
            <w:pPr>
              <w:jc w:val="center"/>
              <w:rPr>
                <w:rFonts w:hint="eastAsia" w:ascii="宋体" w:hAnsi="宋体"/>
                <w:color w:val="auto"/>
                <w:highlight w:val="none"/>
              </w:rPr>
            </w:pPr>
          </w:p>
        </w:tc>
        <w:tc>
          <w:tcPr>
            <w:tcW w:w="992" w:type="dxa"/>
            <w:tcMar>
              <w:left w:w="28" w:type="dxa"/>
              <w:right w:w="28" w:type="dxa"/>
            </w:tcMar>
            <w:vAlign w:val="center"/>
          </w:tcPr>
          <w:p w14:paraId="65DE7DE8">
            <w:pPr>
              <w:jc w:val="center"/>
              <w:rPr>
                <w:rFonts w:hint="eastAsia" w:ascii="宋体" w:hAnsi="宋体"/>
                <w:color w:val="auto"/>
                <w:highlight w:val="none"/>
              </w:rPr>
            </w:pPr>
          </w:p>
        </w:tc>
        <w:tc>
          <w:tcPr>
            <w:tcW w:w="1134" w:type="dxa"/>
            <w:tcMar>
              <w:left w:w="28" w:type="dxa"/>
              <w:right w:w="28" w:type="dxa"/>
            </w:tcMar>
            <w:vAlign w:val="center"/>
          </w:tcPr>
          <w:p w14:paraId="44964FBF">
            <w:pPr>
              <w:jc w:val="center"/>
              <w:rPr>
                <w:rFonts w:hint="eastAsia" w:ascii="宋体" w:hAnsi="宋体"/>
                <w:color w:val="auto"/>
                <w:highlight w:val="none"/>
              </w:rPr>
            </w:pPr>
          </w:p>
        </w:tc>
        <w:tc>
          <w:tcPr>
            <w:tcW w:w="1134" w:type="dxa"/>
            <w:tcMar>
              <w:left w:w="28" w:type="dxa"/>
              <w:right w:w="28" w:type="dxa"/>
            </w:tcMar>
            <w:vAlign w:val="center"/>
          </w:tcPr>
          <w:p w14:paraId="54CA4145">
            <w:pPr>
              <w:jc w:val="center"/>
              <w:rPr>
                <w:rFonts w:hint="eastAsia" w:ascii="宋体" w:hAnsi="宋体"/>
                <w:color w:val="auto"/>
                <w:highlight w:val="none"/>
              </w:rPr>
            </w:pPr>
          </w:p>
        </w:tc>
        <w:tc>
          <w:tcPr>
            <w:tcW w:w="1134" w:type="dxa"/>
            <w:vAlign w:val="center"/>
          </w:tcPr>
          <w:p w14:paraId="1F7AFEF6">
            <w:pPr>
              <w:jc w:val="center"/>
              <w:rPr>
                <w:rFonts w:hint="eastAsia" w:ascii="宋体" w:hAnsi="宋体"/>
                <w:color w:val="auto"/>
                <w:highlight w:val="none"/>
              </w:rPr>
            </w:pPr>
          </w:p>
        </w:tc>
        <w:tc>
          <w:tcPr>
            <w:tcW w:w="1134" w:type="dxa"/>
            <w:tcMar>
              <w:left w:w="28" w:type="dxa"/>
              <w:right w:w="28" w:type="dxa"/>
            </w:tcMar>
            <w:vAlign w:val="center"/>
          </w:tcPr>
          <w:p w14:paraId="6BF4DF75">
            <w:pPr>
              <w:jc w:val="center"/>
              <w:rPr>
                <w:rFonts w:hint="eastAsia" w:ascii="宋体" w:hAnsi="宋体"/>
                <w:color w:val="auto"/>
                <w:highlight w:val="none"/>
              </w:rPr>
            </w:pPr>
          </w:p>
        </w:tc>
        <w:tc>
          <w:tcPr>
            <w:tcW w:w="1134" w:type="dxa"/>
          </w:tcPr>
          <w:p w14:paraId="348E696E">
            <w:pPr>
              <w:jc w:val="center"/>
              <w:rPr>
                <w:rFonts w:hint="eastAsia" w:ascii="宋体" w:hAnsi="宋体"/>
                <w:color w:val="auto"/>
                <w:highlight w:val="none"/>
              </w:rPr>
            </w:pPr>
          </w:p>
        </w:tc>
        <w:tc>
          <w:tcPr>
            <w:tcW w:w="1276" w:type="dxa"/>
            <w:tcMar>
              <w:left w:w="28" w:type="dxa"/>
              <w:right w:w="28" w:type="dxa"/>
            </w:tcMar>
            <w:vAlign w:val="center"/>
          </w:tcPr>
          <w:p w14:paraId="4145FA31">
            <w:pPr>
              <w:jc w:val="center"/>
              <w:rPr>
                <w:rFonts w:hint="eastAsia" w:ascii="宋体" w:hAnsi="宋体"/>
                <w:color w:val="auto"/>
                <w:highlight w:val="none"/>
              </w:rPr>
            </w:pPr>
          </w:p>
        </w:tc>
        <w:tc>
          <w:tcPr>
            <w:tcW w:w="1701" w:type="dxa"/>
            <w:tcMar>
              <w:left w:w="28" w:type="dxa"/>
              <w:right w:w="28" w:type="dxa"/>
            </w:tcMar>
            <w:vAlign w:val="center"/>
          </w:tcPr>
          <w:p w14:paraId="2684A8EA">
            <w:pPr>
              <w:jc w:val="center"/>
              <w:rPr>
                <w:rFonts w:hint="eastAsia" w:ascii="宋体" w:hAnsi="宋体"/>
                <w:color w:val="auto"/>
                <w:highlight w:val="none"/>
              </w:rPr>
            </w:pPr>
          </w:p>
        </w:tc>
        <w:tc>
          <w:tcPr>
            <w:tcW w:w="1276" w:type="dxa"/>
            <w:vAlign w:val="center"/>
          </w:tcPr>
          <w:p w14:paraId="0CCA2CE1">
            <w:pPr>
              <w:jc w:val="center"/>
              <w:rPr>
                <w:rFonts w:hint="eastAsia" w:ascii="宋体" w:hAnsi="宋体"/>
                <w:color w:val="auto"/>
                <w:highlight w:val="none"/>
              </w:rPr>
            </w:pPr>
          </w:p>
        </w:tc>
      </w:tr>
      <w:tr w14:paraId="197E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212ED17D">
            <w:pPr>
              <w:jc w:val="center"/>
              <w:rPr>
                <w:rFonts w:hint="eastAsia" w:ascii="宋体" w:hAnsi="宋体"/>
                <w:color w:val="auto"/>
                <w:highlight w:val="none"/>
              </w:rPr>
            </w:pPr>
          </w:p>
        </w:tc>
        <w:tc>
          <w:tcPr>
            <w:tcW w:w="2481" w:type="dxa"/>
            <w:tcMar>
              <w:left w:w="28" w:type="dxa"/>
              <w:right w:w="28" w:type="dxa"/>
            </w:tcMar>
            <w:vAlign w:val="center"/>
          </w:tcPr>
          <w:p w14:paraId="2D4C4269">
            <w:pPr>
              <w:jc w:val="center"/>
              <w:rPr>
                <w:rFonts w:hint="eastAsia" w:ascii="宋体" w:hAnsi="宋体"/>
                <w:color w:val="auto"/>
                <w:highlight w:val="none"/>
              </w:rPr>
            </w:pPr>
          </w:p>
        </w:tc>
        <w:tc>
          <w:tcPr>
            <w:tcW w:w="992" w:type="dxa"/>
            <w:tcMar>
              <w:left w:w="28" w:type="dxa"/>
              <w:right w:w="28" w:type="dxa"/>
            </w:tcMar>
            <w:vAlign w:val="center"/>
          </w:tcPr>
          <w:p w14:paraId="4FFFEE41">
            <w:pPr>
              <w:jc w:val="center"/>
              <w:rPr>
                <w:rFonts w:hint="eastAsia" w:ascii="宋体" w:hAnsi="宋体"/>
                <w:color w:val="auto"/>
                <w:highlight w:val="none"/>
              </w:rPr>
            </w:pPr>
          </w:p>
        </w:tc>
        <w:tc>
          <w:tcPr>
            <w:tcW w:w="1134" w:type="dxa"/>
            <w:tcMar>
              <w:left w:w="28" w:type="dxa"/>
              <w:right w:w="28" w:type="dxa"/>
            </w:tcMar>
            <w:vAlign w:val="center"/>
          </w:tcPr>
          <w:p w14:paraId="51D23066">
            <w:pPr>
              <w:jc w:val="center"/>
              <w:rPr>
                <w:rFonts w:hint="eastAsia" w:ascii="宋体" w:hAnsi="宋体"/>
                <w:color w:val="auto"/>
                <w:highlight w:val="none"/>
              </w:rPr>
            </w:pPr>
          </w:p>
        </w:tc>
        <w:tc>
          <w:tcPr>
            <w:tcW w:w="1134" w:type="dxa"/>
            <w:tcMar>
              <w:left w:w="28" w:type="dxa"/>
              <w:right w:w="28" w:type="dxa"/>
            </w:tcMar>
            <w:vAlign w:val="center"/>
          </w:tcPr>
          <w:p w14:paraId="1BCABB2C">
            <w:pPr>
              <w:jc w:val="center"/>
              <w:rPr>
                <w:rFonts w:hint="eastAsia" w:ascii="宋体" w:hAnsi="宋体"/>
                <w:color w:val="auto"/>
                <w:highlight w:val="none"/>
              </w:rPr>
            </w:pPr>
          </w:p>
        </w:tc>
        <w:tc>
          <w:tcPr>
            <w:tcW w:w="1134" w:type="dxa"/>
            <w:vAlign w:val="center"/>
          </w:tcPr>
          <w:p w14:paraId="34F58C79">
            <w:pPr>
              <w:jc w:val="center"/>
              <w:rPr>
                <w:rFonts w:hint="eastAsia" w:ascii="宋体" w:hAnsi="宋体"/>
                <w:color w:val="auto"/>
                <w:highlight w:val="none"/>
              </w:rPr>
            </w:pPr>
          </w:p>
        </w:tc>
        <w:tc>
          <w:tcPr>
            <w:tcW w:w="1134" w:type="dxa"/>
            <w:tcMar>
              <w:left w:w="28" w:type="dxa"/>
              <w:right w:w="28" w:type="dxa"/>
            </w:tcMar>
            <w:vAlign w:val="center"/>
          </w:tcPr>
          <w:p w14:paraId="520C4AB4">
            <w:pPr>
              <w:jc w:val="center"/>
              <w:rPr>
                <w:rFonts w:hint="eastAsia" w:ascii="宋体" w:hAnsi="宋体"/>
                <w:color w:val="auto"/>
                <w:highlight w:val="none"/>
              </w:rPr>
            </w:pPr>
          </w:p>
        </w:tc>
        <w:tc>
          <w:tcPr>
            <w:tcW w:w="1134" w:type="dxa"/>
          </w:tcPr>
          <w:p w14:paraId="29FDC1A1">
            <w:pPr>
              <w:jc w:val="center"/>
              <w:rPr>
                <w:rFonts w:hint="eastAsia" w:ascii="宋体" w:hAnsi="宋体"/>
                <w:color w:val="auto"/>
                <w:highlight w:val="none"/>
              </w:rPr>
            </w:pPr>
          </w:p>
        </w:tc>
        <w:tc>
          <w:tcPr>
            <w:tcW w:w="1276" w:type="dxa"/>
            <w:tcMar>
              <w:left w:w="28" w:type="dxa"/>
              <w:right w:w="28" w:type="dxa"/>
            </w:tcMar>
            <w:vAlign w:val="center"/>
          </w:tcPr>
          <w:p w14:paraId="7FE783E3">
            <w:pPr>
              <w:jc w:val="center"/>
              <w:rPr>
                <w:rFonts w:hint="eastAsia" w:ascii="宋体" w:hAnsi="宋体"/>
                <w:color w:val="auto"/>
                <w:highlight w:val="none"/>
              </w:rPr>
            </w:pPr>
          </w:p>
        </w:tc>
        <w:tc>
          <w:tcPr>
            <w:tcW w:w="1701" w:type="dxa"/>
            <w:tcMar>
              <w:left w:w="28" w:type="dxa"/>
              <w:right w:w="28" w:type="dxa"/>
            </w:tcMar>
            <w:vAlign w:val="center"/>
          </w:tcPr>
          <w:p w14:paraId="3F7A6A0F">
            <w:pPr>
              <w:jc w:val="center"/>
              <w:rPr>
                <w:rFonts w:hint="eastAsia" w:ascii="宋体" w:hAnsi="宋体"/>
                <w:color w:val="auto"/>
                <w:highlight w:val="none"/>
              </w:rPr>
            </w:pPr>
          </w:p>
        </w:tc>
        <w:tc>
          <w:tcPr>
            <w:tcW w:w="1276" w:type="dxa"/>
            <w:vAlign w:val="center"/>
          </w:tcPr>
          <w:p w14:paraId="26464C7A">
            <w:pPr>
              <w:jc w:val="center"/>
              <w:rPr>
                <w:rFonts w:hint="eastAsia" w:ascii="宋体" w:hAnsi="宋体"/>
                <w:color w:val="auto"/>
                <w:highlight w:val="none"/>
              </w:rPr>
            </w:pPr>
          </w:p>
        </w:tc>
      </w:tr>
      <w:tr w14:paraId="3ABD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34DA399B">
            <w:pPr>
              <w:jc w:val="center"/>
              <w:rPr>
                <w:rFonts w:hint="eastAsia" w:ascii="宋体" w:hAnsi="宋体"/>
                <w:color w:val="auto"/>
                <w:highlight w:val="none"/>
              </w:rPr>
            </w:pPr>
          </w:p>
        </w:tc>
        <w:tc>
          <w:tcPr>
            <w:tcW w:w="2481" w:type="dxa"/>
            <w:tcMar>
              <w:left w:w="28" w:type="dxa"/>
              <w:right w:w="28" w:type="dxa"/>
            </w:tcMar>
            <w:vAlign w:val="center"/>
          </w:tcPr>
          <w:p w14:paraId="5857192B">
            <w:pPr>
              <w:jc w:val="center"/>
              <w:rPr>
                <w:rFonts w:hint="eastAsia" w:ascii="宋体" w:hAnsi="宋体"/>
                <w:color w:val="auto"/>
                <w:highlight w:val="none"/>
              </w:rPr>
            </w:pPr>
          </w:p>
        </w:tc>
        <w:tc>
          <w:tcPr>
            <w:tcW w:w="992" w:type="dxa"/>
            <w:tcMar>
              <w:left w:w="28" w:type="dxa"/>
              <w:right w:w="28" w:type="dxa"/>
            </w:tcMar>
            <w:vAlign w:val="center"/>
          </w:tcPr>
          <w:p w14:paraId="456CD5A4">
            <w:pPr>
              <w:jc w:val="center"/>
              <w:rPr>
                <w:rFonts w:hint="eastAsia" w:ascii="宋体" w:hAnsi="宋体"/>
                <w:color w:val="auto"/>
                <w:highlight w:val="none"/>
              </w:rPr>
            </w:pPr>
          </w:p>
        </w:tc>
        <w:tc>
          <w:tcPr>
            <w:tcW w:w="1134" w:type="dxa"/>
            <w:tcMar>
              <w:left w:w="28" w:type="dxa"/>
              <w:right w:w="28" w:type="dxa"/>
            </w:tcMar>
            <w:vAlign w:val="center"/>
          </w:tcPr>
          <w:p w14:paraId="502FD661">
            <w:pPr>
              <w:jc w:val="center"/>
              <w:rPr>
                <w:rFonts w:hint="eastAsia" w:ascii="宋体" w:hAnsi="宋体"/>
                <w:color w:val="auto"/>
                <w:highlight w:val="none"/>
              </w:rPr>
            </w:pPr>
          </w:p>
        </w:tc>
        <w:tc>
          <w:tcPr>
            <w:tcW w:w="1134" w:type="dxa"/>
            <w:tcMar>
              <w:left w:w="28" w:type="dxa"/>
              <w:right w:w="28" w:type="dxa"/>
            </w:tcMar>
            <w:vAlign w:val="center"/>
          </w:tcPr>
          <w:p w14:paraId="16BF0F90">
            <w:pPr>
              <w:jc w:val="center"/>
              <w:rPr>
                <w:rFonts w:hint="eastAsia" w:ascii="宋体" w:hAnsi="宋体"/>
                <w:color w:val="auto"/>
                <w:highlight w:val="none"/>
              </w:rPr>
            </w:pPr>
          </w:p>
        </w:tc>
        <w:tc>
          <w:tcPr>
            <w:tcW w:w="1134" w:type="dxa"/>
            <w:vAlign w:val="center"/>
          </w:tcPr>
          <w:p w14:paraId="63AF193C">
            <w:pPr>
              <w:jc w:val="center"/>
              <w:rPr>
                <w:rFonts w:hint="eastAsia" w:ascii="宋体" w:hAnsi="宋体"/>
                <w:color w:val="auto"/>
                <w:highlight w:val="none"/>
              </w:rPr>
            </w:pPr>
          </w:p>
        </w:tc>
        <w:tc>
          <w:tcPr>
            <w:tcW w:w="1134" w:type="dxa"/>
            <w:tcMar>
              <w:left w:w="28" w:type="dxa"/>
              <w:right w:w="28" w:type="dxa"/>
            </w:tcMar>
            <w:vAlign w:val="center"/>
          </w:tcPr>
          <w:p w14:paraId="1737DE67">
            <w:pPr>
              <w:jc w:val="center"/>
              <w:rPr>
                <w:rFonts w:hint="eastAsia" w:ascii="宋体" w:hAnsi="宋体"/>
                <w:color w:val="auto"/>
                <w:highlight w:val="none"/>
              </w:rPr>
            </w:pPr>
          </w:p>
        </w:tc>
        <w:tc>
          <w:tcPr>
            <w:tcW w:w="1134" w:type="dxa"/>
          </w:tcPr>
          <w:p w14:paraId="735985B6">
            <w:pPr>
              <w:jc w:val="center"/>
              <w:rPr>
                <w:rFonts w:hint="eastAsia" w:ascii="宋体" w:hAnsi="宋体"/>
                <w:color w:val="auto"/>
                <w:highlight w:val="none"/>
              </w:rPr>
            </w:pPr>
          </w:p>
        </w:tc>
        <w:tc>
          <w:tcPr>
            <w:tcW w:w="1276" w:type="dxa"/>
            <w:tcMar>
              <w:left w:w="28" w:type="dxa"/>
              <w:right w:w="28" w:type="dxa"/>
            </w:tcMar>
            <w:vAlign w:val="center"/>
          </w:tcPr>
          <w:p w14:paraId="286E799F">
            <w:pPr>
              <w:jc w:val="center"/>
              <w:rPr>
                <w:rFonts w:hint="eastAsia" w:ascii="宋体" w:hAnsi="宋体"/>
                <w:color w:val="auto"/>
                <w:highlight w:val="none"/>
              </w:rPr>
            </w:pPr>
          </w:p>
        </w:tc>
        <w:tc>
          <w:tcPr>
            <w:tcW w:w="1701" w:type="dxa"/>
            <w:tcMar>
              <w:left w:w="28" w:type="dxa"/>
              <w:right w:w="28" w:type="dxa"/>
            </w:tcMar>
            <w:vAlign w:val="center"/>
          </w:tcPr>
          <w:p w14:paraId="7D33EBB5">
            <w:pPr>
              <w:jc w:val="center"/>
              <w:rPr>
                <w:rFonts w:hint="eastAsia" w:ascii="宋体" w:hAnsi="宋体"/>
                <w:color w:val="auto"/>
                <w:highlight w:val="none"/>
              </w:rPr>
            </w:pPr>
          </w:p>
        </w:tc>
        <w:tc>
          <w:tcPr>
            <w:tcW w:w="1276" w:type="dxa"/>
            <w:vAlign w:val="center"/>
          </w:tcPr>
          <w:p w14:paraId="4AF52F99">
            <w:pPr>
              <w:jc w:val="center"/>
              <w:rPr>
                <w:rFonts w:hint="eastAsia" w:ascii="宋体" w:hAnsi="宋体"/>
                <w:color w:val="auto"/>
                <w:highlight w:val="none"/>
              </w:rPr>
            </w:pPr>
          </w:p>
        </w:tc>
      </w:tr>
      <w:tr w14:paraId="5635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0ADAE4DF">
            <w:pPr>
              <w:jc w:val="center"/>
              <w:rPr>
                <w:rFonts w:hint="eastAsia" w:ascii="宋体" w:hAnsi="宋体"/>
                <w:color w:val="auto"/>
                <w:highlight w:val="none"/>
              </w:rPr>
            </w:pPr>
          </w:p>
        </w:tc>
        <w:tc>
          <w:tcPr>
            <w:tcW w:w="2481" w:type="dxa"/>
            <w:tcMar>
              <w:left w:w="28" w:type="dxa"/>
              <w:right w:w="28" w:type="dxa"/>
            </w:tcMar>
            <w:vAlign w:val="center"/>
          </w:tcPr>
          <w:p w14:paraId="04EBA774">
            <w:pPr>
              <w:jc w:val="center"/>
              <w:rPr>
                <w:rFonts w:hint="eastAsia" w:ascii="宋体" w:hAnsi="宋体"/>
                <w:color w:val="auto"/>
                <w:highlight w:val="none"/>
              </w:rPr>
            </w:pPr>
          </w:p>
        </w:tc>
        <w:tc>
          <w:tcPr>
            <w:tcW w:w="992" w:type="dxa"/>
            <w:tcMar>
              <w:left w:w="28" w:type="dxa"/>
              <w:right w:w="28" w:type="dxa"/>
            </w:tcMar>
            <w:vAlign w:val="center"/>
          </w:tcPr>
          <w:p w14:paraId="4AE03A63">
            <w:pPr>
              <w:jc w:val="center"/>
              <w:rPr>
                <w:rFonts w:hint="eastAsia" w:ascii="宋体" w:hAnsi="宋体"/>
                <w:color w:val="auto"/>
                <w:highlight w:val="none"/>
              </w:rPr>
            </w:pPr>
          </w:p>
        </w:tc>
        <w:tc>
          <w:tcPr>
            <w:tcW w:w="1134" w:type="dxa"/>
            <w:tcMar>
              <w:left w:w="28" w:type="dxa"/>
              <w:right w:w="28" w:type="dxa"/>
            </w:tcMar>
            <w:vAlign w:val="center"/>
          </w:tcPr>
          <w:p w14:paraId="4431C245">
            <w:pPr>
              <w:jc w:val="center"/>
              <w:rPr>
                <w:rFonts w:hint="eastAsia" w:ascii="宋体" w:hAnsi="宋体"/>
                <w:color w:val="auto"/>
                <w:highlight w:val="none"/>
              </w:rPr>
            </w:pPr>
          </w:p>
        </w:tc>
        <w:tc>
          <w:tcPr>
            <w:tcW w:w="1134" w:type="dxa"/>
            <w:tcMar>
              <w:left w:w="28" w:type="dxa"/>
              <w:right w:w="28" w:type="dxa"/>
            </w:tcMar>
            <w:vAlign w:val="center"/>
          </w:tcPr>
          <w:p w14:paraId="68CDCECD">
            <w:pPr>
              <w:jc w:val="center"/>
              <w:rPr>
                <w:rFonts w:hint="eastAsia" w:ascii="宋体" w:hAnsi="宋体"/>
                <w:color w:val="auto"/>
                <w:highlight w:val="none"/>
              </w:rPr>
            </w:pPr>
          </w:p>
        </w:tc>
        <w:tc>
          <w:tcPr>
            <w:tcW w:w="1134" w:type="dxa"/>
            <w:vAlign w:val="center"/>
          </w:tcPr>
          <w:p w14:paraId="68D69294">
            <w:pPr>
              <w:jc w:val="center"/>
              <w:rPr>
                <w:rFonts w:hint="eastAsia" w:ascii="宋体" w:hAnsi="宋体"/>
                <w:color w:val="auto"/>
                <w:highlight w:val="none"/>
              </w:rPr>
            </w:pPr>
          </w:p>
        </w:tc>
        <w:tc>
          <w:tcPr>
            <w:tcW w:w="1134" w:type="dxa"/>
            <w:tcMar>
              <w:left w:w="28" w:type="dxa"/>
              <w:right w:w="28" w:type="dxa"/>
            </w:tcMar>
            <w:vAlign w:val="center"/>
          </w:tcPr>
          <w:p w14:paraId="1EA6C70C">
            <w:pPr>
              <w:jc w:val="center"/>
              <w:rPr>
                <w:rFonts w:hint="eastAsia" w:ascii="宋体" w:hAnsi="宋体"/>
                <w:color w:val="auto"/>
                <w:highlight w:val="none"/>
              </w:rPr>
            </w:pPr>
          </w:p>
        </w:tc>
        <w:tc>
          <w:tcPr>
            <w:tcW w:w="1134" w:type="dxa"/>
          </w:tcPr>
          <w:p w14:paraId="6EB9F595">
            <w:pPr>
              <w:jc w:val="center"/>
              <w:rPr>
                <w:rFonts w:hint="eastAsia" w:ascii="宋体" w:hAnsi="宋体"/>
                <w:color w:val="auto"/>
                <w:highlight w:val="none"/>
              </w:rPr>
            </w:pPr>
          </w:p>
        </w:tc>
        <w:tc>
          <w:tcPr>
            <w:tcW w:w="1276" w:type="dxa"/>
            <w:tcMar>
              <w:left w:w="28" w:type="dxa"/>
              <w:right w:w="28" w:type="dxa"/>
            </w:tcMar>
            <w:vAlign w:val="center"/>
          </w:tcPr>
          <w:p w14:paraId="157C2ED4">
            <w:pPr>
              <w:jc w:val="center"/>
              <w:rPr>
                <w:rFonts w:hint="eastAsia" w:ascii="宋体" w:hAnsi="宋体"/>
                <w:color w:val="auto"/>
                <w:highlight w:val="none"/>
              </w:rPr>
            </w:pPr>
          </w:p>
        </w:tc>
        <w:tc>
          <w:tcPr>
            <w:tcW w:w="1701" w:type="dxa"/>
            <w:tcMar>
              <w:left w:w="28" w:type="dxa"/>
              <w:right w:w="28" w:type="dxa"/>
            </w:tcMar>
            <w:vAlign w:val="center"/>
          </w:tcPr>
          <w:p w14:paraId="1F25D3AE">
            <w:pPr>
              <w:jc w:val="center"/>
              <w:rPr>
                <w:rFonts w:hint="eastAsia" w:ascii="宋体" w:hAnsi="宋体"/>
                <w:color w:val="auto"/>
                <w:highlight w:val="none"/>
              </w:rPr>
            </w:pPr>
          </w:p>
        </w:tc>
        <w:tc>
          <w:tcPr>
            <w:tcW w:w="1276" w:type="dxa"/>
            <w:vAlign w:val="center"/>
          </w:tcPr>
          <w:p w14:paraId="5903630C">
            <w:pPr>
              <w:jc w:val="center"/>
              <w:rPr>
                <w:rFonts w:hint="eastAsia" w:ascii="宋体" w:hAnsi="宋体"/>
                <w:color w:val="auto"/>
                <w:highlight w:val="none"/>
              </w:rPr>
            </w:pPr>
          </w:p>
        </w:tc>
      </w:tr>
      <w:tr w14:paraId="7120A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79B86AAA">
            <w:pPr>
              <w:jc w:val="center"/>
              <w:rPr>
                <w:rFonts w:hint="eastAsia" w:ascii="宋体" w:hAnsi="宋体"/>
                <w:color w:val="auto"/>
                <w:highlight w:val="none"/>
              </w:rPr>
            </w:pPr>
          </w:p>
        </w:tc>
        <w:tc>
          <w:tcPr>
            <w:tcW w:w="2481" w:type="dxa"/>
            <w:tcMar>
              <w:left w:w="28" w:type="dxa"/>
              <w:right w:w="28" w:type="dxa"/>
            </w:tcMar>
            <w:vAlign w:val="center"/>
          </w:tcPr>
          <w:p w14:paraId="3B8C1F1F">
            <w:pPr>
              <w:jc w:val="center"/>
              <w:rPr>
                <w:rFonts w:hint="eastAsia" w:ascii="宋体" w:hAnsi="宋体"/>
                <w:color w:val="auto"/>
                <w:highlight w:val="none"/>
              </w:rPr>
            </w:pPr>
          </w:p>
        </w:tc>
        <w:tc>
          <w:tcPr>
            <w:tcW w:w="992" w:type="dxa"/>
            <w:tcMar>
              <w:left w:w="28" w:type="dxa"/>
              <w:right w:w="28" w:type="dxa"/>
            </w:tcMar>
            <w:vAlign w:val="center"/>
          </w:tcPr>
          <w:p w14:paraId="7F8ACEF8">
            <w:pPr>
              <w:jc w:val="center"/>
              <w:rPr>
                <w:rFonts w:hint="eastAsia" w:ascii="宋体" w:hAnsi="宋体"/>
                <w:color w:val="auto"/>
                <w:highlight w:val="none"/>
              </w:rPr>
            </w:pPr>
          </w:p>
        </w:tc>
        <w:tc>
          <w:tcPr>
            <w:tcW w:w="1134" w:type="dxa"/>
            <w:tcMar>
              <w:left w:w="28" w:type="dxa"/>
              <w:right w:w="28" w:type="dxa"/>
            </w:tcMar>
            <w:vAlign w:val="center"/>
          </w:tcPr>
          <w:p w14:paraId="797CC3D5">
            <w:pPr>
              <w:jc w:val="center"/>
              <w:rPr>
                <w:rFonts w:hint="eastAsia" w:ascii="宋体" w:hAnsi="宋体"/>
                <w:color w:val="auto"/>
                <w:highlight w:val="none"/>
              </w:rPr>
            </w:pPr>
          </w:p>
        </w:tc>
        <w:tc>
          <w:tcPr>
            <w:tcW w:w="1134" w:type="dxa"/>
            <w:tcMar>
              <w:left w:w="28" w:type="dxa"/>
              <w:right w:w="28" w:type="dxa"/>
            </w:tcMar>
            <w:vAlign w:val="center"/>
          </w:tcPr>
          <w:p w14:paraId="666538A6">
            <w:pPr>
              <w:jc w:val="center"/>
              <w:rPr>
                <w:rFonts w:hint="eastAsia" w:ascii="宋体" w:hAnsi="宋体"/>
                <w:color w:val="auto"/>
                <w:highlight w:val="none"/>
              </w:rPr>
            </w:pPr>
          </w:p>
        </w:tc>
        <w:tc>
          <w:tcPr>
            <w:tcW w:w="1134" w:type="dxa"/>
            <w:vAlign w:val="center"/>
          </w:tcPr>
          <w:p w14:paraId="662CC025">
            <w:pPr>
              <w:jc w:val="center"/>
              <w:rPr>
                <w:rFonts w:hint="eastAsia" w:ascii="宋体" w:hAnsi="宋体"/>
                <w:color w:val="auto"/>
                <w:highlight w:val="none"/>
              </w:rPr>
            </w:pPr>
          </w:p>
        </w:tc>
        <w:tc>
          <w:tcPr>
            <w:tcW w:w="1134" w:type="dxa"/>
            <w:tcMar>
              <w:left w:w="28" w:type="dxa"/>
              <w:right w:w="28" w:type="dxa"/>
            </w:tcMar>
            <w:vAlign w:val="center"/>
          </w:tcPr>
          <w:p w14:paraId="2633335F">
            <w:pPr>
              <w:jc w:val="center"/>
              <w:rPr>
                <w:rFonts w:hint="eastAsia" w:ascii="宋体" w:hAnsi="宋体"/>
                <w:color w:val="auto"/>
                <w:highlight w:val="none"/>
              </w:rPr>
            </w:pPr>
          </w:p>
        </w:tc>
        <w:tc>
          <w:tcPr>
            <w:tcW w:w="1134" w:type="dxa"/>
          </w:tcPr>
          <w:p w14:paraId="18333C79">
            <w:pPr>
              <w:jc w:val="center"/>
              <w:rPr>
                <w:rFonts w:hint="eastAsia" w:ascii="宋体" w:hAnsi="宋体"/>
                <w:color w:val="auto"/>
                <w:highlight w:val="none"/>
              </w:rPr>
            </w:pPr>
          </w:p>
        </w:tc>
        <w:tc>
          <w:tcPr>
            <w:tcW w:w="1276" w:type="dxa"/>
            <w:tcMar>
              <w:left w:w="28" w:type="dxa"/>
              <w:right w:w="28" w:type="dxa"/>
            </w:tcMar>
            <w:vAlign w:val="center"/>
          </w:tcPr>
          <w:p w14:paraId="7D7ADCC1">
            <w:pPr>
              <w:jc w:val="center"/>
              <w:rPr>
                <w:rFonts w:hint="eastAsia" w:ascii="宋体" w:hAnsi="宋体"/>
                <w:color w:val="auto"/>
                <w:highlight w:val="none"/>
              </w:rPr>
            </w:pPr>
          </w:p>
        </w:tc>
        <w:tc>
          <w:tcPr>
            <w:tcW w:w="1701" w:type="dxa"/>
            <w:tcMar>
              <w:left w:w="28" w:type="dxa"/>
              <w:right w:w="28" w:type="dxa"/>
            </w:tcMar>
            <w:vAlign w:val="center"/>
          </w:tcPr>
          <w:p w14:paraId="614DFE4C">
            <w:pPr>
              <w:jc w:val="center"/>
              <w:rPr>
                <w:rFonts w:hint="eastAsia" w:ascii="宋体" w:hAnsi="宋体"/>
                <w:color w:val="auto"/>
                <w:highlight w:val="none"/>
              </w:rPr>
            </w:pPr>
          </w:p>
        </w:tc>
        <w:tc>
          <w:tcPr>
            <w:tcW w:w="1276" w:type="dxa"/>
            <w:vAlign w:val="center"/>
          </w:tcPr>
          <w:p w14:paraId="47C65B97">
            <w:pPr>
              <w:jc w:val="center"/>
              <w:rPr>
                <w:rFonts w:hint="eastAsia" w:ascii="宋体" w:hAnsi="宋体"/>
                <w:color w:val="auto"/>
                <w:highlight w:val="none"/>
              </w:rPr>
            </w:pPr>
          </w:p>
        </w:tc>
      </w:tr>
      <w:tr w14:paraId="4FDCD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2AAD6B57">
            <w:pPr>
              <w:jc w:val="center"/>
              <w:rPr>
                <w:rFonts w:hint="eastAsia" w:ascii="宋体" w:hAnsi="宋体"/>
                <w:color w:val="auto"/>
                <w:highlight w:val="none"/>
              </w:rPr>
            </w:pPr>
          </w:p>
        </w:tc>
        <w:tc>
          <w:tcPr>
            <w:tcW w:w="2481" w:type="dxa"/>
            <w:tcMar>
              <w:left w:w="28" w:type="dxa"/>
              <w:right w:w="28" w:type="dxa"/>
            </w:tcMar>
            <w:vAlign w:val="center"/>
          </w:tcPr>
          <w:p w14:paraId="2860A750">
            <w:pPr>
              <w:jc w:val="center"/>
              <w:rPr>
                <w:rFonts w:hint="eastAsia" w:ascii="宋体" w:hAnsi="宋体"/>
                <w:color w:val="auto"/>
                <w:highlight w:val="none"/>
              </w:rPr>
            </w:pPr>
          </w:p>
        </w:tc>
        <w:tc>
          <w:tcPr>
            <w:tcW w:w="992" w:type="dxa"/>
            <w:tcMar>
              <w:left w:w="28" w:type="dxa"/>
              <w:right w:w="28" w:type="dxa"/>
            </w:tcMar>
            <w:vAlign w:val="center"/>
          </w:tcPr>
          <w:p w14:paraId="79EB30B6">
            <w:pPr>
              <w:jc w:val="center"/>
              <w:rPr>
                <w:rFonts w:hint="eastAsia" w:ascii="宋体" w:hAnsi="宋体"/>
                <w:color w:val="auto"/>
                <w:highlight w:val="none"/>
              </w:rPr>
            </w:pPr>
          </w:p>
        </w:tc>
        <w:tc>
          <w:tcPr>
            <w:tcW w:w="1134" w:type="dxa"/>
            <w:tcMar>
              <w:left w:w="28" w:type="dxa"/>
              <w:right w:w="28" w:type="dxa"/>
            </w:tcMar>
            <w:vAlign w:val="center"/>
          </w:tcPr>
          <w:p w14:paraId="1684246E">
            <w:pPr>
              <w:jc w:val="center"/>
              <w:rPr>
                <w:rFonts w:hint="eastAsia" w:ascii="宋体" w:hAnsi="宋体"/>
                <w:color w:val="auto"/>
                <w:highlight w:val="none"/>
              </w:rPr>
            </w:pPr>
          </w:p>
        </w:tc>
        <w:tc>
          <w:tcPr>
            <w:tcW w:w="1134" w:type="dxa"/>
            <w:tcMar>
              <w:left w:w="28" w:type="dxa"/>
              <w:right w:w="28" w:type="dxa"/>
            </w:tcMar>
            <w:vAlign w:val="center"/>
          </w:tcPr>
          <w:p w14:paraId="469BF78E">
            <w:pPr>
              <w:jc w:val="center"/>
              <w:rPr>
                <w:rFonts w:hint="eastAsia" w:ascii="宋体" w:hAnsi="宋体"/>
                <w:color w:val="auto"/>
                <w:highlight w:val="none"/>
              </w:rPr>
            </w:pPr>
          </w:p>
        </w:tc>
        <w:tc>
          <w:tcPr>
            <w:tcW w:w="1134" w:type="dxa"/>
            <w:vAlign w:val="center"/>
          </w:tcPr>
          <w:p w14:paraId="5CABAAC9">
            <w:pPr>
              <w:jc w:val="center"/>
              <w:rPr>
                <w:rFonts w:hint="eastAsia" w:ascii="宋体" w:hAnsi="宋体"/>
                <w:color w:val="auto"/>
                <w:highlight w:val="none"/>
              </w:rPr>
            </w:pPr>
          </w:p>
        </w:tc>
        <w:tc>
          <w:tcPr>
            <w:tcW w:w="1134" w:type="dxa"/>
            <w:tcMar>
              <w:left w:w="28" w:type="dxa"/>
              <w:right w:w="28" w:type="dxa"/>
            </w:tcMar>
            <w:vAlign w:val="center"/>
          </w:tcPr>
          <w:p w14:paraId="5868E3E8">
            <w:pPr>
              <w:jc w:val="center"/>
              <w:rPr>
                <w:rFonts w:hint="eastAsia" w:ascii="宋体" w:hAnsi="宋体"/>
                <w:color w:val="auto"/>
                <w:highlight w:val="none"/>
              </w:rPr>
            </w:pPr>
          </w:p>
        </w:tc>
        <w:tc>
          <w:tcPr>
            <w:tcW w:w="1134" w:type="dxa"/>
          </w:tcPr>
          <w:p w14:paraId="49C9FA99">
            <w:pPr>
              <w:jc w:val="center"/>
              <w:rPr>
                <w:rFonts w:hint="eastAsia" w:ascii="宋体" w:hAnsi="宋体"/>
                <w:color w:val="auto"/>
                <w:highlight w:val="none"/>
              </w:rPr>
            </w:pPr>
          </w:p>
        </w:tc>
        <w:tc>
          <w:tcPr>
            <w:tcW w:w="1276" w:type="dxa"/>
            <w:tcMar>
              <w:left w:w="28" w:type="dxa"/>
              <w:right w:w="28" w:type="dxa"/>
            </w:tcMar>
            <w:vAlign w:val="center"/>
          </w:tcPr>
          <w:p w14:paraId="44F53ED7">
            <w:pPr>
              <w:jc w:val="center"/>
              <w:rPr>
                <w:rFonts w:hint="eastAsia" w:ascii="宋体" w:hAnsi="宋体"/>
                <w:color w:val="auto"/>
                <w:highlight w:val="none"/>
              </w:rPr>
            </w:pPr>
          </w:p>
        </w:tc>
        <w:tc>
          <w:tcPr>
            <w:tcW w:w="1701" w:type="dxa"/>
            <w:tcMar>
              <w:left w:w="28" w:type="dxa"/>
              <w:right w:w="28" w:type="dxa"/>
            </w:tcMar>
            <w:vAlign w:val="center"/>
          </w:tcPr>
          <w:p w14:paraId="687971B1">
            <w:pPr>
              <w:jc w:val="center"/>
              <w:rPr>
                <w:rFonts w:hint="eastAsia" w:ascii="宋体" w:hAnsi="宋体"/>
                <w:color w:val="auto"/>
                <w:highlight w:val="none"/>
              </w:rPr>
            </w:pPr>
          </w:p>
        </w:tc>
        <w:tc>
          <w:tcPr>
            <w:tcW w:w="1276" w:type="dxa"/>
            <w:vAlign w:val="center"/>
          </w:tcPr>
          <w:p w14:paraId="5602A051">
            <w:pPr>
              <w:jc w:val="center"/>
              <w:rPr>
                <w:rFonts w:hint="eastAsia" w:ascii="宋体" w:hAnsi="宋体"/>
                <w:color w:val="auto"/>
                <w:highlight w:val="none"/>
              </w:rPr>
            </w:pPr>
          </w:p>
        </w:tc>
      </w:tr>
      <w:tr w14:paraId="787DC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2EE2D989">
            <w:pPr>
              <w:jc w:val="center"/>
              <w:rPr>
                <w:rFonts w:hint="eastAsia" w:ascii="宋体" w:hAnsi="宋体"/>
                <w:color w:val="auto"/>
                <w:highlight w:val="none"/>
              </w:rPr>
            </w:pPr>
          </w:p>
        </w:tc>
        <w:tc>
          <w:tcPr>
            <w:tcW w:w="2481" w:type="dxa"/>
            <w:tcMar>
              <w:left w:w="28" w:type="dxa"/>
              <w:right w:w="28" w:type="dxa"/>
            </w:tcMar>
            <w:vAlign w:val="center"/>
          </w:tcPr>
          <w:p w14:paraId="57704CC3">
            <w:pPr>
              <w:jc w:val="center"/>
              <w:rPr>
                <w:rFonts w:hint="eastAsia" w:ascii="宋体" w:hAnsi="宋体"/>
                <w:color w:val="auto"/>
                <w:highlight w:val="none"/>
              </w:rPr>
            </w:pPr>
          </w:p>
        </w:tc>
        <w:tc>
          <w:tcPr>
            <w:tcW w:w="992" w:type="dxa"/>
            <w:tcMar>
              <w:left w:w="28" w:type="dxa"/>
              <w:right w:w="28" w:type="dxa"/>
            </w:tcMar>
            <w:vAlign w:val="center"/>
          </w:tcPr>
          <w:p w14:paraId="5DF6BAE1">
            <w:pPr>
              <w:jc w:val="center"/>
              <w:rPr>
                <w:rFonts w:hint="eastAsia" w:ascii="宋体" w:hAnsi="宋体"/>
                <w:color w:val="auto"/>
                <w:highlight w:val="none"/>
              </w:rPr>
            </w:pPr>
          </w:p>
        </w:tc>
        <w:tc>
          <w:tcPr>
            <w:tcW w:w="1134" w:type="dxa"/>
            <w:tcMar>
              <w:left w:w="28" w:type="dxa"/>
              <w:right w:w="28" w:type="dxa"/>
            </w:tcMar>
            <w:vAlign w:val="center"/>
          </w:tcPr>
          <w:p w14:paraId="4DB53CDF">
            <w:pPr>
              <w:jc w:val="center"/>
              <w:rPr>
                <w:rFonts w:hint="eastAsia" w:ascii="宋体" w:hAnsi="宋体"/>
                <w:color w:val="auto"/>
                <w:highlight w:val="none"/>
              </w:rPr>
            </w:pPr>
          </w:p>
        </w:tc>
        <w:tc>
          <w:tcPr>
            <w:tcW w:w="1134" w:type="dxa"/>
            <w:tcMar>
              <w:left w:w="28" w:type="dxa"/>
              <w:right w:w="28" w:type="dxa"/>
            </w:tcMar>
            <w:vAlign w:val="center"/>
          </w:tcPr>
          <w:p w14:paraId="0E76EE48">
            <w:pPr>
              <w:jc w:val="center"/>
              <w:rPr>
                <w:rFonts w:hint="eastAsia" w:ascii="宋体" w:hAnsi="宋体"/>
                <w:color w:val="auto"/>
                <w:highlight w:val="none"/>
              </w:rPr>
            </w:pPr>
          </w:p>
        </w:tc>
        <w:tc>
          <w:tcPr>
            <w:tcW w:w="1134" w:type="dxa"/>
            <w:vAlign w:val="center"/>
          </w:tcPr>
          <w:p w14:paraId="1A04A042">
            <w:pPr>
              <w:jc w:val="center"/>
              <w:rPr>
                <w:rFonts w:hint="eastAsia" w:ascii="宋体" w:hAnsi="宋体"/>
                <w:color w:val="auto"/>
                <w:highlight w:val="none"/>
              </w:rPr>
            </w:pPr>
          </w:p>
        </w:tc>
        <w:tc>
          <w:tcPr>
            <w:tcW w:w="1134" w:type="dxa"/>
            <w:tcMar>
              <w:left w:w="28" w:type="dxa"/>
              <w:right w:w="28" w:type="dxa"/>
            </w:tcMar>
            <w:vAlign w:val="center"/>
          </w:tcPr>
          <w:p w14:paraId="23D3FF02">
            <w:pPr>
              <w:jc w:val="center"/>
              <w:rPr>
                <w:rFonts w:hint="eastAsia" w:ascii="宋体" w:hAnsi="宋体"/>
                <w:color w:val="auto"/>
                <w:highlight w:val="none"/>
              </w:rPr>
            </w:pPr>
          </w:p>
        </w:tc>
        <w:tc>
          <w:tcPr>
            <w:tcW w:w="1134" w:type="dxa"/>
          </w:tcPr>
          <w:p w14:paraId="09A27ED6">
            <w:pPr>
              <w:jc w:val="center"/>
              <w:rPr>
                <w:rFonts w:hint="eastAsia" w:ascii="宋体" w:hAnsi="宋体"/>
                <w:color w:val="auto"/>
                <w:highlight w:val="none"/>
              </w:rPr>
            </w:pPr>
          </w:p>
        </w:tc>
        <w:tc>
          <w:tcPr>
            <w:tcW w:w="1276" w:type="dxa"/>
            <w:tcMar>
              <w:left w:w="28" w:type="dxa"/>
              <w:right w:w="28" w:type="dxa"/>
            </w:tcMar>
            <w:vAlign w:val="center"/>
          </w:tcPr>
          <w:p w14:paraId="52048BB7">
            <w:pPr>
              <w:jc w:val="center"/>
              <w:rPr>
                <w:rFonts w:hint="eastAsia" w:ascii="宋体" w:hAnsi="宋体"/>
                <w:color w:val="auto"/>
                <w:highlight w:val="none"/>
              </w:rPr>
            </w:pPr>
          </w:p>
        </w:tc>
        <w:tc>
          <w:tcPr>
            <w:tcW w:w="1701" w:type="dxa"/>
            <w:tcMar>
              <w:left w:w="28" w:type="dxa"/>
              <w:right w:w="28" w:type="dxa"/>
            </w:tcMar>
            <w:vAlign w:val="center"/>
          </w:tcPr>
          <w:p w14:paraId="79D218E8">
            <w:pPr>
              <w:jc w:val="center"/>
              <w:rPr>
                <w:rFonts w:hint="eastAsia" w:ascii="宋体" w:hAnsi="宋体"/>
                <w:color w:val="auto"/>
                <w:highlight w:val="none"/>
              </w:rPr>
            </w:pPr>
          </w:p>
        </w:tc>
        <w:tc>
          <w:tcPr>
            <w:tcW w:w="1276" w:type="dxa"/>
            <w:vAlign w:val="center"/>
          </w:tcPr>
          <w:p w14:paraId="45DE6140">
            <w:pPr>
              <w:jc w:val="center"/>
              <w:rPr>
                <w:rFonts w:hint="eastAsia" w:ascii="宋体" w:hAnsi="宋体"/>
                <w:color w:val="auto"/>
                <w:highlight w:val="none"/>
              </w:rPr>
            </w:pPr>
          </w:p>
        </w:tc>
      </w:tr>
      <w:tr w14:paraId="20D4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66" w:type="dxa"/>
            <w:tcMar>
              <w:left w:w="28" w:type="dxa"/>
              <w:right w:w="28" w:type="dxa"/>
            </w:tcMar>
            <w:vAlign w:val="center"/>
          </w:tcPr>
          <w:p w14:paraId="7467D5E7">
            <w:pPr>
              <w:spacing w:line="400" w:lineRule="exact"/>
              <w:jc w:val="center"/>
              <w:rPr>
                <w:rFonts w:hint="eastAsia" w:ascii="宋体" w:hAnsi="宋体"/>
                <w:color w:val="auto"/>
                <w:highlight w:val="none"/>
              </w:rPr>
            </w:pPr>
          </w:p>
        </w:tc>
        <w:tc>
          <w:tcPr>
            <w:tcW w:w="2481" w:type="dxa"/>
            <w:tcMar>
              <w:left w:w="28" w:type="dxa"/>
              <w:right w:w="28" w:type="dxa"/>
            </w:tcMar>
            <w:vAlign w:val="center"/>
          </w:tcPr>
          <w:p w14:paraId="0DFD7E9F">
            <w:pPr>
              <w:spacing w:line="400" w:lineRule="exact"/>
              <w:jc w:val="center"/>
              <w:rPr>
                <w:rFonts w:hint="eastAsia" w:ascii="宋体" w:hAnsi="宋体"/>
                <w:color w:val="auto"/>
                <w:highlight w:val="none"/>
              </w:rPr>
            </w:pPr>
          </w:p>
        </w:tc>
        <w:tc>
          <w:tcPr>
            <w:tcW w:w="992" w:type="dxa"/>
            <w:tcMar>
              <w:left w:w="28" w:type="dxa"/>
              <w:right w:w="28" w:type="dxa"/>
            </w:tcMar>
            <w:vAlign w:val="center"/>
          </w:tcPr>
          <w:p w14:paraId="449B4E83">
            <w:pPr>
              <w:spacing w:line="400" w:lineRule="exact"/>
              <w:jc w:val="center"/>
              <w:rPr>
                <w:rFonts w:hint="eastAsia" w:ascii="宋体" w:hAnsi="宋体"/>
                <w:color w:val="auto"/>
                <w:highlight w:val="none"/>
              </w:rPr>
            </w:pPr>
          </w:p>
        </w:tc>
        <w:tc>
          <w:tcPr>
            <w:tcW w:w="1134" w:type="dxa"/>
            <w:tcMar>
              <w:left w:w="28" w:type="dxa"/>
              <w:right w:w="28" w:type="dxa"/>
            </w:tcMar>
            <w:vAlign w:val="center"/>
          </w:tcPr>
          <w:p w14:paraId="4E9B91D1">
            <w:pPr>
              <w:spacing w:line="400" w:lineRule="exact"/>
              <w:jc w:val="center"/>
              <w:rPr>
                <w:rFonts w:hint="eastAsia" w:ascii="宋体" w:hAnsi="宋体"/>
                <w:color w:val="auto"/>
                <w:highlight w:val="none"/>
              </w:rPr>
            </w:pPr>
          </w:p>
        </w:tc>
        <w:tc>
          <w:tcPr>
            <w:tcW w:w="1134" w:type="dxa"/>
            <w:tcMar>
              <w:left w:w="28" w:type="dxa"/>
              <w:right w:w="28" w:type="dxa"/>
            </w:tcMar>
            <w:vAlign w:val="center"/>
          </w:tcPr>
          <w:p w14:paraId="48BAC6D8">
            <w:pPr>
              <w:spacing w:line="400" w:lineRule="exact"/>
              <w:jc w:val="center"/>
              <w:rPr>
                <w:rFonts w:hint="eastAsia" w:ascii="宋体" w:hAnsi="宋体"/>
                <w:color w:val="auto"/>
                <w:highlight w:val="none"/>
              </w:rPr>
            </w:pPr>
          </w:p>
        </w:tc>
        <w:tc>
          <w:tcPr>
            <w:tcW w:w="1134" w:type="dxa"/>
            <w:vAlign w:val="center"/>
          </w:tcPr>
          <w:p w14:paraId="6F307CE4">
            <w:pPr>
              <w:spacing w:line="400" w:lineRule="exact"/>
              <w:jc w:val="center"/>
              <w:rPr>
                <w:rFonts w:hint="eastAsia" w:ascii="宋体" w:hAnsi="宋体"/>
                <w:color w:val="auto"/>
                <w:highlight w:val="none"/>
              </w:rPr>
            </w:pPr>
          </w:p>
        </w:tc>
        <w:tc>
          <w:tcPr>
            <w:tcW w:w="1134" w:type="dxa"/>
            <w:tcMar>
              <w:left w:w="28" w:type="dxa"/>
              <w:right w:w="28" w:type="dxa"/>
            </w:tcMar>
            <w:vAlign w:val="center"/>
          </w:tcPr>
          <w:p w14:paraId="4A5D4DF5">
            <w:pPr>
              <w:spacing w:line="400" w:lineRule="exact"/>
              <w:jc w:val="center"/>
              <w:rPr>
                <w:rFonts w:hint="eastAsia" w:ascii="宋体" w:hAnsi="宋体"/>
                <w:color w:val="auto"/>
                <w:highlight w:val="none"/>
              </w:rPr>
            </w:pPr>
          </w:p>
        </w:tc>
        <w:tc>
          <w:tcPr>
            <w:tcW w:w="1134" w:type="dxa"/>
          </w:tcPr>
          <w:p w14:paraId="6258E36A">
            <w:pPr>
              <w:spacing w:line="400" w:lineRule="exact"/>
              <w:jc w:val="center"/>
              <w:rPr>
                <w:rFonts w:hint="eastAsia" w:ascii="宋体" w:hAnsi="宋体"/>
                <w:color w:val="auto"/>
                <w:highlight w:val="none"/>
              </w:rPr>
            </w:pPr>
          </w:p>
        </w:tc>
        <w:tc>
          <w:tcPr>
            <w:tcW w:w="1276" w:type="dxa"/>
            <w:tcMar>
              <w:left w:w="28" w:type="dxa"/>
              <w:right w:w="28" w:type="dxa"/>
            </w:tcMar>
            <w:vAlign w:val="center"/>
          </w:tcPr>
          <w:p w14:paraId="6359BB27">
            <w:pPr>
              <w:spacing w:line="400" w:lineRule="exact"/>
              <w:jc w:val="center"/>
              <w:rPr>
                <w:rFonts w:hint="eastAsia" w:ascii="宋体" w:hAnsi="宋体"/>
                <w:color w:val="auto"/>
                <w:highlight w:val="none"/>
              </w:rPr>
            </w:pPr>
          </w:p>
        </w:tc>
        <w:tc>
          <w:tcPr>
            <w:tcW w:w="1701" w:type="dxa"/>
            <w:tcMar>
              <w:left w:w="28" w:type="dxa"/>
              <w:right w:w="28" w:type="dxa"/>
            </w:tcMar>
            <w:vAlign w:val="center"/>
          </w:tcPr>
          <w:p w14:paraId="51E2A189">
            <w:pPr>
              <w:spacing w:line="400" w:lineRule="exact"/>
              <w:jc w:val="center"/>
              <w:rPr>
                <w:rFonts w:hint="eastAsia" w:ascii="宋体" w:hAnsi="宋体"/>
                <w:color w:val="auto"/>
                <w:highlight w:val="none"/>
              </w:rPr>
            </w:pPr>
          </w:p>
        </w:tc>
        <w:tc>
          <w:tcPr>
            <w:tcW w:w="1276" w:type="dxa"/>
            <w:vAlign w:val="center"/>
          </w:tcPr>
          <w:p w14:paraId="7CA021DF">
            <w:pPr>
              <w:spacing w:line="400" w:lineRule="exact"/>
              <w:jc w:val="center"/>
              <w:rPr>
                <w:rFonts w:hint="eastAsia" w:ascii="宋体" w:hAnsi="宋体"/>
                <w:color w:val="auto"/>
                <w:highlight w:val="none"/>
              </w:rPr>
            </w:pPr>
          </w:p>
        </w:tc>
      </w:tr>
      <w:tr w14:paraId="69D56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47" w:type="dxa"/>
            <w:gridSpan w:val="2"/>
            <w:tcMar>
              <w:left w:w="28" w:type="dxa"/>
              <w:right w:w="28" w:type="dxa"/>
            </w:tcMar>
            <w:vAlign w:val="center"/>
          </w:tcPr>
          <w:p w14:paraId="05E4E2A8">
            <w:pPr>
              <w:spacing w:line="400" w:lineRule="exact"/>
              <w:jc w:val="center"/>
              <w:rPr>
                <w:rFonts w:hint="eastAsia" w:ascii="宋体" w:hAnsi="宋体"/>
                <w:color w:val="auto"/>
                <w:highlight w:val="none"/>
              </w:rPr>
            </w:pPr>
            <w:r>
              <w:rPr>
                <w:rFonts w:hint="eastAsia" w:ascii="宋体" w:hAnsi="宋体"/>
                <w:color w:val="auto"/>
                <w:highlight w:val="none"/>
              </w:rPr>
              <w:t>最高投标限价（元）</w:t>
            </w:r>
          </w:p>
        </w:tc>
        <w:tc>
          <w:tcPr>
            <w:tcW w:w="10915" w:type="dxa"/>
            <w:gridSpan w:val="9"/>
          </w:tcPr>
          <w:p w14:paraId="52AD7579">
            <w:pPr>
              <w:spacing w:line="400" w:lineRule="exact"/>
              <w:rPr>
                <w:rFonts w:hint="eastAsia" w:ascii="宋体" w:hAnsi="宋体"/>
                <w:color w:val="auto"/>
                <w:highlight w:val="none"/>
              </w:rPr>
            </w:pPr>
          </w:p>
        </w:tc>
      </w:tr>
      <w:tr w14:paraId="6317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47" w:type="dxa"/>
            <w:gridSpan w:val="2"/>
            <w:tcMar>
              <w:left w:w="28" w:type="dxa"/>
              <w:right w:w="28" w:type="dxa"/>
            </w:tcMar>
            <w:vAlign w:val="center"/>
          </w:tcPr>
          <w:p w14:paraId="5C85D877">
            <w:pPr>
              <w:spacing w:line="400" w:lineRule="exact"/>
              <w:jc w:val="center"/>
              <w:rPr>
                <w:rFonts w:hint="eastAsia" w:ascii="宋体" w:hAnsi="宋体"/>
                <w:color w:val="auto"/>
                <w:highlight w:val="none"/>
              </w:rPr>
            </w:pPr>
            <w:r>
              <w:rPr>
                <w:rFonts w:hint="eastAsia"/>
                <w:color w:val="auto"/>
                <w:szCs w:val="21"/>
                <w:highlight w:val="none"/>
              </w:rPr>
              <w:t>开标过程需记录的其他事项</w:t>
            </w:r>
          </w:p>
        </w:tc>
        <w:tc>
          <w:tcPr>
            <w:tcW w:w="10915" w:type="dxa"/>
            <w:gridSpan w:val="9"/>
          </w:tcPr>
          <w:p w14:paraId="60228523">
            <w:pPr>
              <w:spacing w:line="400" w:lineRule="exact"/>
              <w:rPr>
                <w:rFonts w:hint="eastAsia" w:ascii="宋体" w:hAnsi="宋体"/>
                <w:color w:val="auto"/>
                <w:highlight w:val="none"/>
              </w:rPr>
            </w:pPr>
          </w:p>
        </w:tc>
      </w:tr>
    </w:tbl>
    <w:p w14:paraId="41390A80">
      <w:pPr>
        <w:spacing w:line="400" w:lineRule="exact"/>
        <w:jc w:val="left"/>
        <w:rPr>
          <w:rFonts w:hint="eastAsia" w:ascii="宋体" w:hAnsi="宋体"/>
          <w:color w:val="auto"/>
          <w:highlight w:val="none"/>
        </w:rPr>
        <w:sectPr>
          <w:pgSz w:w="16838" w:h="11906" w:orient="landscape"/>
          <w:pgMar w:top="1797" w:right="1440" w:bottom="1797" w:left="1440"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 xml:space="preserve"> </w:t>
      </w:r>
      <w:r>
        <w:rPr>
          <w:rFonts w:hint="eastAsia"/>
          <w:color w:val="auto"/>
          <w:highlight w:val="none"/>
        </w:rPr>
        <w:t>主持人</w:t>
      </w:r>
      <w:r>
        <w:rPr>
          <w:rFonts w:hint="eastAsia"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招标人代表：</w:t>
      </w:r>
      <w:r>
        <w:rPr>
          <w:rFonts w:hint="eastAsia" w:ascii="宋体" w:hAnsi="宋体"/>
          <w:color w:val="auto"/>
          <w:highlight w:val="none"/>
          <w:u w:val="single"/>
        </w:rPr>
        <w:t xml:space="preserve">      </w:t>
      </w:r>
      <w:r>
        <w:rPr>
          <w:rFonts w:hint="eastAsia" w:ascii="宋体" w:hAnsi="宋体"/>
          <w:color w:val="auto"/>
          <w:highlight w:val="none"/>
        </w:rPr>
        <w:t>监标人：</w:t>
      </w:r>
      <w:r>
        <w:rPr>
          <w:rFonts w:hint="eastAsia" w:ascii="宋体" w:hAnsi="宋体"/>
          <w:color w:val="auto"/>
          <w:highlight w:val="none"/>
          <w:u w:val="single"/>
        </w:rPr>
        <w:t xml:space="preserve">                </w:t>
      </w:r>
    </w:p>
    <w:p w14:paraId="12A53969">
      <w:pPr>
        <w:pStyle w:val="3"/>
        <w:rPr>
          <w:b w:val="0"/>
          <w:color w:val="auto"/>
          <w:sz w:val="24"/>
          <w:szCs w:val="24"/>
          <w:highlight w:val="none"/>
        </w:rPr>
      </w:pPr>
      <w:bookmarkStart w:id="626" w:name="_Toc256000075"/>
      <w:bookmarkStart w:id="627" w:name="_Toc24110"/>
      <w:bookmarkStart w:id="628" w:name="_Toc165804345"/>
      <w:r>
        <w:rPr>
          <w:rFonts w:hint="eastAsia"/>
          <w:b w:val="0"/>
          <w:color w:val="auto"/>
          <w:sz w:val="24"/>
          <w:szCs w:val="24"/>
          <w:highlight w:val="none"/>
        </w:rPr>
        <w:t>附表六：投标文件问题澄清通知</w:t>
      </w:r>
      <w:bookmarkEnd w:id="626"/>
      <w:bookmarkEnd w:id="627"/>
      <w:bookmarkEnd w:id="628"/>
    </w:p>
    <w:p w14:paraId="79ECDCD7">
      <w:pPr>
        <w:rPr>
          <w:color w:val="auto"/>
          <w:highlight w:val="none"/>
        </w:rPr>
      </w:pPr>
    </w:p>
    <w:p w14:paraId="3718C0A4">
      <w:pPr>
        <w:spacing w:before="240" w:beforeLines="100" w:after="240" w:afterLines="100" w:line="40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投标文件问题澄清通知</w:t>
      </w:r>
    </w:p>
    <w:p w14:paraId="56631DFE">
      <w:pPr>
        <w:spacing w:line="400" w:lineRule="exact"/>
        <w:ind w:firstLine="5355" w:firstLineChars="2550"/>
        <w:rPr>
          <w:color w:val="auto"/>
          <w:highlight w:val="none"/>
          <w:u w:val="single"/>
        </w:rPr>
      </w:pPr>
      <w:r>
        <w:rPr>
          <w:rFonts w:hint="eastAsia"/>
          <w:color w:val="auto"/>
          <w:highlight w:val="none"/>
        </w:rPr>
        <w:t>编号：</w:t>
      </w:r>
      <w:r>
        <w:rPr>
          <w:rFonts w:hint="eastAsia"/>
          <w:color w:val="auto"/>
          <w:highlight w:val="none"/>
          <w:u w:val="single"/>
        </w:rPr>
        <w:t xml:space="preserve">                  </w:t>
      </w:r>
    </w:p>
    <w:p w14:paraId="559A95AD">
      <w:pPr>
        <w:spacing w:line="480" w:lineRule="exact"/>
        <w:rPr>
          <w:color w:val="auto"/>
          <w:highlight w:val="none"/>
        </w:rPr>
      </w:pPr>
      <w:r>
        <w:rPr>
          <w:rFonts w:hint="eastAsia"/>
          <w:color w:val="auto"/>
          <w:highlight w:val="none"/>
          <w:u w:val="single"/>
        </w:rPr>
        <w:t xml:space="preserve"> </w:t>
      </w:r>
      <w:bookmarkStart w:id="629" w:name="_Hlk144988011"/>
      <w:r>
        <w:rPr>
          <w:rFonts w:hint="eastAsia"/>
          <w:color w:val="auto"/>
          <w:highlight w:val="none"/>
          <w:u w:val="single"/>
        </w:rPr>
        <w:t xml:space="preserve">           </w:t>
      </w:r>
      <w:r>
        <w:rPr>
          <w:rFonts w:hint="eastAsia" w:ascii="宋体" w:hAnsi="宋体"/>
          <w:color w:val="auto"/>
          <w:highlight w:val="none"/>
          <w:u w:val="single"/>
        </w:rPr>
        <w:t xml:space="preserve">         </w:t>
      </w:r>
      <w:r>
        <w:rPr>
          <w:rFonts w:hint="eastAsia"/>
          <w:color w:val="auto"/>
          <w:highlight w:val="none"/>
          <w:u w:val="single"/>
        </w:rPr>
        <w:t xml:space="preserve">      </w:t>
      </w:r>
      <w:bookmarkEnd w:id="629"/>
      <w:r>
        <w:rPr>
          <w:rFonts w:hint="eastAsia"/>
          <w:color w:val="auto"/>
          <w:highlight w:val="none"/>
        </w:rPr>
        <w:t>（投标人名称）：</w:t>
      </w:r>
    </w:p>
    <w:p w14:paraId="2F30DC46">
      <w:pPr>
        <w:spacing w:line="480" w:lineRule="exact"/>
        <w:ind w:firstLine="420" w:firstLineChars="200"/>
        <w:rPr>
          <w:color w:val="auto"/>
          <w:highlight w:val="none"/>
          <w:u w:val="single"/>
        </w:rPr>
      </w:pPr>
    </w:p>
    <w:p w14:paraId="203A8CA3">
      <w:pPr>
        <w:spacing w:line="480" w:lineRule="exact"/>
        <w:ind w:firstLine="525" w:firstLineChars="250"/>
        <w:rPr>
          <w:color w:val="auto"/>
          <w:highlight w:val="none"/>
        </w:rPr>
      </w:pP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w:t>
      </w:r>
      <w:bookmarkStart w:id="630" w:name="_Hlk120872985"/>
      <w:r>
        <w:rPr>
          <w:rFonts w:hint="eastAsia"/>
          <w:color w:val="auto"/>
          <w:highlight w:val="none"/>
        </w:rPr>
        <w:t>项目</w:t>
      </w:r>
      <w:bookmarkEnd w:id="630"/>
      <w:r>
        <w:rPr>
          <w:rFonts w:hint="eastAsia"/>
          <w:color w:val="auto"/>
          <w:highlight w:val="none"/>
        </w:rPr>
        <w:t>（标段唯一标识码：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）招标的评标委员会，对你方的投标文件进行了仔细的审查，现需你方对下列问题以书面形式予以澄清、说明或者补正，并将投标文件的澄清、说明或者补正于</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日</w:t>
      </w:r>
      <w:r>
        <w:rPr>
          <w:rFonts w:hint="eastAsia"/>
          <w:color w:val="auto"/>
          <w:highlight w:val="none"/>
          <w:u w:val="single"/>
        </w:rPr>
        <w:t xml:space="preserve">   </w:t>
      </w:r>
      <w:r>
        <w:rPr>
          <w:rFonts w:hint="eastAsia"/>
          <w:color w:val="auto"/>
          <w:highlight w:val="none"/>
        </w:rPr>
        <w:t>时</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分前，通过电子招标投标系统（</w:t>
      </w:r>
      <w:r>
        <w:rPr>
          <w:rFonts w:hint="eastAsia"/>
          <w:bCs/>
          <w:color w:val="auto"/>
          <w:highlight w:val="none"/>
        </w:rPr>
        <w:t>辽宁省工程建设项目数字化开标评标系统</w:t>
      </w:r>
      <w:r>
        <w:rPr>
          <w:rFonts w:hint="eastAsia"/>
          <w:color w:val="auto"/>
          <w:highlight w:val="none"/>
        </w:rPr>
        <w:t>）提交给本评标委员会。</w:t>
      </w:r>
    </w:p>
    <w:p w14:paraId="452FF205">
      <w:pPr>
        <w:spacing w:line="440" w:lineRule="exact"/>
        <w:ind w:firstLine="420" w:firstLineChars="200"/>
        <w:rPr>
          <w:color w:val="auto"/>
          <w:highlight w:val="none"/>
        </w:rPr>
      </w:pPr>
      <w:r>
        <w:rPr>
          <w:color w:val="auto"/>
          <w:highlight w:val="none"/>
        </w:rPr>
        <w:t>1</w:t>
      </w:r>
      <w:r>
        <w:rPr>
          <w:rFonts w:hint="eastAsia"/>
          <w:color w:val="auto"/>
          <w:highlight w:val="none"/>
        </w:rPr>
        <w:t>.</w:t>
      </w:r>
      <w:r>
        <w:rPr>
          <w:rFonts w:hint="eastAsia" w:ascii="宋体" w:hAnsi="宋体"/>
          <w:color w:val="auto"/>
          <w:szCs w:val="21"/>
          <w:highlight w:val="none"/>
        </w:rPr>
        <w:t>……</w:t>
      </w:r>
    </w:p>
    <w:p w14:paraId="13861007">
      <w:pPr>
        <w:spacing w:line="440" w:lineRule="exact"/>
        <w:rPr>
          <w:color w:val="auto"/>
          <w:highlight w:val="none"/>
        </w:rPr>
      </w:pPr>
      <w:r>
        <w:rPr>
          <w:color w:val="auto"/>
          <w:highlight w:val="none"/>
        </w:rPr>
        <w:t xml:space="preserve">   </w:t>
      </w:r>
      <w:r>
        <w:rPr>
          <w:rFonts w:hint="eastAsia"/>
          <w:color w:val="auto"/>
          <w:highlight w:val="none"/>
        </w:rPr>
        <w:t xml:space="preserve"> </w:t>
      </w:r>
      <w:r>
        <w:rPr>
          <w:color w:val="auto"/>
          <w:highlight w:val="none"/>
        </w:rPr>
        <w:t>2</w:t>
      </w:r>
      <w:r>
        <w:rPr>
          <w:rFonts w:hint="eastAsia"/>
          <w:color w:val="auto"/>
          <w:highlight w:val="none"/>
        </w:rPr>
        <w:t>.</w:t>
      </w:r>
      <w:r>
        <w:rPr>
          <w:rFonts w:hint="eastAsia" w:ascii="宋体" w:hAnsi="宋体"/>
          <w:color w:val="auto"/>
          <w:szCs w:val="21"/>
          <w:highlight w:val="none"/>
        </w:rPr>
        <w:t>……</w:t>
      </w:r>
    </w:p>
    <w:p w14:paraId="0C8409DC">
      <w:pPr>
        <w:spacing w:line="440" w:lineRule="exact"/>
        <w:rPr>
          <w:color w:val="auto"/>
          <w:highlight w:val="none"/>
        </w:rPr>
      </w:pPr>
      <w:r>
        <w:rPr>
          <w:color w:val="auto"/>
          <w:highlight w:val="none"/>
        </w:rPr>
        <w:t xml:space="preserve">    </w:t>
      </w:r>
      <w:r>
        <w:rPr>
          <w:rFonts w:hint="eastAsia" w:ascii="宋体" w:hAnsi="宋体"/>
          <w:color w:val="auto"/>
          <w:szCs w:val="21"/>
          <w:highlight w:val="none"/>
        </w:rPr>
        <w:t>……</w:t>
      </w:r>
    </w:p>
    <w:p w14:paraId="479839EB">
      <w:pPr>
        <w:spacing w:line="480" w:lineRule="exact"/>
        <w:rPr>
          <w:color w:val="auto"/>
          <w:highlight w:val="none"/>
        </w:rPr>
      </w:pPr>
    </w:p>
    <w:p w14:paraId="13C566E1">
      <w:pPr>
        <w:spacing w:line="480" w:lineRule="exact"/>
        <w:jc w:val="right"/>
        <w:rPr>
          <w:rFonts w:hint="eastAsia" w:ascii="宋体" w:hAnsi="宋体"/>
          <w:color w:val="auto"/>
          <w:highlight w:val="none"/>
        </w:rPr>
      </w:pPr>
      <w:r>
        <w:rPr>
          <w:rFonts w:hint="eastAsia" w:ascii="宋体" w:hAnsi="宋体"/>
          <w:color w:val="auto"/>
          <w:highlight w:val="none"/>
          <w:u w:val="single"/>
        </w:rPr>
        <w:t xml:space="preserve">            </w:t>
      </w:r>
      <w:r>
        <w:rPr>
          <w:rFonts w:hint="eastAsia"/>
          <w:color w:val="auto"/>
          <w:highlight w:val="none"/>
        </w:rPr>
        <w:t>（标段名称）</w:t>
      </w:r>
      <w:r>
        <w:rPr>
          <w:rFonts w:hint="eastAsia" w:ascii="宋体" w:hAnsi="宋体"/>
          <w:color w:val="auto"/>
          <w:highlight w:val="none"/>
        </w:rPr>
        <w:t>项目招标评标委员会</w:t>
      </w:r>
    </w:p>
    <w:p w14:paraId="7CB13A6D">
      <w:pPr>
        <w:spacing w:line="480" w:lineRule="exact"/>
        <w:jc w:val="right"/>
        <w:rPr>
          <w:color w:val="auto"/>
          <w:highlight w:val="none"/>
        </w:r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6C69FA7F">
      <w:pPr>
        <w:rPr>
          <w:color w:val="auto"/>
          <w:highlight w:val="none"/>
        </w:rPr>
      </w:pPr>
      <w:r>
        <w:rPr>
          <w:rFonts w:hint="eastAsia"/>
          <w:color w:val="auto"/>
          <w:highlight w:val="none"/>
        </w:rPr>
        <w:br w:type="page"/>
      </w:r>
    </w:p>
    <w:p w14:paraId="78C42387">
      <w:pPr>
        <w:pStyle w:val="3"/>
        <w:rPr>
          <w:rFonts w:ascii="黑体"/>
          <w:color w:val="auto"/>
          <w:sz w:val="24"/>
          <w:highlight w:val="none"/>
        </w:rPr>
      </w:pPr>
      <w:bookmarkStart w:id="631" w:name="_Toc21494"/>
      <w:bookmarkStart w:id="632" w:name="_Toc256000076"/>
      <w:bookmarkStart w:id="633" w:name="_Toc165804346"/>
      <w:r>
        <w:rPr>
          <w:rFonts w:hint="eastAsia"/>
          <w:b w:val="0"/>
          <w:color w:val="auto"/>
          <w:sz w:val="24"/>
          <w:szCs w:val="24"/>
          <w:highlight w:val="none"/>
        </w:rPr>
        <w:t>附表七：投标文件问题的澄清</w:t>
      </w:r>
      <w:bookmarkEnd w:id="631"/>
      <w:bookmarkEnd w:id="632"/>
      <w:bookmarkEnd w:id="633"/>
    </w:p>
    <w:p w14:paraId="56877A6E">
      <w:pPr>
        <w:spacing w:line="480" w:lineRule="exact"/>
        <w:rPr>
          <w:rFonts w:ascii="黑体" w:eastAsia="黑体"/>
          <w:color w:val="auto"/>
          <w:sz w:val="24"/>
          <w:highlight w:val="none"/>
        </w:rPr>
      </w:pPr>
    </w:p>
    <w:p w14:paraId="1E663174">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投标文件问题的澄清、说明或补正</w:t>
      </w:r>
    </w:p>
    <w:p w14:paraId="7867C6BC">
      <w:pPr>
        <w:spacing w:line="400" w:lineRule="exact"/>
        <w:ind w:firstLine="5355" w:firstLineChars="2550"/>
        <w:rPr>
          <w:color w:val="auto"/>
          <w:highlight w:val="none"/>
          <w:u w:val="single"/>
        </w:rPr>
      </w:pPr>
      <w:r>
        <w:rPr>
          <w:rFonts w:hint="eastAsia"/>
          <w:color w:val="auto"/>
          <w:highlight w:val="none"/>
        </w:rPr>
        <w:t>编号：</w:t>
      </w:r>
      <w:r>
        <w:rPr>
          <w:rFonts w:hint="eastAsia"/>
          <w:color w:val="auto"/>
          <w:highlight w:val="none"/>
          <w:u w:val="single"/>
        </w:rPr>
        <w:t xml:space="preserve">                  </w:t>
      </w:r>
    </w:p>
    <w:p w14:paraId="58E18DF3">
      <w:pPr>
        <w:spacing w:line="480" w:lineRule="exact"/>
        <w:rPr>
          <w:color w:val="auto"/>
          <w:highlight w:val="none"/>
        </w:rPr>
      </w:pPr>
      <w:r>
        <w:rPr>
          <w:rFonts w:hint="eastAsia"/>
          <w:color w:val="auto"/>
          <w:highlight w:val="none"/>
        </w:rPr>
        <w:t xml:space="preserve">  </w:t>
      </w:r>
      <w:r>
        <w:rPr>
          <w:rFonts w:hint="eastAsia"/>
          <w:color w:val="auto"/>
          <w:highlight w:val="none"/>
          <w:u w:val="single"/>
        </w:rPr>
        <w:t xml:space="preserve">                </w:t>
      </w:r>
      <w:r>
        <w:rPr>
          <w:rFonts w:hint="eastAsia"/>
          <w:color w:val="auto"/>
          <w:highlight w:val="none"/>
        </w:rPr>
        <w:t>（标段名称）项目招标评标委员会：</w:t>
      </w:r>
    </w:p>
    <w:p w14:paraId="45B0175C">
      <w:pPr>
        <w:spacing w:line="480" w:lineRule="exact"/>
        <w:ind w:firstLine="420" w:firstLineChars="200"/>
        <w:rPr>
          <w:color w:val="auto"/>
          <w:highlight w:val="none"/>
        </w:rPr>
      </w:pPr>
      <w:r>
        <w:rPr>
          <w:rFonts w:hint="eastAsia"/>
          <w:color w:val="auto"/>
          <w:highlight w:val="none"/>
        </w:rPr>
        <w:t>投标文件问题澄清通知（编号：</w:t>
      </w:r>
      <w:r>
        <w:rPr>
          <w:rFonts w:hint="eastAsia"/>
          <w:color w:val="auto"/>
          <w:highlight w:val="none"/>
          <w:u w:val="single"/>
        </w:rPr>
        <w:t xml:space="preserve">          </w:t>
      </w:r>
      <w:r>
        <w:rPr>
          <w:rFonts w:hint="eastAsia"/>
          <w:color w:val="auto"/>
          <w:highlight w:val="none"/>
        </w:rPr>
        <w:t>）已收悉，现澄清、说明或者补正如下：</w:t>
      </w:r>
    </w:p>
    <w:p w14:paraId="4C000114">
      <w:pPr>
        <w:spacing w:line="480" w:lineRule="exact"/>
        <w:ind w:firstLine="420" w:firstLineChars="200"/>
        <w:rPr>
          <w:color w:val="auto"/>
          <w:highlight w:val="none"/>
        </w:rPr>
      </w:pPr>
      <w:r>
        <w:rPr>
          <w:rFonts w:hint="eastAsia"/>
          <w:color w:val="auto"/>
          <w:highlight w:val="none"/>
        </w:rPr>
        <w:t>1.</w:t>
      </w:r>
      <w:r>
        <w:rPr>
          <w:rFonts w:hint="eastAsia" w:ascii="宋体" w:hAnsi="宋体"/>
          <w:color w:val="auto"/>
          <w:szCs w:val="21"/>
          <w:highlight w:val="none"/>
        </w:rPr>
        <w:t>……</w:t>
      </w:r>
    </w:p>
    <w:p w14:paraId="009E4110">
      <w:pPr>
        <w:spacing w:line="480" w:lineRule="exact"/>
        <w:ind w:firstLine="420" w:firstLineChars="200"/>
        <w:rPr>
          <w:color w:val="auto"/>
          <w:highlight w:val="none"/>
        </w:rPr>
      </w:pPr>
      <w:r>
        <w:rPr>
          <w:rFonts w:hint="eastAsia"/>
          <w:color w:val="auto"/>
          <w:highlight w:val="none"/>
        </w:rPr>
        <w:t>2.</w:t>
      </w:r>
      <w:r>
        <w:rPr>
          <w:rFonts w:hint="eastAsia" w:ascii="宋体" w:hAnsi="宋体"/>
          <w:color w:val="auto"/>
          <w:szCs w:val="21"/>
          <w:highlight w:val="none"/>
        </w:rPr>
        <w:t>……</w:t>
      </w:r>
    </w:p>
    <w:p w14:paraId="240BAA53">
      <w:pPr>
        <w:spacing w:line="480" w:lineRule="exact"/>
        <w:ind w:firstLine="420" w:firstLineChars="200"/>
        <w:rPr>
          <w:color w:val="auto"/>
          <w:highlight w:val="none"/>
        </w:rPr>
      </w:pPr>
    </w:p>
    <w:p w14:paraId="6C948001">
      <w:pPr>
        <w:spacing w:line="480" w:lineRule="exact"/>
        <w:ind w:firstLine="420" w:firstLineChars="200"/>
        <w:rPr>
          <w:color w:val="auto"/>
          <w:highlight w:val="none"/>
        </w:rPr>
      </w:pPr>
      <w:r>
        <w:rPr>
          <w:rFonts w:hint="eastAsia"/>
          <w:color w:val="auto"/>
          <w:highlight w:val="none"/>
        </w:rPr>
        <w:t>……</w:t>
      </w:r>
    </w:p>
    <w:p w14:paraId="5AFC407A">
      <w:pPr>
        <w:spacing w:line="480" w:lineRule="exact"/>
        <w:ind w:firstLine="420" w:firstLineChars="200"/>
        <w:rPr>
          <w:color w:val="auto"/>
          <w:highlight w:val="none"/>
        </w:rPr>
      </w:pPr>
    </w:p>
    <w:p w14:paraId="78C7E5C4">
      <w:pPr>
        <w:spacing w:line="480" w:lineRule="exact"/>
        <w:ind w:firstLine="420" w:firstLineChars="200"/>
        <w:rPr>
          <w:color w:val="auto"/>
          <w:highlight w:val="none"/>
        </w:rPr>
      </w:pPr>
    </w:p>
    <w:p w14:paraId="7A4E41F8">
      <w:pPr>
        <w:spacing w:line="480" w:lineRule="exact"/>
        <w:ind w:firstLine="420" w:firstLineChars="200"/>
        <w:rPr>
          <w:color w:val="auto"/>
          <w:highlight w:val="none"/>
        </w:rPr>
      </w:pPr>
    </w:p>
    <w:p w14:paraId="56DC4F45">
      <w:pPr>
        <w:spacing w:line="480" w:lineRule="exact"/>
        <w:ind w:firstLine="420" w:firstLineChars="200"/>
        <w:rPr>
          <w:color w:val="auto"/>
          <w:highlight w:val="none"/>
        </w:rPr>
      </w:pPr>
    </w:p>
    <w:p w14:paraId="5C2545CB">
      <w:pPr>
        <w:spacing w:line="480" w:lineRule="exact"/>
        <w:ind w:firstLine="420" w:firstLineChars="200"/>
        <w:rPr>
          <w:color w:val="auto"/>
          <w:highlight w:val="none"/>
        </w:rPr>
      </w:pPr>
    </w:p>
    <w:p w14:paraId="5FB255DE">
      <w:pPr>
        <w:spacing w:line="480" w:lineRule="exact"/>
        <w:ind w:firstLine="420" w:firstLineChars="200"/>
        <w:rPr>
          <w:color w:val="auto"/>
          <w:highlight w:val="none"/>
        </w:rPr>
      </w:pPr>
    </w:p>
    <w:p w14:paraId="36703E42">
      <w:pPr>
        <w:wordWrap w:val="0"/>
        <w:spacing w:line="480" w:lineRule="exact"/>
        <w:ind w:right="105" w:firstLine="420" w:firstLineChars="200"/>
        <w:jc w:val="right"/>
        <w:rPr>
          <w:rFonts w:hint="eastAsia" w:ascii="宋体" w:hAnsi="宋体"/>
          <w:color w:val="auto"/>
          <w:highlight w:val="none"/>
        </w:rPr>
      </w:pPr>
      <w:r>
        <w:rPr>
          <w:rFonts w:hint="eastAsia" w:ascii="宋体" w:hAnsi="宋体"/>
          <w:color w:val="auto"/>
          <w:highlight w:val="none"/>
        </w:rPr>
        <w:t>投标人：</w:t>
      </w:r>
      <w:r>
        <w:rPr>
          <w:rFonts w:hint="eastAsia" w:ascii="宋体" w:hAnsi="宋体"/>
          <w:color w:val="auto"/>
          <w:highlight w:val="none"/>
          <w:u w:val="single"/>
        </w:rPr>
        <w:t xml:space="preserve">                            </w:t>
      </w:r>
      <w:r>
        <w:rPr>
          <w:rFonts w:hint="eastAsia" w:ascii="宋体" w:hAnsi="宋体"/>
          <w:color w:val="auto"/>
          <w:highlight w:val="none"/>
        </w:rPr>
        <w:t>（盖单位章）</w:t>
      </w:r>
    </w:p>
    <w:p w14:paraId="3D3042D2">
      <w:pPr>
        <w:wordWrap w:val="0"/>
        <w:spacing w:before="120" w:beforeLines="50" w:after="120" w:afterLines="50" w:line="480" w:lineRule="exact"/>
        <w:ind w:right="105"/>
        <w:jc w:val="right"/>
        <w:rPr>
          <w:rFonts w:hint="eastAsia" w:ascii="宋体" w:hAnsi="宋体"/>
          <w:color w:val="auto"/>
          <w:highlight w:val="none"/>
        </w:rPr>
      </w:pPr>
      <w:r>
        <w:rPr>
          <w:rFonts w:hint="eastAsia" w:ascii="宋体" w:hAnsi="宋体"/>
          <w:color w:val="auto"/>
          <w:highlight w:val="none"/>
        </w:rPr>
        <w:t>法定代表人：</w:t>
      </w:r>
      <w:r>
        <w:rPr>
          <w:rFonts w:hint="eastAsia" w:ascii="宋体" w:hAnsi="宋体"/>
          <w:color w:val="auto"/>
          <w:highlight w:val="none"/>
          <w:u w:val="single"/>
        </w:rPr>
        <w:t xml:space="preserve">                            </w:t>
      </w:r>
      <w:r>
        <w:rPr>
          <w:rFonts w:hint="eastAsia" w:ascii="宋体" w:hAnsi="宋体"/>
          <w:color w:val="auto"/>
          <w:highlight w:val="none"/>
        </w:rPr>
        <w:t>（签章）</w:t>
      </w:r>
    </w:p>
    <w:p w14:paraId="6CEC8848">
      <w:pPr>
        <w:spacing w:line="480" w:lineRule="exact"/>
        <w:ind w:firstLine="5775" w:firstLineChars="2750"/>
        <w:rPr>
          <w:rFonts w:hint="eastAsia"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14:paraId="4B927263">
      <w:pPr>
        <w:spacing w:line="480" w:lineRule="exact"/>
        <w:ind w:firstLine="5775" w:firstLineChars="2750"/>
        <w:rPr>
          <w:color w:val="auto"/>
          <w:highlight w:val="none"/>
        </w:rPr>
      </w:pPr>
    </w:p>
    <w:p w14:paraId="2802B836">
      <w:pPr>
        <w:spacing w:line="480" w:lineRule="exact"/>
        <w:ind w:firstLine="5775" w:firstLineChars="2750"/>
        <w:rPr>
          <w:color w:val="auto"/>
          <w:highlight w:val="none"/>
        </w:rPr>
      </w:pPr>
    </w:p>
    <w:p w14:paraId="73D0D5CE">
      <w:pPr>
        <w:spacing w:line="480" w:lineRule="exact"/>
        <w:ind w:firstLine="5775" w:firstLineChars="2750"/>
        <w:rPr>
          <w:color w:val="auto"/>
          <w:highlight w:val="none"/>
        </w:rPr>
      </w:pPr>
    </w:p>
    <w:p w14:paraId="357BA9A3">
      <w:pPr>
        <w:spacing w:line="480" w:lineRule="exact"/>
        <w:ind w:firstLine="5775" w:firstLineChars="2750"/>
        <w:rPr>
          <w:color w:val="auto"/>
          <w:highlight w:val="none"/>
        </w:rPr>
      </w:pPr>
    </w:p>
    <w:p w14:paraId="00902750">
      <w:pPr>
        <w:spacing w:line="480" w:lineRule="exact"/>
        <w:ind w:firstLine="5775" w:firstLineChars="2750"/>
        <w:rPr>
          <w:color w:val="auto"/>
          <w:highlight w:val="none"/>
        </w:rPr>
      </w:pPr>
    </w:p>
    <w:p w14:paraId="48D86880">
      <w:pPr>
        <w:spacing w:line="480" w:lineRule="exact"/>
        <w:ind w:firstLine="5145" w:firstLineChars="2450"/>
        <w:rPr>
          <w:color w:val="auto"/>
          <w:highlight w:val="none"/>
        </w:rPr>
      </w:pPr>
    </w:p>
    <w:p w14:paraId="3F385DC7">
      <w:pPr>
        <w:spacing w:line="480" w:lineRule="exact"/>
        <w:jc w:val="left"/>
        <w:rPr>
          <w:color w:val="auto"/>
          <w:highlight w:val="none"/>
        </w:rPr>
        <w:sectPr>
          <w:footerReference r:id="rId7" w:type="default"/>
          <w:footerReference r:id="rId8" w:type="even"/>
          <w:pgSz w:w="11906" w:h="16838"/>
          <w:pgMar w:top="1440" w:right="1797" w:bottom="1440" w:left="1797" w:header="851" w:footer="851" w:gutter="0"/>
          <w:pgBorders>
            <w:top w:val="none" w:sz="0" w:space="0"/>
            <w:left w:val="none" w:sz="0" w:space="0"/>
            <w:bottom w:val="none" w:sz="0" w:space="0"/>
            <w:right w:val="none" w:sz="0" w:space="0"/>
          </w:pgBorders>
          <w:cols w:space="720" w:num="1"/>
          <w:docGrid w:linePitch="312" w:charSpace="0"/>
        </w:sectPr>
      </w:pPr>
    </w:p>
    <w:p w14:paraId="2FA696A0">
      <w:pPr>
        <w:pStyle w:val="3"/>
        <w:spacing w:before="60" w:after="60" w:line="415" w:lineRule="auto"/>
        <w:rPr>
          <w:b w:val="0"/>
          <w:color w:val="auto"/>
          <w:sz w:val="24"/>
          <w:szCs w:val="24"/>
          <w:highlight w:val="none"/>
        </w:rPr>
      </w:pPr>
      <w:bookmarkStart w:id="634" w:name="_Toc256000077"/>
      <w:bookmarkStart w:id="635" w:name="_Toc6938"/>
      <w:bookmarkStart w:id="636" w:name="_Toc165804347"/>
      <w:r>
        <w:rPr>
          <w:rFonts w:hint="eastAsia"/>
          <w:b w:val="0"/>
          <w:color w:val="auto"/>
          <w:sz w:val="24"/>
          <w:szCs w:val="24"/>
          <w:highlight w:val="none"/>
        </w:rPr>
        <w:t>附表八：中标通知书</w:t>
      </w:r>
      <w:bookmarkEnd w:id="634"/>
      <w:bookmarkEnd w:id="635"/>
      <w:bookmarkEnd w:id="636"/>
    </w:p>
    <w:p w14:paraId="4F255C47">
      <w:pPr>
        <w:spacing w:line="360" w:lineRule="auto"/>
        <w:jc w:val="center"/>
        <w:rPr>
          <w:rFonts w:hint="eastAsia" w:ascii="黑体" w:hAnsi="黑体" w:eastAsia="黑体"/>
          <w:b/>
          <w:color w:val="auto"/>
          <w:sz w:val="32"/>
          <w:highlight w:val="none"/>
        </w:rPr>
      </w:pPr>
      <w:r>
        <w:rPr>
          <w:rFonts w:hint="eastAsia" w:ascii="黑体" w:hAnsi="黑体" w:eastAsia="黑体"/>
          <w:b/>
          <w:color w:val="auto"/>
          <w:sz w:val="32"/>
          <w:highlight w:val="none"/>
        </w:rPr>
        <w:t>中标通知书（工程类）</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7"/>
        <w:gridCol w:w="7087"/>
      </w:tblGrid>
      <w:tr w14:paraId="415B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nil"/>
              <w:left w:val="nil"/>
              <w:bottom w:val="nil"/>
              <w:right w:val="nil"/>
            </w:tcBorders>
            <w:shd w:val="clear" w:color="auto" w:fill="auto"/>
          </w:tcPr>
          <w:p w14:paraId="2813A71D">
            <w:pPr>
              <w:spacing w:line="360" w:lineRule="auto"/>
              <w:jc w:val="left"/>
              <w:rPr>
                <w:rFonts w:hint="eastAsia" w:ascii="宋体" w:hAnsi="宋体"/>
                <w:color w:val="auto"/>
                <w:szCs w:val="21"/>
                <w:highlight w:val="none"/>
              </w:rPr>
            </w:pPr>
            <w:r>
              <w:rPr>
                <w:rFonts w:hint="eastAsia" w:ascii="宋体" w:hAnsi="宋体"/>
                <w:color w:val="auto"/>
                <w:szCs w:val="21"/>
                <w:highlight w:val="none"/>
              </w:rPr>
              <w:t>_</w:t>
            </w:r>
            <w:r>
              <w:rPr>
                <w:rFonts w:ascii="宋体" w:hAnsi="宋体"/>
                <w:color w:val="auto"/>
                <w:szCs w:val="21"/>
                <w:highlight w:val="none"/>
              </w:rPr>
              <w:t>___________</w:t>
            </w:r>
            <w:r>
              <w:rPr>
                <w:rFonts w:hint="eastAsia" w:ascii="宋体" w:hAnsi="宋体"/>
                <w:color w:val="auto"/>
                <w:szCs w:val="21"/>
                <w:highlight w:val="none"/>
              </w:rPr>
              <w:t>：</w:t>
            </w:r>
          </w:p>
        </w:tc>
        <w:tc>
          <w:tcPr>
            <w:tcW w:w="7087" w:type="dxa"/>
            <w:tcBorders>
              <w:top w:val="nil"/>
              <w:left w:val="nil"/>
              <w:bottom w:val="nil"/>
              <w:right w:val="nil"/>
            </w:tcBorders>
            <w:shd w:val="clear" w:color="auto" w:fill="auto"/>
          </w:tcPr>
          <w:p w14:paraId="2271FF75">
            <w:pPr>
              <w:spacing w:line="360" w:lineRule="auto"/>
              <w:ind w:right="210"/>
              <w:jc w:val="right"/>
              <w:rPr>
                <w:rFonts w:hint="eastAsia" w:ascii="宋体" w:hAnsi="宋体"/>
                <w:color w:val="auto"/>
                <w:szCs w:val="21"/>
                <w:highlight w:val="none"/>
              </w:rPr>
            </w:pPr>
            <w:r>
              <w:rPr>
                <w:rFonts w:hint="eastAsia" w:ascii="宋体" w:hAnsi="宋体"/>
                <w:color w:val="auto"/>
                <w:szCs w:val="21"/>
                <w:highlight w:val="none"/>
              </w:rPr>
              <w:t>编号：_</w:t>
            </w:r>
            <w:r>
              <w:rPr>
                <w:rFonts w:ascii="宋体" w:hAnsi="宋体"/>
                <w:color w:val="auto"/>
                <w:szCs w:val="21"/>
                <w:highlight w:val="none"/>
              </w:rPr>
              <w:t>___________</w:t>
            </w:r>
          </w:p>
        </w:tc>
      </w:tr>
    </w:tbl>
    <w:p w14:paraId="5F2C3CCE">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你方于_</w:t>
      </w:r>
      <w:r>
        <w:rPr>
          <w:rFonts w:ascii="宋体" w:hAnsi="宋体"/>
          <w:color w:val="auto"/>
          <w:szCs w:val="21"/>
          <w:highlight w:val="none"/>
        </w:rPr>
        <w:t>____</w:t>
      </w:r>
      <w:r>
        <w:rPr>
          <w:rFonts w:hint="eastAsia" w:ascii="宋体" w:hAnsi="宋体"/>
          <w:color w:val="auto"/>
          <w:szCs w:val="21"/>
          <w:highlight w:val="none"/>
        </w:rPr>
        <w:t>年</w:t>
      </w:r>
      <w:r>
        <w:rPr>
          <w:rFonts w:ascii="宋体" w:hAnsi="宋体"/>
          <w:color w:val="auto"/>
          <w:szCs w:val="21"/>
          <w:highlight w:val="none"/>
        </w:rPr>
        <w:t>____</w:t>
      </w:r>
      <w:r>
        <w:rPr>
          <w:rFonts w:hint="eastAsia" w:ascii="宋体" w:hAnsi="宋体"/>
          <w:color w:val="auto"/>
          <w:szCs w:val="21"/>
          <w:highlight w:val="none"/>
        </w:rPr>
        <w:t>月</w:t>
      </w:r>
      <w:r>
        <w:rPr>
          <w:rFonts w:ascii="宋体" w:hAnsi="宋体"/>
          <w:color w:val="auto"/>
          <w:szCs w:val="21"/>
          <w:highlight w:val="none"/>
        </w:rPr>
        <w:t>____</w:t>
      </w:r>
      <w:r>
        <w:rPr>
          <w:rFonts w:hint="eastAsia" w:ascii="宋体" w:hAnsi="宋体"/>
          <w:color w:val="auto"/>
          <w:szCs w:val="21"/>
          <w:highlight w:val="none"/>
        </w:rPr>
        <w:t>日所递交的</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s="宋体"/>
          <w:color w:val="auto"/>
          <w:szCs w:val="21"/>
          <w:highlight w:val="none"/>
          <w:u w:val="single"/>
        </w:rPr>
        <w:t xml:space="preserve">（标段名称） </w:t>
      </w:r>
      <w:r>
        <w:rPr>
          <w:rFonts w:ascii="宋体" w:hAnsi="宋体" w:cs="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的投标文件已被我方接受，被确定为中标人，请你单位派代表持本通知书及相关资料在接到本通知书后30日内到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与我方签订承包合同。在此之前按照招标文件规定向我方提交履约担保。</w:t>
      </w:r>
    </w:p>
    <w:p w14:paraId="3D56A2C6">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工程概况及中标内容</w:t>
      </w:r>
    </w:p>
    <w:tbl>
      <w:tblPr>
        <w:tblStyle w:val="25"/>
        <w:tblW w:w="14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2766"/>
        <w:gridCol w:w="2304"/>
        <w:gridCol w:w="51"/>
        <w:gridCol w:w="2308"/>
        <w:gridCol w:w="48"/>
        <w:gridCol w:w="4714"/>
      </w:tblGrid>
      <w:tr w14:paraId="231F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14:paraId="68D68829">
            <w:pPr>
              <w:jc w:val="center"/>
              <w:rPr>
                <w:rFonts w:hint="eastAsia" w:ascii="宋体" w:hAnsi="宋体"/>
                <w:color w:val="auto"/>
                <w:szCs w:val="21"/>
                <w:highlight w:val="none"/>
              </w:rPr>
            </w:pPr>
            <w:r>
              <w:rPr>
                <w:rFonts w:hint="eastAsia" w:ascii="宋体" w:hAnsi="宋体"/>
                <w:color w:val="auto"/>
                <w:szCs w:val="21"/>
                <w:highlight w:val="none"/>
              </w:rPr>
              <w:t>项目名称</w:t>
            </w:r>
          </w:p>
        </w:tc>
        <w:tc>
          <w:tcPr>
            <w:tcW w:w="12191" w:type="dxa"/>
            <w:gridSpan w:val="6"/>
            <w:shd w:val="clear" w:color="auto" w:fill="auto"/>
            <w:vAlign w:val="center"/>
          </w:tcPr>
          <w:p w14:paraId="65216ED2">
            <w:pPr>
              <w:jc w:val="center"/>
              <w:rPr>
                <w:rFonts w:hint="eastAsia" w:ascii="宋体" w:hAnsi="宋体"/>
                <w:color w:val="auto"/>
                <w:szCs w:val="21"/>
                <w:highlight w:val="none"/>
              </w:rPr>
            </w:pPr>
          </w:p>
        </w:tc>
      </w:tr>
      <w:tr w14:paraId="7816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14:paraId="16524DED">
            <w:pPr>
              <w:jc w:val="center"/>
              <w:rPr>
                <w:rFonts w:hint="eastAsia" w:ascii="宋体" w:hAnsi="宋体"/>
                <w:color w:val="auto"/>
                <w:szCs w:val="21"/>
                <w:highlight w:val="none"/>
              </w:rPr>
            </w:pPr>
            <w:r>
              <w:rPr>
                <w:rFonts w:hint="eastAsia" w:ascii="宋体" w:hAnsi="宋体"/>
                <w:color w:val="auto"/>
                <w:szCs w:val="21"/>
                <w:highlight w:val="none"/>
              </w:rPr>
              <w:t>标段名称</w:t>
            </w:r>
          </w:p>
        </w:tc>
        <w:tc>
          <w:tcPr>
            <w:tcW w:w="12191" w:type="dxa"/>
            <w:gridSpan w:val="6"/>
            <w:shd w:val="clear" w:color="auto" w:fill="auto"/>
            <w:vAlign w:val="center"/>
          </w:tcPr>
          <w:p w14:paraId="3452EA6B">
            <w:pPr>
              <w:jc w:val="center"/>
              <w:rPr>
                <w:rFonts w:hint="eastAsia" w:ascii="宋体" w:hAnsi="宋体"/>
                <w:color w:val="auto"/>
                <w:szCs w:val="21"/>
                <w:highlight w:val="none"/>
              </w:rPr>
            </w:pPr>
          </w:p>
        </w:tc>
      </w:tr>
      <w:tr w14:paraId="3CC3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14:paraId="4B089FC0">
            <w:pPr>
              <w:jc w:val="center"/>
              <w:rPr>
                <w:rFonts w:hint="eastAsia" w:ascii="宋体" w:hAnsi="宋体"/>
                <w:color w:val="auto"/>
                <w:szCs w:val="21"/>
                <w:highlight w:val="none"/>
              </w:rPr>
            </w:pPr>
            <w:r>
              <w:rPr>
                <w:rFonts w:hint="eastAsia" w:ascii="宋体" w:hAnsi="宋体"/>
                <w:color w:val="auto"/>
                <w:szCs w:val="21"/>
                <w:highlight w:val="none"/>
              </w:rPr>
              <w:t>工程性质</w:t>
            </w:r>
          </w:p>
        </w:tc>
        <w:tc>
          <w:tcPr>
            <w:tcW w:w="5070" w:type="dxa"/>
            <w:gridSpan w:val="2"/>
            <w:shd w:val="clear" w:color="auto" w:fill="auto"/>
            <w:vAlign w:val="center"/>
          </w:tcPr>
          <w:p w14:paraId="3AADA380">
            <w:pPr>
              <w:jc w:val="center"/>
              <w:rPr>
                <w:rFonts w:hint="eastAsia" w:ascii="宋体" w:hAnsi="宋体"/>
                <w:color w:val="auto"/>
                <w:szCs w:val="21"/>
                <w:highlight w:val="none"/>
              </w:rPr>
            </w:pPr>
          </w:p>
        </w:tc>
        <w:tc>
          <w:tcPr>
            <w:tcW w:w="2359" w:type="dxa"/>
            <w:gridSpan w:val="2"/>
            <w:shd w:val="clear" w:color="auto" w:fill="auto"/>
            <w:vAlign w:val="center"/>
          </w:tcPr>
          <w:p w14:paraId="4135E9C8">
            <w:pPr>
              <w:jc w:val="center"/>
              <w:rPr>
                <w:rFonts w:hint="eastAsia" w:ascii="宋体" w:hAnsi="宋体"/>
                <w:color w:val="auto"/>
                <w:szCs w:val="21"/>
                <w:highlight w:val="none"/>
              </w:rPr>
            </w:pPr>
            <w:r>
              <w:rPr>
                <w:rFonts w:hint="eastAsia" w:ascii="宋体" w:hAnsi="宋体"/>
                <w:color w:val="auto"/>
                <w:szCs w:val="21"/>
                <w:highlight w:val="none"/>
              </w:rPr>
              <w:t>资金来源及比例</w:t>
            </w:r>
          </w:p>
        </w:tc>
        <w:tc>
          <w:tcPr>
            <w:tcW w:w="4760" w:type="dxa"/>
            <w:gridSpan w:val="2"/>
            <w:shd w:val="clear" w:color="auto" w:fill="auto"/>
            <w:vAlign w:val="center"/>
          </w:tcPr>
          <w:p w14:paraId="0759E152">
            <w:pPr>
              <w:jc w:val="center"/>
              <w:rPr>
                <w:rFonts w:hint="eastAsia" w:ascii="宋体" w:hAnsi="宋体"/>
                <w:color w:val="auto"/>
                <w:szCs w:val="21"/>
                <w:highlight w:val="none"/>
              </w:rPr>
            </w:pPr>
          </w:p>
        </w:tc>
      </w:tr>
      <w:tr w14:paraId="001E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14:paraId="2AF35990">
            <w:pPr>
              <w:jc w:val="center"/>
              <w:rPr>
                <w:rFonts w:hint="eastAsia" w:ascii="宋体" w:hAnsi="宋体"/>
                <w:color w:val="auto"/>
                <w:szCs w:val="21"/>
                <w:highlight w:val="none"/>
              </w:rPr>
            </w:pPr>
            <w:r>
              <w:rPr>
                <w:rFonts w:hint="eastAsia" w:ascii="宋体" w:hAnsi="宋体"/>
                <w:color w:val="auto"/>
                <w:szCs w:val="21"/>
                <w:highlight w:val="none"/>
              </w:rPr>
              <w:t>建设地址</w:t>
            </w:r>
          </w:p>
        </w:tc>
        <w:tc>
          <w:tcPr>
            <w:tcW w:w="12191" w:type="dxa"/>
            <w:gridSpan w:val="6"/>
            <w:shd w:val="clear" w:color="auto" w:fill="auto"/>
            <w:vAlign w:val="center"/>
          </w:tcPr>
          <w:p w14:paraId="34E08346">
            <w:pPr>
              <w:jc w:val="center"/>
              <w:rPr>
                <w:rFonts w:hint="eastAsia" w:ascii="宋体" w:hAnsi="宋体"/>
                <w:color w:val="auto"/>
                <w:szCs w:val="21"/>
                <w:highlight w:val="none"/>
              </w:rPr>
            </w:pPr>
          </w:p>
        </w:tc>
      </w:tr>
      <w:tr w14:paraId="5A41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14:paraId="7090D659">
            <w:pPr>
              <w:jc w:val="center"/>
              <w:rPr>
                <w:rFonts w:hint="eastAsia" w:ascii="宋体" w:hAnsi="宋体"/>
                <w:color w:val="auto"/>
                <w:szCs w:val="21"/>
                <w:highlight w:val="none"/>
              </w:rPr>
            </w:pPr>
            <w:r>
              <w:rPr>
                <w:rFonts w:hint="eastAsia" w:ascii="宋体" w:hAnsi="宋体"/>
                <w:color w:val="auto"/>
                <w:szCs w:val="21"/>
                <w:highlight w:val="none"/>
              </w:rPr>
              <w:t>中标内容</w:t>
            </w:r>
          </w:p>
        </w:tc>
        <w:tc>
          <w:tcPr>
            <w:tcW w:w="12191" w:type="dxa"/>
            <w:gridSpan w:val="6"/>
            <w:shd w:val="clear" w:color="auto" w:fill="auto"/>
            <w:vAlign w:val="center"/>
          </w:tcPr>
          <w:p w14:paraId="510407D8">
            <w:pPr>
              <w:jc w:val="center"/>
              <w:rPr>
                <w:rFonts w:hint="eastAsia" w:ascii="宋体" w:hAnsi="宋体"/>
                <w:color w:val="auto"/>
                <w:szCs w:val="21"/>
                <w:highlight w:val="none"/>
              </w:rPr>
            </w:pPr>
          </w:p>
        </w:tc>
      </w:tr>
      <w:tr w14:paraId="5CDC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44" w:type="dxa"/>
            <w:shd w:val="clear" w:color="auto" w:fill="auto"/>
            <w:vAlign w:val="center"/>
          </w:tcPr>
          <w:p w14:paraId="5669D1F0">
            <w:pPr>
              <w:jc w:val="center"/>
              <w:rPr>
                <w:rFonts w:hint="eastAsia" w:ascii="宋体" w:hAnsi="宋体"/>
                <w:color w:val="auto"/>
                <w:szCs w:val="21"/>
                <w:highlight w:val="none"/>
              </w:rPr>
            </w:pPr>
            <w:r>
              <w:rPr>
                <w:rFonts w:hint="eastAsia" w:ascii="宋体" w:hAnsi="宋体"/>
                <w:color w:val="auto"/>
                <w:szCs w:val="21"/>
                <w:highlight w:val="none"/>
              </w:rPr>
              <w:t>计划工期</w:t>
            </w:r>
          </w:p>
        </w:tc>
        <w:tc>
          <w:tcPr>
            <w:tcW w:w="5120" w:type="dxa"/>
            <w:gridSpan w:val="3"/>
            <w:shd w:val="clear" w:color="auto" w:fill="auto"/>
            <w:vAlign w:val="center"/>
          </w:tcPr>
          <w:p w14:paraId="1903E94E">
            <w:pPr>
              <w:jc w:val="center"/>
              <w:rPr>
                <w:rFonts w:hint="eastAsia" w:ascii="宋体" w:hAnsi="宋体"/>
                <w:color w:val="auto"/>
                <w:szCs w:val="21"/>
                <w:highlight w:val="none"/>
              </w:rPr>
            </w:pPr>
          </w:p>
        </w:tc>
        <w:tc>
          <w:tcPr>
            <w:tcW w:w="2356" w:type="dxa"/>
            <w:gridSpan w:val="2"/>
            <w:shd w:val="clear" w:color="auto" w:fill="auto"/>
            <w:vAlign w:val="center"/>
          </w:tcPr>
          <w:p w14:paraId="4174DA25">
            <w:pPr>
              <w:jc w:val="center"/>
              <w:rPr>
                <w:rFonts w:hint="eastAsia" w:ascii="宋体" w:hAnsi="宋体"/>
                <w:color w:val="auto"/>
                <w:szCs w:val="21"/>
                <w:highlight w:val="none"/>
              </w:rPr>
            </w:pPr>
            <w:r>
              <w:rPr>
                <w:rFonts w:hint="eastAsia" w:ascii="宋体" w:hAnsi="宋体"/>
                <w:color w:val="auto"/>
                <w:szCs w:val="21"/>
                <w:highlight w:val="none"/>
              </w:rPr>
              <w:t>总工期（日历天）</w:t>
            </w:r>
          </w:p>
        </w:tc>
        <w:tc>
          <w:tcPr>
            <w:tcW w:w="4714" w:type="dxa"/>
            <w:shd w:val="clear" w:color="auto" w:fill="auto"/>
            <w:vAlign w:val="center"/>
          </w:tcPr>
          <w:p w14:paraId="596CCFDA">
            <w:pPr>
              <w:jc w:val="center"/>
              <w:rPr>
                <w:rFonts w:hint="eastAsia" w:ascii="宋体" w:hAnsi="宋体"/>
                <w:color w:val="auto"/>
                <w:szCs w:val="21"/>
                <w:highlight w:val="none"/>
              </w:rPr>
            </w:pPr>
          </w:p>
        </w:tc>
      </w:tr>
      <w:tr w14:paraId="321F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14:paraId="2B646FBE">
            <w:pPr>
              <w:jc w:val="center"/>
              <w:rPr>
                <w:rFonts w:hint="eastAsia" w:ascii="宋体" w:hAnsi="宋体"/>
                <w:color w:val="auto"/>
                <w:szCs w:val="21"/>
                <w:highlight w:val="none"/>
              </w:rPr>
            </w:pPr>
            <w:r>
              <w:rPr>
                <w:rFonts w:hint="eastAsia" w:ascii="宋体" w:hAnsi="宋体"/>
                <w:color w:val="auto"/>
                <w:szCs w:val="21"/>
                <w:highlight w:val="none"/>
              </w:rPr>
              <w:t>资质等级</w:t>
            </w:r>
          </w:p>
        </w:tc>
        <w:tc>
          <w:tcPr>
            <w:tcW w:w="5120" w:type="dxa"/>
            <w:gridSpan w:val="3"/>
            <w:shd w:val="clear" w:color="auto" w:fill="auto"/>
            <w:vAlign w:val="center"/>
          </w:tcPr>
          <w:p w14:paraId="0EC3BB54">
            <w:pPr>
              <w:jc w:val="center"/>
              <w:rPr>
                <w:rFonts w:hint="eastAsia" w:ascii="宋体" w:hAnsi="宋体"/>
                <w:color w:val="auto"/>
                <w:szCs w:val="21"/>
                <w:highlight w:val="none"/>
              </w:rPr>
            </w:pPr>
          </w:p>
        </w:tc>
        <w:tc>
          <w:tcPr>
            <w:tcW w:w="2356" w:type="dxa"/>
            <w:gridSpan w:val="2"/>
            <w:shd w:val="clear" w:color="auto" w:fill="auto"/>
            <w:vAlign w:val="center"/>
          </w:tcPr>
          <w:p w14:paraId="44455E09">
            <w:pPr>
              <w:jc w:val="center"/>
              <w:rPr>
                <w:rFonts w:hint="eastAsia" w:ascii="宋体" w:hAnsi="宋体"/>
                <w:color w:val="auto"/>
                <w:szCs w:val="21"/>
                <w:highlight w:val="none"/>
              </w:rPr>
            </w:pPr>
            <w:r>
              <w:rPr>
                <w:rFonts w:hint="eastAsia" w:ascii="宋体" w:hAnsi="宋体"/>
                <w:color w:val="auto"/>
                <w:szCs w:val="21"/>
                <w:highlight w:val="none"/>
              </w:rPr>
              <w:t>质量标准</w:t>
            </w:r>
          </w:p>
        </w:tc>
        <w:tc>
          <w:tcPr>
            <w:tcW w:w="4714" w:type="dxa"/>
            <w:shd w:val="clear" w:color="auto" w:fill="auto"/>
            <w:vAlign w:val="center"/>
          </w:tcPr>
          <w:p w14:paraId="6E4C78D5">
            <w:pPr>
              <w:jc w:val="center"/>
              <w:rPr>
                <w:rFonts w:hint="eastAsia" w:ascii="宋体" w:hAnsi="宋体"/>
                <w:color w:val="auto"/>
                <w:szCs w:val="21"/>
                <w:highlight w:val="none"/>
              </w:rPr>
            </w:pPr>
          </w:p>
        </w:tc>
      </w:tr>
      <w:tr w14:paraId="7AB2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14:paraId="4011737B">
            <w:pPr>
              <w:jc w:val="center"/>
              <w:rPr>
                <w:rFonts w:hint="eastAsia" w:ascii="宋体" w:hAnsi="宋体"/>
                <w:color w:val="auto"/>
                <w:szCs w:val="21"/>
                <w:highlight w:val="none"/>
              </w:rPr>
            </w:pPr>
            <w:r>
              <w:rPr>
                <w:rFonts w:hint="eastAsia" w:ascii="宋体" w:hAnsi="宋体"/>
                <w:color w:val="auto"/>
                <w:szCs w:val="21"/>
                <w:highlight w:val="none"/>
              </w:rPr>
              <w:t>项目经理</w:t>
            </w:r>
          </w:p>
        </w:tc>
        <w:tc>
          <w:tcPr>
            <w:tcW w:w="2765" w:type="dxa"/>
            <w:shd w:val="clear" w:color="auto" w:fill="auto"/>
            <w:vAlign w:val="center"/>
          </w:tcPr>
          <w:p w14:paraId="1AB90539">
            <w:pPr>
              <w:jc w:val="center"/>
              <w:rPr>
                <w:rFonts w:hint="eastAsia" w:ascii="宋体" w:hAnsi="宋体"/>
                <w:color w:val="auto"/>
                <w:szCs w:val="21"/>
                <w:highlight w:val="none"/>
              </w:rPr>
            </w:pPr>
          </w:p>
        </w:tc>
        <w:tc>
          <w:tcPr>
            <w:tcW w:w="2355" w:type="dxa"/>
            <w:gridSpan w:val="2"/>
            <w:shd w:val="clear" w:color="auto" w:fill="auto"/>
            <w:vAlign w:val="center"/>
          </w:tcPr>
          <w:p w14:paraId="1A39290C">
            <w:pPr>
              <w:jc w:val="center"/>
              <w:rPr>
                <w:rFonts w:hint="eastAsia" w:ascii="宋体" w:hAnsi="宋体"/>
                <w:color w:val="auto"/>
                <w:szCs w:val="21"/>
                <w:highlight w:val="none"/>
              </w:rPr>
            </w:pPr>
            <w:r>
              <w:rPr>
                <w:rFonts w:hint="eastAsia" w:ascii="宋体" w:hAnsi="宋体"/>
                <w:color w:val="auto"/>
                <w:szCs w:val="21"/>
                <w:highlight w:val="none"/>
              </w:rPr>
              <w:t>资格证书及编号</w:t>
            </w:r>
          </w:p>
        </w:tc>
        <w:tc>
          <w:tcPr>
            <w:tcW w:w="7070" w:type="dxa"/>
            <w:gridSpan w:val="3"/>
            <w:shd w:val="clear" w:color="auto" w:fill="auto"/>
            <w:vAlign w:val="center"/>
          </w:tcPr>
          <w:p w14:paraId="28CB560F">
            <w:pPr>
              <w:jc w:val="center"/>
              <w:rPr>
                <w:rFonts w:hint="eastAsia" w:ascii="宋体" w:hAnsi="宋体"/>
                <w:color w:val="auto"/>
                <w:szCs w:val="21"/>
                <w:highlight w:val="none"/>
              </w:rPr>
            </w:pPr>
          </w:p>
        </w:tc>
      </w:tr>
      <w:tr w14:paraId="01F3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Merge w:val="restart"/>
            <w:shd w:val="clear" w:color="auto" w:fill="auto"/>
            <w:vAlign w:val="center"/>
          </w:tcPr>
          <w:p w14:paraId="125BA791">
            <w:pPr>
              <w:jc w:val="center"/>
              <w:rPr>
                <w:rFonts w:hint="eastAsia" w:ascii="宋体" w:hAnsi="宋体"/>
                <w:color w:val="auto"/>
                <w:szCs w:val="21"/>
                <w:highlight w:val="none"/>
              </w:rPr>
            </w:pPr>
            <w:r>
              <w:rPr>
                <w:rFonts w:hint="eastAsia" w:ascii="宋体" w:hAnsi="宋体"/>
                <w:color w:val="auto"/>
                <w:szCs w:val="21"/>
                <w:highlight w:val="none"/>
              </w:rPr>
              <w:t>中标金额</w:t>
            </w:r>
          </w:p>
        </w:tc>
        <w:tc>
          <w:tcPr>
            <w:tcW w:w="12191" w:type="dxa"/>
            <w:gridSpan w:val="6"/>
            <w:shd w:val="clear" w:color="auto" w:fill="auto"/>
            <w:vAlign w:val="center"/>
          </w:tcPr>
          <w:p w14:paraId="5846F2A5">
            <w:pPr>
              <w:jc w:val="left"/>
              <w:rPr>
                <w:rFonts w:hint="eastAsia" w:ascii="宋体" w:hAnsi="宋体" w:cs="微软雅黑"/>
                <w:color w:val="auto"/>
                <w:szCs w:val="21"/>
                <w:highlight w:val="none"/>
              </w:rPr>
            </w:pPr>
            <w:r>
              <w:rPr>
                <w:rFonts w:hint="eastAsia" w:ascii="宋体" w:hAnsi="宋体" w:cs="微软雅黑"/>
                <w:color w:val="auto"/>
                <w:szCs w:val="21"/>
                <w:highlight w:val="none"/>
              </w:rPr>
              <w:t>大写：</w:t>
            </w:r>
          </w:p>
        </w:tc>
      </w:tr>
      <w:tr w14:paraId="1A83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44" w:type="dxa"/>
            <w:vMerge w:val="continue"/>
            <w:shd w:val="clear" w:color="auto" w:fill="auto"/>
            <w:vAlign w:val="center"/>
          </w:tcPr>
          <w:p w14:paraId="64A3A37C">
            <w:pPr>
              <w:jc w:val="center"/>
              <w:rPr>
                <w:rFonts w:hint="eastAsia" w:ascii="宋体" w:hAnsi="宋体"/>
                <w:color w:val="auto"/>
                <w:szCs w:val="21"/>
                <w:highlight w:val="none"/>
              </w:rPr>
            </w:pPr>
          </w:p>
        </w:tc>
        <w:tc>
          <w:tcPr>
            <w:tcW w:w="12191" w:type="dxa"/>
            <w:gridSpan w:val="6"/>
            <w:shd w:val="clear" w:color="auto" w:fill="auto"/>
            <w:vAlign w:val="center"/>
          </w:tcPr>
          <w:p w14:paraId="3CD7DE72">
            <w:pPr>
              <w:jc w:val="left"/>
              <w:rPr>
                <w:rFonts w:hint="eastAsia" w:ascii="宋体" w:hAnsi="宋体" w:cs="微软雅黑"/>
                <w:color w:val="auto"/>
                <w:szCs w:val="21"/>
                <w:highlight w:val="none"/>
              </w:rPr>
            </w:pPr>
            <w:r>
              <w:rPr>
                <w:rFonts w:hint="eastAsia" w:ascii="宋体" w:hAnsi="宋体" w:cs="微软雅黑"/>
                <w:color w:val="auto"/>
                <w:szCs w:val="21"/>
                <w:highlight w:val="none"/>
              </w:rPr>
              <w:t>小写：</w:t>
            </w:r>
          </w:p>
        </w:tc>
      </w:tr>
      <w:tr w14:paraId="0097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14:paraId="4B5EBCBB">
            <w:pPr>
              <w:jc w:val="center"/>
              <w:rPr>
                <w:rFonts w:hint="eastAsia" w:ascii="宋体" w:hAnsi="宋体"/>
                <w:color w:val="auto"/>
                <w:szCs w:val="21"/>
                <w:highlight w:val="none"/>
              </w:rPr>
            </w:pPr>
            <w:r>
              <w:rPr>
                <w:rFonts w:hint="eastAsia" w:ascii="宋体" w:hAnsi="宋体"/>
                <w:color w:val="auto"/>
                <w:szCs w:val="21"/>
                <w:highlight w:val="none"/>
              </w:rPr>
              <w:t>需要说明的事项</w:t>
            </w:r>
          </w:p>
        </w:tc>
        <w:tc>
          <w:tcPr>
            <w:tcW w:w="12191" w:type="dxa"/>
            <w:gridSpan w:val="6"/>
            <w:shd w:val="clear" w:color="auto" w:fill="auto"/>
            <w:vAlign w:val="center"/>
          </w:tcPr>
          <w:p w14:paraId="5FD6CFA1">
            <w:pPr>
              <w:jc w:val="center"/>
              <w:rPr>
                <w:rFonts w:hint="eastAsia" w:ascii="宋体" w:hAnsi="宋体"/>
                <w:color w:val="auto"/>
                <w:szCs w:val="21"/>
                <w:highlight w:val="none"/>
              </w:rPr>
            </w:pPr>
          </w:p>
        </w:tc>
      </w:tr>
      <w:tr w14:paraId="4F2C4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4710" w:type="dxa"/>
            <w:gridSpan w:val="2"/>
            <w:shd w:val="clear" w:color="auto" w:fill="auto"/>
            <w:vAlign w:val="center"/>
          </w:tcPr>
          <w:p w14:paraId="0C4C6D8A">
            <w:pPr>
              <w:spacing w:line="400" w:lineRule="exact"/>
              <w:ind w:firstLine="630" w:firstLineChars="300"/>
              <w:rPr>
                <w:rFonts w:hint="eastAsia" w:ascii="宋体" w:hAnsi="宋体"/>
                <w:color w:val="auto"/>
                <w:szCs w:val="21"/>
                <w:highlight w:val="none"/>
              </w:rPr>
            </w:pPr>
          </w:p>
          <w:p w14:paraId="05128EC2">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招标人（盖章）</w:t>
            </w:r>
          </w:p>
          <w:p w14:paraId="2FACA4A6">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法定代表</w:t>
            </w:r>
            <w:r>
              <w:rPr>
                <w:rFonts w:hint="eastAsia" w:ascii="宋体" w:hAnsi="宋体"/>
                <w:color w:val="auto"/>
                <w:szCs w:val="21"/>
                <w:highlight w:val="none"/>
                <w:lang w:val="en-US" w:eastAsia="zh-CN"/>
              </w:rPr>
              <w:t>人</w:t>
            </w:r>
            <w:r>
              <w:rPr>
                <w:rFonts w:hint="eastAsia" w:ascii="宋体" w:hAnsi="宋体"/>
                <w:color w:val="auto"/>
                <w:szCs w:val="21"/>
                <w:highlight w:val="none"/>
              </w:rPr>
              <w:t>（签章）</w:t>
            </w:r>
          </w:p>
          <w:p w14:paraId="2208C1E9">
            <w:pPr>
              <w:spacing w:line="400" w:lineRule="exact"/>
              <w:jc w:val="center"/>
              <w:rPr>
                <w:rFonts w:hint="eastAsia" w:ascii="宋体" w:hAnsi="宋体"/>
                <w:color w:val="auto"/>
                <w:szCs w:val="21"/>
                <w:highlight w:val="none"/>
              </w:rPr>
            </w:pPr>
            <w:r>
              <w:rPr>
                <w:rFonts w:hint="eastAsia" w:ascii="宋体" w:hAnsi="宋体"/>
                <w:color w:val="auto"/>
                <w:szCs w:val="21"/>
                <w:highlight w:val="none"/>
              </w:rPr>
              <w:t xml:space="preserve">                 年  月  日</w:t>
            </w:r>
          </w:p>
        </w:tc>
        <w:tc>
          <w:tcPr>
            <w:tcW w:w="4711" w:type="dxa"/>
            <w:gridSpan w:val="4"/>
            <w:shd w:val="clear" w:color="auto" w:fill="auto"/>
            <w:vAlign w:val="center"/>
          </w:tcPr>
          <w:p w14:paraId="25817FF7">
            <w:pPr>
              <w:spacing w:line="400" w:lineRule="exact"/>
              <w:ind w:firstLine="630" w:firstLineChars="300"/>
              <w:rPr>
                <w:rFonts w:hint="eastAsia" w:ascii="宋体" w:hAnsi="宋体"/>
                <w:color w:val="auto"/>
                <w:szCs w:val="21"/>
                <w:highlight w:val="none"/>
              </w:rPr>
            </w:pPr>
          </w:p>
          <w:p w14:paraId="7671871C">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招标代理（盖章）</w:t>
            </w:r>
          </w:p>
          <w:p w14:paraId="2BCCDAF1">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法定代表</w:t>
            </w:r>
            <w:r>
              <w:rPr>
                <w:rFonts w:hint="eastAsia" w:ascii="宋体" w:hAnsi="宋体"/>
                <w:color w:val="auto"/>
                <w:szCs w:val="21"/>
                <w:highlight w:val="none"/>
                <w:lang w:val="en-US" w:eastAsia="zh-CN"/>
              </w:rPr>
              <w:t>人</w:t>
            </w:r>
            <w:r>
              <w:rPr>
                <w:rFonts w:hint="eastAsia" w:ascii="宋体" w:hAnsi="宋体"/>
                <w:color w:val="auto"/>
                <w:szCs w:val="21"/>
                <w:highlight w:val="none"/>
              </w:rPr>
              <w:t>（签章）</w:t>
            </w:r>
          </w:p>
          <w:p w14:paraId="583F1B57">
            <w:pPr>
              <w:spacing w:line="400" w:lineRule="exact"/>
              <w:jc w:val="center"/>
              <w:rPr>
                <w:rFonts w:hint="eastAsia" w:ascii="宋体" w:hAnsi="宋体"/>
                <w:color w:val="auto"/>
                <w:szCs w:val="21"/>
                <w:highlight w:val="none"/>
              </w:rPr>
            </w:pPr>
            <w:r>
              <w:rPr>
                <w:rFonts w:hint="eastAsia" w:ascii="宋体" w:hAnsi="宋体"/>
                <w:color w:val="auto"/>
                <w:szCs w:val="21"/>
                <w:highlight w:val="none"/>
              </w:rPr>
              <w:t xml:space="preserve">                  年  月  日</w:t>
            </w:r>
          </w:p>
        </w:tc>
        <w:tc>
          <w:tcPr>
            <w:tcW w:w="4714" w:type="dxa"/>
            <w:shd w:val="clear" w:color="auto" w:fill="auto"/>
            <w:vAlign w:val="center"/>
          </w:tcPr>
          <w:p w14:paraId="66D75F13">
            <w:pPr>
              <w:spacing w:line="400" w:lineRule="exact"/>
              <w:jc w:val="center"/>
              <w:rPr>
                <w:rFonts w:hint="eastAsia" w:ascii="宋体" w:hAnsi="宋体"/>
                <w:color w:val="auto"/>
                <w:szCs w:val="21"/>
                <w:highlight w:val="none"/>
              </w:rPr>
            </w:pPr>
          </w:p>
          <w:p w14:paraId="4B8CAE29">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监管部门（盖章）</w:t>
            </w:r>
          </w:p>
          <w:p w14:paraId="6F6ED47F">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经办人（签章）</w:t>
            </w:r>
          </w:p>
          <w:p w14:paraId="3DDA9D62">
            <w:pPr>
              <w:spacing w:line="400" w:lineRule="exact"/>
              <w:jc w:val="center"/>
              <w:rPr>
                <w:rFonts w:hint="eastAsia" w:ascii="宋体" w:hAnsi="宋体"/>
                <w:color w:val="auto"/>
                <w:szCs w:val="21"/>
                <w:highlight w:val="none"/>
              </w:rPr>
            </w:pPr>
            <w:r>
              <w:rPr>
                <w:rFonts w:hint="eastAsia" w:ascii="宋体" w:hAnsi="宋体"/>
                <w:color w:val="auto"/>
                <w:szCs w:val="21"/>
                <w:highlight w:val="none"/>
              </w:rPr>
              <w:t xml:space="preserve">               年  月  日</w:t>
            </w:r>
          </w:p>
        </w:tc>
      </w:tr>
    </w:tbl>
    <w:p w14:paraId="7B8FD2C7">
      <w:pPr>
        <w:widowControl/>
        <w:jc w:val="left"/>
        <w:rPr>
          <w:color w:val="auto"/>
          <w:highlight w:val="none"/>
        </w:rPr>
        <w:sectPr>
          <w:pgSz w:w="16838" w:h="11906" w:orient="landscape"/>
          <w:pgMar w:top="1276" w:right="1440" w:bottom="1134" w:left="1440" w:header="851" w:footer="851" w:gutter="0"/>
          <w:pgBorders>
            <w:top w:val="none" w:sz="0" w:space="0"/>
            <w:left w:val="none" w:sz="0" w:space="0"/>
            <w:bottom w:val="none" w:sz="0" w:space="0"/>
            <w:right w:val="none" w:sz="0" w:space="0"/>
          </w:pgBorders>
          <w:cols w:space="720" w:num="1"/>
          <w:docGrid w:linePitch="312" w:charSpace="0"/>
        </w:sectPr>
      </w:pPr>
      <w:r>
        <w:rPr>
          <w:color w:val="auto"/>
          <w:highlight w:val="none"/>
        </w:rPr>
        <w:br w:type="page"/>
      </w:r>
    </w:p>
    <w:p w14:paraId="76D0DC97">
      <w:pPr>
        <w:widowControl/>
        <w:jc w:val="left"/>
        <w:rPr>
          <w:color w:val="auto"/>
          <w:highlight w:val="none"/>
        </w:rPr>
      </w:pPr>
    </w:p>
    <w:p w14:paraId="4CE725E7">
      <w:pPr>
        <w:pStyle w:val="3"/>
        <w:rPr>
          <w:rFonts w:ascii="黑体"/>
          <w:color w:val="auto"/>
          <w:sz w:val="24"/>
          <w:highlight w:val="none"/>
        </w:rPr>
      </w:pPr>
      <w:bookmarkStart w:id="637" w:name="_Toc165804348"/>
      <w:bookmarkStart w:id="638" w:name="_Toc256000078"/>
      <w:bookmarkStart w:id="639" w:name="_Toc26791"/>
      <w:r>
        <w:rPr>
          <w:rFonts w:hint="eastAsia"/>
          <w:b w:val="0"/>
          <w:color w:val="auto"/>
          <w:sz w:val="24"/>
          <w:szCs w:val="24"/>
          <w:highlight w:val="none"/>
        </w:rPr>
        <w:t>附表九：中标结果通知书</w:t>
      </w:r>
      <w:bookmarkEnd w:id="637"/>
      <w:bookmarkEnd w:id="638"/>
      <w:bookmarkEnd w:id="639"/>
    </w:p>
    <w:p w14:paraId="017E6B8E">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中标结果通知书</w:t>
      </w:r>
    </w:p>
    <w:p w14:paraId="4FC18BD3">
      <w:pPr>
        <w:spacing w:line="480" w:lineRule="exact"/>
        <w:rPr>
          <w:color w:val="auto"/>
          <w:highlight w:val="none"/>
        </w:rPr>
      </w:pPr>
      <w:r>
        <w:rPr>
          <w:rFonts w:hint="eastAsia"/>
          <w:color w:val="auto"/>
          <w:highlight w:val="none"/>
          <w:u w:val="single"/>
        </w:rPr>
        <w:t xml:space="preserve">                      </w:t>
      </w:r>
      <w:r>
        <w:rPr>
          <w:rFonts w:hint="eastAsia"/>
          <w:color w:val="auto"/>
          <w:highlight w:val="none"/>
        </w:rPr>
        <w:t>（未中标人名称）：</w:t>
      </w:r>
    </w:p>
    <w:p w14:paraId="277442AB">
      <w:pPr>
        <w:spacing w:line="480" w:lineRule="exact"/>
        <w:rPr>
          <w:color w:val="auto"/>
          <w:highlight w:val="none"/>
        </w:rPr>
      </w:pPr>
    </w:p>
    <w:p w14:paraId="7BA88A20">
      <w:pPr>
        <w:spacing w:line="480" w:lineRule="exact"/>
        <w:ind w:firstLine="420" w:firstLineChars="200"/>
        <w:rPr>
          <w:color w:val="auto"/>
          <w:highlight w:val="none"/>
        </w:rPr>
      </w:pPr>
      <w:r>
        <w:rPr>
          <w:rFonts w:hint="eastAsia"/>
          <w:color w:val="auto"/>
          <w:highlight w:val="none"/>
        </w:rPr>
        <w:t>我方已接受</w:t>
      </w:r>
      <w:r>
        <w:rPr>
          <w:rFonts w:hint="eastAsia"/>
          <w:color w:val="auto"/>
          <w:highlight w:val="none"/>
          <w:u w:val="single"/>
        </w:rPr>
        <w:t xml:space="preserve">                   </w:t>
      </w:r>
      <w:r>
        <w:rPr>
          <w:rFonts w:hint="eastAsia"/>
          <w:color w:val="auto"/>
          <w:highlight w:val="none"/>
        </w:rPr>
        <w:t>（中标人名称）于</w:t>
      </w:r>
      <w:r>
        <w:rPr>
          <w:rFonts w:hint="eastAsia"/>
          <w:color w:val="auto"/>
          <w:highlight w:val="none"/>
          <w:u w:val="single"/>
        </w:rPr>
        <w:t xml:space="preserve">                       </w:t>
      </w:r>
      <w:r>
        <w:rPr>
          <w:rFonts w:hint="eastAsia"/>
          <w:color w:val="auto"/>
          <w:highlight w:val="none"/>
        </w:rPr>
        <w:t>（投标日期）所递交的</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）投标文件，确定</w:t>
      </w:r>
      <w:r>
        <w:rPr>
          <w:rFonts w:hint="eastAsia"/>
          <w:color w:val="auto"/>
          <w:highlight w:val="none"/>
          <w:u w:val="single"/>
        </w:rPr>
        <w:t xml:space="preserve">         </w:t>
      </w:r>
      <w:r>
        <w:rPr>
          <w:rFonts w:hint="eastAsia"/>
          <w:color w:val="auto"/>
          <w:highlight w:val="none"/>
        </w:rPr>
        <w:t>（中标人名称）为中标人。</w:t>
      </w:r>
    </w:p>
    <w:p w14:paraId="5BF23378">
      <w:pPr>
        <w:spacing w:line="480" w:lineRule="exact"/>
        <w:ind w:firstLine="420" w:firstLineChars="200"/>
        <w:rPr>
          <w:color w:val="auto"/>
          <w:highlight w:val="none"/>
        </w:rPr>
      </w:pPr>
    </w:p>
    <w:p w14:paraId="45A3EDD7">
      <w:pPr>
        <w:spacing w:line="480" w:lineRule="exact"/>
        <w:ind w:firstLine="420" w:firstLineChars="200"/>
        <w:rPr>
          <w:color w:val="auto"/>
          <w:highlight w:val="none"/>
        </w:rPr>
      </w:pPr>
      <w:r>
        <w:rPr>
          <w:rFonts w:hint="eastAsia"/>
          <w:color w:val="auto"/>
          <w:highlight w:val="none"/>
        </w:rPr>
        <w:t>感谢你单位对我方工作的大力支持!</w:t>
      </w:r>
    </w:p>
    <w:p w14:paraId="359DDF42">
      <w:pPr>
        <w:spacing w:line="480" w:lineRule="exact"/>
        <w:ind w:firstLine="420" w:firstLineChars="200"/>
        <w:rPr>
          <w:color w:val="auto"/>
          <w:highlight w:val="none"/>
        </w:rPr>
      </w:pPr>
    </w:p>
    <w:p w14:paraId="58B790BA">
      <w:pPr>
        <w:spacing w:line="480" w:lineRule="exact"/>
        <w:ind w:firstLine="420" w:firstLineChars="200"/>
        <w:rPr>
          <w:color w:val="auto"/>
          <w:highlight w:val="none"/>
        </w:rPr>
      </w:pPr>
    </w:p>
    <w:p w14:paraId="67B63F59">
      <w:pPr>
        <w:spacing w:line="480" w:lineRule="exact"/>
        <w:ind w:firstLine="420" w:firstLineChars="200"/>
        <w:rPr>
          <w:color w:val="auto"/>
          <w:highlight w:val="none"/>
        </w:rPr>
      </w:pPr>
    </w:p>
    <w:p w14:paraId="0B64C60C">
      <w:pPr>
        <w:spacing w:line="480" w:lineRule="exact"/>
        <w:ind w:firstLine="420" w:firstLineChars="200"/>
        <w:rPr>
          <w:color w:val="auto"/>
          <w:highlight w:val="none"/>
        </w:rPr>
      </w:pPr>
    </w:p>
    <w:p w14:paraId="29B2B8DD">
      <w:pPr>
        <w:wordWrap w:val="0"/>
        <w:spacing w:line="480" w:lineRule="exact"/>
        <w:ind w:firstLine="420" w:firstLineChars="200"/>
        <w:jc w:val="right"/>
        <w:rPr>
          <w:rFonts w:hint="eastAsia" w:ascii="宋体" w:hAnsi="宋体"/>
          <w:color w:val="auto"/>
          <w:highlight w:val="none"/>
        </w:rPr>
      </w:pP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（盖单位章） </w:t>
      </w:r>
    </w:p>
    <w:p w14:paraId="1C25257F">
      <w:pPr>
        <w:wordWrap w:val="0"/>
        <w:spacing w:line="480" w:lineRule="exact"/>
        <w:ind w:firstLine="420" w:firstLineChars="200"/>
        <w:jc w:val="right"/>
        <w:rPr>
          <w:rFonts w:hint="eastAsia" w:ascii="宋体" w:hAnsi="宋体"/>
          <w:color w:val="auto"/>
          <w:highlight w:val="none"/>
        </w:rPr>
      </w:pPr>
      <w:r>
        <w:rPr>
          <w:rFonts w:hint="eastAsia" w:ascii="宋体" w:hAnsi="宋体"/>
          <w:color w:val="auto"/>
          <w:highlight w:val="none"/>
        </w:rPr>
        <w:t>法定代表人：</w:t>
      </w:r>
      <w:r>
        <w:rPr>
          <w:rFonts w:hint="eastAsia" w:ascii="宋体" w:hAnsi="宋体"/>
          <w:color w:val="auto"/>
          <w:highlight w:val="none"/>
          <w:u w:val="single"/>
        </w:rPr>
        <w:t xml:space="preserve">              </w:t>
      </w:r>
      <w:r>
        <w:rPr>
          <w:rFonts w:hint="eastAsia" w:ascii="宋体" w:hAnsi="宋体"/>
          <w:color w:val="auto"/>
          <w:highlight w:val="none"/>
        </w:rPr>
        <w:t xml:space="preserve"> （</w:t>
      </w:r>
      <w:bookmarkStart w:id="640" w:name="_Hlk152171080"/>
      <w:r>
        <w:rPr>
          <w:rFonts w:hint="eastAsia" w:ascii="宋体" w:hAnsi="宋体"/>
          <w:color w:val="auto"/>
          <w:highlight w:val="none"/>
        </w:rPr>
        <w:t>签章</w:t>
      </w:r>
      <w:bookmarkEnd w:id="640"/>
      <w:r>
        <w:rPr>
          <w:rFonts w:hint="eastAsia" w:ascii="宋体" w:hAnsi="宋体"/>
          <w:color w:val="auto"/>
          <w:highlight w:val="none"/>
        </w:rPr>
        <w:t xml:space="preserve">） </w:t>
      </w:r>
    </w:p>
    <w:p w14:paraId="6A3E9ED7">
      <w:pPr>
        <w:wordWrap w:val="0"/>
        <w:spacing w:line="480" w:lineRule="exact"/>
        <w:ind w:firstLine="4689" w:firstLineChars="2233"/>
        <w:jc w:val="right"/>
        <w:rPr>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 xml:space="preserve">日  </w:t>
      </w:r>
    </w:p>
    <w:p w14:paraId="2F6005FF">
      <w:pPr>
        <w:spacing w:line="480" w:lineRule="exact"/>
        <w:ind w:firstLine="4689" w:firstLineChars="2233"/>
        <w:jc w:val="right"/>
        <w:rPr>
          <w:color w:val="auto"/>
          <w:highlight w:val="none"/>
        </w:rPr>
      </w:pPr>
    </w:p>
    <w:p w14:paraId="5438CF3C">
      <w:pPr>
        <w:spacing w:line="480" w:lineRule="exact"/>
        <w:ind w:firstLine="4689" w:firstLineChars="2233"/>
        <w:jc w:val="right"/>
        <w:rPr>
          <w:color w:val="auto"/>
          <w:highlight w:val="none"/>
        </w:rPr>
      </w:pPr>
    </w:p>
    <w:p w14:paraId="1D32CCF3">
      <w:pPr>
        <w:spacing w:line="480" w:lineRule="exact"/>
        <w:ind w:firstLine="4689" w:firstLineChars="2233"/>
        <w:jc w:val="right"/>
        <w:rPr>
          <w:color w:val="auto"/>
          <w:highlight w:val="none"/>
        </w:rPr>
      </w:pPr>
    </w:p>
    <w:p w14:paraId="748AB07D">
      <w:pPr>
        <w:spacing w:line="480" w:lineRule="exact"/>
        <w:ind w:firstLine="4689" w:firstLineChars="2233"/>
        <w:jc w:val="right"/>
        <w:rPr>
          <w:color w:val="auto"/>
          <w:highlight w:val="none"/>
        </w:rPr>
      </w:pPr>
    </w:p>
    <w:p w14:paraId="2FCD135C">
      <w:pPr>
        <w:spacing w:line="480" w:lineRule="exact"/>
        <w:rPr>
          <w:color w:val="auto"/>
          <w:highlight w:val="none"/>
        </w:rPr>
      </w:pPr>
    </w:p>
    <w:p w14:paraId="6514706C">
      <w:pPr>
        <w:spacing w:line="480" w:lineRule="exact"/>
        <w:rPr>
          <w:color w:val="auto"/>
          <w:highlight w:val="none"/>
        </w:rPr>
      </w:pPr>
    </w:p>
    <w:p w14:paraId="49EE6792">
      <w:pPr>
        <w:spacing w:line="480" w:lineRule="exact"/>
        <w:rPr>
          <w:color w:val="auto"/>
          <w:highlight w:val="none"/>
        </w:rPr>
      </w:pPr>
      <w:r>
        <w:rPr>
          <w:color w:val="auto"/>
          <w:highlight w:val="none"/>
        </w:rPr>
        <w:br w:type="page"/>
      </w:r>
    </w:p>
    <w:p w14:paraId="430D7F9B">
      <w:pPr>
        <w:pStyle w:val="3"/>
        <w:rPr>
          <w:rFonts w:hint="eastAsia" w:ascii="仿宋_GB2312" w:hAnsi="黑体" w:eastAsia="仿宋_GB2312"/>
          <w:b w:val="0"/>
          <w:bCs w:val="0"/>
          <w:color w:val="auto"/>
          <w:spacing w:val="12"/>
          <w:sz w:val="24"/>
          <w:highlight w:val="none"/>
        </w:rPr>
      </w:pPr>
      <w:bookmarkStart w:id="641" w:name="_Toc256000079"/>
      <w:bookmarkStart w:id="642" w:name="_Toc448"/>
      <w:bookmarkStart w:id="643" w:name="_Toc165804349"/>
      <w:r>
        <w:rPr>
          <w:rFonts w:hint="eastAsia"/>
          <w:b w:val="0"/>
          <w:color w:val="auto"/>
          <w:sz w:val="24"/>
          <w:szCs w:val="24"/>
          <w:highlight w:val="none"/>
        </w:rPr>
        <w:t>附表十：异议书</w:t>
      </w:r>
      <w:bookmarkEnd w:id="641"/>
      <w:bookmarkEnd w:id="642"/>
      <w:bookmarkEnd w:id="643"/>
    </w:p>
    <w:p w14:paraId="54EEBDA0">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异议书</w:t>
      </w:r>
    </w:p>
    <w:p w14:paraId="1457DED6">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一、异议项目基本情况</w:t>
      </w:r>
    </w:p>
    <w:p w14:paraId="7AFDDB68">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标段名称：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6F2D1346">
      <w:pPr>
        <w:adjustRightInd w:val="0"/>
        <w:snapToGrid w:val="0"/>
        <w:spacing w:line="500" w:lineRule="exact"/>
        <w:ind w:firstLine="420" w:firstLineChars="200"/>
        <w:rPr>
          <w:rFonts w:hint="eastAsia" w:ascii="宋体" w:hAnsi="宋体" w:cs="仿宋_GB2312"/>
          <w:color w:val="auto"/>
          <w:kern w:val="0"/>
          <w:szCs w:val="21"/>
          <w:highlight w:val="none"/>
          <w:u w:val="single"/>
        </w:rPr>
      </w:pPr>
      <w:r>
        <w:rPr>
          <w:rFonts w:hint="eastAsia"/>
          <w:color w:val="auto"/>
          <w:highlight w:val="none"/>
        </w:rPr>
        <w:t>标段唯一标识码：</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698B5C03">
      <w:pPr>
        <w:widowControl/>
        <w:adjustRightInd w:val="0"/>
        <w:snapToGrid w:val="0"/>
        <w:spacing w:line="500" w:lineRule="exact"/>
        <w:ind w:firstLine="420" w:firstLineChars="2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招标人名称：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6A1FD309">
      <w:pPr>
        <w:widowControl/>
        <w:adjustRightInd w:val="0"/>
        <w:snapToGrid w:val="0"/>
        <w:spacing w:line="500" w:lineRule="exact"/>
        <w:ind w:firstLine="420" w:firstLineChars="2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招标代理机构名称：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0FA876E0">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二、异议人基本情况</w:t>
      </w:r>
    </w:p>
    <w:p w14:paraId="526B6639">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单位名称：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320D6954">
      <w:pPr>
        <w:adjustRightInd w:val="0"/>
        <w:snapToGrid w:val="0"/>
        <w:spacing w:line="500" w:lineRule="exact"/>
        <w:ind w:firstLine="420" w:firstLineChars="200"/>
        <w:rPr>
          <w:rFonts w:hint="eastAsia" w:ascii="宋体" w:hAnsi="宋体" w:cs="仿宋_GB2312"/>
          <w:b/>
          <w:bCs/>
          <w:color w:val="auto"/>
          <w:kern w:val="0"/>
          <w:szCs w:val="21"/>
          <w:highlight w:val="none"/>
          <w:u w:val="single"/>
        </w:rPr>
      </w:pPr>
      <w:r>
        <w:rPr>
          <w:rFonts w:ascii="宋体" w:hAnsi="宋体"/>
          <w:color w:val="auto"/>
          <w:kern w:val="0"/>
          <w:szCs w:val="21"/>
          <w:highlight w:val="none"/>
        </w:rPr>
        <w:t>住所地：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邮编</w:t>
      </w:r>
      <w:r>
        <w:rPr>
          <w:rFonts w:hint="eastAsia" w:ascii="宋体" w:hAnsi="宋体"/>
          <w:color w:val="auto"/>
          <w:kern w:val="0"/>
          <w:szCs w:val="21"/>
          <w:highlight w:val="none"/>
        </w:rPr>
        <w:t>：</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0240C6EE">
      <w:pPr>
        <w:adjustRightInd w:val="0"/>
        <w:snapToGrid w:val="0"/>
        <w:spacing w:line="50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法定代表人：</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联系电话：</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5305E84C">
      <w:pPr>
        <w:adjustRightInd w:val="0"/>
        <w:snapToGrid w:val="0"/>
        <w:spacing w:line="50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异议人授权代表：</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性别：</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p>
    <w:p w14:paraId="465812CB">
      <w:pPr>
        <w:adjustRightInd w:val="0"/>
        <w:snapToGrid w:val="0"/>
        <w:spacing w:line="50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地址：</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 xml:space="preserve"> 联系电话：</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p>
    <w:p w14:paraId="2DF36820">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三、异议事项基本事实</w:t>
      </w:r>
    </w:p>
    <w:p w14:paraId="62927860">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异议事项1：</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14:paraId="6BE12D11">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异议事项2：</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14:paraId="18521C82">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异议事项3：</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14:paraId="3F1B2E39">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四、有效线索和相关证明材料：见附件</w:t>
      </w:r>
    </w:p>
    <w:p w14:paraId="36703B71">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五、相关请求及主张：</w:t>
      </w:r>
    </w:p>
    <w:p w14:paraId="291E1C39">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 xml:space="preserve">（一）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14:paraId="764AB22F">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（二）</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14:paraId="41997B0E">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（三）</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14:paraId="04ED4B55">
      <w:pPr>
        <w:widowControl/>
        <w:adjustRightInd w:val="0"/>
        <w:snapToGrid w:val="0"/>
        <w:spacing w:line="500" w:lineRule="exact"/>
        <w:jc w:val="left"/>
        <w:rPr>
          <w:rFonts w:hint="eastAsia" w:ascii="宋体" w:hAnsi="宋体" w:cs="宋体"/>
          <w:color w:val="auto"/>
          <w:kern w:val="0"/>
          <w:szCs w:val="21"/>
          <w:highlight w:val="none"/>
        </w:rPr>
      </w:pPr>
    </w:p>
    <w:p w14:paraId="09AEF065">
      <w:pPr>
        <w:widowControl/>
        <w:spacing w:line="360" w:lineRule="auto"/>
        <w:ind w:left="99" w:leftChars="47" w:firstLine="4200" w:firstLineChars="2000"/>
        <w:jc w:val="left"/>
        <w:rPr>
          <w:rFonts w:hint="eastAsia" w:ascii="宋体" w:hAnsi="宋体" w:cs="宋体"/>
          <w:color w:val="auto"/>
          <w:kern w:val="0"/>
          <w:szCs w:val="21"/>
          <w:highlight w:val="none"/>
        </w:rPr>
      </w:pPr>
      <w:r>
        <w:rPr>
          <w:rFonts w:hint="eastAsia" w:ascii="宋体" w:hAnsi="宋体" w:cs="仿宋_GB2312"/>
          <w:color w:val="auto"/>
          <w:kern w:val="0"/>
          <w:szCs w:val="21"/>
          <w:highlight w:val="none"/>
        </w:rPr>
        <w:t>异议人（公章）：</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p>
    <w:p w14:paraId="314AA7E5">
      <w:pPr>
        <w:widowControl/>
        <w:spacing w:line="360" w:lineRule="auto"/>
        <w:ind w:left="99" w:leftChars="47" w:firstLine="2520" w:firstLineChars="12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法定代表人或授权代表（签字或盖章）</w:t>
      </w:r>
      <w:r>
        <w:rPr>
          <w:rFonts w:hint="eastAsia" w:ascii="宋体" w:hAnsi="宋体" w:cs="仿宋_GB2312"/>
          <w:color w:val="auto"/>
          <w:kern w:val="0"/>
          <w:szCs w:val="21"/>
          <w:highlight w:val="none"/>
          <w:u w:val="single"/>
        </w:rPr>
        <w:t xml:space="preserve">                   </w:t>
      </w:r>
    </w:p>
    <w:p w14:paraId="0C4FCEF3">
      <w:pPr>
        <w:ind w:firstLine="420"/>
        <w:rPr>
          <w:color w:val="auto"/>
          <w:szCs w:val="21"/>
          <w:highlight w:val="none"/>
        </w:rPr>
      </w:pPr>
      <w:r>
        <w:rPr>
          <w:rFonts w:hint="eastAsia" w:ascii="宋体" w:hAnsi="宋体" w:cs="仿宋_GB2312"/>
          <w:color w:val="auto"/>
          <w:kern w:val="0"/>
          <w:szCs w:val="21"/>
          <w:highlight w:val="none"/>
        </w:rPr>
        <w:t xml:space="preserve">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日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期：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年    月   日</w:t>
      </w:r>
    </w:p>
    <w:p w14:paraId="347A445B">
      <w:pPr>
        <w:ind w:firstLine="420"/>
        <w:rPr>
          <w:rFonts w:ascii="仿宋_GB2312" w:eastAsia="仿宋_GB2312"/>
          <w:color w:val="auto"/>
          <w:szCs w:val="21"/>
          <w:highlight w:val="none"/>
        </w:rPr>
      </w:pPr>
      <w:r>
        <w:rPr>
          <w:rFonts w:ascii="仿宋_GB2312" w:eastAsia="仿宋_GB2312"/>
          <w:color w:val="auto"/>
          <w:szCs w:val="21"/>
          <w:highlight w:val="none"/>
        </w:rPr>
        <w:br w:type="page"/>
      </w:r>
    </w:p>
    <w:p w14:paraId="16490E92">
      <w:pPr>
        <w:pStyle w:val="3"/>
        <w:rPr>
          <w:b w:val="0"/>
          <w:color w:val="auto"/>
          <w:sz w:val="24"/>
          <w:szCs w:val="24"/>
          <w:highlight w:val="none"/>
        </w:rPr>
      </w:pPr>
      <w:bookmarkStart w:id="644" w:name="_Toc165804350"/>
      <w:bookmarkStart w:id="645" w:name="_Toc12582"/>
      <w:bookmarkStart w:id="646" w:name="_Toc353544011"/>
      <w:bookmarkStart w:id="647" w:name="_Toc256000080"/>
      <w:r>
        <w:rPr>
          <w:rFonts w:hint="eastAsia"/>
          <w:b w:val="0"/>
          <w:color w:val="auto"/>
          <w:sz w:val="24"/>
          <w:szCs w:val="24"/>
          <w:highlight w:val="none"/>
        </w:rPr>
        <w:t>附表十一：异议答复函</w:t>
      </w:r>
      <w:bookmarkEnd w:id="644"/>
      <w:bookmarkEnd w:id="645"/>
      <w:bookmarkEnd w:id="646"/>
      <w:bookmarkEnd w:id="647"/>
    </w:p>
    <w:p w14:paraId="0510657F">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异议答复函</w:t>
      </w:r>
    </w:p>
    <w:p w14:paraId="5F16688E">
      <w:pPr>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w:t>
      </w:r>
      <w:r>
        <w:rPr>
          <w:rFonts w:hint="eastAsia" w:ascii="宋体" w:hAnsi="宋体" w:cs="宋体"/>
          <w:i/>
          <w:iCs/>
          <w:color w:val="auto"/>
          <w:kern w:val="0"/>
          <w:szCs w:val="21"/>
          <w:highlight w:val="none"/>
          <w:u w:val="single"/>
        </w:rPr>
        <w:t>异议人名称</w:t>
      </w:r>
      <w:r>
        <w:rPr>
          <w:rFonts w:hint="eastAsia" w:ascii="宋体" w:hAnsi="宋体" w:cs="宋体"/>
          <w:color w:val="auto"/>
          <w:kern w:val="0"/>
          <w:szCs w:val="21"/>
          <w:highlight w:val="none"/>
          <w:u w:val="single"/>
        </w:rPr>
        <w:t>）</w:t>
      </w:r>
      <w:r>
        <w:rPr>
          <w:rFonts w:hint="eastAsia" w:ascii="宋体" w:hAnsi="宋体" w:cs="宋体"/>
          <w:color w:val="auto"/>
          <w:kern w:val="0"/>
          <w:szCs w:val="21"/>
          <w:highlight w:val="none"/>
        </w:rPr>
        <w:t>：</w:t>
      </w:r>
    </w:p>
    <w:p w14:paraId="5F12A4B6">
      <w:pPr>
        <w:spacing w:line="360" w:lineRule="auto"/>
        <w:ind w:firstLine="420" w:firstLineChars="200"/>
        <w:rPr>
          <w:rFonts w:hint="eastAsia" w:ascii="宋体" w:hAnsi="宋体" w:cs="宋体"/>
          <w:color w:val="auto"/>
          <w:kern w:val="0"/>
          <w:szCs w:val="21"/>
          <w:highlight w:val="none"/>
        </w:rPr>
      </w:pPr>
    </w:p>
    <w:p w14:paraId="5218A4FE">
      <w:pPr>
        <w:spacing w:line="360" w:lineRule="auto"/>
        <w:ind w:firstLine="420" w:firstLineChars="200"/>
        <w:rPr>
          <w:rFonts w:hint="eastAsia" w:ascii="宋体" w:hAnsi="宋体"/>
          <w:color w:val="auto"/>
          <w:szCs w:val="21"/>
          <w:highlight w:val="none"/>
        </w:rPr>
      </w:pPr>
      <w:r>
        <w:rPr>
          <w:rFonts w:hint="eastAsia" w:ascii="宋体" w:hAnsi="宋体" w:cs="宋体"/>
          <w:color w:val="auto"/>
          <w:kern w:val="0"/>
          <w:szCs w:val="21"/>
          <w:highlight w:val="none"/>
        </w:rPr>
        <w:t>您单位对</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rPr>
        <w:t>）</w:t>
      </w:r>
      <w:r>
        <w:rPr>
          <w:rFonts w:hint="eastAsia" w:ascii="宋体" w:hAnsi="宋体" w:cs="宋体"/>
          <w:color w:val="auto"/>
          <w:kern w:val="0"/>
          <w:szCs w:val="21"/>
          <w:highlight w:val="none"/>
        </w:rPr>
        <w:t>的异议书于</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日收悉。经查，针对异议内容，现答复如下：</w:t>
      </w:r>
    </w:p>
    <w:p w14:paraId="34A973CD">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异议事项1：</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p>
    <w:p w14:paraId="47567AC9">
      <w:pPr>
        <w:spacing w:line="360" w:lineRule="auto"/>
        <w:ind w:firstLine="420" w:firstLineChars="200"/>
        <w:rPr>
          <w:rFonts w:hint="eastAsia" w:ascii="宋体" w:hAnsi="宋体" w:cs="仿宋_GB2312"/>
          <w:color w:val="auto"/>
          <w:kern w:val="0"/>
          <w:szCs w:val="21"/>
          <w:highlight w:val="none"/>
        </w:rPr>
      </w:pPr>
    </w:p>
    <w:p w14:paraId="1F439834">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答复1：</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07A43928">
      <w:pPr>
        <w:spacing w:line="360" w:lineRule="auto"/>
        <w:ind w:firstLine="420" w:firstLineChars="200"/>
        <w:rPr>
          <w:rFonts w:hint="eastAsia" w:ascii="宋体" w:hAnsi="宋体" w:cs="仿宋_GB2312"/>
          <w:color w:val="auto"/>
          <w:kern w:val="0"/>
          <w:szCs w:val="21"/>
          <w:highlight w:val="none"/>
        </w:rPr>
      </w:pPr>
    </w:p>
    <w:p w14:paraId="26FC8E07">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异议事项2：</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1C179BAA">
      <w:pPr>
        <w:spacing w:line="360" w:lineRule="auto"/>
        <w:ind w:firstLine="420" w:firstLineChars="200"/>
        <w:rPr>
          <w:rFonts w:hint="eastAsia" w:ascii="宋体" w:hAnsi="宋体" w:cs="仿宋_GB2312"/>
          <w:bCs/>
          <w:color w:val="auto"/>
          <w:kern w:val="0"/>
          <w:szCs w:val="21"/>
          <w:highlight w:val="none"/>
          <w:u w:val="single"/>
        </w:rPr>
      </w:pPr>
    </w:p>
    <w:p w14:paraId="2CAC5A54">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答复2：</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1608543D">
      <w:pPr>
        <w:spacing w:line="360" w:lineRule="auto"/>
        <w:ind w:firstLine="420" w:firstLineChars="200"/>
        <w:rPr>
          <w:rFonts w:hint="eastAsia" w:ascii="宋体" w:hAnsi="宋体" w:cs="仿宋_GB2312"/>
          <w:bCs/>
          <w:color w:val="auto"/>
          <w:kern w:val="0"/>
          <w:szCs w:val="21"/>
          <w:highlight w:val="none"/>
          <w:u w:val="single"/>
        </w:rPr>
      </w:pPr>
    </w:p>
    <w:p w14:paraId="0E56FC21">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异议事项3：</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2870BC50">
      <w:pPr>
        <w:spacing w:line="360" w:lineRule="auto"/>
        <w:ind w:firstLine="420" w:firstLineChars="200"/>
        <w:rPr>
          <w:rFonts w:hint="eastAsia" w:ascii="宋体" w:hAnsi="宋体" w:cs="仿宋_GB2312"/>
          <w:bCs/>
          <w:color w:val="auto"/>
          <w:kern w:val="0"/>
          <w:szCs w:val="21"/>
          <w:highlight w:val="none"/>
          <w:u w:val="single"/>
        </w:rPr>
      </w:pPr>
    </w:p>
    <w:p w14:paraId="7724F191">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答复3：</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6AE174FA">
      <w:pPr>
        <w:adjustRightInd w:val="0"/>
        <w:snapToGrid w:val="0"/>
        <w:spacing w:line="360" w:lineRule="auto"/>
        <w:ind w:firstLine="422" w:firstLineChars="200"/>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相关证明材料：见附件（如有）</w:t>
      </w:r>
    </w:p>
    <w:p w14:paraId="72B50084">
      <w:pPr>
        <w:adjustRightInd w:val="0"/>
        <w:snapToGrid w:val="0"/>
        <w:rPr>
          <w:rFonts w:hint="eastAsia" w:ascii="宋体" w:hAnsi="宋体" w:cs="黑体"/>
          <w:color w:val="auto"/>
          <w:kern w:val="0"/>
          <w:szCs w:val="21"/>
          <w:highlight w:val="none"/>
        </w:rPr>
      </w:pPr>
    </w:p>
    <w:p w14:paraId="6483B608">
      <w:pPr>
        <w:snapToGrid w:val="0"/>
        <w:spacing w:line="360" w:lineRule="auto"/>
        <w:ind w:firstLine="420" w:firstLineChars="200"/>
        <w:rPr>
          <w:rFonts w:hint="eastAsia" w:ascii="宋体" w:hAnsi="宋体"/>
          <w:color w:val="auto"/>
          <w:szCs w:val="21"/>
          <w:highlight w:val="none"/>
        </w:rPr>
      </w:pPr>
      <w:r>
        <w:rPr>
          <w:rFonts w:ascii="宋体" w:hAnsi="宋体"/>
          <w:bCs/>
          <w:color w:val="auto"/>
          <w:szCs w:val="21"/>
          <w:highlight w:val="none"/>
        </w:rPr>
        <w:t>如</w:t>
      </w:r>
      <w:r>
        <w:rPr>
          <w:rFonts w:hint="eastAsia" w:ascii="宋体" w:hAnsi="宋体"/>
          <w:bCs/>
          <w:color w:val="auto"/>
          <w:szCs w:val="21"/>
          <w:highlight w:val="none"/>
        </w:rPr>
        <w:t>您单位</w:t>
      </w:r>
      <w:r>
        <w:rPr>
          <w:rFonts w:ascii="宋体" w:hAnsi="宋体"/>
          <w:bCs/>
          <w:color w:val="auto"/>
          <w:szCs w:val="21"/>
          <w:highlight w:val="none"/>
        </w:rPr>
        <w:t>对本</w:t>
      </w:r>
      <w:r>
        <w:rPr>
          <w:rFonts w:hint="eastAsia" w:ascii="宋体" w:hAnsi="宋体"/>
          <w:bCs/>
          <w:color w:val="auto"/>
          <w:szCs w:val="21"/>
          <w:highlight w:val="none"/>
        </w:rPr>
        <w:t>答</w:t>
      </w:r>
      <w:r>
        <w:rPr>
          <w:rFonts w:ascii="宋体" w:hAnsi="宋体"/>
          <w:bCs/>
          <w:color w:val="auto"/>
          <w:szCs w:val="21"/>
          <w:highlight w:val="none"/>
        </w:rPr>
        <w:t>复不满意，可以在</w:t>
      </w:r>
      <w:r>
        <w:rPr>
          <w:rFonts w:hint="eastAsia" w:ascii="宋体" w:hAnsi="宋体"/>
          <w:bCs/>
          <w:color w:val="auto"/>
          <w:szCs w:val="21"/>
          <w:highlight w:val="none"/>
        </w:rPr>
        <w:t>异议</w:t>
      </w:r>
      <w:r>
        <w:rPr>
          <w:rFonts w:ascii="宋体" w:hAnsi="宋体"/>
          <w:bCs/>
          <w:color w:val="auto"/>
          <w:szCs w:val="21"/>
          <w:highlight w:val="none"/>
        </w:rPr>
        <w:t>答复期满十日内向</w:t>
      </w:r>
      <w:r>
        <w:rPr>
          <w:rFonts w:hint="eastAsia" w:ascii="宋体" w:hAnsi="宋体"/>
          <w:bCs/>
          <w:color w:val="auto"/>
          <w:szCs w:val="21"/>
          <w:highlight w:val="none"/>
        </w:rPr>
        <w:t>有关行政监督部门</w:t>
      </w:r>
      <w:r>
        <w:rPr>
          <w:rFonts w:ascii="宋体" w:hAnsi="宋体"/>
          <w:bCs/>
          <w:color w:val="auto"/>
          <w:szCs w:val="21"/>
          <w:highlight w:val="none"/>
        </w:rPr>
        <w:t>依法提起投诉。感谢您对我们工作的监督和支持。</w:t>
      </w:r>
    </w:p>
    <w:p w14:paraId="3E0C40E7">
      <w:pPr>
        <w:widowControl/>
        <w:spacing w:line="360" w:lineRule="auto"/>
        <w:ind w:firstLine="4200" w:firstLineChars="2000"/>
        <w:jc w:val="left"/>
        <w:rPr>
          <w:rFonts w:hint="eastAsia" w:ascii="宋体" w:hAnsi="宋体" w:cs="仿宋_GB2312"/>
          <w:color w:val="auto"/>
          <w:kern w:val="0"/>
          <w:szCs w:val="21"/>
          <w:highlight w:val="none"/>
        </w:rPr>
      </w:pPr>
    </w:p>
    <w:p w14:paraId="68E2FC83">
      <w:pPr>
        <w:widowControl/>
        <w:spacing w:line="360" w:lineRule="auto"/>
        <w:ind w:firstLine="4200" w:firstLineChars="2000"/>
        <w:jc w:val="left"/>
        <w:rPr>
          <w:rFonts w:hint="eastAsia" w:ascii="宋体" w:hAnsi="宋体" w:cs="仿宋_GB2312"/>
          <w:color w:val="auto"/>
          <w:kern w:val="0"/>
          <w:szCs w:val="21"/>
          <w:highlight w:val="none"/>
        </w:rPr>
      </w:pPr>
    </w:p>
    <w:p w14:paraId="4B656E2C">
      <w:pPr>
        <w:widowControl/>
        <w:spacing w:line="360" w:lineRule="auto"/>
        <w:ind w:firstLine="4200" w:firstLineChars="2000"/>
        <w:jc w:val="left"/>
        <w:rPr>
          <w:rFonts w:hint="eastAsia" w:ascii="宋体" w:hAnsi="宋体" w:cs="仿宋_GB2312"/>
          <w:color w:val="auto"/>
          <w:kern w:val="0"/>
          <w:szCs w:val="21"/>
          <w:highlight w:val="none"/>
        </w:rPr>
      </w:pPr>
    </w:p>
    <w:p w14:paraId="799B48EC">
      <w:pPr>
        <w:widowControl/>
        <w:spacing w:line="360" w:lineRule="auto"/>
        <w:ind w:firstLine="4200" w:firstLineChars="2000"/>
        <w:jc w:val="left"/>
        <w:rPr>
          <w:rFonts w:hint="eastAsia" w:ascii="宋体" w:hAnsi="宋体" w:cs="宋体"/>
          <w:color w:val="auto"/>
          <w:kern w:val="0"/>
          <w:szCs w:val="21"/>
          <w:highlight w:val="none"/>
        </w:rPr>
      </w:pPr>
      <w:r>
        <w:rPr>
          <w:rFonts w:hint="eastAsia" w:ascii="宋体" w:hAnsi="宋体" w:cs="仿宋_GB2312"/>
          <w:color w:val="auto"/>
          <w:kern w:val="0"/>
          <w:szCs w:val="21"/>
          <w:highlight w:val="none"/>
        </w:rPr>
        <w:t>招标人或招标代理机构（公章）：</w:t>
      </w:r>
      <w:r>
        <w:rPr>
          <w:rFonts w:hint="eastAsia" w:ascii="宋体" w:hAnsi="宋体" w:cs="仿宋_GB2312"/>
          <w:color w:val="auto"/>
          <w:kern w:val="0"/>
          <w:szCs w:val="21"/>
          <w:highlight w:val="none"/>
          <w:u w:val="single"/>
        </w:rPr>
        <w:t xml:space="preserve">         </w:t>
      </w:r>
    </w:p>
    <w:p w14:paraId="04CD0528">
      <w:pPr>
        <w:widowControl/>
        <w:spacing w:line="360" w:lineRule="auto"/>
        <w:ind w:left="99" w:leftChars="47" w:firstLine="3780" w:firstLineChars="18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法定代表人或授权代表（签字或盖章）</w:t>
      </w:r>
      <w:r>
        <w:rPr>
          <w:rFonts w:hint="eastAsia" w:ascii="宋体" w:hAnsi="宋体" w:cs="仿宋_GB2312"/>
          <w:color w:val="auto"/>
          <w:kern w:val="0"/>
          <w:szCs w:val="21"/>
          <w:highlight w:val="none"/>
          <w:u w:val="single"/>
        </w:rPr>
        <w:t xml:space="preserve">    </w:t>
      </w:r>
    </w:p>
    <w:p w14:paraId="19BBE1BF">
      <w:pPr>
        <w:spacing w:line="360" w:lineRule="auto"/>
        <w:rPr>
          <w:color w:val="auto"/>
          <w:highlight w:val="none"/>
        </w:rPr>
      </w:pPr>
      <w:r>
        <w:rPr>
          <w:rFonts w:hint="eastAsia" w:ascii="宋体" w:hAnsi="宋体" w:cs="仿宋_GB2312"/>
          <w:color w:val="auto"/>
          <w:kern w:val="0"/>
          <w:szCs w:val="21"/>
          <w:highlight w:val="none"/>
        </w:rPr>
        <w:t xml:space="preserve">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日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期：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年    月   日</w:t>
      </w:r>
    </w:p>
    <w:p w14:paraId="4B4DCD01">
      <w:pPr>
        <w:ind w:left="630" w:hanging="630" w:hangingChars="300"/>
        <w:rPr>
          <w:rFonts w:hint="eastAsia" w:ascii="宋体" w:hAnsi="宋体"/>
          <w:color w:val="auto"/>
          <w:szCs w:val="21"/>
          <w:highlight w:val="none"/>
        </w:rPr>
      </w:pPr>
      <w:r>
        <w:rPr>
          <w:rFonts w:hint="eastAsia" w:ascii="宋体" w:hAnsi="宋体"/>
          <w:color w:val="auto"/>
          <w:szCs w:val="21"/>
          <w:highlight w:val="none"/>
        </w:rPr>
        <w:t xml:space="preserve">                      </w:t>
      </w:r>
    </w:p>
    <w:p w14:paraId="71A538CF">
      <w:pPr>
        <w:rPr>
          <w:color w:val="auto"/>
          <w:highlight w:val="none"/>
        </w:rPr>
        <w:sectPr>
          <w:headerReference r:id="rId9" w:type="default"/>
          <w:footerReference r:id="rId10" w:type="default"/>
          <w:pgSz w:w="11906" w:h="16838"/>
          <w:pgMar w:top="1440" w:right="1797" w:bottom="1440" w:left="1797" w:header="851" w:footer="851" w:gutter="0"/>
          <w:pgBorders>
            <w:top w:val="none" w:sz="0" w:space="0"/>
            <w:left w:val="none" w:sz="0" w:space="0"/>
            <w:bottom w:val="none" w:sz="0" w:space="0"/>
            <w:right w:val="none" w:sz="0" w:space="0"/>
          </w:pgBorders>
          <w:cols w:space="720" w:num="1"/>
          <w:docGrid w:linePitch="312" w:charSpace="0"/>
        </w:sectPr>
      </w:pPr>
    </w:p>
    <w:p w14:paraId="2663E712">
      <w:pPr>
        <w:rPr>
          <w:rFonts w:hint="eastAsia"/>
          <w:color w:val="auto"/>
          <w:highlight w:val="none"/>
        </w:rPr>
      </w:pPr>
      <w:bookmarkStart w:id="648" w:name="_Toc256000081"/>
      <w:bookmarkStart w:id="649" w:name="_Toc152265814_0"/>
    </w:p>
    <w:p w14:paraId="43CE40EF">
      <w:pPr>
        <w:rPr>
          <w:rFonts w:hint="eastAsia"/>
          <w:color w:val="auto"/>
          <w:highlight w:val="none"/>
        </w:rPr>
      </w:pPr>
    </w:p>
    <w:p w14:paraId="5A47486F">
      <w:pPr>
        <w:rPr>
          <w:rFonts w:hint="eastAsia"/>
          <w:color w:val="auto"/>
          <w:highlight w:val="none"/>
        </w:rPr>
      </w:pPr>
    </w:p>
    <w:p w14:paraId="0D2CF478">
      <w:pPr>
        <w:rPr>
          <w:rFonts w:hint="eastAsia"/>
          <w:color w:val="auto"/>
          <w:highlight w:val="none"/>
        </w:rPr>
      </w:pPr>
    </w:p>
    <w:p w14:paraId="6295A1DA">
      <w:pPr>
        <w:rPr>
          <w:rFonts w:hint="eastAsia"/>
          <w:color w:val="auto"/>
          <w:highlight w:val="none"/>
        </w:rPr>
      </w:pPr>
    </w:p>
    <w:p w14:paraId="2F3E81C7">
      <w:pPr>
        <w:rPr>
          <w:rFonts w:hint="eastAsia"/>
          <w:color w:val="auto"/>
          <w:highlight w:val="none"/>
        </w:rPr>
      </w:pPr>
    </w:p>
    <w:p w14:paraId="1A135551">
      <w:pPr>
        <w:rPr>
          <w:rFonts w:hint="eastAsia"/>
          <w:color w:val="auto"/>
          <w:highlight w:val="none"/>
        </w:rPr>
      </w:pPr>
    </w:p>
    <w:p w14:paraId="5C8C368B">
      <w:pPr>
        <w:rPr>
          <w:rFonts w:hint="eastAsia"/>
          <w:color w:val="auto"/>
          <w:highlight w:val="none"/>
        </w:rPr>
      </w:pPr>
    </w:p>
    <w:p w14:paraId="2C8BF1CB">
      <w:pPr>
        <w:rPr>
          <w:rFonts w:hint="eastAsia"/>
          <w:color w:val="auto"/>
          <w:highlight w:val="none"/>
        </w:rPr>
      </w:pPr>
    </w:p>
    <w:p w14:paraId="782C4FEE">
      <w:pPr>
        <w:rPr>
          <w:rFonts w:hint="eastAsia"/>
          <w:color w:val="auto"/>
          <w:highlight w:val="none"/>
        </w:rPr>
      </w:pPr>
    </w:p>
    <w:p w14:paraId="1291B9AB">
      <w:pPr>
        <w:rPr>
          <w:rFonts w:hint="eastAsia"/>
          <w:color w:val="auto"/>
          <w:highlight w:val="none"/>
        </w:rPr>
      </w:pPr>
    </w:p>
    <w:p w14:paraId="6A072DE1">
      <w:pPr>
        <w:rPr>
          <w:rFonts w:hint="eastAsia"/>
          <w:color w:val="auto"/>
          <w:highlight w:val="none"/>
        </w:rPr>
      </w:pPr>
    </w:p>
    <w:p w14:paraId="70CB1B84">
      <w:pPr>
        <w:rPr>
          <w:rFonts w:hint="eastAsia"/>
          <w:color w:val="auto"/>
          <w:highlight w:val="none"/>
        </w:rPr>
      </w:pPr>
    </w:p>
    <w:p w14:paraId="3E18F55B">
      <w:pPr>
        <w:rPr>
          <w:rFonts w:hint="eastAsia"/>
          <w:color w:val="auto"/>
          <w:highlight w:val="none"/>
        </w:rPr>
      </w:pPr>
    </w:p>
    <w:p w14:paraId="56CBB6EC">
      <w:pPr>
        <w:rPr>
          <w:rFonts w:hint="eastAsia"/>
          <w:color w:val="auto"/>
          <w:highlight w:val="none"/>
        </w:rPr>
      </w:pPr>
    </w:p>
    <w:p w14:paraId="4E0FCC84">
      <w:pPr>
        <w:pStyle w:val="2"/>
        <w:spacing w:before="120" w:after="120" w:line="400" w:lineRule="exact"/>
        <w:jc w:val="center"/>
        <w:rPr>
          <w:color w:val="auto"/>
          <w:highlight w:val="none"/>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650" w:name="_Toc29454"/>
      <w:r>
        <w:rPr>
          <w:rFonts w:ascii="黑体" w:hAnsi="黑体" w:eastAsia="黑体"/>
          <w:b w:val="0"/>
          <w:bCs w:val="0"/>
          <w:color w:val="auto"/>
          <w:sz w:val="32"/>
          <w:highlight w:val="none"/>
        </w:rPr>
        <w:t>第三章</w:t>
      </w:r>
      <w:r>
        <w:rPr>
          <w:rFonts w:hint="eastAsia" w:ascii="黑体" w:hAnsi="黑体" w:eastAsia="黑体"/>
          <w:b w:val="0"/>
          <w:bCs w:val="0"/>
          <w:color w:val="auto"/>
          <w:sz w:val="32"/>
          <w:highlight w:val="none"/>
        </w:rPr>
        <w:t xml:space="preserve"> </w:t>
      </w:r>
      <w:r>
        <w:rPr>
          <w:rFonts w:hint="eastAsia" w:ascii="黑体" w:hAnsi="黑体" w:eastAsia="黑体"/>
          <w:b w:val="0"/>
          <w:bCs w:val="0"/>
          <w:color w:val="auto"/>
          <w:sz w:val="32"/>
          <w:highlight w:val="none"/>
          <w:lang w:val="en-US" w:eastAsia="zh-CN"/>
        </w:rPr>
        <w:t xml:space="preserve"> </w:t>
      </w:r>
      <w:r>
        <w:rPr>
          <w:rFonts w:ascii="黑体" w:hAnsi="黑体" w:eastAsia="黑体"/>
          <w:b w:val="0"/>
          <w:bCs w:val="0"/>
          <w:color w:val="auto"/>
          <w:sz w:val="32"/>
          <w:highlight w:val="none"/>
        </w:rPr>
        <w:t>评标办法</w:t>
      </w:r>
      <w:bookmarkEnd w:id="648"/>
      <w:bookmarkEnd w:id="649"/>
      <w:bookmarkEnd w:id="650"/>
    </w:p>
    <w:p w14:paraId="5F5918F7">
      <w:pPr>
        <w:pStyle w:val="35"/>
        <w:jc w:val="center"/>
        <w:rPr>
          <w:color w:val="auto"/>
          <w:highlight w:val="none"/>
        </w:rPr>
      </w:pPr>
      <w:bookmarkStart w:id="651" w:name="_Toc155889699"/>
      <w:bookmarkStart w:id="652" w:name="_Toc15482"/>
      <w:bookmarkStart w:id="653" w:name="_Toc256000082"/>
      <w:bookmarkStart w:id="654" w:name="OLE_LINK34"/>
      <w:r>
        <w:rPr>
          <w:rFonts w:hint="eastAsia"/>
          <w:color w:val="auto"/>
          <w:highlight w:val="none"/>
        </w:rPr>
        <w:t>评标办法前附表</w:t>
      </w:r>
      <w:bookmarkEnd w:id="651"/>
      <w:r>
        <w:rPr>
          <w:rFonts w:hint="eastAsia"/>
          <w:color w:val="auto"/>
          <w:highlight w:val="none"/>
        </w:rPr>
        <w:t>（综合评估法）</w:t>
      </w:r>
      <w:bookmarkEnd w:id="652"/>
      <w:bookmarkEnd w:id="653"/>
    </w:p>
    <w:p w14:paraId="4D3ECC60">
      <w:pPr>
        <w:rPr>
          <w:rFonts w:ascii="黑体" w:hAnsi="宋体" w:eastAsia="黑体"/>
          <w:color w:val="auto"/>
          <w:sz w:val="28"/>
          <w:szCs w:val="28"/>
          <w:highlight w:val="none"/>
        </w:rPr>
      </w:pPr>
    </w:p>
    <w:tbl>
      <w:tblPr>
        <w:tblStyle w:val="25"/>
        <w:tblW w:w="10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059"/>
        <w:gridCol w:w="2196"/>
        <w:gridCol w:w="144"/>
        <w:gridCol w:w="666"/>
        <w:gridCol w:w="5270"/>
      </w:tblGrid>
      <w:tr w14:paraId="3111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0" w:type="dxa"/>
            <w:gridSpan w:val="2"/>
            <w:vAlign w:val="center"/>
          </w:tcPr>
          <w:p w14:paraId="7C031F8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b/>
                <w:color w:val="auto"/>
                <w:szCs w:val="21"/>
                <w:highlight w:val="none"/>
              </w:rPr>
            </w:pPr>
            <w:bookmarkStart w:id="655" w:name="_Hlk121668541"/>
            <w:bookmarkStart w:id="656" w:name="_Hlk154665296"/>
            <w:r>
              <w:rPr>
                <w:rFonts w:hint="eastAsia" w:ascii="宋体" w:hAnsi="宋体"/>
                <w:b/>
                <w:color w:val="auto"/>
                <w:szCs w:val="21"/>
                <w:highlight w:val="none"/>
              </w:rPr>
              <w:t>条款号</w:t>
            </w:r>
          </w:p>
        </w:tc>
        <w:tc>
          <w:tcPr>
            <w:tcW w:w="2340" w:type="dxa"/>
            <w:gridSpan w:val="2"/>
            <w:vAlign w:val="center"/>
          </w:tcPr>
          <w:p w14:paraId="7B80365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b/>
                <w:color w:val="auto"/>
                <w:szCs w:val="21"/>
                <w:highlight w:val="none"/>
              </w:rPr>
            </w:pPr>
            <w:r>
              <w:rPr>
                <w:rFonts w:hint="eastAsia" w:ascii="宋体" w:hAnsi="宋体"/>
                <w:b/>
                <w:color w:val="auto"/>
                <w:szCs w:val="21"/>
                <w:highlight w:val="none"/>
              </w:rPr>
              <w:t>评审因素</w:t>
            </w:r>
          </w:p>
        </w:tc>
        <w:tc>
          <w:tcPr>
            <w:tcW w:w="5936" w:type="dxa"/>
            <w:gridSpan w:val="2"/>
            <w:vAlign w:val="center"/>
          </w:tcPr>
          <w:p w14:paraId="4ECB87E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b/>
                <w:color w:val="auto"/>
                <w:szCs w:val="21"/>
                <w:highlight w:val="none"/>
              </w:rPr>
            </w:pPr>
            <w:r>
              <w:rPr>
                <w:rFonts w:hint="eastAsia" w:ascii="宋体" w:hAnsi="宋体"/>
                <w:b/>
                <w:color w:val="auto"/>
                <w:szCs w:val="21"/>
                <w:highlight w:val="none"/>
              </w:rPr>
              <w:t>评审标准</w:t>
            </w:r>
          </w:p>
        </w:tc>
      </w:tr>
      <w:tr w14:paraId="229C4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5788E5A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restart"/>
            <w:vAlign w:val="center"/>
          </w:tcPr>
          <w:p w14:paraId="043D85C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6C876C5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投标人名称</w:t>
            </w:r>
          </w:p>
        </w:tc>
        <w:tc>
          <w:tcPr>
            <w:tcW w:w="5936" w:type="dxa"/>
            <w:gridSpan w:val="2"/>
            <w:vAlign w:val="center"/>
          </w:tcPr>
          <w:p w14:paraId="0036CF1F">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与营业执照、资质证书、安全生产许可证（如有）一致</w:t>
            </w:r>
          </w:p>
        </w:tc>
      </w:tr>
      <w:tr w14:paraId="3AB0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0F0EE9B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35B8A42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33530DC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投标文件签字盖章</w:t>
            </w:r>
          </w:p>
        </w:tc>
        <w:tc>
          <w:tcPr>
            <w:tcW w:w="5936" w:type="dxa"/>
            <w:gridSpan w:val="2"/>
            <w:vAlign w:val="center"/>
          </w:tcPr>
          <w:p w14:paraId="7CF91B5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符合第二章“投标人须知”第3.7.3（4）目规定</w:t>
            </w:r>
          </w:p>
        </w:tc>
      </w:tr>
      <w:tr w14:paraId="50D6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1694585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0AE335A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7D27277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投标文件格式、内容</w:t>
            </w:r>
          </w:p>
        </w:tc>
        <w:tc>
          <w:tcPr>
            <w:tcW w:w="5936" w:type="dxa"/>
            <w:gridSpan w:val="2"/>
            <w:vAlign w:val="center"/>
          </w:tcPr>
          <w:p w14:paraId="4ABD0BCA">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符合第七章“投标文件格式”的要求且实质性内容齐全</w:t>
            </w:r>
          </w:p>
        </w:tc>
      </w:tr>
      <w:tr w14:paraId="78B2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4BF46BF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00883B5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2F15C80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联合体投标人（如有）</w:t>
            </w:r>
          </w:p>
        </w:tc>
        <w:tc>
          <w:tcPr>
            <w:tcW w:w="5936" w:type="dxa"/>
            <w:gridSpan w:val="2"/>
            <w:vAlign w:val="center"/>
          </w:tcPr>
          <w:p w14:paraId="62436D0A">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提交联合体协议书，并明确联合体牵头人和各方的权利义务</w:t>
            </w:r>
          </w:p>
        </w:tc>
      </w:tr>
      <w:tr w14:paraId="0B44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6AB1608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024EE76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4A6A7BC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报价唯一</w:t>
            </w:r>
          </w:p>
        </w:tc>
        <w:tc>
          <w:tcPr>
            <w:tcW w:w="5936" w:type="dxa"/>
            <w:gridSpan w:val="2"/>
            <w:vAlign w:val="center"/>
          </w:tcPr>
          <w:p w14:paraId="0FC41F2F">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投标报价文件（包括投标函）中的任何单价、合价或总价只能有一个有效报价</w:t>
            </w:r>
          </w:p>
        </w:tc>
      </w:tr>
      <w:tr w14:paraId="3C22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7986D7F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103973B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6477F2C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项目经理实名认证</w:t>
            </w:r>
          </w:p>
        </w:tc>
        <w:tc>
          <w:tcPr>
            <w:tcW w:w="5936" w:type="dxa"/>
            <w:gridSpan w:val="2"/>
            <w:vAlign w:val="center"/>
          </w:tcPr>
          <w:p w14:paraId="263A062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项目经理二次刷卡完成实名认证（无在建工程和不良行为）</w:t>
            </w:r>
          </w:p>
        </w:tc>
      </w:tr>
      <w:tr w14:paraId="2B0F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2B0A734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1B934A5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23C230E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法定代表人或授权委托人实名认证</w:t>
            </w:r>
          </w:p>
        </w:tc>
        <w:tc>
          <w:tcPr>
            <w:tcW w:w="5936" w:type="dxa"/>
            <w:gridSpan w:val="2"/>
            <w:vAlign w:val="center"/>
          </w:tcPr>
          <w:p w14:paraId="79D3CDB3">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法定代表人或授权委托人完成实名认证</w:t>
            </w:r>
          </w:p>
        </w:tc>
      </w:tr>
      <w:tr w14:paraId="3007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5ADCFAF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0E9936A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5D138C8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模块化暗标</w:t>
            </w:r>
          </w:p>
        </w:tc>
        <w:tc>
          <w:tcPr>
            <w:tcW w:w="5936" w:type="dxa"/>
            <w:gridSpan w:val="2"/>
            <w:vAlign w:val="center"/>
          </w:tcPr>
          <w:p w14:paraId="6183E2B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符合第二章“投标人须知”第3.7.4项规定</w:t>
            </w:r>
          </w:p>
        </w:tc>
      </w:tr>
      <w:tr w14:paraId="480B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2F3AE66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6364D64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468F3FE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行为雷同分析</w:t>
            </w:r>
          </w:p>
        </w:tc>
        <w:tc>
          <w:tcPr>
            <w:tcW w:w="5936" w:type="dxa"/>
            <w:gridSpan w:val="2"/>
            <w:vAlign w:val="center"/>
          </w:tcPr>
          <w:p w14:paraId="69D731F4">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不存在投标行为雷同情形</w:t>
            </w:r>
          </w:p>
        </w:tc>
      </w:tr>
      <w:tr w14:paraId="1A6C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07463D8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restart"/>
            <w:vAlign w:val="center"/>
          </w:tcPr>
          <w:p w14:paraId="53FA049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59B919F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营业执照</w:t>
            </w:r>
          </w:p>
        </w:tc>
        <w:tc>
          <w:tcPr>
            <w:tcW w:w="5936" w:type="dxa"/>
            <w:gridSpan w:val="2"/>
            <w:vAlign w:val="center"/>
          </w:tcPr>
          <w:p w14:paraId="5024DF93">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具备有效的营业执照</w:t>
            </w:r>
          </w:p>
        </w:tc>
      </w:tr>
      <w:tr w14:paraId="2C6F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65B2C55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14:paraId="68E29AB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3F24E21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安全生产许可证</w:t>
            </w:r>
          </w:p>
        </w:tc>
        <w:tc>
          <w:tcPr>
            <w:tcW w:w="5936" w:type="dxa"/>
            <w:gridSpan w:val="2"/>
            <w:vAlign w:val="center"/>
          </w:tcPr>
          <w:p w14:paraId="684A0E00">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具备有效的安全生产许可证</w:t>
            </w:r>
          </w:p>
        </w:tc>
      </w:tr>
      <w:tr w14:paraId="073C2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1F923ED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14:paraId="6C56C85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5EE467E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资质等级</w:t>
            </w:r>
          </w:p>
        </w:tc>
        <w:tc>
          <w:tcPr>
            <w:tcW w:w="5936" w:type="dxa"/>
            <w:gridSpan w:val="2"/>
            <w:vAlign w:val="center"/>
          </w:tcPr>
          <w:p w14:paraId="609E057A">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符合第二章“投标人须知”第1.4.1项规定</w:t>
            </w:r>
          </w:p>
        </w:tc>
      </w:tr>
      <w:tr w14:paraId="59F7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16E703C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14:paraId="2DEDFA9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3F50B34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信誉</w:t>
            </w:r>
          </w:p>
        </w:tc>
        <w:tc>
          <w:tcPr>
            <w:tcW w:w="5936" w:type="dxa"/>
            <w:gridSpan w:val="2"/>
            <w:vAlign w:val="center"/>
          </w:tcPr>
          <w:p w14:paraId="5B32F38D">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符合第二章“投标人须知”第1.4.1项规定</w:t>
            </w:r>
          </w:p>
        </w:tc>
      </w:tr>
      <w:tr w14:paraId="56F35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4BFA278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14:paraId="5DF4D5C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1B85D6A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项目经理资格</w:t>
            </w:r>
          </w:p>
        </w:tc>
        <w:tc>
          <w:tcPr>
            <w:tcW w:w="5936" w:type="dxa"/>
            <w:gridSpan w:val="2"/>
            <w:vAlign w:val="center"/>
          </w:tcPr>
          <w:p w14:paraId="5A9BEC73">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符合第二章“投标人须知”第1.4.1项规定</w:t>
            </w:r>
          </w:p>
        </w:tc>
      </w:tr>
      <w:tr w14:paraId="08E2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2C593C3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14:paraId="61FB891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4833C59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其他要求</w:t>
            </w:r>
          </w:p>
        </w:tc>
        <w:tc>
          <w:tcPr>
            <w:tcW w:w="5936" w:type="dxa"/>
            <w:gridSpan w:val="2"/>
            <w:vAlign w:val="center"/>
          </w:tcPr>
          <w:p w14:paraId="007DCC9C">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符合第二章“投标人须知”第1.4.1项规定</w:t>
            </w:r>
          </w:p>
        </w:tc>
      </w:tr>
      <w:tr w14:paraId="7979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1CAA495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14:paraId="0F89A01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257E0A9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设计负责人</w:t>
            </w:r>
          </w:p>
        </w:tc>
        <w:tc>
          <w:tcPr>
            <w:tcW w:w="5936" w:type="dxa"/>
            <w:gridSpan w:val="2"/>
            <w:vAlign w:val="center"/>
          </w:tcPr>
          <w:p w14:paraId="19B16594">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符合第二章“投标人须知”第1.4.1项规定</w:t>
            </w:r>
          </w:p>
        </w:tc>
      </w:tr>
      <w:tr w14:paraId="226D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03DD17D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14:paraId="3FBFDC3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6A39552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施工负责人</w:t>
            </w:r>
          </w:p>
        </w:tc>
        <w:tc>
          <w:tcPr>
            <w:tcW w:w="5936" w:type="dxa"/>
            <w:gridSpan w:val="2"/>
            <w:vAlign w:val="center"/>
          </w:tcPr>
          <w:p w14:paraId="72248060">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符合第二章“投标人须知”第1.4.1项规定</w:t>
            </w:r>
          </w:p>
        </w:tc>
      </w:tr>
      <w:tr w14:paraId="2DDD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6FC6EBB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1059" w:type="dxa"/>
            <w:vMerge w:val="continue"/>
            <w:vAlign w:val="center"/>
          </w:tcPr>
          <w:p w14:paraId="648F2C9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2340" w:type="dxa"/>
            <w:gridSpan w:val="2"/>
            <w:shd w:val="clear" w:color="auto" w:fill="auto"/>
            <w:vAlign w:val="center"/>
          </w:tcPr>
          <w:p w14:paraId="2A142BC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宋体"/>
                <w:b w:val="0"/>
                <w:i w:val="0"/>
                <w:color w:val="auto"/>
                <w:szCs w:val="21"/>
                <w:highlight w:val="none"/>
                <w:u w:val="none" w:color="auto"/>
              </w:rPr>
              <w:t>联合体投标人（如有）</w:t>
            </w:r>
          </w:p>
        </w:tc>
        <w:tc>
          <w:tcPr>
            <w:tcW w:w="5936" w:type="dxa"/>
            <w:gridSpan w:val="2"/>
            <w:shd w:val="clear" w:color="auto" w:fill="auto"/>
            <w:vAlign w:val="center"/>
          </w:tcPr>
          <w:p w14:paraId="358B8D4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宋体"/>
                <w:b w:val="0"/>
                <w:i w:val="0"/>
                <w:color w:val="auto"/>
                <w:szCs w:val="21"/>
                <w:highlight w:val="none"/>
                <w:u w:val="none" w:color="auto"/>
              </w:rPr>
              <w:t>符合第二章“投标人须知”第1.4.2项规定</w:t>
            </w:r>
          </w:p>
        </w:tc>
      </w:tr>
      <w:tr w14:paraId="28B6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4C822B4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14:paraId="4A0998A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7450BB41">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不存在禁止投标的情形</w:t>
            </w:r>
          </w:p>
        </w:tc>
        <w:tc>
          <w:tcPr>
            <w:tcW w:w="5936" w:type="dxa"/>
            <w:gridSpan w:val="2"/>
            <w:vAlign w:val="center"/>
          </w:tcPr>
          <w:p w14:paraId="552911B8">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不存在第二章“投标人须知”第1.4.3项规定的任何一种情形</w:t>
            </w:r>
          </w:p>
        </w:tc>
      </w:tr>
      <w:tr w14:paraId="5581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7C88EBB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restart"/>
            <w:vAlign w:val="center"/>
          </w:tcPr>
          <w:p w14:paraId="659CB21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7505164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投标内容</w:t>
            </w:r>
          </w:p>
        </w:tc>
        <w:tc>
          <w:tcPr>
            <w:tcW w:w="5936" w:type="dxa"/>
            <w:gridSpan w:val="2"/>
            <w:vAlign w:val="center"/>
          </w:tcPr>
          <w:p w14:paraId="3614B7EF">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符合第二章“投标人须知”第1.3.1项规定</w:t>
            </w:r>
          </w:p>
        </w:tc>
      </w:tr>
      <w:tr w14:paraId="004AA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3229CC2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14:paraId="6F0E1FF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3496959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计划工期</w:t>
            </w:r>
          </w:p>
        </w:tc>
        <w:tc>
          <w:tcPr>
            <w:tcW w:w="5936" w:type="dxa"/>
            <w:gridSpan w:val="2"/>
            <w:vAlign w:val="center"/>
          </w:tcPr>
          <w:p w14:paraId="660D7538">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符合第二章“投标人须知”第1.3.2项规定</w:t>
            </w:r>
          </w:p>
        </w:tc>
      </w:tr>
      <w:tr w14:paraId="7175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61A38D2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14:paraId="52A2B88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5D573B8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工程质量</w:t>
            </w:r>
          </w:p>
        </w:tc>
        <w:tc>
          <w:tcPr>
            <w:tcW w:w="5936" w:type="dxa"/>
            <w:gridSpan w:val="2"/>
            <w:vAlign w:val="center"/>
          </w:tcPr>
          <w:p w14:paraId="798EE43D">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符合第二章“投标人须知”第1.3.3项规定</w:t>
            </w:r>
          </w:p>
        </w:tc>
      </w:tr>
      <w:tr w14:paraId="7790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6CC6763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14:paraId="4A9811F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64C87A7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投标有效期</w:t>
            </w:r>
          </w:p>
        </w:tc>
        <w:tc>
          <w:tcPr>
            <w:tcW w:w="5936" w:type="dxa"/>
            <w:gridSpan w:val="2"/>
            <w:vAlign w:val="center"/>
          </w:tcPr>
          <w:p w14:paraId="3A38F594">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符合第二章“投标人须知”第3.3.1项规定</w:t>
            </w:r>
          </w:p>
        </w:tc>
      </w:tr>
      <w:tr w14:paraId="73770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2658528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14:paraId="0C34FCD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21C7DEF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投标保证金</w:t>
            </w:r>
          </w:p>
        </w:tc>
        <w:tc>
          <w:tcPr>
            <w:tcW w:w="5936" w:type="dxa"/>
            <w:gridSpan w:val="2"/>
            <w:vAlign w:val="center"/>
          </w:tcPr>
          <w:p w14:paraId="69B3E902">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符合第二章“投标人须知”第3.4.1项规定</w:t>
            </w:r>
          </w:p>
        </w:tc>
      </w:tr>
      <w:tr w14:paraId="776C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5DFECD4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1059" w:type="dxa"/>
            <w:vMerge w:val="continue"/>
            <w:vAlign w:val="center"/>
          </w:tcPr>
          <w:p w14:paraId="1CA1E6C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2340" w:type="dxa"/>
            <w:gridSpan w:val="2"/>
            <w:vAlign w:val="center"/>
          </w:tcPr>
          <w:p w14:paraId="6E39AFF5">
            <w:pPr>
              <w:spacing w:line="420" w:lineRule="exact"/>
              <w:jc w:val="center"/>
              <w:rPr>
                <w:rFonts w:hint="eastAsia" w:ascii="宋体" w:hAnsi="宋体" w:eastAsia="宋体" w:cs="宋体"/>
                <w:b w:val="0"/>
                <w:i w:val="0"/>
                <w:color w:val="auto"/>
                <w:szCs w:val="21"/>
                <w:highlight w:val="none"/>
                <w:u w:val="none" w:color="auto"/>
              </w:rPr>
            </w:pPr>
            <w:r>
              <w:rPr>
                <w:rFonts w:hint="eastAsia" w:ascii="宋体" w:hAnsi="宋体" w:eastAsia="宋体" w:cs="宋体"/>
                <w:b w:val="0"/>
                <w:i w:val="0"/>
                <w:color w:val="auto"/>
                <w:szCs w:val="21"/>
                <w:highlight w:val="none"/>
                <w:u w:val="none" w:color="auto"/>
              </w:rPr>
              <w:t>权利义务</w:t>
            </w:r>
          </w:p>
        </w:tc>
        <w:tc>
          <w:tcPr>
            <w:tcW w:w="5936" w:type="dxa"/>
            <w:gridSpan w:val="2"/>
            <w:vAlign w:val="center"/>
          </w:tcPr>
          <w:p w14:paraId="30AB79D6">
            <w:pPr>
              <w:spacing w:line="420" w:lineRule="exact"/>
              <w:rPr>
                <w:rFonts w:hint="eastAsia" w:ascii="宋体" w:hAnsi="宋体" w:eastAsia="宋体" w:cs="宋体"/>
                <w:b w:val="0"/>
                <w:i w:val="0"/>
                <w:color w:val="auto"/>
                <w:szCs w:val="21"/>
                <w:highlight w:val="none"/>
                <w:u w:val="none" w:color="auto"/>
              </w:rPr>
            </w:pPr>
            <w:r>
              <w:rPr>
                <w:rFonts w:hint="eastAsia" w:ascii="宋体" w:hAnsi="宋体" w:eastAsia="宋体" w:cs="宋体"/>
                <w:b w:val="0"/>
                <w:i w:val="0"/>
                <w:color w:val="auto"/>
                <w:szCs w:val="21"/>
                <w:highlight w:val="none"/>
                <w:u w:val="none" w:color="auto"/>
              </w:rPr>
              <w:t>投标函附录中的相关承诺符合或优于第四章“合同条款及格式”的相关规定</w:t>
            </w:r>
          </w:p>
        </w:tc>
      </w:tr>
      <w:tr w14:paraId="5E2C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42B28DB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1059" w:type="dxa"/>
            <w:vMerge w:val="continue"/>
            <w:vAlign w:val="center"/>
          </w:tcPr>
          <w:p w14:paraId="30EBFD1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2340" w:type="dxa"/>
            <w:gridSpan w:val="2"/>
            <w:vAlign w:val="center"/>
          </w:tcPr>
          <w:p w14:paraId="30ECD974">
            <w:pPr>
              <w:spacing w:line="420" w:lineRule="exact"/>
              <w:jc w:val="center"/>
              <w:rPr>
                <w:rFonts w:hint="eastAsia" w:ascii="宋体" w:hAnsi="宋体" w:eastAsia="宋体" w:cs="宋体"/>
                <w:b w:val="0"/>
                <w:i w:val="0"/>
                <w:color w:val="auto"/>
                <w:szCs w:val="21"/>
                <w:highlight w:val="none"/>
                <w:u w:val="none" w:color="auto"/>
              </w:rPr>
            </w:pPr>
            <w:r>
              <w:rPr>
                <w:rFonts w:hint="eastAsia" w:ascii="宋体" w:hAnsi="宋体" w:eastAsia="宋体" w:cs="宋体"/>
                <w:b w:val="0"/>
                <w:i w:val="0"/>
                <w:color w:val="auto"/>
                <w:szCs w:val="21"/>
                <w:highlight w:val="none"/>
                <w:u w:val="none" w:color="auto"/>
              </w:rPr>
              <w:t>承包人建议</w:t>
            </w:r>
          </w:p>
        </w:tc>
        <w:tc>
          <w:tcPr>
            <w:tcW w:w="5936" w:type="dxa"/>
            <w:gridSpan w:val="2"/>
            <w:vAlign w:val="center"/>
          </w:tcPr>
          <w:p w14:paraId="603E5A04">
            <w:pPr>
              <w:spacing w:line="420" w:lineRule="exact"/>
              <w:rPr>
                <w:rFonts w:hint="eastAsia" w:ascii="宋体" w:hAnsi="宋体" w:eastAsia="宋体" w:cs="宋体"/>
                <w:b w:val="0"/>
                <w:i w:val="0"/>
                <w:color w:val="auto"/>
                <w:szCs w:val="21"/>
                <w:highlight w:val="none"/>
                <w:u w:val="none" w:color="auto"/>
              </w:rPr>
            </w:pPr>
            <w:r>
              <w:rPr>
                <w:rFonts w:hint="eastAsia" w:ascii="宋体" w:hAnsi="宋体" w:eastAsia="宋体" w:cs="宋体"/>
                <w:b w:val="0"/>
                <w:i w:val="0"/>
                <w:color w:val="auto"/>
                <w:szCs w:val="21"/>
                <w:highlight w:val="none"/>
                <w:u w:val="none" w:color="auto"/>
              </w:rPr>
              <w:t>符合第五章“发包人要求”的规定</w:t>
            </w:r>
          </w:p>
        </w:tc>
      </w:tr>
      <w:tr w14:paraId="5497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42D9869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1059" w:type="dxa"/>
            <w:vMerge w:val="continue"/>
            <w:vAlign w:val="center"/>
          </w:tcPr>
          <w:p w14:paraId="5E7509D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2340" w:type="dxa"/>
            <w:gridSpan w:val="2"/>
            <w:vAlign w:val="center"/>
          </w:tcPr>
          <w:p w14:paraId="0624233E">
            <w:pPr>
              <w:spacing w:line="420" w:lineRule="exact"/>
              <w:jc w:val="center"/>
              <w:rPr>
                <w:rFonts w:hint="eastAsia" w:ascii="宋体" w:hAnsi="宋体" w:eastAsia="宋体" w:cs="宋体"/>
                <w:b w:val="0"/>
                <w:i w:val="0"/>
                <w:color w:val="auto"/>
                <w:szCs w:val="21"/>
                <w:highlight w:val="none"/>
                <w:u w:val="none" w:color="auto"/>
              </w:rPr>
            </w:pPr>
            <w:r>
              <w:rPr>
                <w:rFonts w:hint="eastAsia" w:ascii="宋体" w:hAnsi="宋体" w:eastAsia="宋体" w:cs="宋体"/>
                <w:b w:val="0"/>
                <w:i w:val="0"/>
                <w:color w:val="auto"/>
                <w:szCs w:val="21"/>
                <w:highlight w:val="none"/>
                <w:u w:val="none" w:color="auto"/>
              </w:rPr>
              <w:t>算术错误修正</w:t>
            </w:r>
          </w:p>
        </w:tc>
        <w:tc>
          <w:tcPr>
            <w:tcW w:w="5936" w:type="dxa"/>
            <w:gridSpan w:val="2"/>
            <w:vAlign w:val="center"/>
          </w:tcPr>
          <w:p w14:paraId="45E53E1E">
            <w:pPr>
              <w:spacing w:line="420" w:lineRule="exact"/>
              <w:rPr>
                <w:rFonts w:hint="eastAsia" w:ascii="宋体" w:hAnsi="宋体" w:eastAsia="宋体" w:cs="宋体"/>
                <w:b w:val="0"/>
                <w:i w:val="0"/>
                <w:color w:val="auto"/>
                <w:szCs w:val="21"/>
                <w:highlight w:val="none"/>
                <w:u w:val="none" w:color="auto"/>
              </w:rPr>
            </w:pPr>
            <w:r>
              <w:rPr>
                <w:rFonts w:hint="eastAsia" w:ascii="宋体" w:hAnsi="宋体" w:eastAsia="宋体" w:cs="宋体"/>
                <w:b w:val="0"/>
                <w:i w:val="0"/>
                <w:color w:val="auto"/>
                <w:szCs w:val="21"/>
                <w:highlight w:val="none"/>
                <w:u w:val="none" w:color="auto"/>
              </w:rPr>
              <w:t>投标人接受算术错误修正后的报价</w:t>
            </w:r>
          </w:p>
        </w:tc>
      </w:tr>
      <w:tr w14:paraId="165EA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25A1729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1059" w:type="dxa"/>
            <w:vMerge w:val="continue"/>
            <w:vAlign w:val="center"/>
          </w:tcPr>
          <w:p w14:paraId="5334F26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2340" w:type="dxa"/>
            <w:gridSpan w:val="2"/>
            <w:vAlign w:val="center"/>
          </w:tcPr>
          <w:p w14:paraId="0EB2F667">
            <w:pPr>
              <w:spacing w:line="420" w:lineRule="exact"/>
              <w:jc w:val="center"/>
              <w:rPr>
                <w:rFonts w:hint="eastAsia" w:ascii="宋体" w:hAnsi="宋体" w:eastAsia="宋体" w:cs="宋体"/>
                <w:b w:val="0"/>
                <w:i w:val="0"/>
                <w:color w:val="auto"/>
                <w:szCs w:val="21"/>
                <w:highlight w:val="none"/>
                <w:u w:val="none" w:color="auto"/>
              </w:rPr>
            </w:pPr>
            <w:r>
              <w:rPr>
                <w:rFonts w:hint="eastAsia" w:ascii="宋体" w:hAnsi="宋体" w:eastAsia="宋体" w:cs="宋体"/>
                <w:b w:val="0"/>
                <w:i w:val="0"/>
                <w:color w:val="auto"/>
                <w:szCs w:val="21"/>
                <w:highlight w:val="none"/>
                <w:u w:val="none" w:color="auto"/>
              </w:rPr>
              <w:t>权利义务</w:t>
            </w:r>
          </w:p>
        </w:tc>
        <w:tc>
          <w:tcPr>
            <w:tcW w:w="5936" w:type="dxa"/>
            <w:gridSpan w:val="2"/>
            <w:vAlign w:val="center"/>
          </w:tcPr>
          <w:p w14:paraId="455400D9">
            <w:pPr>
              <w:spacing w:line="420" w:lineRule="exact"/>
              <w:rPr>
                <w:rFonts w:hint="eastAsia" w:ascii="宋体" w:hAnsi="宋体" w:eastAsia="宋体" w:cs="宋体"/>
                <w:b w:val="0"/>
                <w:i w:val="0"/>
                <w:color w:val="auto"/>
                <w:szCs w:val="21"/>
                <w:highlight w:val="none"/>
                <w:u w:val="none" w:color="auto"/>
              </w:rPr>
            </w:pPr>
            <w:r>
              <w:rPr>
                <w:rFonts w:hint="eastAsia" w:ascii="宋体" w:hAnsi="宋体" w:eastAsia="宋体" w:cs="宋体"/>
                <w:b w:val="0"/>
                <w:i w:val="0"/>
                <w:color w:val="auto"/>
                <w:szCs w:val="21"/>
                <w:highlight w:val="none"/>
                <w:u w:val="none" w:color="auto"/>
              </w:rPr>
              <w:t>投标函附录中的相关承诺符合或优于第四章“合同条款及格式”的相关规定</w:t>
            </w:r>
          </w:p>
        </w:tc>
      </w:tr>
      <w:tr w14:paraId="7FE4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1875AD9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1059" w:type="dxa"/>
            <w:vMerge w:val="continue"/>
            <w:vAlign w:val="center"/>
          </w:tcPr>
          <w:p w14:paraId="3D44026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2340" w:type="dxa"/>
            <w:gridSpan w:val="2"/>
            <w:shd w:val="clear" w:color="auto" w:fill="auto"/>
            <w:vAlign w:val="center"/>
          </w:tcPr>
          <w:p w14:paraId="3411855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kern w:val="2"/>
                <w:sz w:val="21"/>
                <w:szCs w:val="21"/>
                <w:highlight w:val="none"/>
                <w:u w:val="none" w:color="auto"/>
                <w:lang w:val="en-US" w:eastAsia="zh-CN" w:bidi="ar-SA"/>
              </w:rPr>
            </w:pPr>
            <w:r>
              <w:rPr>
                <w:rFonts w:hint="eastAsia" w:ascii="宋体" w:hAnsi="宋体" w:eastAsia="宋体" w:cs="宋体"/>
                <w:b w:val="0"/>
                <w:i w:val="0"/>
                <w:color w:val="auto"/>
                <w:szCs w:val="21"/>
                <w:highlight w:val="none"/>
                <w:u w:val="none" w:color="auto"/>
              </w:rPr>
              <w:t>投标价格</w:t>
            </w:r>
          </w:p>
        </w:tc>
        <w:tc>
          <w:tcPr>
            <w:tcW w:w="5936" w:type="dxa"/>
            <w:gridSpan w:val="2"/>
            <w:shd w:val="clear" w:color="auto" w:fill="auto"/>
            <w:vAlign w:val="center"/>
          </w:tcPr>
          <w:p w14:paraId="3EAE300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val="0"/>
                <w:i w:val="0"/>
                <w:color w:val="auto"/>
                <w:kern w:val="2"/>
                <w:sz w:val="21"/>
                <w:szCs w:val="21"/>
                <w:highlight w:val="none"/>
                <w:u w:val="none" w:color="auto"/>
                <w:lang w:val="en-US" w:eastAsia="zh-CN" w:bidi="ar-SA"/>
              </w:rPr>
            </w:pPr>
            <w:r>
              <w:rPr>
                <w:rFonts w:hint="eastAsia" w:ascii="宋体" w:hAnsi="宋体" w:eastAsia="宋体" w:cs="宋体"/>
                <w:b w:val="0"/>
                <w:i w:val="0"/>
                <w:color w:val="auto"/>
                <w:szCs w:val="21"/>
                <w:highlight w:val="none"/>
                <w:u w:val="none" w:color="auto"/>
              </w:rPr>
              <w:t>投标报价（含修正后）不大于本标段最高投标限价</w:t>
            </w:r>
          </w:p>
        </w:tc>
      </w:tr>
      <w:tr w14:paraId="7ADE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5A16BE2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14:paraId="4FC496D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7441218E">
            <w:pPr>
              <w:spacing w:line="420" w:lineRule="exact"/>
              <w:jc w:val="center"/>
              <w:rPr>
                <w:rFonts w:hint="default" w:ascii="宋体" w:hAnsi="宋体" w:eastAsia="宋体"/>
                <w:color w:val="auto"/>
                <w:szCs w:val="21"/>
                <w:highlight w:val="none"/>
                <w:lang w:val="en-US" w:eastAsia="zh-CN"/>
              </w:rPr>
            </w:pPr>
            <w:r>
              <w:rPr>
                <w:rFonts w:hint="eastAsia" w:ascii="宋体" w:hAnsi="宋体" w:eastAsia="宋体" w:cs="宋体"/>
                <w:b w:val="0"/>
                <w:i w:val="0"/>
                <w:color w:val="auto"/>
                <w:szCs w:val="21"/>
                <w:highlight w:val="none"/>
                <w:u w:val="none" w:color="auto"/>
              </w:rPr>
              <w:t>价格清单</w:t>
            </w:r>
          </w:p>
        </w:tc>
        <w:tc>
          <w:tcPr>
            <w:tcW w:w="5936" w:type="dxa"/>
            <w:gridSpan w:val="2"/>
            <w:vAlign w:val="center"/>
          </w:tcPr>
          <w:p w14:paraId="31F4B24A">
            <w:pPr>
              <w:spacing w:line="420" w:lineRule="exact"/>
              <w:rPr>
                <w:rFonts w:hint="default" w:ascii="宋体" w:hAnsi="宋体" w:eastAsia="宋体"/>
                <w:color w:val="auto"/>
                <w:szCs w:val="21"/>
                <w:highlight w:val="none"/>
                <w:lang w:val="en-US" w:eastAsia="zh-CN"/>
              </w:rPr>
            </w:pPr>
            <w:r>
              <w:rPr>
                <w:rFonts w:hint="eastAsia" w:ascii="宋体" w:hAnsi="宋体" w:eastAsia="宋体" w:cs="宋体"/>
                <w:b w:val="0"/>
                <w:i w:val="0"/>
                <w:color w:val="auto"/>
                <w:szCs w:val="21"/>
                <w:highlight w:val="none"/>
                <w:u w:val="none" w:color="auto"/>
              </w:rPr>
              <w:t>已标价价格清单符合第七章“投标文件格式”“五、价格清单”的有关要求</w:t>
            </w:r>
          </w:p>
        </w:tc>
      </w:tr>
      <w:tr w14:paraId="0D57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14:paraId="2961443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highlight w:val="none"/>
              </w:rPr>
            </w:pPr>
            <w:r>
              <w:rPr>
                <w:rFonts w:hint="eastAsia"/>
                <w:color w:val="auto"/>
                <w:szCs w:val="21"/>
                <w:highlight w:val="none"/>
              </w:rPr>
              <w:t>3.</w:t>
            </w:r>
            <w:r>
              <w:rPr>
                <w:color w:val="auto"/>
                <w:szCs w:val="21"/>
                <w:highlight w:val="none"/>
              </w:rPr>
              <w:t>1</w:t>
            </w:r>
            <w:r>
              <w:rPr>
                <w:rFonts w:hint="eastAsia"/>
                <w:color w:val="auto"/>
                <w:szCs w:val="21"/>
                <w:highlight w:val="none"/>
              </w:rPr>
              <w:t>.2</w:t>
            </w:r>
          </w:p>
        </w:tc>
        <w:tc>
          <w:tcPr>
            <w:tcW w:w="8276" w:type="dxa"/>
            <w:gridSpan w:val="4"/>
            <w:vAlign w:val="center"/>
          </w:tcPr>
          <w:p w14:paraId="028FF74E">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color w:val="auto"/>
                <w:szCs w:val="21"/>
                <w:highlight w:val="none"/>
              </w:rPr>
              <w:t>投标人不得存在的其他情形：</w:t>
            </w:r>
          </w:p>
          <w:p w14:paraId="0373FB7A">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color w:val="auto"/>
                <w:szCs w:val="21"/>
                <w:highlight w:val="none"/>
              </w:rPr>
              <w:t>（1）不按评标委员会要求澄清、说明或补正；</w:t>
            </w:r>
          </w:p>
          <w:p w14:paraId="36673E3E">
            <w:pPr>
              <w:keepNext w:val="0"/>
              <w:keepLines w:val="0"/>
              <w:pageBreakBefore w:val="0"/>
              <w:widowControl w:val="0"/>
              <w:kinsoku/>
              <w:wordWrap/>
              <w:overflowPunct/>
              <w:topLinePunct w:val="0"/>
              <w:autoSpaceDE/>
              <w:autoSpaceDN/>
              <w:bidi w:val="0"/>
              <w:adjustRightInd/>
              <w:snapToGrid/>
              <w:spacing w:line="320" w:lineRule="exact"/>
              <w:textAlignment w:val="auto"/>
              <w:rPr>
                <w:color w:val="auto"/>
                <w:highlight w:val="none"/>
              </w:rPr>
            </w:pPr>
            <w:r>
              <w:rPr>
                <w:rFonts w:hint="eastAsia" w:ascii="宋体" w:hAnsi="宋体"/>
                <w:color w:val="auto"/>
                <w:szCs w:val="21"/>
                <w:highlight w:val="none"/>
              </w:rPr>
              <w:t>（2）有串通投标、弄虚作假、行贿或有其他违法行为。</w:t>
            </w:r>
          </w:p>
        </w:tc>
      </w:tr>
      <w:tr w14:paraId="57EB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14:paraId="7D02796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color w:val="auto"/>
                <w:szCs w:val="21"/>
                <w:highlight w:val="none"/>
              </w:rPr>
              <w:t>3</w:t>
            </w:r>
            <w:r>
              <w:rPr>
                <w:color w:val="auto"/>
                <w:szCs w:val="21"/>
                <w:highlight w:val="none"/>
              </w:rPr>
              <w:t>.1.4</w:t>
            </w:r>
          </w:p>
        </w:tc>
        <w:tc>
          <w:tcPr>
            <w:tcW w:w="8276" w:type="dxa"/>
            <w:gridSpan w:val="4"/>
            <w:vAlign w:val="center"/>
          </w:tcPr>
          <w:p w14:paraId="32E1E5B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cs="宋体"/>
                <w:color w:val="auto"/>
                <w:szCs w:val="21"/>
                <w:highlight w:val="none"/>
              </w:rPr>
            </w:pPr>
            <w:r>
              <w:rPr>
                <w:rFonts w:hint="eastAsia" w:ascii="宋体" w:hAnsi="宋体" w:cs="宋体"/>
                <w:color w:val="auto"/>
                <w:szCs w:val="21"/>
                <w:highlight w:val="none"/>
              </w:rPr>
              <w:t>低于成本评审：</w:t>
            </w:r>
          </w:p>
          <w:p w14:paraId="23657321">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ascii="宋体" w:hAnsi="宋体"/>
                <w:color w:val="auto"/>
                <w:szCs w:val="21"/>
                <w:highlight w:val="none"/>
              </w:rPr>
            </w:pPr>
            <w:r>
              <w:rPr>
                <w:rFonts w:hint="eastAsia"/>
                <w:color w:val="auto"/>
                <w:highlight w:val="none"/>
              </w:rPr>
              <w:t>评标委员会发现投标人的报价明显低于其他投标报价，或者在设有最高投标限价时明显低于最高投标限价，使得其投标报价可能低于其个别成本的，应当要求该投标人作出书面说明并提供相应的证明材料。投标人不能合理说明或者不能提供相应证明材料的，由评标委员会认定该投标人以低于成本报价竞标，否决其投标。</w:t>
            </w:r>
          </w:p>
        </w:tc>
      </w:tr>
      <w:tr w14:paraId="64EF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14:paraId="2C86648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color w:val="auto"/>
                <w:szCs w:val="21"/>
                <w:highlight w:val="none"/>
              </w:rPr>
              <w:t>3</w:t>
            </w:r>
            <w:r>
              <w:rPr>
                <w:color w:val="auto"/>
                <w:szCs w:val="21"/>
                <w:highlight w:val="none"/>
              </w:rPr>
              <w:t>.2.1</w:t>
            </w:r>
          </w:p>
        </w:tc>
        <w:tc>
          <w:tcPr>
            <w:tcW w:w="8276" w:type="dxa"/>
            <w:gridSpan w:val="4"/>
            <w:vAlign w:val="center"/>
          </w:tcPr>
          <w:p w14:paraId="6402F5F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宋体" w:hAnsi="宋体"/>
                <w:color w:val="auto"/>
                <w:szCs w:val="21"/>
                <w:highlight w:val="none"/>
              </w:rPr>
            </w:pPr>
            <w:r>
              <w:rPr>
                <w:rFonts w:hint="eastAsia" w:ascii="宋体" w:hAnsi="宋体"/>
                <w:color w:val="auto"/>
                <w:szCs w:val="21"/>
                <w:highlight w:val="none"/>
              </w:rPr>
              <w:t>（1）是否采用入围：否</w:t>
            </w:r>
          </w:p>
        </w:tc>
      </w:tr>
      <w:tr w14:paraId="5201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00" w:type="dxa"/>
            <w:gridSpan w:val="2"/>
            <w:vAlign w:val="center"/>
          </w:tcPr>
          <w:p w14:paraId="22FE8B3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auto"/>
                <w:szCs w:val="21"/>
                <w:highlight w:val="none"/>
              </w:rPr>
            </w:pPr>
            <w:r>
              <w:rPr>
                <w:rFonts w:hint="eastAsia"/>
                <w:color w:val="auto"/>
                <w:szCs w:val="21"/>
                <w:highlight w:val="none"/>
                <w:lang w:val="en-US" w:eastAsia="zh-CN"/>
              </w:rPr>
              <w:t>3.3</w:t>
            </w:r>
          </w:p>
        </w:tc>
        <w:tc>
          <w:tcPr>
            <w:tcW w:w="8276" w:type="dxa"/>
            <w:gridSpan w:val="4"/>
            <w:vAlign w:val="center"/>
          </w:tcPr>
          <w:p w14:paraId="4C541BEA">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ascii="宋体" w:hAnsi="宋体" w:cs="微软雅黑"/>
                <w:color w:val="auto"/>
                <w:szCs w:val="21"/>
                <w:highlight w:val="none"/>
              </w:rPr>
            </w:pPr>
            <w:r>
              <w:rPr>
                <w:rFonts w:hint="eastAsia" w:ascii="宋体" w:hAnsi="宋体" w:cs="微软雅黑"/>
                <w:color w:val="auto"/>
                <w:szCs w:val="21"/>
                <w:highlight w:val="none"/>
              </w:rPr>
              <w:t>评标委员会在评标过程中，如要求投标人澄清或说明的，评标委员会要求投标人在线澄清或说明的时间距投标人收到评标委员会通知的时间不得少于</w:t>
            </w:r>
            <w:r>
              <w:rPr>
                <w:rFonts w:hint="eastAsia" w:ascii="宋体" w:hAnsi="宋体"/>
                <w:color w:val="auto"/>
                <w:szCs w:val="21"/>
                <w:highlight w:val="none"/>
                <w:u w:val="single"/>
              </w:rPr>
              <w:t>30</w:t>
            </w:r>
            <w:r>
              <w:rPr>
                <w:rFonts w:hint="eastAsia" w:ascii="宋体" w:hAnsi="宋体" w:cs="微软雅黑"/>
                <w:color w:val="auto"/>
                <w:szCs w:val="21"/>
                <w:highlight w:val="none"/>
              </w:rPr>
              <w:t>分钟。</w:t>
            </w:r>
          </w:p>
          <w:p w14:paraId="239B3CC4">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ascii="宋体" w:hAnsi="宋体" w:cs="微软雅黑"/>
                <w:color w:val="auto"/>
                <w:szCs w:val="21"/>
                <w:highlight w:val="none"/>
              </w:rPr>
            </w:pPr>
            <w:r>
              <w:rPr>
                <w:rFonts w:hint="eastAsia" w:ascii="宋体" w:hAnsi="宋体" w:cs="微软雅黑"/>
                <w:color w:val="auto"/>
                <w:szCs w:val="21"/>
                <w:highlight w:val="none"/>
              </w:rPr>
              <w:t>评标委员会认为投标人的澄清或说明不够明确，应再次要求投标人对不明确的内容进行澄清或说明，评标委员会要求投标人再次在线澄清或说明的时间距投标人收到评标委员会通知的时间不得少于</w:t>
            </w:r>
            <w:r>
              <w:rPr>
                <w:rFonts w:hint="eastAsia" w:ascii="宋体" w:hAnsi="宋体"/>
                <w:color w:val="auto"/>
                <w:szCs w:val="21"/>
                <w:highlight w:val="none"/>
                <w:u w:val="single"/>
              </w:rPr>
              <w:t>30</w:t>
            </w:r>
            <w:r>
              <w:rPr>
                <w:rFonts w:hint="eastAsia" w:ascii="宋体" w:hAnsi="宋体" w:cs="微软雅黑"/>
                <w:color w:val="auto"/>
                <w:szCs w:val="21"/>
                <w:highlight w:val="none"/>
              </w:rPr>
              <w:t>分钟。</w:t>
            </w:r>
          </w:p>
          <w:p w14:paraId="28262407">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ascii="宋体" w:hAnsi="宋体"/>
                <w:color w:val="auto"/>
                <w:szCs w:val="21"/>
                <w:highlight w:val="none"/>
              </w:rPr>
            </w:pPr>
            <w:r>
              <w:rPr>
                <w:rFonts w:hint="eastAsia" w:ascii="宋体" w:hAnsi="宋体" w:cs="微软雅黑"/>
                <w:color w:val="auto"/>
                <w:szCs w:val="21"/>
                <w:highlight w:val="none"/>
              </w:rPr>
              <w:t>投标人未在规定时间内作出澄清或说明的，或者评标委员会成员认为该投标人的澄清或说明始终都不符合评标委员会要求的，作否决投标处理。</w:t>
            </w:r>
          </w:p>
        </w:tc>
      </w:tr>
      <w:tr w14:paraId="6BEE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800" w:type="dxa"/>
            <w:gridSpan w:val="2"/>
            <w:vAlign w:val="center"/>
          </w:tcPr>
          <w:p w14:paraId="69183BA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b/>
                <w:color w:val="auto"/>
                <w:szCs w:val="21"/>
                <w:highlight w:val="none"/>
              </w:rPr>
            </w:pPr>
            <w:r>
              <w:rPr>
                <w:rFonts w:hint="eastAsia" w:ascii="宋体" w:hAnsi="宋体"/>
                <w:b/>
                <w:color w:val="auto"/>
                <w:szCs w:val="21"/>
                <w:highlight w:val="none"/>
              </w:rPr>
              <w:t>条款号</w:t>
            </w:r>
          </w:p>
        </w:tc>
        <w:tc>
          <w:tcPr>
            <w:tcW w:w="2196" w:type="dxa"/>
            <w:vAlign w:val="center"/>
          </w:tcPr>
          <w:p w14:paraId="5726F6F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b/>
                <w:color w:val="auto"/>
                <w:szCs w:val="21"/>
                <w:highlight w:val="none"/>
              </w:rPr>
            </w:pPr>
            <w:r>
              <w:rPr>
                <w:rFonts w:hint="eastAsia" w:ascii="宋体" w:hAnsi="宋体"/>
                <w:b/>
                <w:color w:val="auto"/>
                <w:szCs w:val="21"/>
                <w:highlight w:val="none"/>
              </w:rPr>
              <w:t>条款内容</w:t>
            </w:r>
          </w:p>
        </w:tc>
        <w:tc>
          <w:tcPr>
            <w:tcW w:w="6080" w:type="dxa"/>
            <w:gridSpan w:val="3"/>
            <w:vAlign w:val="center"/>
          </w:tcPr>
          <w:p w14:paraId="33CA5DB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b/>
                <w:color w:val="auto"/>
                <w:szCs w:val="21"/>
                <w:highlight w:val="none"/>
              </w:rPr>
            </w:pPr>
            <w:r>
              <w:rPr>
                <w:rFonts w:hint="eastAsia" w:ascii="宋体" w:hAnsi="宋体"/>
                <w:b/>
                <w:color w:val="auto"/>
                <w:szCs w:val="21"/>
                <w:highlight w:val="none"/>
              </w:rPr>
              <w:t>编列内容</w:t>
            </w:r>
          </w:p>
        </w:tc>
      </w:tr>
      <w:tr w14:paraId="609B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800" w:type="dxa"/>
            <w:gridSpan w:val="2"/>
            <w:vAlign w:val="center"/>
          </w:tcPr>
          <w:p w14:paraId="68D7020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color w:val="auto"/>
                <w:szCs w:val="21"/>
                <w:highlight w:val="none"/>
              </w:rPr>
              <w:t>2.2.1</w:t>
            </w:r>
          </w:p>
        </w:tc>
        <w:tc>
          <w:tcPr>
            <w:tcW w:w="2196" w:type="dxa"/>
            <w:vAlign w:val="center"/>
          </w:tcPr>
          <w:p w14:paraId="49C9B07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color w:val="auto"/>
                <w:szCs w:val="21"/>
                <w:highlight w:val="none"/>
              </w:rPr>
              <w:t>分值构成</w:t>
            </w:r>
          </w:p>
          <w:p w14:paraId="6B8C915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color w:val="auto"/>
                <w:szCs w:val="21"/>
                <w:highlight w:val="none"/>
              </w:rPr>
              <w:t>（总分</w:t>
            </w:r>
            <w:r>
              <w:rPr>
                <w:rFonts w:ascii="宋体" w:hAnsi="宋体"/>
                <w:color w:val="auto"/>
                <w:szCs w:val="21"/>
                <w:highlight w:val="none"/>
              </w:rPr>
              <w:t>100</w:t>
            </w:r>
            <w:r>
              <w:rPr>
                <w:rFonts w:hint="eastAsia" w:ascii="宋体" w:hAnsi="宋体"/>
                <w:color w:val="auto"/>
                <w:szCs w:val="21"/>
                <w:highlight w:val="none"/>
              </w:rPr>
              <w:t>分）</w:t>
            </w:r>
          </w:p>
        </w:tc>
        <w:tc>
          <w:tcPr>
            <w:tcW w:w="6080" w:type="dxa"/>
            <w:gridSpan w:val="3"/>
            <w:vAlign w:val="center"/>
          </w:tcPr>
          <w:p w14:paraId="3EB7971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color w:val="auto"/>
                <w:szCs w:val="21"/>
                <w:highlight w:val="none"/>
              </w:rPr>
            </w:pPr>
            <w:r>
              <w:rPr>
                <w:rFonts w:hint="eastAsia" w:ascii="宋体" w:hAnsi="宋体"/>
                <w:color w:val="auto"/>
                <w:szCs w:val="21"/>
                <w:highlight w:val="none"/>
              </w:rPr>
              <w:t>经济标：</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30</w:t>
            </w:r>
            <w:r>
              <w:rPr>
                <w:rFonts w:hint="eastAsia" w:ascii="宋体" w:hAnsi="宋体"/>
                <w:color w:val="auto"/>
                <w:szCs w:val="21"/>
                <w:highlight w:val="none"/>
                <w:u w:val="single"/>
              </w:rPr>
              <w:t xml:space="preserve"> </w:t>
            </w:r>
            <w:r>
              <w:rPr>
                <w:rFonts w:hint="eastAsia" w:ascii="宋体" w:hAnsi="宋体"/>
                <w:color w:val="auto"/>
                <w:szCs w:val="21"/>
                <w:highlight w:val="none"/>
              </w:rPr>
              <w:t>分；</w:t>
            </w:r>
          </w:p>
          <w:p w14:paraId="7D74586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color w:val="auto"/>
                <w:szCs w:val="21"/>
                <w:highlight w:val="none"/>
              </w:rPr>
            </w:pPr>
            <w:r>
              <w:rPr>
                <w:rFonts w:hint="eastAsia" w:ascii="宋体" w:hAnsi="宋体"/>
                <w:color w:val="auto"/>
                <w:szCs w:val="21"/>
                <w:highlight w:val="none"/>
                <w:lang w:val="en-US" w:eastAsia="zh-CN"/>
              </w:rPr>
              <w:t>承包人建议书</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45</w:t>
            </w:r>
            <w:r>
              <w:rPr>
                <w:rFonts w:hint="eastAsia" w:ascii="宋体" w:hAnsi="宋体"/>
                <w:color w:val="auto"/>
                <w:szCs w:val="21"/>
                <w:highlight w:val="none"/>
                <w:u w:val="single"/>
              </w:rPr>
              <w:t xml:space="preserve"> </w:t>
            </w:r>
            <w:r>
              <w:rPr>
                <w:rFonts w:hint="eastAsia" w:ascii="宋体" w:hAnsi="宋体"/>
                <w:color w:val="auto"/>
                <w:szCs w:val="21"/>
                <w:highlight w:val="none"/>
              </w:rPr>
              <w:t>分；</w:t>
            </w:r>
          </w:p>
          <w:p w14:paraId="3322E42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宋体" w:hAnsi="宋体"/>
                <w:color w:val="auto"/>
                <w:szCs w:val="21"/>
                <w:highlight w:val="none"/>
              </w:rPr>
            </w:pPr>
            <w:r>
              <w:rPr>
                <w:rFonts w:hint="eastAsia" w:ascii="宋体" w:hAnsi="宋体"/>
                <w:color w:val="auto"/>
                <w:szCs w:val="21"/>
                <w:highlight w:val="none"/>
                <w:lang w:val="en-US" w:eastAsia="zh-CN"/>
              </w:rPr>
              <w:t>承包人实施方案（</w:t>
            </w:r>
            <w:r>
              <w:rPr>
                <w:rFonts w:hint="eastAsia" w:ascii="宋体" w:hAnsi="宋体"/>
                <w:color w:val="auto"/>
                <w:szCs w:val="21"/>
                <w:highlight w:val="none"/>
              </w:rPr>
              <w:t>技术标</w:t>
            </w:r>
            <w:r>
              <w:rPr>
                <w:rFonts w:hint="eastAsia" w:ascii="宋体" w:hAnsi="宋体"/>
                <w:color w:val="auto"/>
                <w:szCs w:val="21"/>
                <w:highlight w:val="none"/>
                <w:lang w:eastAsia="zh-CN"/>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16</w:t>
            </w:r>
            <w:r>
              <w:rPr>
                <w:rFonts w:hint="eastAsia" w:ascii="宋体" w:hAnsi="宋体"/>
                <w:color w:val="auto"/>
                <w:szCs w:val="21"/>
                <w:highlight w:val="none"/>
                <w:u w:val="single"/>
              </w:rPr>
              <w:t xml:space="preserve"> </w:t>
            </w:r>
            <w:r>
              <w:rPr>
                <w:rFonts w:hint="eastAsia" w:ascii="宋体" w:hAnsi="宋体"/>
                <w:color w:val="auto"/>
                <w:szCs w:val="21"/>
                <w:highlight w:val="none"/>
              </w:rPr>
              <w:t>分；</w:t>
            </w:r>
          </w:p>
          <w:p w14:paraId="1812CEC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color w:val="auto"/>
                <w:szCs w:val="21"/>
                <w:highlight w:val="none"/>
              </w:rPr>
            </w:pPr>
            <w:r>
              <w:rPr>
                <w:rFonts w:hint="eastAsia" w:ascii="宋体" w:hAnsi="宋体"/>
                <w:color w:val="auto"/>
                <w:szCs w:val="21"/>
                <w:highlight w:val="none"/>
                <w:lang w:val="en-US" w:eastAsia="zh-CN"/>
              </w:rPr>
              <w:t>资信标</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9</w:t>
            </w:r>
            <w:r>
              <w:rPr>
                <w:rFonts w:hint="eastAsia" w:ascii="宋体" w:hAnsi="宋体"/>
                <w:color w:val="auto"/>
                <w:szCs w:val="21"/>
                <w:highlight w:val="none"/>
                <w:u w:val="single"/>
              </w:rPr>
              <w:t xml:space="preserve"> </w:t>
            </w:r>
            <w:r>
              <w:rPr>
                <w:rFonts w:hint="eastAsia" w:ascii="宋体" w:hAnsi="宋体"/>
                <w:color w:val="auto"/>
                <w:szCs w:val="21"/>
                <w:highlight w:val="none"/>
              </w:rPr>
              <w:t>分；</w:t>
            </w:r>
          </w:p>
          <w:p w14:paraId="57BB867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宋体" w:hAnsi="宋体"/>
                <w:color w:val="auto"/>
                <w:szCs w:val="21"/>
                <w:highlight w:val="none"/>
              </w:rPr>
            </w:pPr>
            <w:r>
              <w:rPr>
                <w:rFonts w:hint="eastAsia" w:ascii="宋体" w:hAnsi="宋体"/>
                <w:color w:val="auto"/>
                <w:szCs w:val="21"/>
                <w:highlight w:val="none"/>
              </w:rPr>
              <w:t>其他评分因素：</w:t>
            </w:r>
            <w:r>
              <w:rPr>
                <w:rFonts w:hint="eastAsia" w:ascii="宋体" w:hAnsi="宋体"/>
                <w:color w:val="auto"/>
                <w:szCs w:val="21"/>
                <w:highlight w:val="none"/>
                <w:u w:val="single"/>
              </w:rPr>
              <w:t xml:space="preserve"> 0 </w:t>
            </w:r>
            <w:r>
              <w:rPr>
                <w:rFonts w:hint="eastAsia" w:ascii="宋体" w:hAnsi="宋体"/>
                <w:color w:val="auto"/>
                <w:szCs w:val="21"/>
                <w:highlight w:val="none"/>
              </w:rPr>
              <w:t>分。</w:t>
            </w:r>
          </w:p>
        </w:tc>
      </w:tr>
      <w:tr w14:paraId="32CA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800" w:type="dxa"/>
            <w:gridSpan w:val="2"/>
            <w:vAlign w:val="center"/>
          </w:tcPr>
          <w:p w14:paraId="00FDC45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color w:val="auto"/>
                <w:szCs w:val="21"/>
                <w:highlight w:val="none"/>
              </w:rPr>
              <w:t>2.2.2</w:t>
            </w:r>
          </w:p>
          <w:p w14:paraId="5F619F7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color w:val="auto"/>
                <w:szCs w:val="21"/>
                <w:highlight w:val="none"/>
              </w:rPr>
              <w:t>（1）</w:t>
            </w:r>
          </w:p>
        </w:tc>
        <w:tc>
          <w:tcPr>
            <w:tcW w:w="2196" w:type="dxa"/>
            <w:vAlign w:val="center"/>
          </w:tcPr>
          <w:p w14:paraId="0A1B90E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color w:val="auto"/>
                <w:szCs w:val="21"/>
                <w:highlight w:val="none"/>
              </w:rPr>
              <w:t>评标价确定方法</w:t>
            </w:r>
          </w:p>
        </w:tc>
        <w:tc>
          <w:tcPr>
            <w:tcW w:w="6080" w:type="dxa"/>
            <w:gridSpan w:val="3"/>
            <w:vAlign w:val="center"/>
          </w:tcPr>
          <w:p w14:paraId="6A752FEC">
            <w:pPr>
              <w:keepNext w:val="0"/>
              <w:keepLines w:val="0"/>
              <w:pageBreakBefore w:val="0"/>
              <w:widowControl w:val="0"/>
              <w:kinsoku/>
              <w:wordWrap/>
              <w:overflowPunct/>
              <w:topLinePunct w:val="0"/>
              <w:autoSpaceDE/>
              <w:autoSpaceDN/>
              <w:bidi w:val="0"/>
              <w:adjustRightInd/>
              <w:snapToGrid/>
              <w:spacing w:line="320" w:lineRule="exact"/>
              <w:ind w:right="113"/>
              <w:jc w:val="both"/>
              <w:textAlignment w:val="auto"/>
              <w:rPr>
                <w:rFonts w:ascii="宋体" w:hAnsi="宋体"/>
                <w:color w:val="auto"/>
                <w:szCs w:val="21"/>
                <w:highlight w:val="none"/>
              </w:rPr>
            </w:pPr>
            <w:r>
              <w:rPr>
                <w:rFonts w:hint="eastAsia" w:ascii="宋体" w:hAnsi="宋体"/>
                <w:color w:val="auto"/>
                <w:szCs w:val="21"/>
                <w:highlight w:val="none"/>
              </w:rPr>
              <w:t>评标价＝投标函大写</w:t>
            </w:r>
            <w:r>
              <w:rPr>
                <w:rFonts w:hint="eastAsia"/>
                <w:color w:val="auto"/>
                <w:highlight w:val="none"/>
              </w:rPr>
              <w:t>投标报价（或经投标人书面确认的算术错误修正后的投标总报价）。</w:t>
            </w:r>
          </w:p>
        </w:tc>
      </w:tr>
      <w:tr w14:paraId="051A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800" w:type="dxa"/>
            <w:gridSpan w:val="2"/>
            <w:vAlign w:val="center"/>
          </w:tcPr>
          <w:p w14:paraId="3F0A793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color w:val="auto"/>
                <w:szCs w:val="21"/>
                <w:highlight w:val="none"/>
              </w:rPr>
              <w:t>2.2.2</w:t>
            </w:r>
          </w:p>
          <w:p w14:paraId="7DBF960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Cs w:val="21"/>
                <w:highlight w:val="none"/>
              </w:rPr>
            </w:pPr>
            <w:r>
              <w:rPr>
                <w:color w:val="auto"/>
                <w:szCs w:val="21"/>
                <w:highlight w:val="none"/>
              </w:rPr>
              <w:t>（2）</w:t>
            </w:r>
          </w:p>
        </w:tc>
        <w:tc>
          <w:tcPr>
            <w:tcW w:w="2196" w:type="dxa"/>
            <w:vAlign w:val="center"/>
          </w:tcPr>
          <w:p w14:paraId="4B92437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color w:val="auto"/>
                <w:szCs w:val="21"/>
                <w:highlight w:val="none"/>
              </w:rPr>
              <w:t>评标基准价计算</w:t>
            </w:r>
          </w:p>
          <w:p w14:paraId="1B2DDE0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color w:val="auto"/>
                <w:szCs w:val="21"/>
                <w:highlight w:val="none"/>
              </w:rPr>
              <w:t>方法</w:t>
            </w:r>
          </w:p>
        </w:tc>
        <w:tc>
          <w:tcPr>
            <w:tcW w:w="6080" w:type="dxa"/>
            <w:gridSpan w:val="3"/>
            <w:vAlign w:val="center"/>
          </w:tcPr>
          <w:p w14:paraId="54FB3BED">
            <w:pPr>
              <w:keepNext w:val="0"/>
              <w:keepLines w:val="0"/>
              <w:pageBreakBefore w:val="0"/>
              <w:widowControl w:val="0"/>
              <w:kinsoku/>
              <w:wordWrap/>
              <w:overflowPunct/>
              <w:topLinePunct w:val="0"/>
              <w:autoSpaceDE/>
              <w:autoSpaceDN/>
              <w:bidi w:val="0"/>
              <w:adjustRightInd/>
              <w:snapToGrid/>
              <w:spacing w:line="320" w:lineRule="exact"/>
              <w:ind w:right="113"/>
              <w:jc w:val="both"/>
              <w:textAlignment w:val="auto"/>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基准价计算方法（设计费）：</w:t>
            </w:r>
          </w:p>
          <w:p w14:paraId="34FB2709">
            <w:pPr>
              <w:keepNext w:val="0"/>
              <w:keepLines w:val="0"/>
              <w:pageBreakBefore w:val="0"/>
              <w:widowControl w:val="0"/>
              <w:kinsoku/>
              <w:wordWrap/>
              <w:overflowPunct/>
              <w:topLinePunct w:val="0"/>
              <w:autoSpaceDE/>
              <w:autoSpaceDN/>
              <w:bidi w:val="0"/>
              <w:adjustRightInd/>
              <w:snapToGrid/>
              <w:spacing w:line="320" w:lineRule="exact"/>
              <w:ind w:right="113"/>
              <w:jc w:val="both"/>
              <w:textAlignment w:val="auto"/>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（1）最高投标限价是否参与基准价计算：否</w:t>
            </w:r>
          </w:p>
          <w:p w14:paraId="4E6BDB9C">
            <w:pPr>
              <w:keepNext w:val="0"/>
              <w:keepLines w:val="0"/>
              <w:pageBreakBefore w:val="0"/>
              <w:widowControl w:val="0"/>
              <w:kinsoku/>
              <w:wordWrap/>
              <w:overflowPunct/>
              <w:topLinePunct w:val="0"/>
              <w:autoSpaceDE/>
              <w:autoSpaceDN/>
              <w:bidi w:val="0"/>
              <w:adjustRightInd/>
              <w:snapToGrid/>
              <w:spacing w:line="320" w:lineRule="exact"/>
              <w:ind w:right="113"/>
              <w:jc w:val="both"/>
              <w:textAlignment w:val="auto"/>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（2）参与基准价计算范围：</w:t>
            </w:r>
          </w:p>
          <w:p w14:paraId="23E73393">
            <w:pPr>
              <w:keepNext w:val="0"/>
              <w:keepLines w:val="0"/>
              <w:pageBreakBefore w:val="0"/>
              <w:widowControl w:val="0"/>
              <w:kinsoku/>
              <w:wordWrap/>
              <w:overflowPunct/>
              <w:topLinePunct w:val="0"/>
              <w:autoSpaceDE/>
              <w:autoSpaceDN/>
              <w:bidi w:val="0"/>
              <w:adjustRightInd/>
              <w:snapToGrid/>
              <w:spacing w:line="320" w:lineRule="exact"/>
              <w:ind w:right="113"/>
              <w:jc w:val="both"/>
              <w:textAlignment w:val="auto"/>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 xml:space="preserve">    通过初步评审的投标人投标报价参与基准价得分计算。</w:t>
            </w:r>
          </w:p>
          <w:p w14:paraId="6CDDA268">
            <w:pPr>
              <w:keepNext w:val="0"/>
              <w:keepLines w:val="0"/>
              <w:pageBreakBefore w:val="0"/>
              <w:widowControl w:val="0"/>
              <w:kinsoku/>
              <w:wordWrap/>
              <w:overflowPunct/>
              <w:topLinePunct w:val="0"/>
              <w:autoSpaceDE/>
              <w:autoSpaceDN/>
              <w:bidi w:val="0"/>
              <w:adjustRightInd/>
              <w:snapToGrid/>
              <w:spacing w:line="320" w:lineRule="exact"/>
              <w:ind w:right="113"/>
              <w:jc w:val="both"/>
              <w:textAlignment w:val="auto"/>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（3）基准价计算规则：</w:t>
            </w:r>
          </w:p>
          <w:p w14:paraId="67125724">
            <w:pPr>
              <w:keepNext w:val="0"/>
              <w:keepLines w:val="0"/>
              <w:pageBreakBefore w:val="0"/>
              <w:widowControl w:val="0"/>
              <w:kinsoku/>
              <w:wordWrap/>
              <w:overflowPunct/>
              <w:topLinePunct w:val="0"/>
              <w:autoSpaceDE/>
              <w:autoSpaceDN/>
              <w:bidi w:val="0"/>
              <w:adjustRightInd/>
              <w:snapToGrid/>
              <w:spacing w:line="320" w:lineRule="exact"/>
              <w:ind w:right="113"/>
              <w:jc w:val="both"/>
              <w:textAlignment w:val="auto"/>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 xml:space="preserve">    通过初步评审的投标人超过</w:t>
            </w:r>
            <w:r>
              <w:rPr>
                <w:rFonts w:hint="eastAsia" w:ascii="宋体" w:hAnsi="宋体"/>
                <w:color w:val="auto"/>
                <w:szCs w:val="21"/>
                <w:highlight w:val="none"/>
                <w:lang w:val="en-US" w:eastAsia="zh-CN"/>
              </w:rPr>
              <w:t>6</w:t>
            </w:r>
            <w:r>
              <w:rPr>
                <w:rFonts w:hint="default" w:ascii="宋体" w:hAnsi="宋体"/>
                <w:color w:val="auto"/>
                <w:szCs w:val="21"/>
                <w:highlight w:val="none"/>
                <w:lang w:val="en-US" w:eastAsia="zh-CN"/>
              </w:rPr>
              <w:t>家（包含</w:t>
            </w:r>
            <w:r>
              <w:rPr>
                <w:rFonts w:hint="eastAsia" w:ascii="宋体" w:hAnsi="宋体"/>
                <w:color w:val="auto"/>
                <w:szCs w:val="21"/>
                <w:highlight w:val="none"/>
                <w:lang w:val="en-US" w:eastAsia="zh-CN"/>
              </w:rPr>
              <w:t>6</w:t>
            </w:r>
            <w:r>
              <w:rPr>
                <w:rFonts w:hint="default" w:ascii="宋体" w:hAnsi="宋体"/>
                <w:color w:val="auto"/>
                <w:szCs w:val="21"/>
                <w:highlight w:val="none"/>
                <w:lang w:val="en-US" w:eastAsia="zh-CN"/>
              </w:rPr>
              <w:t>家），去掉1个最高投标报价，1个最低投标报价；若小于</w:t>
            </w:r>
            <w:r>
              <w:rPr>
                <w:rFonts w:hint="eastAsia" w:ascii="宋体" w:hAnsi="宋体"/>
                <w:color w:val="auto"/>
                <w:szCs w:val="21"/>
                <w:highlight w:val="none"/>
                <w:lang w:val="en-US" w:eastAsia="zh-CN"/>
              </w:rPr>
              <w:t>6</w:t>
            </w:r>
            <w:r>
              <w:rPr>
                <w:rFonts w:hint="default" w:ascii="宋体" w:hAnsi="宋体"/>
                <w:color w:val="auto"/>
                <w:szCs w:val="21"/>
                <w:highlight w:val="none"/>
                <w:lang w:val="en-US" w:eastAsia="zh-CN"/>
              </w:rPr>
              <w:t>家，则不去；将其投标报价取算术平均值下浮0%。</w:t>
            </w:r>
          </w:p>
          <w:p w14:paraId="74911F1B">
            <w:pPr>
              <w:keepNext w:val="0"/>
              <w:keepLines w:val="0"/>
              <w:pageBreakBefore w:val="0"/>
              <w:widowControl w:val="0"/>
              <w:kinsoku/>
              <w:wordWrap/>
              <w:overflowPunct/>
              <w:topLinePunct w:val="0"/>
              <w:autoSpaceDE/>
              <w:autoSpaceDN/>
              <w:bidi w:val="0"/>
              <w:adjustRightInd/>
              <w:snapToGrid/>
              <w:spacing w:line="320" w:lineRule="exact"/>
              <w:ind w:right="113"/>
              <w:jc w:val="both"/>
              <w:textAlignment w:val="auto"/>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基准价计算方法（建筑安装工程费）：</w:t>
            </w:r>
          </w:p>
          <w:p w14:paraId="55E35D3C">
            <w:pPr>
              <w:keepNext w:val="0"/>
              <w:keepLines w:val="0"/>
              <w:pageBreakBefore w:val="0"/>
              <w:widowControl w:val="0"/>
              <w:kinsoku/>
              <w:wordWrap/>
              <w:overflowPunct/>
              <w:topLinePunct w:val="0"/>
              <w:autoSpaceDE/>
              <w:autoSpaceDN/>
              <w:bidi w:val="0"/>
              <w:adjustRightInd/>
              <w:snapToGrid/>
              <w:spacing w:line="320" w:lineRule="exact"/>
              <w:ind w:right="113"/>
              <w:jc w:val="both"/>
              <w:textAlignment w:val="auto"/>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（1）最高投标限价是否参与基准价计算：否</w:t>
            </w:r>
          </w:p>
          <w:p w14:paraId="7152BB78">
            <w:pPr>
              <w:keepNext w:val="0"/>
              <w:keepLines w:val="0"/>
              <w:pageBreakBefore w:val="0"/>
              <w:widowControl w:val="0"/>
              <w:kinsoku/>
              <w:wordWrap/>
              <w:overflowPunct/>
              <w:topLinePunct w:val="0"/>
              <w:autoSpaceDE/>
              <w:autoSpaceDN/>
              <w:bidi w:val="0"/>
              <w:adjustRightInd/>
              <w:snapToGrid/>
              <w:spacing w:line="320" w:lineRule="exact"/>
              <w:ind w:right="113"/>
              <w:jc w:val="both"/>
              <w:textAlignment w:val="auto"/>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（2）参与基准价计算范围：</w:t>
            </w:r>
          </w:p>
          <w:p w14:paraId="351D3855">
            <w:pPr>
              <w:keepNext w:val="0"/>
              <w:keepLines w:val="0"/>
              <w:pageBreakBefore w:val="0"/>
              <w:widowControl w:val="0"/>
              <w:kinsoku/>
              <w:wordWrap/>
              <w:overflowPunct/>
              <w:topLinePunct w:val="0"/>
              <w:autoSpaceDE/>
              <w:autoSpaceDN/>
              <w:bidi w:val="0"/>
              <w:adjustRightInd/>
              <w:snapToGrid/>
              <w:spacing w:line="320" w:lineRule="exact"/>
              <w:ind w:right="113"/>
              <w:jc w:val="both"/>
              <w:textAlignment w:val="auto"/>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 xml:space="preserve">    通过初步评审的投标人投标报价参与基准价得分计算。</w:t>
            </w:r>
          </w:p>
          <w:p w14:paraId="7738D23B">
            <w:pPr>
              <w:keepNext w:val="0"/>
              <w:keepLines w:val="0"/>
              <w:pageBreakBefore w:val="0"/>
              <w:widowControl w:val="0"/>
              <w:kinsoku/>
              <w:wordWrap/>
              <w:overflowPunct/>
              <w:topLinePunct w:val="0"/>
              <w:autoSpaceDE/>
              <w:autoSpaceDN/>
              <w:bidi w:val="0"/>
              <w:adjustRightInd/>
              <w:snapToGrid/>
              <w:spacing w:line="320" w:lineRule="exact"/>
              <w:ind w:right="113"/>
              <w:jc w:val="both"/>
              <w:textAlignment w:val="auto"/>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（3）基准价计算规则：</w:t>
            </w:r>
          </w:p>
          <w:p w14:paraId="6561E29F">
            <w:pPr>
              <w:keepNext w:val="0"/>
              <w:keepLines w:val="0"/>
              <w:pageBreakBefore w:val="0"/>
              <w:widowControl w:val="0"/>
              <w:kinsoku/>
              <w:wordWrap/>
              <w:overflowPunct/>
              <w:topLinePunct w:val="0"/>
              <w:autoSpaceDE/>
              <w:autoSpaceDN/>
              <w:bidi w:val="0"/>
              <w:adjustRightInd/>
              <w:snapToGrid/>
              <w:spacing w:line="320" w:lineRule="exact"/>
              <w:ind w:right="113"/>
              <w:jc w:val="both"/>
              <w:textAlignment w:val="auto"/>
              <w:rPr>
                <w:rFonts w:hint="default" w:ascii="宋体" w:hAnsi="宋体"/>
                <w:color w:val="auto"/>
                <w:szCs w:val="21"/>
                <w:highlight w:val="none"/>
              </w:rPr>
            </w:pPr>
            <w:r>
              <w:rPr>
                <w:rFonts w:hint="default" w:ascii="宋体" w:hAnsi="宋体"/>
                <w:color w:val="auto"/>
                <w:szCs w:val="21"/>
                <w:highlight w:val="none"/>
                <w:lang w:val="en-US" w:eastAsia="zh-CN"/>
              </w:rPr>
              <w:t xml:space="preserve">    通过初步评审的投标人超过</w:t>
            </w:r>
            <w:r>
              <w:rPr>
                <w:rFonts w:hint="eastAsia" w:ascii="宋体" w:hAnsi="宋体"/>
                <w:color w:val="auto"/>
                <w:szCs w:val="21"/>
                <w:highlight w:val="none"/>
                <w:lang w:val="en-US" w:eastAsia="zh-CN"/>
              </w:rPr>
              <w:t>6</w:t>
            </w:r>
            <w:r>
              <w:rPr>
                <w:rFonts w:hint="default" w:ascii="宋体" w:hAnsi="宋体"/>
                <w:color w:val="auto"/>
                <w:szCs w:val="21"/>
                <w:highlight w:val="none"/>
                <w:lang w:val="en-US" w:eastAsia="zh-CN"/>
              </w:rPr>
              <w:t>家（包含</w:t>
            </w:r>
            <w:r>
              <w:rPr>
                <w:rFonts w:hint="eastAsia" w:ascii="宋体" w:hAnsi="宋体"/>
                <w:color w:val="auto"/>
                <w:szCs w:val="21"/>
                <w:highlight w:val="none"/>
                <w:lang w:val="en-US" w:eastAsia="zh-CN"/>
              </w:rPr>
              <w:t>6</w:t>
            </w:r>
            <w:r>
              <w:rPr>
                <w:rFonts w:hint="default" w:ascii="宋体" w:hAnsi="宋体"/>
                <w:color w:val="auto"/>
                <w:szCs w:val="21"/>
                <w:highlight w:val="none"/>
                <w:lang w:val="en-US" w:eastAsia="zh-CN"/>
              </w:rPr>
              <w:t>家），去掉1个最高投标报价，1个最低投标报价；若小于</w:t>
            </w:r>
            <w:r>
              <w:rPr>
                <w:rFonts w:hint="eastAsia" w:ascii="宋体" w:hAnsi="宋体"/>
                <w:color w:val="auto"/>
                <w:szCs w:val="21"/>
                <w:highlight w:val="none"/>
                <w:lang w:val="en-US" w:eastAsia="zh-CN"/>
              </w:rPr>
              <w:t>6</w:t>
            </w:r>
            <w:r>
              <w:rPr>
                <w:rFonts w:hint="default" w:ascii="宋体" w:hAnsi="宋体"/>
                <w:color w:val="auto"/>
                <w:szCs w:val="21"/>
                <w:highlight w:val="none"/>
                <w:lang w:val="en-US" w:eastAsia="zh-CN"/>
              </w:rPr>
              <w:t>家，则不去；将其投标报价取算术平均值下浮0%。</w:t>
            </w:r>
          </w:p>
        </w:tc>
      </w:tr>
      <w:tr w14:paraId="57030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jc w:val="center"/>
        </w:trPr>
        <w:tc>
          <w:tcPr>
            <w:tcW w:w="1800" w:type="dxa"/>
            <w:gridSpan w:val="2"/>
            <w:vAlign w:val="center"/>
          </w:tcPr>
          <w:p w14:paraId="0E3E97A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color w:val="auto"/>
                <w:szCs w:val="21"/>
                <w:highlight w:val="none"/>
              </w:rPr>
              <w:t>2.2.3</w:t>
            </w:r>
          </w:p>
        </w:tc>
        <w:tc>
          <w:tcPr>
            <w:tcW w:w="2196" w:type="dxa"/>
            <w:vAlign w:val="center"/>
          </w:tcPr>
          <w:p w14:paraId="3F63966C">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szCs w:val="21"/>
                <w:highlight w:val="none"/>
              </w:rPr>
            </w:pPr>
            <w:r>
              <w:rPr>
                <w:rFonts w:hint="eastAsia" w:ascii="宋体" w:hAnsi="宋体"/>
                <w:color w:val="auto"/>
                <w:szCs w:val="21"/>
                <w:highlight w:val="none"/>
              </w:rPr>
              <w:t>投标报价的偏差率</w:t>
            </w:r>
          </w:p>
          <w:p w14:paraId="0AB770B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color w:val="auto"/>
                <w:szCs w:val="21"/>
                <w:highlight w:val="none"/>
              </w:rPr>
              <w:t>计算公式</w:t>
            </w:r>
          </w:p>
        </w:tc>
        <w:tc>
          <w:tcPr>
            <w:tcW w:w="6080" w:type="dxa"/>
            <w:gridSpan w:val="3"/>
            <w:vAlign w:val="center"/>
          </w:tcPr>
          <w:p w14:paraId="7A02E09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color w:val="auto"/>
                <w:szCs w:val="21"/>
                <w:highlight w:val="none"/>
              </w:rPr>
            </w:pPr>
            <w:r>
              <w:rPr>
                <w:rFonts w:hint="eastAsia" w:ascii="宋体" w:hAnsi="宋体"/>
                <w:color w:val="auto"/>
                <w:szCs w:val="21"/>
                <w:highlight w:val="none"/>
              </w:rPr>
              <w:t>偏差绝对值=|投标人评标价-评标基准价|</w:t>
            </w:r>
          </w:p>
          <w:p w14:paraId="17719AE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宋体" w:hAnsi="宋体"/>
                <w:color w:val="auto"/>
                <w:szCs w:val="21"/>
                <w:highlight w:val="none"/>
              </w:rPr>
            </w:pPr>
            <w:r>
              <w:rPr>
                <w:rFonts w:hint="eastAsia" w:ascii="宋体" w:hAnsi="宋体"/>
                <w:color w:val="auto"/>
                <w:szCs w:val="21"/>
                <w:highlight w:val="none"/>
              </w:rPr>
              <w:t>偏差率=100%×（</w:t>
            </w:r>
            <w:r>
              <w:rPr>
                <w:rFonts w:ascii="宋体" w:hAnsi="宋体"/>
                <w:color w:val="auto"/>
                <w:szCs w:val="21"/>
                <w:highlight w:val="none"/>
              </w:rPr>
              <w:t>|</w:t>
            </w:r>
            <w:r>
              <w:rPr>
                <w:rFonts w:hint="eastAsia" w:ascii="宋体" w:hAnsi="宋体"/>
                <w:color w:val="auto"/>
                <w:szCs w:val="21"/>
                <w:highlight w:val="none"/>
              </w:rPr>
              <w:t>投标人评标价－评标基准价</w:t>
            </w:r>
            <w:r>
              <w:rPr>
                <w:rFonts w:ascii="宋体" w:hAnsi="宋体"/>
                <w:color w:val="auto"/>
                <w:szCs w:val="21"/>
                <w:highlight w:val="none"/>
              </w:rPr>
              <w:t>|</w:t>
            </w:r>
            <w:r>
              <w:rPr>
                <w:rFonts w:hint="eastAsia" w:ascii="宋体" w:hAnsi="宋体"/>
                <w:color w:val="auto"/>
                <w:szCs w:val="21"/>
                <w:highlight w:val="none"/>
              </w:rPr>
              <w:t>）÷评标基准价</w:t>
            </w:r>
          </w:p>
          <w:p w14:paraId="1EE1AEB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扣分标准：设计费：每低1%扣0.</w:t>
            </w:r>
            <w:r>
              <w:rPr>
                <w:rFonts w:hint="eastAsia" w:ascii="宋体" w:hAnsi="宋体"/>
                <w:color w:val="auto"/>
                <w:szCs w:val="21"/>
                <w:highlight w:val="none"/>
                <w:lang w:val="en-US" w:eastAsia="zh-CN"/>
              </w:rPr>
              <w:t>05</w:t>
            </w:r>
            <w:r>
              <w:rPr>
                <w:rFonts w:hint="eastAsia" w:ascii="宋体" w:hAnsi="宋体"/>
                <w:color w:val="auto"/>
                <w:szCs w:val="21"/>
                <w:highlight w:val="none"/>
              </w:rPr>
              <w:t>分；每高1%扣0.1分。</w:t>
            </w:r>
          </w:p>
          <w:p w14:paraId="4406D81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建筑安装工程费：每低1%扣0.</w:t>
            </w:r>
            <w:r>
              <w:rPr>
                <w:rFonts w:hint="eastAsia" w:ascii="宋体" w:hAnsi="宋体"/>
                <w:color w:val="auto"/>
                <w:szCs w:val="21"/>
                <w:highlight w:val="none"/>
                <w:lang w:val="en-US" w:eastAsia="zh-CN"/>
              </w:rPr>
              <w:t>05</w:t>
            </w:r>
            <w:r>
              <w:rPr>
                <w:rFonts w:hint="eastAsia" w:ascii="宋体" w:hAnsi="宋体"/>
                <w:color w:val="auto"/>
                <w:szCs w:val="21"/>
                <w:highlight w:val="none"/>
              </w:rPr>
              <w:t>分；每高1%扣0.1分。</w:t>
            </w:r>
          </w:p>
          <w:p w14:paraId="47AF0BA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color w:val="auto"/>
                <w:szCs w:val="21"/>
                <w:highlight w:val="none"/>
              </w:rPr>
            </w:pPr>
            <w:r>
              <w:rPr>
                <w:rFonts w:hint="eastAsia" w:ascii="宋体" w:hAnsi="宋体"/>
                <w:color w:val="auto"/>
                <w:szCs w:val="21"/>
                <w:highlight w:val="none"/>
              </w:rPr>
              <w:t>注：中间值采用插入法计算，小数点后保留两位。</w:t>
            </w:r>
          </w:p>
        </w:tc>
      </w:tr>
      <w:tr w14:paraId="3259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800" w:type="dxa"/>
            <w:gridSpan w:val="2"/>
            <w:vAlign w:val="center"/>
          </w:tcPr>
          <w:p w14:paraId="6ACAEA3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b/>
                <w:color w:val="auto"/>
                <w:szCs w:val="21"/>
                <w:highlight w:val="none"/>
              </w:rPr>
            </w:pPr>
            <w:r>
              <w:rPr>
                <w:rFonts w:hint="eastAsia" w:ascii="宋体" w:hAnsi="宋体"/>
                <w:b/>
                <w:color w:val="auto"/>
                <w:szCs w:val="21"/>
                <w:highlight w:val="none"/>
              </w:rPr>
              <w:t>条款号</w:t>
            </w:r>
          </w:p>
        </w:tc>
        <w:tc>
          <w:tcPr>
            <w:tcW w:w="2196" w:type="dxa"/>
            <w:vAlign w:val="center"/>
          </w:tcPr>
          <w:p w14:paraId="01D8BA4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b/>
                <w:color w:val="auto"/>
                <w:szCs w:val="21"/>
                <w:highlight w:val="none"/>
              </w:rPr>
            </w:pPr>
            <w:r>
              <w:rPr>
                <w:rFonts w:hint="eastAsia" w:ascii="宋体" w:hAnsi="宋体"/>
                <w:b/>
                <w:color w:val="auto"/>
                <w:szCs w:val="21"/>
                <w:highlight w:val="none"/>
              </w:rPr>
              <w:t>评分因素</w:t>
            </w:r>
          </w:p>
        </w:tc>
        <w:tc>
          <w:tcPr>
            <w:tcW w:w="810" w:type="dxa"/>
            <w:gridSpan w:val="2"/>
            <w:vAlign w:val="center"/>
          </w:tcPr>
          <w:p w14:paraId="55FCA61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b/>
                <w:color w:val="auto"/>
                <w:szCs w:val="21"/>
                <w:highlight w:val="none"/>
              </w:rPr>
            </w:pPr>
            <w:r>
              <w:rPr>
                <w:rFonts w:hint="eastAsia" w:ascii="宋体" w:hAnsi="宋体"/>
                <w:b/>
                <w:color w:val="auto"/>
                <w:szCs w:val="21"/>
                <w:highlight w:val="none"/>
              </w:rPr>
              <w:t>标准分</w:t>
            </w:r>
          </w:p>
        </w:tc>
        <w:tc>
          <w:tcPr>
            <w:tcW w:w="5270" w:type="dxa"/>
            <w:vAlign w:val="center"/>
          </w:tcPr>
          <w:p w14:paraId="30009D8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b/>
                <w:color w:val="auto"/>
                <w:szCs w:val="21"/>
                <w:highlight w:val="none"/>
              </w:rPr>
            </w:pPr>
            <w:r>
              <w:rPr>
                <w:rFonts w:hint="eastAsia" w:ascii="宋体" w:hAnsi="宋体"/>
                <w:b/>
                <w:color w:val="auto"/>
                <w:szCs w:val="21"/>
                <w:highlight w:val="none"/>
              </w:rPr>
              <w:t>评分标准</w:t>
            </w:r>
          </w:p>
        </w:tc>
      </w:tr>
      <w:bookmarkEnd w:id="655"/>
      <w:bookmarkEnd w:id="656"/>
      <w:tr w14:paraId="3927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741" w:type="dxa"/>
            <w:vMerge w:val="restart"/>
            <w:vAlign w:val="center"/>
          </w:tcPr>
          <w:p w14:paraId="380ECDA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b w:val="0"/>
                <w:i w:val="0"/>
                <w:color w:val="auto"/>
                <w:szCs w:val="21"/>
                <w:highlight w:val="none"/>
                <w:u w:val="none" w:color="auto"/>
              </w:rPr>
              <w:t>2.2.4（1）</w:t>
            </w:r>
          </w:p>
        </w:tc>
        <w:tc>
          <w:tcPr>
            <w:tcW w:w="1059" w:type="dxa"/>
            <w:vMerge w:val="restart"/>
            <w:vAlign w:val="center"/>
          </w:tcPr>
          <w:p w14:paraId="0449A23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经济标评分标准</w:t>
            </w:r>
          </w:p>
        </w:tc>
        <w:tc>
          <w:tcPr>
            <w:tcW w:w="2196" w:type="dxa"/>
            <w:vAlign w:val="center"/>
          </w:tcPr>
          <w:p w14:paraId="16CE15F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highlight w:val="none"/>
                <w:u w:val="none" w:color="auto"/>
              </w:rPr>
              <w:t>投标报价（设计费）</w:t>
            </w:r>
          </w:p>
        </w:tc>
        <w:tc>
          <w:tcPr>
            <w:tcW w:w="810" w:type="dxa"/>
            <w:gridSpan w:val="2"/>
            <w:vAlign w:val="center"/>
          </w:tcPr>
          <w:p w14:paraId="5719FA7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10</w:t>
            </w:r>
          </w:p>
        </w:tc>
        <w:tc>
          <w:tcPr>
            <w:tcW w:w="5270" w:type="dxa"/>
            <w:vAlign w:val="center"/>
          </w:tcPr>
          <w:p w14:paraId="697F6DE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F＝10-（投标人评标价-评标基准价）÷评标基准价×100×0.1（评标价＞基准价时）</w:t>
            </w:r>
          </w:p>
          <w:p w14:paraId="636D1B63">
            <w:pPr>
              <w:keepNext w:val="0"/>
              <w:keepLines w:val="0"/>
              <w:pageBreakBefore w:val="0"/>
              <w:widowControl w:val="0"/>
              <w:kinsoku/>
              <w:wordWrap/>
              <w:overflowPunct/>
              <w:topLinePunct w:val="0"/>
              <w:autoSpaceDE/>
              <w:autoSpaceDN/>
              <w:bidi w:val="0"/>
              <w:adjustRightInd/>
              <w:snapToGrid/>
              <w:spacing w:line="320" w:lineRule="exact"/>
              <w:jc w:val="both"/>
              <w:textAlignment w:val="auto"/>
              <w:rPr>
                <w:color w:val="auto"/>
                <w:highlight w:val="none"/>
              </w:rPr>
            </w:pPr>
            <w:r>
              <w:rPr>
                <w:rFonts w:hint="eastAsia" w:ascii="宋体" w:hAnsi="宋体" w:eastAsia="宋体" w:cs="宋体"/>
                <w:b w:val="0"/>
                <w:bCs/>
                <w:i w:val="0"/>
                <w:color w:val="auto"/>
                <w:szCs w:val="21"/>
                <w:highlight w:val="none"/>
                <w:u w:val="none" w:color="auto"/>
              </w:rPr>
              <w:t>F＝10-（评标基准价-投标人评标价）÷评标基准价×100×0.</w:t>
            </w:r>
            <w:r>
              <w:rPr>
                <w:rFonts w:hint="eastAsia" w:ascii="宋体" w:hAnsi="宋体" w:cs="宋体"/>
                <w:b w:val="0"/>
                <w:bCs/>
                <w:i w:val="0"/>
                <w:color w:val="auto"/>
                <w:szCs w:val="21"/>
                <w:highlight w:val="none"/>
                <w:u w:val="none" w:color="auto"/>
                <w:lang w:val="en-US" w:eastAsia="zh-CN"/>
              </w:rPr>
              <w:t>05</w:t>
            </w:r>
            <w:r>
              <w:rPr>
                <w:rFonts w:hint="eastAsia" w:ascii="宋体" w:hAnsi="宋体" w:eastAsia="宋体" w:cs="宋体"/>
                <w:b w:val="0"/>
                <w:bCs/>
                <w:i w:val="0"/>
                <w:color w:val="auto"/>
                <w:szCs w:val="21"/>
                <w:highlight w:val="none"/>
                <w:u w:val="none" w:color="auto"/>
              </w:rPr>
              <w:t>（评标价≤基准价时）</w:t>
            </w:r>
          </w:p>
        </w:tc>
      </w:tr>
      <w:tr w14:paraId="7B93C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741" w:type="dxa"/>
            <w:vMerge w:val="continue"/>
            <w:vAlign w:val="center"/>
          </w:tcPr>
          <w:p w14:paraId="010E4BB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b w:val="0"/>
                <w:i w:val="0"/>
                <w:color w:val="auto"/>
                <w:szCs w:val="21"/>
                <w:highlight w:val="none"/>
                <w:u w:val="none" w:color="auto"/>
              </w:rPr>
              <w:t>2.2.4（1）</w:t>
            </w:r>
          </w:p>
        </w:tc>
        <w:tc>
          <w:tcPr>
            <w:tcW w:w="1059" w:type="dxa"/>
            <w:vMerge w:val="continue"/>
            <w:vAlign w:val="center"/>
          </w:tcPr>
          <w:p w14:paraId="695FEA9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经济标评分标准</w:t>
            </w:r>
          </w:p>
        </w:tc>
        <w:tc>
          <w:tcPr>
            <w:tcW w:w="2196" w:type="dxa"/>
            <w:vAlign w:val="center"/>
          </w:tcPr>
          <w:p w14:paraId="4D7DDA1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highlight w:val="none"/>
                <w:u w:val="none" w:color="auto"/>
              </w:rPr>
              <w:t>投标报价（建筑安装工程费）</w:t>
            </w:r>
          </w:p>
        </w:tc>
        <w:tc>
          <w:tcPr>
            <w:tcW w:w="810" w:type="dxa"/>
            <w:gridSpan w:val="2"/>
            <w:vAlign w:val="center"/>
          </w:tcPr>
          <w:p w14:paraId="2A54A36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olor w:val="auto"/>
                <w:szCs w:val="44"/>
                <w:highlight w:val="none"/>
                <w:lang w:val="en-US" w:eastAsia="zh-CN"/>
              </w:rPr>
            </w:pPr>
            <w:r>
              <w:rPr>
                <w:rFonts w:hint="eastAsia" w:ascii="宋体" w:hAnsi="宋体"/>
                <w:color w:val="auto"/>
                <w:szCs w:val="44"/>
                <w:highlight w:val="none"/>
                <w:lang w:val="en-US" w:eastAsia="zh-CN"/>
              </w:rPr>
              <w:t>20</w:t>
            </w:r>
          </w:p>
        </w:tc>
        <w:tc>
          <w:tcPr>
            <w:tcW w:w="5270" w:type="dxa"/>
            <w:vAlign w:val="center"/>
          </w:tcPr>
          <w:p w14:paraId="58ADE28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F＝</w:t>
            </w:r>
            <w:r>
              <w:rPr>
                <w:rFonts w:hint="eastAsia" w:ascii="宋体" w:hAnsi="宋体" w:cs="宋体"/>
                <w:b w:val="0"/>
                <w:bCs/>
                <w:i w:val="0"/>
                <w:color w:val="auto"/>
                <w:szCs w:val="21"/>
                <w:highlight w:val="none"/>
                <w:u w:val="none" w:color="auto"/>
                <w:lang w:val="en-US" w:eastAsia="zh-CN"/>
              </w:rPr>
              <w:t>20</w:t>
            </w:r>
            <w:r>
              <w:rPr>
                <w:rFonts w:hint="eastAsia" w:ascii="宋体" w:hAnsi="宋体" w:eastAsia="宋体" w:cs="宋体"/>
                <w:b w:val="0"/>
                <w:bCs/>
                <w:i w:val="0"/>
                <w:color w:val="auto"/>
                <w:szCs w:val="21"/>
                <w:highlight w:val="none"/>
                <w:u w:val="none" w:color="auto"/>
              </w:rPr>
              <w:t>-（投标人评标价-评标基准价）÷评标基准价×100×0.1（评标价＞基准价时）</w:t>
            </w:r>
          </w:p>
          <w:p w14:paraId="31E89DDE">
            <w:pPr>
              <w:keepNext w:val="0"/>
              <w:keepLines w:val="0"/>
              <w:pageBreakBefore w:val="0"/>
              <w:widowControl w:val="0"/>
              <w:kinsoku/>
              <w:wordWrap/>
              <w:overflowPunct/>
              <w:topLinePunct w:val="0"/>
              <w:autoSpaceDE/>
              <w:autoSpaceDN/>
              <w:bidi w:val="0"/>
              <w:adjustRightInd/>
              <w:snapToGrid/>
              <w:spacing w:line="320" w:lineRule="exact"/>
              <w:jc w:val="both"/>
              <w:textAlignment w:val="auto"/>
              <w:rPr>
                <w:color w:val="auto"/>
                <w:highlight w:val="none"/>
              </w:rPr>
            </w:pPr>
            <w:r>
              <w:rPr>
                <w:rFonts w:hint="eastAsia" w:ascii="宋体" w:hAnsi="宋体" w:eastAsia="宋体" w:cs="宋体"/>
                <w:b w:val="0"/>
                <w:bCs/>
                <w:i w:val="0"/>
                <w:color w:val="auto"/>
                <w:szCs w:val="21"/>
                <w:highlight w:val="none"/>
                <w:u w:val="none" w:color="auto"/>
              </w:rPr>
              <w:t>F＝</w:t>
            </w:r>
            <w:r>
              <w:rPr>
                <w:rFonts w:hint="eastAsia" w:ascii="宋体" w:hAnsi="宋体" w:cs="宋体"/>
                <w:b w:val="0"/>
                <w:bCs/>
                <w:i w:val="0"/>
                <w:color w:val="auto"/>
                <w:szCs w:val="21"/>
                <w:highlight w:val="none"/>
                <w:u w:val="none" w:color="auto"/>
                <w:lang w:val="en-US" w:eastAsia="zh-CN"/>
              </w:rPr>
              <w:t>20</w:t>
            </w:r>
            <w:r>
              <w:rPr>
                <w:rFonts w:hint="eastAsia" w:ascii="宋体" w:hAnsi="宋体" w:eastAsia="宋体" w:cs="宋体"/>
                <w:b w:val="0"/>
                <w:bCs/>
                <w:i w:val="0"/>
                <w:color w:val="auto"/>
                <w:szCs w:val="21"/>
                <w:highlight w:val="none"/>
                <w:u w:val="none" w:color="auto"/>
              </w:rPr>
              <w:t>-（评标基准价-投标人评标价）÷评标基准价×100×0.</w:t>
            </w:r>
            <w:r>
              <w:rPr>
                <w:rFonts w:hint="eastAsia" w:ascii="宋体" w:hAnsi="宋体" w:cs="宋体"/>
                <w:b w:val="0"/>
                <w:bCs/>
                <w:i w:val="0"/>
                <w:color w:val="auto"/>
                <w:szCs w:val="21"/>
                <w:highlight w:val="none"/>
                <w:u w:val="none" w:color="auto"/>
                <w:lang w:val="en-US" w:eastAsia="zh-CN"/>
              </w:rPr>
              <w:t>05</w:t>
            </w:r>
            <w:r>
              <w:rPr>
                <w:rFonts w:hint="eastAsia" w:ascii="宋体" w:hAnsi="宋体" w:eastAsia="宋体" w:cs="宋体"/>
                <w:b w:val="0"/>
                <w:bCs/>
                <w:i w:val="0"/>
                <w:color w:val="auto"/>
                <w:szCs w:val="21"/>
                <w:highlight w:val="none"/>
                <w:u w:val="none" w:color="auto"/>
              </w:rPr>
              <w:t>（评标价≤基准价时）</w:t>
            </w:r>
          </w:p>
        </w:tc>
      </w:tr>
      <w:tr w14:paraId="7E5D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741" w:type="dxa"/>
            <w:vMerge w:val="restart"/>
            <w:vAlign w:val="center"/>
          </w:tcPr>
          <w:p w14:paraId="3C7264F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restart"/>
            <w:vAlign w:val="center"/>
          </w:tcPr>
          <w:p w14:paraId="45282EB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技术标（承包人建议书）评分标准</w:t>
            </w:r>
          </w:p>
        </w:tc>
        <w:tc>
          <w:tcPr>
            <w:tcW w:w="2196" w:type="dxa"/>
            <w:vAlign w:val="center"/>
          </w:tcPr>
          <w:p w14:paraId="7CD5064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highlight w:val="none"/>
                <w:u w:val="none" w:color="auto"/>
              </w:rPr>
              <w:t>图纸</w:t>
            </w:r>
          </w:p>
        </w:tc>
        <w:tc>
          <w:tcPr>
            <w:tcW w:w="810" w:type="dxa"/>
            <w:gridSpan w:val="2"/>
            <w:vAlign w:val="center"/>
          </w:tcPr>
          <w:p w14:paraId="34BAE1A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olor w:val="auto"/>
                <w:szCs w:val="44"/>
                <w:highlight w:val="none"/>
                <w:lang w:val="en-US" w:eastAsia="zh-CN"/>
              </w:rPr>
            </w:pPr>
            <w:r>
              <w:rPr>
                <w:rFonts w:hint="eastAsia" w:ascii="宋体" w:hAnsi="宋体" w:cs="宋体"/>
                <w:b w:val="0"/>
                <w:bCs/>
                <w:i w:val="0"/>
                <w:color w:val="auto"/>
                <w:szCs w:val="21"/>
                <w:highlight w:val="none"/>
                <w:u w:val="none" w:color="auto"/>
                <w:lang w:val="en-US" w:eastAsia="zh-CN"/>
              </w:rPr>
              <w:t>20</w:t>
            </w:r>
          </w:p>
        </w:tc>
        <w:tc>
          <w:tcPr>
            <w:tcW w:w="5270" w:type="dxa"/>
            <w:vAlign w:val="center"/>
          </w:tcPr>
          <w:p w14:paraId="494D6D0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b w:val="0"/>
                <w:bCs/>
                <w:i w:val="0"/>
                <w:color w:val="auto"/>
                <w:szCs w:val="21"/>
                <w:highlight w:val="none"/>
                <w:u w:val="none" w:color="auto"/>
                <w:lang w:val="en-US" w:eastAsia="zh-CN"/>
              </w:rPr>
            </w:pPr>
            <w:r>
              <w:rPr>
                <w:rFonts w:hint="eastAsia" w:ascii="宋体" w:hAnsi="宋体" w:eastAsia="宋体" w:cs="宋体"/>
                <w:b w:val="0"/>
                <w:bCs/>
                <w:i w:val="0"/>
                <w:color w:val="auto"/>
                <w:szCs w:val="21"/>
                <w:highlight w:val="none"/>
                <w:u w:val="none" w:color="auto"/>
              </w:rPr>
              <w:t>评审维度：1.对图纸的详细程度；2.图纸的先进性；3.图纸的可行性</w:t>
            </w:r>
            <w:r>
              <w:rPr>
                <w:rFonts w:hint="eastAsia" w:ascii="宋体" w:hAnsi="宋体" w:cs="宋体"/>
                <w:b w:val="0"/>
                <w:bCs/>
                <w:i w:val="0"/>
                <w:color w:val="auto"/>
                <w:szCs w:val="21"/>
                <w:highlight w:val="none"/>
                <w:u w:val="none" w:color="auto"/>
                <w:lang w:eastAsia="zh-CN"/>
              </w:rPr>
              <w:t>；</w:t>
            </w:r>
            <w:r>
              <w:rPr>
                <w:rFonts w:hint="eastAsia" w:ascii="宋体" w:hAnsi="宋体" w:cs="宋体"/>
                <w:b w:val="0"/>
                <w:bCs/>
                <w:i w:val="0"/>
                <w:color w:val="auto"/>
                <w:szCs w:val="21"/>
                <w:highlight w:val="none"/>
                <w:u w:val="none" w:color="auto"/>
                <w:lang w:val="en-US" w:eastAsia="zh-CN"/>
              </w:rPr>
              <w:t>4.提供效果图。</w:t>
            </w:r>
          </w:p>
          <w:p w14:paraId="75733258">
            <w:pPr>
              <w:keepNext w:val="0"/>
              <w:keepLines w:val="0"/>
              <w:pageBreakBefore w:val="0"/>
              <w:widowControl w:val="0"/>
              <w:kinsoku/>
              <w:wordWrap/>
              <w:overflowPunct/>
              <w:topLinePunct w:val="0"/>
              <w:autoSpaceDE/>
              <w:autoSpaceDN/>
              <w:bidi w:val="0"/>
              <w:adjustRightInd/>
              <w:snapToGrid/>
              <w:spacing w:line="320" w:lineRule="exact"/>
              <w:jc w:val="both"/>
              <w:textAlignment w:val="auto"/>
              <w:rPr>
                <w:color w:val="auto"/>
                <w:highlight w:val="none"/>
              </w:rPr>
            </w:pPr>
            <w:r>
              <w:rPr>
                <w:rFonts w:hint="eastAsia" w:ascii="宋体" w:hAnsi="宋体" w:eastAsia="宋体" w:cs="宋体"/>
                <w:b w:val="0"/>
                <w:bCs/>
                <w:i w:val="0"/>
                <w:color w:val="auto"/>
                <w:szCs w:val="21"/>
                <w:highlight w:val="none"/>
                <w:u w:val="none" w:color="auto"/>
              </w:rPr>
              <w:t>评审标准：对各投标人的图纸及设计说明进行综合评审；</w:t>
            </w:r>
            <w:bookmarkStart w:id="657" w:name="OLE_LINK4"/>
            <w:r>
              <w:rPr>
                <w:rFonts w:hint="eastAsia" w:ascii="宋体" w:hAnsi="宋体" w:eastAsia="宋体" w:cs="宋体"/>
                <w:b w:val="0"/>
                <w:bCs/>
                <w:i w:val="0"/>
                <w:color w:val="auto"/>
                <w:szCs w:val="21"/>
                <w:highlight w:val="none"/>
                <w:u w:val="none" w:color="auto"/>
              </w:rPr>
              <w:t>优秀得</w:t>
            </w:r>
            <w:r>
              <w:rPr>
                <w:rFonts w:hint="eastAsia" w:ascii="宋体" w:hAnsi="宋体" w:cs="宋体"/>
                <w:b w:val="0"/>
                <w:bCs/>
                <w:i w:val="0"/>
                <w:color w:val="auto"/>
                <w:szCs w:val="21"/>
                <w:highlight w:val="none"/>
                <w:u w:val="none" w:color="auto"/>
                <w:lang w:val="en-US" w:eastAsia="zh-CN"/>
              </w:rPr>
              <w:t>20</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17</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分，良好得</w:t>
            </w:r>
            <w:r>
              <w:rPr>
                <w:rFonts w:hint="eastAsia" w:ascii="宋体" w:hAnsi="宋体" w:cs="宋体"/>
                <w:b w:val="0"/>
                <w:bCs/>
                <w:i w:val="0"/>
                <w:color w:val="auto"/>
                <w:szCs w:val="21"/>
                <w:highlight w:val="none"/>
                <w:u w:val="none" w:color="auto"/>
                <w:lang w:val="en-US" w:eastAsia="zh-CN"/>
              </w:rPr>
              <w:t>16</w:t>
            </w:r>
            <w:r>
              <w:rPr>
                <w:rFonts w:hint="eastAsia" w:ascii="宋体" w:hAnsi="宋体" w:eastAsia="宋体" w:cs="宋体"/>
                <w:b w:val="0"/>
                <w:bCs/>
                <w:i w:val="0"/>
                <w:color w:val="auto"/>
                <w:szCs w:val="21"/>
                <w:highlight w:val="none"/>
                <w:u w:val="none" w:color="auto"/>
              </w:rPr>
              <w:t>.9-</w:t>
            </w:r>
            <w:r>
              <w:rPr>
                <w:rFonts w:hint="eastAsia" w:ascii="宋体" w:hAnsi="宋体" w:cs="宋体"/>
                <w:b w:val="0"/>
                <w:bCs/>
                <w:i w:val="0"/>
                <w:color w:val="auto"/>
                <w:szCs w:val="21"/>
                <w:highlight w:val="none"/>
                <w:u w:val="none" w:color="auto"/>
                <w:lang w:val="en-US" w:eastAsia="zh-CN"/>
              </w:rPr>
              <w:t>12</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分，一般得</w:t>
            </w:r>
            <w:r>
              <w:rPr>
                <w:rFonts w:hint="eastAsia" w:ascii="宋体" w:hAnsi="宋体" w:cs="宋体"/>
                <w:b w:val="0"/>
                <w:bCs/>
                <w:i w:val="0"/>
                <w:color w:val="auto"/>
                <w:szCs w:val="21"/>
                <w:highlight w:val="none"/>
                <w:u w:val="none" w:color="auto"/>
                <w:lang w:val="en-US" w:eastAsia="zh-CN"/>
              </w:rPr>
              <w:t>11</w:t>
            </w:r>
            <w:r>
              <w:rPr>
                <w:rFonts w:hint="eastAsia" w:ascii="宋体" w:hAnsi="宋体" w:eastAsia="宋体" w:cs="宋体"/>
                <w:b w:val="0"/>
                <w:bCs/>
                <w:i w:val="0"/>
                <w:color w:val="auto"/>
                <w:szCs w:val="21"/>
                <w:highlight w:val="none"/>
                <w:u w:val="none" w:color="auto"/>
              </w:rPr>
              <w:t>.9-</w:t>
            </w:r>
            <w:r>
              <w:rPr>
                <w:rFonts w:hint="eastAsia" w:ascii="宋体" w:hAnsi="宋体" w:cs="宋体"/>
                <w:b w:val="0"/>
                <w:bCs/>
                <w:i w:val="0"/>
                <w:color w:val="auto"/>
                <w:szCs w:val="21"/>
                <w:highlight w:val="none"/>
                <w:u w:val="none" w:color="auto"/>
                <w:lang w:val="en-US" w:eastAsia="zh-CN"/>
              </w:rPr>
              <w:t>7</w:t>
            </w:r>
            <w:r>
              <w:rPr>
                <w:rFonts w:hint="eastAsia" w:ascii="宋体" w:hAnsi="宋体" w:eastAsia="宋体" w:cs="宋体"/>
                <w:b w:val="0"/>
                <w:bCs/>
                <w:i w:val="0"/>
                <w:color w:val="auto"/>
                <w:szCs w:val="21"/>
                <w:highlight w:val="none"/>
                <w:u w:val="none" w:color="auto"/>
              </w:rPr>
              <w:t>.</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lang w:val="en-US" w:eastAsia="zh-CN"/>
              </w:rPr>
              <w:t>较差</w:t>
            </w:r>
            <w:r>
              <w:rPr>
                <w:rFonts w:hint="eastAsia" w:ascii="宋体" w:hAnsi="宋体" w:eastAsia="宋体" w:cs="宋体"/>
                <w:b w:val="0"/>
                <w:bCs/>
                <w:i w:val="0"/>
                <w:color w:val="auto"/>
                <w:szCs w:val="21"/>
                <w:highlight w:val="none"/>
                <w:u w:val="none" w:color="auto"/>
              </w:rPr>
              <w:t>得</w:t>
            </w:r>
            <w:r>
              <w:rPr>
                <w:rFonts w:hint="eastAsia" w:ascii="宋体" w:hAnsi="宋体" w:cs="宋体"/>
                <w:b w:val="0"/>
                <w:bCs/>
                <w:i w:val="0"/>
                <w:color w:val="auto"/>
                <w:szCs w:val="21"/>
                <w:highlight w:val="none"/>
                <w:u w:val="none" w:color="auto"/>
                <w:lang w:val="en-US" w:eastAsia="zh-CN"/>
              </w:rPr>
              <w:t>6</w:t>
            </w:r>
            <w:r>
              <w:rPr>
                <w:rFonts w:hint="eastAsia" w:ascii="宋体" w:hAnsi="宋体" w:eastAsia="宋体" w:cs="宋体"/>
                <w:b w:val="0"/>
                <w:bCs/>
                <w:i w:val="0"/>
                <w:color w:val="auto"/>
                <w:szCs w:val="21"/>
                <w:highlight w:val="none"/>
                <w:u w:val="none" w:color="auto"/>
              </w:rPr>
              <w:t>.9-</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w:t>
            </w:r>
            <w:r>
              <w:rPr>
                <w:rFonts w:hint="eastAsia" w:ascii="宋体" w:hAnsi="宋体" w:eastAsia="宋体" w:cs="宋体"/>
                <w:b w:val="0"/>
                <w:bCs/>
                <w:i w:val="0"/>
                <w:color w:val="auto"/>
                <w:szCs w:val="21"/>
                <w:highlight w:val="none"/>
                <w:u w:val="none" w:color="auto"/>
                <w:lang w:val="en-US" w:eastAsia="zh-CN"/>
              </w:rPr>
              <w:t>1</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lang w:val="en-US" w:eastAsia="zh-CN"/>
              </w:rPr>
              <w:t>，如投标人未提供本项内容，则本项评标得分为</w:t>
            </w:r>
            <w:r>
              <w:rPr>
                <w:rFonts w:hint="eastAsia" w:ascii="宋体" w:hAnsi="宋体" w:cs="宋体"/>
                <w:b w:val="0"/>
                <w:bCs/>
                <w:i w:val="0"/>
                <w:color w:val="auto"/>
                <w:szCs w:val="21"/>
                <w:highlight w:val="none"/>
                <w:u w:val="none" w:color="auto"/>
                <w:lang w:val="en-US" w:eastAsia="zh-CN"/>
              </w:rPr>
              <w:t>0分，</w:t>
            </w:r>
            <w:r>
              <w:rPr>
                <w:rFonts w:hint="eastAsia" w:ascii="宋体" w:hAnsi="宋体" w:eastAsia="宋体" w:cs="宋体"/>
                <w:b w:val="0"/>
                <w:bCs/>
                <w:i w:val="0"/>
                <w:color w:val="auto"/>
                <w:szCs w:val="21"/>
                <w:highlight w:val="none"/>
                <w:u w:val="none" w:color="auto"/>
              </w:rPr>
              <w:t>得分范围</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20</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分。</w:t>
            </w:r>
            <w:bookmarkEnd w:id="657"/>
          </w:p>
        </w:tc>
      </w:tr>
      <w:tr w14:paraId="0ACC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jc w:val="center"/>
        </w:trPr>
        <w:tc>
          <w:tcPr>
            <w:tcW w:w="741" w:type="dxa"/>
            <w:vMerge w:val="continue"/>
            <w:vAlign w:val="center"/>
          </w:tcPr>
          <w:p w14:paraId="6A685D0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27AEBD9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技术标（承包人建议书）评分标准</w:t>
            </w:r>
          </w:p>
        </w:tc>
        <w:tc>
          <w:tcPr>
            <w:tcW w:w="2196" w:type="dxa"/>
            <w:vAlign w:val="center"/>
          </w:tcPr>
          <w:p w14:paraId="196189A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highlight w:val="none"/>
                <w:u w:val="none" w:color="auto"/>
              </w:rPr>
              <w:t>工程</w:t>
            </w:r>
            <w:r>
              <w:rPr>
                <w:rFonts w:hint="eastAsia" w:ascii="宋体" w:hAnsi="宋体" w:cs="宋体"/>
                <w:b w:val="0"/>
                <w:i w:val="0"/>
                <w:color w:val="auto"/>
                <w:highlight w:val="none"/>
                <w:u w:val="none" w:color="auto"/>
                <w:lang w:val="en-US" w:eastAsia="zh-CN"/>
              </w:rPr>
              <w:t>设计</w:t>
            </w:r>
            <w:r>
              <w:rPr>
                <w:rFonts w:hint="eastAsia" w:ascii="宋体" w:hAnsi="宋体" w:eastAsia="宋体" w:cs="宋体"/>
                <w:b w:val="0"/>
                <w:i w:val="0"/>
                <w:color w:val="auto"/>
                <w:highlight w:val="none"/>
                <w:u w:val="none" w:color="auto"/>
              </w:rPr>
              <w:t>全面详细说明</w:t>
            </w:r>
          </w:p>
        </w:tc>
        <w:tc>
          <w:tcPr>
            <w:tcW w:w="810" w:type="dxa"/>
            <w:gridSpan w:val="2"/>
            <w:vAlign w:val="center"/>
          </w:tcPr>
          <w:p w14:paraId="5E71130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olor w:val="auto"/>
                <w:szCs w:val="44"/>
                <w:highlight w:val="none"/>
                <w:lang w:val="en-US" w:eastAsia="zh-CN"/>
              </w:rPr>
            </w:pPr>
            <w:r>
              <w:rPr>
                <w:rFonts w:hint="eastAsia" w:ascii="宋体" w:hAnsi="宋体" w:cs="宋体"/>
                <w:b w:val="0"/>
                <w:bCs/>
                <w:i w:val="0"/>
                <w:color w:val="auto"/>
                <w:szCs w:val="21"/>
                <w:highlight w:val="none"/>
                <w:u w:val="none" w:color="auto"/>
                <w:lang w:val="en-US" w:eastAsia="zh-CN"/>
              </w:rPr>
              <w:t>10</w:t>
            </w:r>
          </w:p>
        </w:tc>
        <w:tc>
          <w:tcPr>
            <w:tcW w:w="5270" w:type="dxa"/>
            <w:vAlign w:val="center"/>
          </w:tcPr>
          <w:p w14:paraId="792F40D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评审维度：1.总体安排与资源配置完善；2.工程</w:t>
            </w:r>
            <w:r>
              <w:rPr>
                <w:rFonts w:hint="eastAsia" w:ascii="宋体" w:hAnsi="宋体" w:cs="宋体"/>
                <w:b w:val="0"/>
                <w:bCs/>
                <w:i w:val="0"/>
                <w:color w:val="auto"/>
                <w:szCs w:val="21"/>
                <w:highlight w:val="none"/>
                <w:u w:val="none" w:color="auto"/>
                <w:lang w:val="en-US" w:eastAsia="zh-CN"/>
              </w:rPr>
              <w:t>设计</w:t>
            </w:r>
            <w:r>
              <w:rPr>
                <w:rFonts w:hint="eastAsia" w:ascii="宋体" w:hAnsi="宋体" w:eastAsia="宋体" w:cs="宋体"/>
                <w:b w:val="0"/>
                <w:bCs/>
                <w:i w:val="0"/>
                <w:color w:val="auto"/>
                <w:szCs w:val="21"/>
                <w:highlight w:val="none"/>
                <w:u w:val="none" w:color="auto"/>
              </w:rPr>
              <w:t>进度控制和管理方案；3.质量监督与控制方案科学合理</w:t>
            </w:r>
            <w:r>
              <w:rPr>
                <w:rFonts w:hint="eastAsia" w:ascii="宋体" w:hAnsi="宋体" w:cs="宋体"/>
                <w:b w:val="0"/>
                <w:bCs/>
                <w:i w:val="0"/>
                <w:color w:val="auto"/>
                <w:szCs w:val="21"/>
                <w:highlight w:val="none"/>
                <w:u w:val="none" w:color="auto"/>
                <w:lang w:val="en-US" w:eastAsia="zh-CN"/>
              </w:rPr>
              <w:t>。</w:t>
            </w:r>
          </w:p>
          <w:p w14:paraId="2D478DA1">
            <w:pPr>
              <w:keepNext w:val="0"/>
              <w:keepLines w:val="0"/>
              <w:pageBreakBefore w:val="0"/>
              <w:widowControl w:val="0"/>
              <w:kinsoku/>
              <w:wordWrap/>
              <w:overflowPunct/>
              <w:topLinePunct w:val="0"/>
              <w:autoSpaceDE/>
              <w:autoSpaceDN/>
              <w:bidi w:val="0"/>
              <w:adjustRightInd/>
              <w:snapToGrid/>
              <w:spacing w:line="320" w:lineRule="exact"/>
              <w:jc w:val="both"/>
              <w:textAlignment w:val="auto"/>
              <w:rPr>
                <w:color w:val="auto"/>
                <w:highlight w:val="none"/>
              </w:rPr>
            </w:pPr>
            <w:r>
              <w:rPr>
                <w:rFonts w:hint="eastAsia" w:ascii="宋体" w:hAnsi="宋体" w:eastAsia="宋体" w:cs="宋体"/>
                <w:b w:val="0"/>
                <w:bCs/>
                <w:i w:val="0"/>
                <w:color w:val="auto"/>
                <w:szCs w:val="21"/>
                <w:highlight w:val="none"/>
                <w:u w:val="none" w:color="auto"/>
              </w:rPr>
              <w:t>评审标准：</w:t>
            </w:r>
            <w:bookmarkStart w:id="658" w:name="OLE_LINK5"/>
            <w:r>
              <w:rPr>
                <w:rFonts w:hint="eastAsia" w:ascii="宋体" w:hAnsi="宋体" w:eastAsia="宋体" w:cs="宋体"/>
                <w:b w:val="0"/>
                <w:bCs/>
                <w:i w:val="0"/>
                <w:color w:val="auto"/>
                <w:szCs w:val="21"/>
                <w:highlight w:val="none"/>
                <w:u w:val="none" w:color="auto"/>
              </w:rPr>
              <w:t>优秀得</w:t>
            </w:r>
            <w:r>
              <w:rPr>
                <w:rFonts w:hint="eastAsia" w:ascii="宋体" w:hAnsi="宋体" w:cs="宋体"/>
                <w:b w:val="0"/>
                <w:bCs/>
                <w:i w:val="0"/>
                <w:color w:val="auto"/>
                <w:szCs w:val="21"/>
                <w:highlight w:val="none"/>
                <w:u w:val="none" w:color="auto"/>
                <w:lang w:val="en-US" w:eastAsia="zh-CN"/>
              </w:rPr>
              <w:t>10</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8</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分，良好得</w:t>
            </w:r>
            <w:r>
              <w:rPr>
                <w:rFonts w:hint="eastAsia" w:ascii="宋体" w:hAnsi="宋体" w:cs="宋体"/>
                <w:b w:val="0"/>
                <w:bCs/>
                <w:i w:val="0"/>
                <w:color w:val="auto"/>
                <w:szCs w:val="21"/>
                <w:highlight w:val="none"/>
                <w:u w:val="none" w:color="auto"/>
                <w:lang w:val="en-US" w:eastAsia="zh-CN"/>
              </w:rPr>
              <w:t>7.9</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6</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分，一般得</w:t>
            </w:r>
            <w:r>
              <w:rPr>
                <w:rFonts w:hint="eastAsia" w:ascii="宋体" w:hAnsi="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.9-</w:t>
            </w:r>
            <w:r>
              <w:rPr>
                <w:rFonts w:hint="eastAsia" w:ascii="宋体" w:hAnsi="宋体" w:cs="宋体"/>
                <w:b w:val="0"/>
                <w:bCs/>
                <w:i w:val="0"/>
                <w:color w:val="auto"/>
                <w:szCs w:val="21"/>
                <w:highlight w:val="none"/>
                <w:u w:val="none" w:color="auto"/>
                <w:lang w:val="en-US" w:eastAsia="zh-CN"/>
              </w:rPr>
              <w:t>3</w:t>
            </w:r>
            <w:r>
              <w:rPr>
                <w:rFonts w:hint="eastAsia" w:ascii="宋体" w:hAnsi="宋体" w:eastAsia="宋体" w:cs="宋体"/>
                <w:b w:val="0"/>
                <w:bCs/>
                <w:i w:val="0"/>
                <w:color w:val="auto"/>
                <w:szCs w:val="21"/>
                <w:highlight w:val="none"/>
                <w:u w:val="none" w:color="auto"/>
              </w:rPr>
              <w:t>.</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lang w:val="en-US" w:eastAsia="zh-CN"/>
              </w:rPr>
              <w:t>较差</w:t>
            </w:r>
            <w:r>
              <w:rPr>
                <w:rFonts w:hint="eastAsia" w:ascii="宋体" w:hAnsi="宋体" w:eastAsia="宋体" w:cs="宋体"/>
                <w:b w:val="0"/>
                <w:bCs/>
                <w:i w:val="0"/>
                <w:color w:val="auto"/>
                <w:szCs w:val="21"/>
                <w:highlight w:val="none"/>
                <w:u w:val="none" w:color="auto"/>
              </w:rPr>
              <w:t>得</w:t>
            </w:r>
            <w:r>
              <w:rPr>
                <w:rFonts w:hint="eastAsia" w:ascii="宋体" w:hAnsi="宋体" w:cs="宋体"/>
                <w:b w:val="0"/>
                <w:bCs/>
                <w:i w:val="0"/>
                <w:color w:val="auto"/>
                <w:szCs w:val="21"/>
                <w:highlight w:val="none"/>
                <w:u w:val="none" w:color="auto"/>
                <w:lang w:val="en-US" w:eastAsia="zh-CN"/>
              </w:rPr>
              <w:t>2</w:t>
            </w:r>
            <w:r>
              <w:rPr>
                <w:rFonts w:hint="eastAsia" w:ascii="宋体" w:hAnsi="宋体" w:eastAsia="宋体" w:cs="宋体"/>
                <w:b w:val="0"/>
                <w:bCs/>
                <w:i w:val="0"/>
                <w:color w:val="auto"/>
                <w:szCs w:val="21"/>
                <w:highlight w:val="none"/>
                <w:u w:val="none" w:color="auto"/>
              </w:rPr>
              <w:t>.9-</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w:t>
            </w:r>
            <w:r>
              <w:rPr>
                <w:rFonts w:hint="eastAsia" w:ascii="宋体" w:hAnsi="宋体" w:eastAsia="宋体" w:cs="宋体"/>
                <w:b w:val="0"/>
                <w:bCs/>
                <w:i w:val="0"/>
                <w:color w:val="auto"/>
                <w:szCs w:val="21"/>
                <w:highlight w:val="none"/>
                <w:u w:val="none" w:color="auto"/>
                <w:lang w:val="en-US" w:eastAsia="zh-CN"/>
              </w:rPr>
              <w:t>1</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lang w:val="en-US" w:eastAsia="zh-CN"/>
              </w:rPr>
              <w:t>，如投标人未提供本项内容，则本项评标得分为</w:t>
            </w:r>
            <w:r>
              <w:rPr>
                <w:rFonts w:hint="eastAsia" w:ascii="宋体" w:hAnsi="宋体" w:cs="宋体"/>
                <w:b w:val="0"/>
                <w:bCs/>
                <w:i w:val="0"/>
                <w:color w:val="auto"/>
                <w:szCs w:val="21"/>
                <w:highlight w:val="none"/>
                <w:u w:val="none" w:color="auto"/>
                <w:lang w:val="en-US" w:eastAsia="zh-CN"/>
              </w:rPr>
              <w:t>0分，</w:t>
            </w:r>
            <w:r>
              <w:rPr>
                <w:rFonts w:hint="eastAsia" w:ascii="宋体" w:hAnsi="宋体" w:eastAsia="宋体" w:cs="宋体"/>
                <w:b w:val="0"/>
                <w:bCs/>
                <w:i w:val="0"/>
                <w:color w:val="auto"/>
                <w:szCs w:val="21"/>
                <w:highlight w:val="none"/>
                <w:u w:val="none" w:color="auto"/>
              </w:rPr>
              <w:t>得分范围</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10</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分。</w:t>
            </w:r>
            <w:bookmarkEnd w:id="658"/>
          </w:p>
        </w:tc>
      </w:tr>
      <w:tr w14:paraId="3F7E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jc w:val="center"/>
        </w:trPr>
        <w:tc>
          <w:tcPr>
            <w:tcW w:w="741" w:type="dxa"/>
            <w:vMerge w:val="continue"/>
            <w:vAlign w:val="center"/>
          </w:tcPr>
          <w:p w14:paraId="02B758E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val="0"/>
                <w:i w:val="0"/>
                <w:color w:val="auto"/>
                <w:szCs w:val="21"/>
                <w:highlight w:val="none"/>
                <w:u w:val="none" w:color="auto"/>
              </w:rPr>
            </w:pPr>
          </w:p>
        </w:tc>
        <w:tc>
          <w:tcPr>
            <w:tcW w:w="1059" w:type="dxa"/>
            <w:vMerge w:val="continue"/>
            <w:vAlign w:val="center"/>
          </w:tcPr>
          <w:p w14:paraId="373C1D7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2196" w:type="dxa"/>
            <w:vAlign w:val="center"/>
          </w:tcPr>
          <w:p w14:paraId="72FE8A3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highlight w:val="none"/>
                <w:u w:val="none" w:color="auto"/>
              </w:rPr>
            </w:pPr>
            <w:r>
              <w:rPr>
                <w:rFonts w:hint="eastAsia" w:ascii="宋体" w:hAnsi="宋体" w:eastAsia="宋体" w:cs="宋体"/>
                <w:b w:val="0"/>
                <w:i w:val="0"/>
                <w:color w:val="auto"/>
                <w:highlight w:val="none"/>
                <w:u w:val="none" w:color="auto"/>
              </w:rPr>
              <w:t>总体概述-总平面设</w:t>
            </w:r>
            <w:r>
              <w:rPr>
                <w:rFonts w:hint="eastAsia" w:ascii="宋体" w:hAnsi="宋体" w:cs="宋体"/>
                <w:b w:val="0"/>
                <w:i w:val="0"/>
                <w:color w:val="auto"/>
                <w:highlight w:val="none"/>
                <w:u w:val="none" w:color="auto"/>
                <w:lang w:val="en-US" w:eastAsia="zh-CN"/>
              </w:rPr>
              <w:t>计</w:t>
            </w:r>
          </w:p>
        </w:tc>
        <w:tc>
          <w:tcPr>
            <w:tcW w:w="810" w:type="dxa"/>
            <w:gridSpan w:val="2"/>
            <w:vAlign w:val="center"/>
          </w:tcPr>
          <w:p w14:paraId="67BADF9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b w:val="0"/>
                <w:bCs/>
                <w:i w:val="0"/>
                <w:color w:val="auto"/>
                <w:szCs w:val="21"/>
                <w:highlight w:val="none"/>
                <w:u w:val="none" w:color="auto"/>
                <w:lang w:val="en-US" w:eastAsia="zh-CN"/>
              </w:rPr>
            </w:pPr>
            <w:r>
              <w:rPr>
                <w:rFonts w:hint="eastAsia" w:ascii="宋体" w:hAnsi="宋体" w:cs="宋体"/>
                <w:b w:val="0"/>
                <w:bCs/>
                <w:i w:val="0"/>
                <w:color w:val="auto"/>
                <w:szCs w:val="21"/>
                <w:highlight w:val="none"/>
                <w:u w:val="none" w:color="auto"/>
                <w:lang w:val="en-US" w:eastAsia="zh-CN"/>
              </w:rPr>
              <w:t>3</w:t>
            </w:r>
          </w:p>
        </w:tc>
        <w:tc>
          <w:tcPr>
            <w:tcW w:w="5270" w:type="dxa"/>
            <w:vAlign w:val="center"/>
          </w:tcPr>
          <w:p w14:paraId="4EAC356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评审维度：1.总体概述描述符合规范，合理、可行；</w:t>
            </w:r>
            <w:r>
              <w:rPr>
                <w:rFonts w:hint="eastAsia" w:ascii="宋体" w:hAnsi="宋体" w:cs="宋体"/>
                <w:b w:val="0"/>
                <w:bCs/>
                <w:i w:val="0"/>
                <w:color w:val="auto"/>
                <w:szCs w:val="21"/>
                <w:highlight w:val="none"/>
                <w:u w:val="none" w:color="auto"/>
                <w:lang w:val="en-US" w:eastAsia="zh-CN"/>
              </w:rPr>
              <w:t>2</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有</w:t>
            </w:r>
            <w:r>
              <w:rPr>
                <w:rFonts w:hint="eastAsia" w:ascii="宋体" w:hAnsi="宋体" w:eastAsia="宋体" w:cs="宋体"/>
                <w:b w:val="0"/>
                <w:bCs/>
                <w:i w:val="0"/>
                <w:color w:val="auto"/>
                <w:szCs w:val="21"/>
                <w:highlight w:val="none"/>
                <w:u w:val="none" w:color="auto"/>
              </w:rPr>
              <w:t>总平面设计</w:t>
            </w:r>
            <w:r>
              <w:rPr>
                <w:rFonts w:hint="eastAsia" w:ascii="宋体" w:hAnsi="宋体" w:cs="宋体"/>
                <w:b w:val="0"/>
                <w:bCs/>
                <w:i w:val="0"/>
                <w:color w:val="auto"/>
                <w:szCs w:val="21"/>
                <w:highlight w:val="none"/>
                <w:u w:val="none" w:color="auto"/>
                <w:lang w:eastAsia="zh-CN"/>
              </w:rPr>
              <w:t>；</w:t>
            </w:r>
            <w:r>
              <w:rPr>
                <w:rFonts w:hint="eastAsia" w:ascii="宋体" w:hAnsi="宋体" w:cs="宋体"/>
                <w:b w:val="0"/>
                <w:bCs/>
                <w:i w:val="0"/>
                <w:color w:val="auto"/>
                <w:szCs w:val="21"/>
                <w:highlight w:val="none"/>
                <w:u w:val="none" w:color="auto"/>
                <w:lang w:val="en-US" w:eastAsia="zh-CN"/>
              </w:rPr>
              <w:t>3</w:t>
            </w:r>
            <w:r>
              <w:rPr>
                <w:rFonts w:hint="eastAsia" w:ascii="宋体" w:hAnsi="宋体" w:eastAsia="宋体" w:cs="宋体"/>
                <w:b w:val="0"/>
                <w:bCs/>
                <w:i w:val="0"/>
                <w:color w:val="auto"/>
                <w:szCs w:val="21"/>
                <w:highlight w:val="none"/>
                <w:u w:val="none" w:color="auto"/>
              </w:rPr>
              <w:t>.总平面设计对现状、交通、绿化、竖向、消防等进行分析。</w:t>
            </w:r>
          </w:p>
          <w:p w14:paraId="62D2199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i w:val="0"/>
                <w:color w:val="auto"/>
                <w:szCs w:val="21"/>
                <w:highlight w:val="none"/>
                <w:u w:val="none" w:color="auto"/>
              </w:rPr>
            </w:pPr>
            <w:r>
              <w:rPr>
                <w:rFonts w:hint="eastAsia" w:ascii="宋体" w:hAnsi="宋体" w:eastAsia="宋体" w:cs="宋体"/>
                <w:b w:val="0"/>
                <w:bCs/>
                <w:i w:val="0"/>
                <w:color w:val="auto"/>
                <w:szCs w:val="21"/>
                <w:highlight w:val="none"/>
                <w:u w:val="none" w:color="auto"/>
              </w:rPr>
              <w:t>评审标准：优秀得</w:t>
            </w:r>
            <w:r>
              <w:rPr>
                <w:rFonts w:hint="eastAsia" w:ascii="宋体" w:hAnsi="宋体" w:cs="宋体"/>
                <w:b w:val="0"/>
                <w:bCs/>
                <w:i w:val="0"/>
                <w:color w:val="auto"/>
                <w:szCs w:val="21"/>
                <w:highlight w:val="none"/>
                <w:u w:val="none" w:color="auto"/>
                <w:lang w:val="en-US" w:eastAsia="zh-CN"/>
              </w:rPr>
              <w:t>3.0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2.1</w:t>
            </w:r>
            <w:r>
              <w:rPr>
                <w:rFonts w:hint="eastAsia" w:ascii="宋体" w:hAnsi="宋体" w:eastAsia="宋体" w:cs="宋体"/>
                <w:b w:val="0"/>
                <w:bCs/>
                <w:i w:val="0"/>
                <w:color w:val="auto"/>
                <w:szCs w:val="21"/>
                <w:highlight w:val="none"/>
                <w:u w:val="none" w:color="auto"/>
              </w:rPr>
              <w:t>分，良好得</w:t>
            </w:r>
            <w:r>
              <w:rPr>
                <w:rFonts w:hint="eastAsia" w:ascii="宋体" w:hAnsi="宋体" w:cs="宋体"/>
                <w:b w:val="0"/>
                <w:bCs/>
                <w:i w:val="0"/>
                <w:color w:val="auto"/>
                <w:szCs w:val="21"/>
                <w:highlight w:val="none"/>
                <w:u w:val="none" w:color="auto"/>
                <w:lang w:val="en-US" w:eastAsia="zh-CN"/>
              </w:rPr>
              <w:t>2</w:t>
            </w:r>
            <w:r>
              <w:rPr>
                <w:rFonts w:hint="eastAsia" w:ascii="宋体" w:hAnsi="宋体" w:eastAsia="宋体" w:cs="宋体"/>
                <w:b w:val="0"/>
                <w:bCs/>
                <w:i w:val="0"/>
                <w:color w:val="auto"/>
                <w:szCs w:val="21"/>
                <w:highlight w:val="none"/>
                <w:u w:val="none" w:color="auto"/>
              </w:rPr>
              <w:t>-1</w:t>
            </w:r>
            <w:r>
              <w:rPr>
                <w:rFonts w:hint="eastAsia" w:ascii="宋体" w:hAnsi="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分，一般得0.9-0.5分，</w:t>
            </w:r>
            <w:r>
              <w:rPr>
                <w:rFonts w:hint="eastAsia" w:ascii="宋体" w:hAnsi="宋体" w:cs="宋体"/>
                <w:b w:val="0"/>
                <w:bCs/>
                <w:i w:val="0"/>
                <w:color w:val="auto"/>
                <w:szCs w:val="21"/>
                <w:highlight w:val="none"/>
                <w:u w:val="none" w:color="auto"/>
                <w:lang w:val="en-US" w:eastAsia="zh-CN"/>
              </w:rPr>
              <w:t>较差得</w:t>
            </w:r>
            <w:r>
              <w:rPr>
                <w:rFonts w:hint="eastAsia" w:ascii="宋体" w:hAnsi="宋体" w:eastAsia="宋体" w:cs="宋体"/>
                <w:b w:val="0"/>
                <w:bCs/>
                <w:i w:val="0"/>
                <w:color w:val="auto"/>
                <w:szCs w:val="21"/>
                <w:highlight w:val="none"/>
                <w:u w:val="none" w:color="auto"/>
              </w:rPr>
              <w:t>0.</w:t>
            </w:r>
            <w:r>
              <w:rPr>
                <w:rFonts w:hint="eastAsia" w:ascii="宋体" w:hAnsi="宋体" w:cs="宋体"/>
                <w:b w:val="0"/>
                <w:bCs/>
                <w:i w:val="0"/>
                <w:color w:val="auto"/>
                <w:szCs w:val="21"/>
                <w:highlight w:val="none"/>
                <w:u w:val="none" w:color="auto"/>
                <w:lang w:val="en-US" w:eastAsia="zh-CN"/>
              </w:rPr>
              <w:t>4</w:t>
            </w:r>
            <w:r>
              <w:rPr>
                <w:rFonts w:hint="eastAsia" w:ascii="宋体" w:hAnsi="宋体" w:eastAsia="宋体" w:cs="宋体"/>
                <w:b w:val="0"/>
                <w:bCs/>
                <w:i w:val="0"/>
                <w:color w:val="auto"/>
                <w:szCs w:val="21"/>
                <w:highlight w:val="none"/>
                <w:u w:val="none" w:color="auto"/>
              </w:rPr>
              <w:t>-</w:t>
            </w:r>
            <w:r>
              <w:rPr>
                <w:rFonts w:hint="eastAsia" w:ascii="宋体" w:hAnsi="宋体" w:eastAsia="宋体" w:cs="宋体"/>
                <w:b w:val="0"/>
                <w:bCs/>
                <w:i w:val="0"/>
                <w:color w:val="auto"/>
                <w:szCs w:val="21"/>
                <w:highlight w:val="none"/>
                <w:u w:val="none" w:color="auto"/>
                <w:lang w:val="en-US" w:eastAsia="zh-CN"/>
              </w:rPr>
              <w:t>0.1</w:t>
            </w:r>
            <w:r>
              <w:rPr>
                <w:rFonts w:hint="eastAsia" w:ascii="宋体" w:hAnsi="宋体" w:eastAsia="宋体" w:cs="宋体"/>
                <w:b w:val="0"/>
                <w:bCs/>
                <w:i w:val="0"/>
                <w:color w:val="auto"/>
                <w:szCs w:val="21"/>
                <w:highlight w:val="none"/>
                <w:u w:val="none" w:color="auto"/>
              </w:rPr>
              <w:t>分。如投标人未提供本项内容，则本项评标得分为0分</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得分范围</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3</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分</w:t>
            </w:r>
          </w:p>
        </w:tc>
      </w:tr>
      <w:tr w14:paraId="2B17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jc w:val="center"/>
        </w:trPr>
        <w:tc>
          <w:tcPr>
            <w:tcW w:w="741" w:type="dxa"/>
            <w:vMerge w:val="continue"/>
            <w:vAlign w:val="center"/>
          </w:tcPr>
          <w:p w14:paraId="6A5C083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val="0"/>
                <w:i w:val="0"/>
                <w:color w:val="auto"/>
                <w:szCs w:val="21"/>
                <w:highlight w:val="none"/>
                <w:u w:val="none" w:color="auto"/>
              </w:rPr>
            </w:pPr>
          </w:p>
        </w:tc>
        <w:tc>
          <w:tcPr>
            <w:tcW w:w="1059" w:type="dxa"/>
            <w:vMerge w:val="continue"/>
            <w:vAlign w:val="center"/>
          </w:tcPr>
          <w:p w14:paraId="4A51235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2196" w:type="dxa"/>
            <w:vAlign w:val="center"/>
          </w:tcPr>
          <w:p w14:paraId="06C1E14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highlight w:val="none"/>
                <w:u w:val="none" w:color="auto"/>
              </w:rPr>
            </w:pPr>
            <w:r>
              <w:rPr>
                <w:rFonts w:hint="eastAsia" w:ascii="宋体" w:hAnsi="宋体" w:eastAsia="宋体" w:cs="宋体"/>
                <w:b w:val="0"/>
                <w:i w:val="0"/>
                <w:color w:val="auto"/>
                <w:highlight w:val="none"/>
                <w:u w:val="none" w:color="auto"/>
              </w:rPr>
              <w:t>设计重难点分析</w:t>
            </w:r>
            <w:r>
              <w:rPr>
                <w:rFonts w:hint="eastAsia" w:ascii="宋体" w:hAnsi="宋体" w:cs="宋体"/>
                <w:b w:val="0"/>
                <w:i w:val="0"/>
                <w:color w:val="auto"/>
                <w:highlight w:val="none"/>
                <w:u w:val="none" w:color="auto"/>
                <w:lang w:val="en-US" w:eastAsia="zh-CN"/>
              </w:rPr>
              <w:t>及深化设计</w:t>
            </w:r>
          </w:p>
        </w:tc>
        <w:tc>
          <w:tcPr>
            <w:tcW w:w="810" w:type="dxa"/>
            <w:gridSpan w:val="2"/>
            <w:vAlign w:val="center"/>
          </w:tcPr>
          <w:p w14:paraId="75C8B30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b w:val="0"/>
                <w:bCs/>
                <w:i w:val="0"/>
                <w:color w:val="auto"/>
                <w:szCs w:val="21"/>
                <w:highlight w:val="none"/>
                <w:u w:val="none" w:color="auto"/>
                <w:lang w:val="en-US" w:eastAsia="zh-CN"/>
              </w:rPr>
            </w:pPr>
            <w:r>
              <w:rPr>
                <w:rFonts w:hint="eastAsia" w:ascii="宋体" w:hAnsi="宋体" w:cs="宋体"/>
                <w:b w:val="0"/>
                <w:bCs/>
                <w:i w:val="0"/>
                <w:color w:val="auto"/>
                <w:szCs w:val="21"/>
                <w:highlight w:val="none"/>
                <w:u w:val="none" w:color="auto"/>
                <w:lang w:val="en-US" w:eastAsia="zh-CN"/>
              </w:rPr>
              <w:t>5</w:t>
            </w:r>
          </w:p>
        </w:tc>
        <w:tc>
          <w:tcPr>
            <w:tcW w:w="5270" w:type="dxa"/>
            <w:vAlign w:val="center"/>
          </w:tcPr>
          <w:tbl>
            <w:tblPr>
              <w:tblStyle w:val="25"/>
              <w:tblW w:w="100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86"/>
            </w:tblGrid>
            <w:tr w14:paraId="0835E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9" w:hRule="atLeast"/>
                <w:jc w:val="center"/>
              </w:trPr>
              <w:tc>
                <w:tcPr>
                  <w:tcW w:w="5186" w:type="dxa"/>
                  <w:vAlign w:val="center"/>
                </w:tcPr>
                <w:p w14:paraId="5F72806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i w:val="0"/>
                      <w:color w:val="auto"/>
                      <w:szCs w:val="21"/>
                      <w:highlight w:val="none"/>
                      <w:u w:val="none" w:color="auto"/>
                      <w:lang w:val="en-US" w:eastAsia="zh-CN"/>
                    </w:rPr>
                  </w:pPr>
                  <w:r>
                    <w:rPr>
                      <w:rFonts w:hint="eastAsia" w:ascii="宋体" w:hAnsi="宋体" w:eastAsia="宋体" w:cs="宋体"/>
                      <w:b w:val="0"/>
                      <w:bCs/>
                      <w:i w:val="0"/>
                      <w:color w:val="auto"/>
                      <w:szCs w:val="21"/>
                      <w:highlight w:val="none"/>
                      <w:u w:val="none" w:color="auto"/>
                    </w:rPr>
                    <w:t>评审维度：1.结合项目实际情况及使用功能，对项目设计的重点、难点作出准确分析，针对性强，表述全面准确；</w:t>
                  </w:r>
                  <w:r>
                    <w:rPr>
                      <w:rFonts w:hint="eastAsia" w:ascii="宋体" w:hAnsi="宋体" w:cs="宋体"/>
                      <w:b w:val="0"/>
                      <w:bCs/>
                      <w:i w:val="0"/>
                      <w:color w:val="auto"/>
                      <w:szCs w:val="21"/>
                      <w:highlight w:val="none"/>
                      <w:u w:val="none" w:color="auto"/>
                      <w:lang w:val="en-US" w:eastAsia="zh-CN"/>
                    </w:rPr>
                    <w:t>2</w:t>
                  </w:r>
                  <w:r>
                    <w:rPr>
                      <w:rFonts w:hint="eastAsia" w:ascii="宋体" w:hAnsi="宋体" w:eastAsia="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解决方案科学、安全、经济、可操作性强</w:t>
                  </w:r>
                  <w:r>
                    <w:rPr>
                      <w:rFonts w:hint="eastAsia" w:ascii="宋体" w:hAnsi="宋体" w:cs="宋体"/>
                      <w:b w:val="0"/>
                      <w:bCs/>
                      <w:i w:val="0"/>
                      <w:color w:val="auto"/>
                      <w:szCs w:val="21"/>
                      <w:highlight w:val="none"/>
                      <w:u w:val="none" w:color="auto"/>
                      <w:lang w:val="en-US" w:eastAsia="zh-CN"/>
                    </w:rPr>
                    <w:t>；3.</w:t>
                  </w:r>
                  <w:r>
                    <w:rPr>
                      <w:rFonts w:hint="eastAsia" w:ascii="宋体" w:hAnsi="宋体" w:eastAsia="宋体" w:cs="宋体"/>
                      <w:b w:val="0"/>
                      <w:bCs/>
                      <w:i w:val="0"/>
                      <w:color w:val="auto"/>
                      <w:szCs w:val="21"/>
                      <w:highlight w:val="none"/>
                      <w:u w:val="none" w:color="auto"/>
                    </w:rPr>
                    <w:t>结合本项目特点，对基坑工程</w:t>
                  </w:r>
                  <w:r>
                    <w:rPr>
                      <w:rFonts w:hint="eastAsia" w:ascii="宋体" w:hAnsi="宋体" w:cs="宋体"/>
                      <w:b w:val="0"/>
                      <w:bCs/>
                      <w:i w:val="0"/>
                      <w:color w:val="auto"/>
                      <w:szCs w:val="21"/>
                      <w:highlight w:val="none"/>
                      <w:u w:val="none" w:color="auto"/>
                      <w:lang w:val="en-US" w:eastAsia="zh-CN"/>
                    </w:rPr>
                    <w:t>及</w:t>
                  </w:r>
                  <w:r>
                    <w:rPr>
                      <w:rFonts w:hint="eastAsia" w:ascii="宋体" w:hAnsi="宋体" w:eastAsia="宋体" w:cs="宋体"/>
                      <w:b w:val="0"/>
                      <w:bCs/>
                      <w:i w:val="0"/>
                      <w:color w:val="auto"/>
                      <w:szCs w:val="21"/>
                      <w:highlight w:val="none"/>
                      <w:u w:val="none" w:color="auto"/>
                    </w:rPr>
                    <w:t>结构基础工程进行合理的分析和比选</w:t>
                  </w:r>
                  <w:r>
                    <w:rPr>
                      <w:rFonts w:hint="eastAsia" w:ascii="宋体" w:hAnsi="宋体" w:cs="宋体"/>
                      <w:b w:val="0"/>
                      <w:bCs/>
                      <w:i w:val="0"/>
                      <w:color w:val="auto"/>
                      <w:szCs w:val="21"/>
                      <w:highlight w:val="none"/>
                      <w:u w:val="none" w:color="auto"/>
                      <w:lang w:eastAsia="zh-CN"/>
                    </w:rPr>
                    <w:t>。</w:t>
                  </w:r>
                </w:p>
                <w:p w14:paraId="6F98678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i w:val="0"/>
                      <w:color w:val="auto"/>
                      <w:szCs w:val="21"/>
                      <w:highlight w:val="none"/>
                      <w:u w:val="none" w:color="auto"/>
                    </w:rPr>
                  </w:pPr>
                  <w:r>
                    <w:rPr>
                      <w:rFonts w:hint="eastAsia" w:ascii="宋体" w:hAnsi="宋体" w:eastAsia="宋体" w:cs="宋体"/>
                      <w:b w:val="0"/>
                      <w:bCs/>
                      <w:i w:val="0"/>
                      <w:color w:val="auto"/>
                      <w:szCs w:val="21"/>
                      <w:highlight w:val="none"/>
                      <w:u w:val="none" w:color="auto"/>
                    </w:rPr>
                    <w:t>评审标准：优秀得</w:t>
                  </w:r>
                  <w:r>
                    <w:rPr>
                      <w:rFonts w:hint="eastAsia" w:ascii="宋体" w:hAnsi="宋体" w:cs="宋体"/>
                      <w:b w:val="0"/>
                      <w:bCs/>
                      <w:i w:val="0"/>
                      <w:color w:val="auto"/>
                      <w:szCs w:val="21"/>
                      <w:highlight w:val="none"/>
                      <w:u w:val="none" w:color="auto"/>
                      <w:lang w:val="en-US" w:eastAsia="zh-CN"/>
                    </w:rPr>
                    <w:t>5.0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4.0</w:t>
                  </w:r>
                  <w:r>
                    <w:rPr>
                      <w:rFonts w:hint="eastAsia" w:ascii="宋体" w:hAnsi="宋体" w:eastAsia="宋体" w:cs="宋体"/>
                      <w:b w:val="0"/>
                      <w:bCs/>
                      <w:i w:val="0"/>
                      <w:color w:val="auto"/>
                      <w:szCs w:val="21"/>
                      <w:highlight w:val="none"/>
                      <w:u w:val="none" w:color="auto"/>
                    </w:rPr>
                    <w:t>分，良好得</w:t>
                  </w:r>
                  <w:r>
                    <w:rPr>
                      <w:rFonts w:hint="eastAsia" w:ascii="宋体" w:hAnsi="宋体" w:cs="宋体"/>
                      <w:b w:val="0"/>
                      <w:bCs/>
                      <w:i w:val="0"/>
                      <w:color w:val="auto"/>
                      <w:szCs w:val="21"/>
                      <w:highlight w:val="none"/>
                      <w:u w:val="none" w:color="auto"/>
                      <w:lang w:val="en-US" w:eastAsia="zh-CN"/>
                    </w:rPr>
                    <w:t>3</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9</w:t>
                  </w:r>
                  <w:r>
                    <w:rPr>
                      <w:rFonts w:hint="eastAsia" w:ascii="宋体" w:hAnsi="宋体" w:eastAsia="宋体" w:cs="宋体"/>
                      <w:b w:val="0"/>
                      <w:bCs/>
                      <w:i w:val="0"/>
                      <w:color w:val="auto"/>
                      <w:szCs w:val="21"/>
                      <w:highlight w:val="none"/>
                      <w:u w:val="none" w:color="auto"/>
                    </w:rPr>
                    <w:t>-</w:t>
                  </w:r>
                  <w:r>
                    <w:rPr>
                      <w:rFonts w:hint="eastAsia" w:ascii="宋体" w:hAnsi="宋体" w:eastAsia="宋体" w:cs="宋体"/>
                      <w:b w:val="0"/>
                      <w:bCs/>
                      <w:i w:val="0"/>
                      <w:color w:val="auto"/>
                      <w:szCs w:val="21"/>
                      <w:highlight w:val="none"/>
                      <w:u w:val="none" w:color="auto"/>
                      <w:lang w:val="en-US" w:eastAsia="zh-CN"/>
                    </w:rPr>
                    <w:t>3</w:t>
                  </w:r>
                  <w:r>
                    <w:rPr>
                      <w:rFonts w:hint="eastAsia" w:ascii="宋体" w:hAnsi="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分，一般得</w:t>
                  </w:r>
                  <w:r>
                    <w:rPr>
                      <w:rFonts w:hint="eastAsia" w:ascii="宋体" w:hAnsi="宋体" w:eastAsia="宋体" w:cs="宋体"/>
                      <w:b w:val="0"/>
                      <w:bCs/>
                      <w:i w:val="0"/>
                      <w:color w:val="auto"/>
                      <w:szCs w:val="21"/>
                      <w:highlight w:val="none"/>
                      <w:u w:val="none" w:color="auto"/>
                      <w:lang w:val="en-US" w:eastAsia="zh-CN"/>
                    </w:rPr>
                    <w:t>2</w:t>
                  </w:r>
                  <w:r>
                    <w:rPr>
                      <w:rFonts w:hint="eastAsia" w:ascii="宋体" w:hAnsi="宋体" w:eastAsia="宋体" w:cs="宋体"/>
                      <w:b w:val="0"/>
                      <w:bCs/>
                      <w:i w:val="0"/>
                      <w:color w:val="auto"/>
                      <w:szCs w:val="21"/>
                      <w:highlight w:val="none"/>
                      <w:u w:val="none" w:color="auto"/>
                    </w:rPr>
                    <w:t>.9-</w:t>
                  </w:r>
                  <w:r>
                    <w:rPr>
                      <w:rFonts w:hint="eastAsia" w:ascii="宋体" w:hAnsi="宋体" w:eastAsia="宋体" w:cs="宋体"/>
                      <w:b w:val="0"/>
                      <w:bCs/>
                      <w:i w:val="0"/>
                      <w:color w:val="auto"/>
                      <w:szCs w:val="21"/>
                      <w:highlight w:val="none"/>
                      <w:u w:val="none" w:color="auto"/>
                      <w:lang w:val="en-US" w:eastAsia="zh-CN"/>
                    </w:rPr>
                    <w:t>1.0</w:t>
                  </w:r>
                  <w:r>
                    <w:rPr>
                      <w:rFonts w:hint="eastAsia" w:ascii="宋体" w:hAnsi="宋体" w:eastAsia="宋体" w:cs="宋体"/>
                      <w:b w:val="0"/>
                      <w:bCs/>
                      <w:i w:val="0"/>
                      <w:color w:val="auto"/>
                      <w:szCs w:val="21"/>
                      <w:highlight w:val="none"/>
                      <w:u w:val="none" w:color="auto"/>
                    </w:rPr>
                    <w:t>分，</w:t>
                  </w:r>
                  <w:r>
                    <w:rPr>
                      <w:rFonts w:hint="eastAsia" w:ascii="宋体" w:hAnsi="宋体" w:cs="宋体"/>
                      <w:b w:val="0"/>
                      <w:bCs/>
                      <w:i w:val="0"/>
                      <w:color w:val="auto"/>
                      <w:szCs w:val="21"/>
                      <w:highlight w:val="none"/>
                      <w:u w:val="none" w:color="auto"/>
                      <w:lang w:val="en-US" w:eastAsia="zh-CN"/>
                    </w:rPr>
                    <w:t>较差得</w:t>
                  </w:r>
                  <w:r>
                    <w:rPr>
                      <w:rFonts w:hint="eastAsia" w:ascii="宋体" w:hAnsi="宋体" w:eastAsia="宋体" w:cs="宋体"/>
                      <w:b w:val="0"/>
                      <w:bCs/>
                      <w:i w:val="0"/>
                      <w:color w:val="auto"/>
                      <w:szCs w:val="21"/>
                      <w:highlight w:val="none"/>
                      <w:u w:val="none" w:color="auto"/>
                    </w:rPr>
                    <w:t>0.</w:t>
                  </w:r>
                  <w:r>
                    <w:rPr>
                      <w:rFonts w:hint="eastAsia" w:ascii="宋体" w:hAnsi="宋体" w:cs="宋体"/>
                      <w:b w:val="0"/>
                      <w:bCs/>
                      <w:i w:val="0"/>
                      <w:color w:val="auto"/>
                      <w:szCs w:val="21"/>
                      <w:highlight w:val="none"/>
                      <w:u w:val="none" w:color="auto"/>
                      <w:lang w:val="en-US" w:eastAsia="zh-CN"/>
                    </w:rPr>
                    <w:t>9</w:t>
                  </w:r>
                  <w:r>
                    <w:rPr>
                      <w:rFonts w:hint="eastAsia" w:ascii="宋体" w:hAnsi="宋体" w:eastAsia="宋体" w:cs="宋体"/>
                      <w:b w:val="0"/>
                      <w:bCs/>
                      <w:i w:val="0"/>
                      <w:color w:val="auto"/>
                      <w:szCs w:val="21"/>
                      <w:highlight w:val="none"/>
                      <w:u w:val="none" w:color="auto"/>
                    </w:rPr>
                    <w:t>-</w:t>
                  </w:r>
                  <w:r>
                    <w:rPr>
                      <w:rFonts w:hint="eastAsia" w:ascii="宋体" w:hAnsi="宋体" w:eastAsia="宋体" w:cs="宋体"/>
                      <w:b w:val="0"/>
                      <w:bCs/>
                      <w:i w:val="0"/>
                      <w:color w:val="auto"/>
                      <w:szCs w:val="21"/>
                      <w:highlight w:val="none"/>
                      <w:u w:val="none" w:color="auto"/>
                      <w:lang w:val="en-US" w:eastAsia="zh-CN"/>
                    </w:rPr>
                    <w:t>0.1</w:t>
                  </w:r>
                  <w:r>
                    <w:rPr>
                      <w:rFonts w:hint="eastAsia" w:ascii="宋体" w:hAnsi="宋体" w:eastAsia="宋体" w:cs="宋体"/>
                      <w:b w:val="0"/>
                      <w:bCs/>
                      <w:i w:val="0"/>
                      <w:color w:val="auto"/>
                      <w:szCs w:val="21"/>
                      <w:highlight w:val="none"/>
                      <w:u w:val="none" w:color="auto"/>
                    </w:rPr>
                    <w:t>分。如投标人未提供本项内容，则本项评标得分为0分</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得分范围</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分。</w:t>
                  </w:r>
                </w:p>
              </w:tc>
            </w:tr>
          </w:tbl>
          <w:p w14:paraId="6F7C048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i w:val="0"/>
                <w:color w:val="auto"/>
                <w:szCs w:val="21"/>
                <w:highlight w:val="none"/>
                <w:u w:val="none" w:color="auto"/>
              </w:rPr>
            </w:pPr>
          </w:p>
        </w:tc>
      </w:tr>
      <w:tr w14:paraId="6E02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jc w:val="center"/>
        </w:trPr>
        <w:tc>
          <w:tcPr>
            <w:tcW w:w="741" w:type="dxa"/>
            <w:vMerge w:val="continue"/>
            <w:vAlign w:val="center"/>
          </w:tcPr>
          <w:p w14:paraId="760BD30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val="0"/>
                <w:i w:val="0"/>
                <w:color w:val="auto"/>
                <w:szCs w:val="21"/>
                <w:highlight w:val="none"/>
                <w:u w:val="none" w:color="auto"/>
              </w:rPr>
            </w:pPr>
          </w:p>
        </w:tc>
        <w:tc>
          <w:tcPr>
            <w:tcW w:w="1059" w:type="dxa"/>
            <w:vMerge w:val="continue"/>
            <w:vAlign w:val="center"/>
          </w:tcPr>
          <w:p w14:paraId="6B3B260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2196" w:type="dxa"/>
            <w:vAlign w:val="center"/>
          </w:tcPr>
          <w:p w14:paraId="0D80DEF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highlight w:val="none"/>
                <w:u w:val="none" w:color="auto"/>
              </w:rPr>
            </w:pPr>
            <w:r>
              <w:rPr>
                <w:rFonts w:hint="eastAsia" w:ascii="宋体" w:hAnsi="宋体" w:eastAsia="宋体" w:cs="宋体"/>
                <w:b w:val="0"/>
                <w:i w:val="0"/>
                <w:color w:val="auto"/>
                <w:highlight w:val="none"/>
                <w:u w:val="none" w:color="auto"/>
              </w:rPr>
              <w:t>设计方案</w:t>
            </w:r>
            <w:r>
              <w:rPr>
                <w:rFonts w:hint="eastAsia" w:ascii="宋体" w:hAnsi="宋体" w:cs="宋体"/>
                <w:b w:val="0"/>
                <w:i w:val="0"/>
                <w:color w:val="auto"/>
                <w:highlight w:val="none"/>
                <w:u w:val="none" w:color="auto"/>
                <w:lang w:eastAsia="zh-CN"/>
              </w:rPr>
              <w:t>、</w:t>
            </w:r>
            <w:r>
              <w:rPr>
                <w:rFonts w:hint="eastAsia" w:ascii="宋体" w:hAnsi="宋体" w:eastAsia="宋体" w:cs="宋体"/>
                <w:b w:val="0"/>
                <w:i w:val="0"/>
                <w:color w:val="auto"/>
                <w:highlight w:val="none"/>
                <w:u w:val="none" w:color="auto"/>
              </w:rPr>
              <w:t>专项设计方案</w:t>
            </w:r>
            <w:r>
              <w:rPr>
                <w:rFonts w:hint="eastAsia" w:ascii="宋体" w:hAnsi="宋体" w:cs="宋体"/>
                <w:b w:val="0"/>
                <w:i w:val="0"/>
                <w:color w:val="auto"/>
                <w:highlight w:val="none"/>
                <w:u w:val="none" w:color="auto"/>
                <w:lang w:val="en-US" w:eastAsia="zh-CN"/>
              </w:rPr>
              <w:t>及</w:t>
            </w:r>
            <w:r>
              <w:rPr>
                <w:rFonts w:hint="eastAsia" w:ascii="宋体" w:hAnsi="宋体" w:eastAsia="宋体" w:cs="宋体"/>
                <w:b w:val="0"/>
                <w:i w:val="0"/>
                <w:color w:val="auto"/>
                <w:highlight w:val="none"/>
                <w:u w:val="none" w:color="auto"/>
              </w:rPr>
              <w:t>设计服务大纲</w:t>
            </w:r>
          </w:p>
        </w:tc>
        <w:tc>
          <w:tcPr>
            <w:tcW w:w="810" w:type="dxa"/>
            <w:gridSpan w:val="2"/>
            <w:vAlign w:val="center"/>
          </w:tcPr>
          <w:p w14:paraId="45BD108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b w:val="0"/>
                <w:bCs/>
                <w:i w:val="0"/>
                <w:color w:val="auto"/>
                <w:szCs w:val="21"/>
                <w:highlight w:val="none"/>
                <w:u w:val="none" w:color="auto"/>
                <w:lang w:val="en-US" w:eastAsia="zh-CN"/>
              </w:rPr>
            </w:pPr>
            <w:r>
              <w:rPr>
                <w:rFonts w:hint="eastAsia" w:ascii="宋体" w:hAnsi="宋体" w:cs="宋体"/>
                <w:b w:val="0"/>
                <w:bCs/>
                <w:i w:val="0"/>
                <w:color w:val="auto"/>
                <w:szCs w:val="21"/>
                <w:highlight w:val="none"/>
                <w:u w:val="none" w:color="auto"/>
                <w:lang w:val="en-US" w:eastAsia="zh-CN"/>
              </w:rPr>
              <w:t>5</w:t>
            </w:r>
          </w:p>
        </w:tc>
        <w:tc>
          <w:tcPr>
            <w:tcW w:w="5270" w:type="dxa"/>
            <w:vAlign w:val="center"/>
          </w:tcPr>
          <w:p w14:paraId="7589508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i w:val="0"/>
                <w:color w:val="auto"/>
                <w:szCs w:val="21"/>
                <w:highlight w:val="none"/>
                <w:u w:val="none" w:color="auto"/>
                <w:lang w:val="en-US" w:eastAsia="zh-CN"/>
              </w:rPr>
            </w:pPr>
            <w:r>
              <w:rPr>
                <w:rFonts w:hint="eastAsia" w:ascii="宋体" w:hAnsi="宋体" w:eastAsia="宋体" w:cs="宋体"/>
                <w:b w:val="0"/>
                <w:bCs/>
                <w:i w:val="0"/>
                <w:color w:val="auto"/>
                <w:szCs w:val="21"/>
                <w:highlight w:val="none"/>
                <w:u w:val="none" w:color="auto"/>
              </w:rPr>
              <w:t>评审维度：1</w:t>
            </w:r>
            <w:r>
              <w:rPr>
                <w:rFonts w:hint="eastAsia" w:ascii="宋体" w:hAnsi="宋体" w:cs="宋体"/>
                <w:b w:val="0"/>
                <w:bCs/>
                <w:i w:val="0"/>
                <w:color w:val="auto"/>
                <w:szCs w:val="21"/>
                <w:highlight w:val="none"/>
                <w:u w:val="none" w:color="auto"/>
                <w:lang w:val="en-US" w:eastAsia="zh-CN"/>
              </w:rPr>
              <w:t>.设计方案包含总体布局、建筑造型、空间效果的设计成果及必要的设计方案说明</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2.专项设计方案应包含景观方案、装修方案、智能化方案等相关设计内容；3.</w:t>
            </w:r>
            <w:r>
              <w:rPr>
                <w:rFonts w:hint="eastAsia" w:ascii="宋体" w:hAnsi="宋体" w:eastAsia="宋体" w:cs="宋体"/>
                <w:b w:val="0"/>
                <w:bCs/>
                <w:i w:val="0"/>
                <w:color w:val="auto"/>
                <w:szCs w:val="21"/>
                <w:highlight w:val="none"/>
                <w:u w:val="none" w:color="auto"/>
              </w:rPr>
              <w:t>设计进度、质量、服务保证措施具体，贴合实际，充分全面</w:t>
            </w:r>
            <w:r>
              <w:rPr>
                <w:rFonts w:hint="eastAsia" w:ascii="宋体" w:hAnsi="宋体" w:cs="宋体"/>
                <w:b w:val="0"/>
                <w:bCs/>
                <w:i w:val="0"/>
                <w:color w:val="auto"/>
                <w:szCs w:val="21"/>
                <w:highlight w:val="none"/>
                <w:u w:val="none" w:color="auto"/>
                <w:lang w:eastAsia="zh-CN"/>
              </w:rPr>
              <w:t>、</w:t>
            </w:r>
            <w:r>
              <w:rPr>
                <w:rFonts w:hint="eastAsia" w:ascii="宋体" w:hAnsi="宋体" w:eastAsia="宋体" w:cs="宋体"/>
                <w:b w:val="0"/>
                <w:bCs/>
                <w:i w:val="0"/>
                <w:color w:val="auto"/>
                <w:szCs w:val="21"/>
                <w:highlight w:val="none"/>
                <w:u w:val="none" w:color="auto"/>
              </w:rPr>
              <w:t>针对性强</w:t>
            </w:r>
            <w:r>
              <w:rPr>
                <w:rFonts w:hint="eastAsia" w:ascii="宋体" w:hAnsi="宋体" w:cs="宋体"/>
                <w:b w:val="0"/>
                <w:bCs/>
                <w:i w:val="0"/>
                <w:color w:val="auto"/>
                <w:szCs w:val="21"/>
                <w:highlight w:val="none"/>
                <w:u w:val="none" w:color="auto"/>
                <w:lang w:eastAsia="zh-CN"/>
              </w:rPr>
              <w:t>。</w:t>
            </w:r>
          </w:p>
          <w:p w14:paraId="3C9CB43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i w:val="0"/>
                <w:color w:val="auto"/>
                <w:szCs w:val="21"/>
                <w:highlight w:val="none"/>
                <w:u w:val="none" w:color="auto"/>
              </w:rPr>
            </w:pPr>
            <w:r>
              <w:rPr>
                <w:rFonts w:hint="eastAsia" w:ascii="宋体" w:hAnsi="宋体" w:eastAsia="宋体" w:cs="宋体"/>
                <w:b w:val="0"/>
                <w:bCs/>
                <w:i w:val="0"/>
                <w:color w:val="auto"/>
                <w:szCs w:val="21"/>
                <w:highlight w:val="none"/>
                <w:u w:val="none" w:color="auto"/>
              </w:rPr>
              <w:t>评审标准：优秀得</w:t>
            </w:r>
            <w:r>
              <w:rPr>
                <w:rFonts w:hint="eastAsia" w:ascii="宋体" w:hAnsi="宋体" w:cs="宋体"/>
                <w:b w:val="0"/>
                <w:bCs/>
                <w:i w:val="0"/>
                <w:color w:val="auto"/>
                <w:szCs w:val="21"/>
                <w:highlight w:val="none"/>
                <w:u w:val="none" w:color="auto"/>
                <w:lang w:val="en-US" w:eastAsia="zh-CN"/>
              </w:rPr>
              <w:t>5.0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4.0</w:t>
            </w:r>
            <w:r>
              <w:rPr>
                <w:rFonts w:hint="eastAsia" w:ascii="宋体" w:hAnsi="宋体" w:eastAsia="宋体" w:cs="宋体"/>
                <w:b w:val="0"/>
                <w:bCs/>
                <w:i w:val="0"/>
                <w:color w:val="auto"/>
                <w:szCs w:val="21"/>
                <w:highlight w:val="none"/>
                <w:u w:val="none" w:color="auto"/>
              </w:rPr>
              <w:t>分，良好得</w:t>
            </w:r>
            <w:r>
              <w:rPr>
                <w:rFonts w:hint="eastAsia" w:ascii="宋体" w:hAnsi="宋体" w:cs="宋体"/>
                <w:b w:val="0"/>
                <w:bCs/>
                <w:i w:val="0"/>
                <w:color w:val="auto"/>
                <w:szCs w:val="21"/>
                <w:highlight w:val="none"/>
                <w:u w:val="none" w:color="auto"/>
                <w:lang w:val="en-US" w:eastAsia="zh-CN"/>
              </w:rPr>
              <w:t>3</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9</w:t>
            </w:r>
            <w:r>
              <w:rPr>
                <w:rFonts w:hint="eastAsia" w:ascii="宋体" w:hAnsi="宋体" w:eastAsia="宋体" w:cs="宋体"/>
                <w:b w:val="0"/>
                <w:bCs/>
                <w:i w:val="0"/>
                <w:color w:val="auto"/>
                <w:szCs w:val="21"/>
                <w:highlight w:val="none"/>
                <w:u w:val="none" w:color="auto"/>
              </w:rPr>
              <w:t>-</w:t>
            </w:r>
            <w:r>
              <w:rPr>
                <w:rFonts w:hint="eastAsia" w:ascii="宋体" w:hAnsi="宋体" w:eastAsia="宋体" w:cs="宋体"/>
                <w:b w:val="0"/>
                <w:bCs/>
                <w:i w:val="0"/>
                <w:color w:val="auto"/>
                <w:szCs w:val="21"/>
                <w:highlight w:val="none"/>
                <w:u w:val="none" w:color="auto"/>
                <w:lang w:val="en-US" w:eastAsia="zh-CN"/>
              </w:rPr>
              <w:t>3</w:t>
            </w:r>
            <w:r>
              <w:rPr>
                <w:rFonts w:hint="eastAsia" w:ascii="宋体" w:hAnsi="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分，一般得</w:t>
            </w:r>
            <w:r>
              <w:rPr>
                <w:rFonts w:hint="eastAsia" w:ascii="宋体" w:hAnsi="宋体" w:eastAsia="宋体" w:cs="宋体"/>
                <w:b w:val="0"/>
                <w:bCs/>
                <w:i w:val="0"/>
                <w:color w:val="auto"/>
                <w:szCs w:val="21"/>
                <w:highlight w:val="none"/>
                <w:u w:val="none" w:color="auto"/>
                <w:lang w:val="en-US" w:eastAsia="zh-CN"/>
              </w:rPr>
              <w:t>2</w:t>
            </w:r>
            <w:r>
              <w:rPr>
                <w:rFonts w:hint="eastAsia" w:ascii="宋体" w:hAnsi="宋体" w:eastAsia="宋体" w:cs="宋体"/>
                <w:b w:val="0"/>
                <w:bCs/>
                <w:i w:val="0"/>
                <w:color w:val="auto"/>
                <w:szCs w:val="21"/>
                <w:highlight w:val="none"/>
                <w:u w:val="none" w:color="auto"/>
              </w:rPr>
              <w:t>.9-</w:t>
            </w:r>
            <w:r>
              <w:rPr>
                <w:rFonts w:hint="eastAsia" w:ascii="宋体" w:hAnsi="宋体" w:eastAsia="宋体" w:cs="宋体"/>
                <w:b w:val="0"/>
                <w:bCs/>
                <w:i w:val="0"/>
                <w:color w:val="auto"/>
                <w:szCs w:val="21"/>
                <w:highlight w:val="none"/>
                <w:u w:val="none" w:color="auto"/>
                <w:lang w:val="en-US" w:eastAsia="zh-CN"/>
              </w:rPr>
              <w:t>1.0</w:t>
            </w:r>
            <w:r>
              <w:rPr>
                <w:rFonts w:hint="eastAsia" w:ascii="宋体" w:hAnsi="宋体" w:eastAsia="宋体" w:cs="宋体"/>
                <w:b w:val="0"/>
                <w:bCs/>
                <w:i w:val="0"/>
                <w:color w:val="auto"/>
                <w:szCs w:val="21"/>
                <w:highlight w:val="none"/>
                <w:u w:val="none" w:color="auto"/>
              </w:rPr>
              <w:t>分，</w:t>
            </w:r>
            <w:r>
              <w:rPr>
                <w:rFonts w:hint="eastAsia" w:ascii="宋体" w:hAnsi="宋体" w:cs="宋体"/>
                <w:b w:val="0"/>
                <w:bCs/>
                <w:i w:val="0"/>
                <w:color w:val="auto"/>
                <w:szCs w:val="21"/>
                <w:highlight w:val="none"/>
                <w:u w:val="none" w:color="auto"/>
                <w:lang w:val="en-US" w:eastAsia="zh-CN"/>
              </w:rPr>
              <w:t>较差得</w:t>
            </w:r>
            <w:r>
              <w:rPr>
                <w:rFonts w:hint="eastAsia" w:ascii="宋体" w:hAnsi="宋体" w:eastAsia="宋体" w:cs="宋体"/>
                <w:b w:val="0"/>
                <w:bCs/>
                <w:i w:val="0"/>
                <w:color w:val="auto"/>
                <w:szCs w:val="21"/>
                <w:highlight w:val="none"/>
                <w:u w:val="none" w:color="auto"/>
              </w:rPr>
              <w:t>0.</w:t>
            </w:r>
            <w:r>
              <w:rPr>
                <w:rFonts w:hint="eastAsia" w:ascii="宋体" w:hAnsi="宋体" w:cs="宋体"/>
                <w:b w:val="0"/>
                <w:bCs/>
                <w:i w:val="0"/>
                <w:color w:val="auto"/>
                <w:szCs w:val="21"/>
                <w:highlight w:val="none"/>
                <w:u w:val="none" w:color="auto"/>
                <w:lang w:val="en-US" w:eastAsia="zh-CN"/>
              </w:rPr>
              <w:t>9</w:t>
            </w:r>
            <w:r>
              <w:rPr>
                <w:rFonts w:hint="eastAsia" w:ascii="宋体" w:hAnsi="宋体" w:eastAsia="宋体" w:cs="宋体"/>
                <w:b w:val="0"/>
                <w:bCs/>
                <w:i w:val="0"/>
                <w:color w:val="auto"/>
                <w:szCs w:val="21"/>
                <w:highlight w:val="none"/>
                <w:u w:val="none" w:color="auto"/>
              </w:rPr>
              <w:t>-</w:t>
            </w:r>
            <w:r>
              <w:rPr>
                <w:rFonts w:hint="eastAsia" w:ascii="宋体" w:hAnsi="宋体" w:eastAsia="宋体" w:cs="宋体"/>
                <w:b w:val="0"/>
                <w:bCs/>
                <w:i w:val="0"/>
                <w:color w:val="auto"/>
                <w:szCs w:val="21"/>
                <w:highlight w:val="none"/>
                <w:u w:val="none" w:color="auto"/>
                <w:lang w:val="en-US" w:eastAsia="zh-CN"/>
              </w:rPr>
              <w:t>0.1</w:t>
            </w:r>
            <w:r>
              <w:rPr>
                <w:rFonts w:hint="eastAsia" w:ascii="宋体" w:hAnsi="宋体" w:eastAsia="宋体" w:cs="宋体"/>
                <w:b w:val="0"/>
                <w:bCs/>
                <w:i w:val="0"/>
                <w:color w:val="auto"/>
                <w:szCs w:val="21"/>
                <w:highlight w:val="none"/>
                <w:u w:val="none" w:color="auto"/>
              </w:rPr>
              <w:t>分。如投标人未提供本项内容，则本项评标得分为0分</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得分范围</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分。。</w:t>
            </w:r>
          </w:p>
        </w:tc>
      </w:tr>
      <w:tr w14:paraId="1DB4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jc w:val="center"/>
        </w:trPr>
        <w:tc>
          <w:tcPr>
            <w:tcW w:w="741" w:type="dxa"/>
            <w:vMerge w:val="continue"/>
            <w:vAlign w:val="center"/>
          </w:tcPr>
          <w:p w14:paraId="3CD5053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22077BD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技术标（承包人建议书）评分标准</w:t>
            </w:r>
          </w:p>
        </w:tc>
        <w:tc>
          <w:tcPr>
            <w:tcW w:w="2196" w:type="dxa"/>
            <w:vAlign w:val="center"/>
          </w:tcPr>
          <w:p w14:paraId="2CDAD7A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eastAsia="宋体" w:cs="宋体"/>
                <w:b w:val="0"/>
                <w:i w:val="0"/>
                <w:color w:val="auto"/>
                <w:highlight w:val="none"/>
                <w:u w:val="none" w:color="auto"/>
              </w:rPr>
              <w:t>对本工程</w:t>
            </w:r>
            <w:r>
              <w:rPr>
                <w:rFonts w:hint="eastAsia" w:ascii="宋体" w:hAnsi="宋体" w:cs="宋体"/>
                <w:b w:val="0"/>
                <w:i w:val="0"/>
                <w:color w:val="auto"/>
                <w:highlight w:val="none"/>
                <w:u w:val="none" w:color="auto"/>
                <w:lang w:val="en-US" w:eastAsia="zh-CN"/>
              </w:rPr>
              <w:t>设计的</w:t>
            </w:r>
            <w:r>
              <w:rPr>
                <w:rFonts w:hint="eastAsia" w:ascii="宋体" w:hAnsi="宋体" w:eastAsia="宋体" w:cs="宋体"/>
                <w:b w:val="0"/>
                <w:i w:val="0"/>
                <w:color w:val="auto"/>
                <w:highlight w:val="none"/>
                <w:u w:val="none" w:color="auto"/>
              </w:rPr>
              <w:t>建议</w:t>
            </w:r>
          </w:p>
        </w:tc>
        <w:tc>
          <w:tcPr>
            <w:tcW w:w="810" w:type="dxa"/>
            <w:gridSpan w:val="2"/>
            <w:vAlign w:val="center"/>
          </w:tcPr>
          <w:p w14:paraId="7F57222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olor w:val="auto"/>
                <w:szCs w:val="44"/>
                <w:highlight w:val="none"/>
                <w:lang w:eastAsia="zh-CN"/>
              </w:rPr>
            </w:pPr>
            <w:r>
              <w:rPr>
                <w:rFonts w:hint="eastAsia" w:ascii="宋体" w:hAnsi="宋体" w:cs="宋体"/>
                <w:b w:val="0"/>
                <w:bCs/>
                <w:i w:val="0"/>
                <w:color w:val="auto"/>
                <w:szCs w:val="21"/>
                <w:highlight w:val="none"/>
                <w:u w:val="none" w:color="auto"/>
                <w:lang w:val="en-US" w:eastAsia="zh-CN"/>
              </w:rPr>
              <w:t>2</w:t>
            </w:r>
          </w:p>
        </w:tc>
        <w:tc>
          <w:tcPr>
            <w:tcW w:w="5270" w:type="dxa"/>
            <w:vAlign w:val="center"/>
          </w:tcPr>
          <w:p w14:paraId="122ACF6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评审维度：</w:t>
            </w:r>
            <w:r>
              <w:rPr>
                <w:rFonts w:hint="eastAsia" w:ascii="宋体" w:hAnsi="宋体" w:cs="宋体"/>
                <w:b w:val="0"/>
                <w:bCs/>
                <w:i w:val="0"/>
                <w:color w:val="auto"/>
                <w:szCs w:val="21"/>
                <w:highlight w:val="none"/>
                <w:u w:val="none" w:color="auto"/>
                <w:lang w:val="en-US" w:eastAsia="zh-CN"/>
              </w:rPr>
              <w:t>1.建议书内容详细；2.有针对性；3.可行。</w:t>
            </w:r>
          </w:p>
          <w:p w14:paraId="2EAB5606">
            <w:pPr>
              <w:keepNext w:val="0"/>
              <w:keepLines w:val="0"/>
              <w:pageBreakBefore w:val="0"/>
              <w:widowControl w:val="0"/>
              <w:kinsoku/>
              <w:wordWrap/>
              <w:overflowPunct/>
              <w:topLinePunct w:val="0"/>
              <w:autoSpaceDE/>
              <w:autoSpaceDN/>
              <w:bidi w:val="0"/>
              <w:adjustRightInd/>
              <w:snapToGrid/>
              <w:spacing w:line="320" w:lineRule="exact"/>
              <w:jc w:val="both"/>
              <w:textAlignment w:val="auto"/>
              <w:rPr>
                <w:color w:val="auto"/>
                <w:highlight w:val="none"/>
              </w:rPr>
            </w:pPr>
            <w:r>
              <w:rPr>
                <w:rFonts w:hint="eastAsia" w:ascii="宋体" w:hAnsi="宋体" w:eastAsia="宋体" w:cs="宋体"/>
                <w:b w:val="0"/>
                <w:bCs/>
                <w:i w:val="0"/>
                <w:color w:val="auto"/>
                <w:szCs w:val="21"/>
                <w:highlight w:val="none"/>
                <w:u w:val="none" w:color="auto"/>
              </w:rPr>
              <w:t>评审标准：优秀得</w:t>
            </w:r>
            <w:r>
              <w:rPr>
                <w:rFonts w:hint="eastAsia" w:ascii="宋体" w:hAnsi="宋体" w:cs="宋体"/>
                <w:b w:val="0"/>
                <w:bCs/>
                <w:i w:val="0"/>
                <w:color w:val="auto"/>
                <w:szCs w:val="21"/>
                <w:highlight w:val="none"/>
                <w:u w:val="none" w:color="auto"/>
                <w:lang w:val="en-US" w:eastAsia="zh-CN"/>
              </w:rPr>
              <w:t>2</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1</w:t>
            </w:r>
            <w:r>
              <w:rPr>
                <w:rFonts w:hint="eastAsia" w:ascii="宋体" w:hAnsi="宋体" w:eastAsia="宋体" w:cs="宋体"/>
                <w:b w:val="0"/>
                <w:bCs/>
                <w:i w:val="0"/>
                <w:color w:val="auto"/>
                <w:szCs w:val="21"/>
                <w:highlight w:val="none"/>
                <w:u w:val="none" w:color="auto"/>
                <w:lang w:val="en-US" w:eastAsia="zh-CN"/>
              </w:rPr>
              <w:t>.</w:t>
            </w:r>
            <w:r>
              <w:rPr>
                <w:rFonts w:hint="eastAsia" w:ascii="宋体" w:hAnsi="宋体" w:cs="宋体"/>
                <w:b w:val="0"/>
                <w:bCs/>
                <w:i w:val="0"/>
                <w:color w:val="auto"/>
                <w:szCs w:val="21"/>
                <w:highlight w:val="none"/>
                <w:u w:val="none" w:color="auto"/>
                <w:lang w:val="en-US" w:eastAsia="zh-CN"/>
              </w:rPr>
              <w:t>6</w:t>
            </w:r>
            <w:r>
              <w:rPr>
                <w:rFonts w:hint="eastAsia" w:ascii="宋体" w:hAnsi="宋体" w:eastAsia="宋体" w:cs="宋体"/>
                <w:b w:val="0"/>
                <w:bCs/>
                <w:i w:val="0"/>
                <w:color w:val="auto"/>
                <w:szCs w:val="21"/>
                <w:highlight w:val="none"/>
                <w:u w:val="none" w:color="auto"/>
              </w:rPr>
              <w:t>分，良好得</w:t>
            </w:r>
            <w:r>
              <w:rPr>
                <w:rFonts w:hint="eastAsia" w:ascii="宋体" w:hAnsi="宋体" w:cs="宋体"/>
                <w:b w:val="0"/>
                <w:bCs/>
                <w:i w:val="0"/>
                <w:color w:val="auto"/>
                <w:szCs w:val="21"/>
                <w:highlight w:val="none"/>
                <w:u w:val="none" w:color="auto"/>
                <w:lang w:val="en-US" w:eastAsia="zh-CN"/>
              </w:rPr>
              <w:t>1</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1.2</w:t>
            </w:r>
            <w:r>
              <w:rPr>
                <w:rFonts w:hint="eastAsia" w:ascii="宋体" w:hAnsi="宋体" w:eastAsia="宋体" w:cs="宋体"/>
                <w:b w:val="0"/>
                <w:bCs/>
                <w:i w:val="0"/>
                <w:color w:val="auto"/>
                <w:szCs w:val="21"/>
                <w:highlight w:val="none"/>
                <w:u w:val="none" w:color="auto"/>
              </w:rPr>
              <w:t>分，一般得</w:t>
            </w:r>
            <w:r>
              <w:rPr>
                <w:rFonts w:hint="eastAsia" w:ascii="宋体" w:hAnsi="宋体" w:cs="宋体"/>
                <w:b w:val="0"/>
                <w:bCs/>
                <w:i w:val="0"/>
                <w:color w:val="auto"/>
                <w:szCs w:val="21"/>
                <w:highlight w:val="none"/>
                <w:u w:val="none" w:color="auto"/>
                <w:lang w:val="en-US" w:eastAsia="zh-CN"/>
              </w:rPr>
              <w:t>1</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1</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8</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lang w:val="en-US" w:eastAsia="zh-CN"/>
              </w:rPr>
              <w:t>较差</w:t>
            </w:r>
            <w:r>
              <w:rPr>
                <w:rFonts w:hint="eastAsia" w:ascii="宋体" w:hAnsi="宋体" w:eastAsia="宋体" w:cs="宋体"/>
                <w:b w:val="0"/>
                <w:bCs/>
                <w:i w:val="0"/>
                <w:color w:val="auto"/>
                <w:szCs w:val="21"/>
                <w:highlight w:val="none"/>
                <w:u w:val="none" w:color="auto"/>
              </w:rPr>
              <w:t>得</w:t>
            </w:r>
            <w:r>
              <w:rPr>
                <w:rFonts w:hint="eastAsia" w:ascii="宋体" w:hAnsi="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7</w:t>
            </w:r>
            <w:r>
              <w:rPr>
                <w:rFonts w:hint="eastAsia" w:ascii="宋体" w:hAnsi="宋体" w:eastAsia="宋体" w:cs="宋体"/>
                <w:b w:val="0"/>
                <w:bCs/>
                <w:i w:val="0"/>
                <w:color w:val="auto"/>
                <w:szCs w:val="21"/>
                <w:highlight w:val="none"/>
                <w:u w:val="none" w:color="auto"/>
              </w:rPr>
              <w:t>-</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w:t>
            </w:r>
            <w:r>
              <w:rPr>
                <w:rFonts w:hint="eastAsia" w:ascii="宋体" w:hAnsi="宋体" w:eastAsia="宋体" w:cs="宋体"/>
                <w:b w:val="0"/>
                <w:bCs/>
                <w:i w:val="0"/>
                <w:color w:val="auto"/>
                <w:szCs w:val="21"/>
                <w:highlight w:val="none"/>
                <w:u w:val="none" w:color="auto"/>
                <w:lang w:val="en-US" w:eastAsia="zh-CN"/>
              </w:rPr>
              <w:t>1</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lang w:val="en-US" w:eastAsia="zh-CN"/>
              </w:rPr>
              <w:t>，如投标人未提供本项内容，则本项评标得分为</w:t>
            </w:r>
            <w:r>
              <w:rPr>
                <w:rFonts w:hint="eastAsia" w:ascii="宋体" w:hAnsi="宋体" w:cs="宋体"/>
                <w:b w:val="0"/>
                <w:bCs/>
                <w:i w:val="0"/>
                <w:color w:val="auto"/>
                <w:szCs w:val="21"/>
                <w:highlight w:val="none"/>
                <w:u w:val="none" w:color="auto"/>
                <w:lang w:val="en-US" w:eastAsia="zh-CN"/>
              </w:rPr>
              <w:t>0分，</w:t>
            </w:r>
            <w:r>
              <w:rPr>
                <w:rFonts w:hint="eastAsia" w:ascii="宋体" w:hAnsi="宋体" w:eastAsia="宋体" w:cs="宋体"/>
                <w:b w:val="0"/>
                <w:bCs/>
                <w:i w:val="0"/>
                <w:color w:val="auto"/>
                <w:szCs w:val="21"/>
                <w:highlight w:val="none"/>
                <w:u w:val="none" w:color="auto"/>
              </w:rPr>
              <w:t>得分范围</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2</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分。</w:t>
            </w:r>
          </w:p>
        </w:tc>
      </w:tr>
      <w:tr w14:paraId="7962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4" w:hRule="atLeast"/>
          <w:jc w:val="center"/>
        </w:trPr>
        <w:tc>
          <w:tcPr>
            <w:tcW w:w="741" w:type="dxa"/>
            <w:vMerge w:val="restart"/>
            <w:vAlign w:val="center"/>
          </w:tcPr>
          <w:p w14:paraId="51F1F56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b w:val="0"/>
                <w:i w:val="0"/>
                <w:color w:val="auto"/>
                <w:szCs w:val="21"/>
                <w:highlight w:val="none"/>
                <w:u w:val="none" w:color="auto"/>
              </w:rPr>
              <w:t>2.2.4（3）</w:t>
            </w:r>
          </w:p>
        </w:tc>
        <w:tc>
          <w:tcPr>
            <w:tcW w:w="1059" w:type="dxa"/>
            <w:vMerge w:val="restart"/>
            <w:vAlign w:val="center"/>
          </w:tcPr>
          <w:p w14:paraId="0995153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技术标（承包人实施方案）评分标准</w:t>
            </w:r>
          </w:p>
        </w:tc>
        <w:tc>
          <w:tcPr>
            <w:tcW w:w="2196" w:type="dxa"/>
            <w:shd w:val="clear" w:color="auto" w:fill="auto"/>
            <w:vAlign w:val="center"/>
          </w:tcPr>
          <w:p w14:paraId="49E0C23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highlight w:val="none"/>
                <w:u w:val="none" w:color="auto"/>
              </w:rPr>
            </w:pPr>
          </w:p>
          <w:p w14:paraId="40CF4945">
            <w:pPr>
              <w:bidi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b w:val="0"/>
                <w:i w:val="0"/>
                <w:color w:val="auto"/>
                <w:kern w:val="2"/>
                <w:sz w:val="21"/>
                <w:szCs w:val="24"/>
                <w:highlight w:val="none"/>
                <w:u w:val="none" w:color="auto"/>
                <w:lang w:val="en-US" w:eastAsia="zh-CN" w:bidi="ar-SA"/>
              </w:rPr>
              <w:t>关键施工技术、工艺及施工重点、难点分析及解决方案</w:t>
            </w:r>
          </w:p>
        </w:tc>
        <w:tc>
          <w:tcPr>
            <w:tcW w:w="810" w:type="dxa"/>
            <w:gridSpan w:val="2"/>
            <w:shd w:val="clear" w:color="auto" w:fill="auto"/>
            <w:vAlign w:val="center"/>
          </w:tcPr>
          <w:p w14:paraId="56D470B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cs="宋体"/>
                <w:b w:val="0"/>
                <w:bCs/>
                <w:i w:val="0"/>
                <w:color w:val="auto"/>
                <w:szCs w:val="21"/>
                <w:highlight w:val="none"/>
                <w:u w:val="none" w:color="auto"/>
                <w:lang w:val="en-US" w:eastAsia="zh-CN"/>
              </w:rPr>
              <w:t>9</w:t>
            </w:r>
          </w:p>
        </w:tc>
        <w:tc>
          <w:tcPr>
            <w:tcW w:w="5270" w:type="dxa"/>
            <w:shd w:val="clear" w:color="auto" w:fill="auto"/>
            <w:vAlign w:val="center"/>
          </w:tcPr>
          <w:p w14:paraId="21A74E2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b w:val="0"/>
                <w:bCs/>
                <w:i w:val="0"/>
                <w:color w:val="auto"/>
                <w:szCs w:val="21"/>
                <w:highlight w:val="none"/>
                <w:u w:val="none" w:color="auto"/>
                <w:lang w:val="en-US" w:eastAsia="zh-CN"/>
              </w:rPr>
            </w:pPr>
            <w:r>
              <w:rPr>
                <w:rFonts w:hint="eastAsia" w:ascii="宋体" w:hAnsi="宋体" w:eastAsia="宋体" w:cs="宋体"/>
                <w:b w:val="0"/>
                <w:bCs/>
                <w:i w:val="0"/>
                <w:color w:val="auto"/>
                <w:szCs w:val="21"/>
                <w:highlight w:val="none"/>
                <w:u w:val="none" w:color="auto"/>
              </w:rPr>
              <w:t>评审维度：</w:t>
            </w:r>
            <w:r>
              <w:rPr>
                <w:rFonts w:hint="eastAsia" w:ascii="宋体" w:hAnsi="宋体" w:eastAsia="宋体" w:cs="宋体"/>
                <w:b w:val="0"/>
                <w:bCs/>
                <w:i w:val="0"/>
                <w:color w:val="auto"/>
                <w:szCs w:val="21"/>
                <w:highlight w:val="none"/>
                <w:u w:val="none" w:color="auto"/>
                <w:lang w:val="en-US" w:eastAsia="zh-CN"/>
              </w:rPr>
              <w:t>1.</w:t>
            </w:r>
            <w:r>
              <w:rPr>
                <w:rFonts w:hint="eastAsia" w:ascii="宋体" w:hAnsi="宋体" w:eastAsia="宋体" w:cs="宋体"/>
                <w:b w:val="0"/>
                <w:bCs/>
                <w:i w:val="0"/>
                <w:color w:val="auto"/>
                <w:szCs w:val="21"/>
                <w:highlight w:val="none"/>
                <w:u w:val="none" w:color="auto"/>
              </w:rPr>
              <w:t>对工程重点、难点认识深刻、表述全面准确</w:t>
            </w:r>
            <w:r>
              <w:rPr>
                <w:rFonts w:hint="eastAsia" w:ascii="宋体" w:hAnsi="宋体" w:eastAsia="宋体" w:cs="宋体"/>
                <w:b w:val="0"/>
                <w:bCs/>
                <w:i w:val="0"/>
                <w:color w:val="auto"/>
                <w:szCs w:val="21"/>
                <w:highlight w:val="none"/>
                <w:u w:val="none" w:color="auto"/>
                <w:lang w:eastAsia="zh-CN"/>
              </w:rPr>
              <w:t>；</w:t>
            </w:r>
            <w:r>
              <w:rPr>
                <w:rFonts w:hint="eastAsia" w:ascii="宋体" w:hAnsi="宋体" w:eastAsia="宋体" w:cs="宋体"/>
                <w:b w:val="0"/>
                <w:bCs/>
                <w:i w:val="0"/>
                <w:color w:val="auto"/>
                <w:szCs w:val="21"/>
                <w:highlight w:val="none"/>
                <w:u w:val="none" w:color="auto"/>
                <w:lang w:val="en-US" w:eastAsia="zh-CN"/>
              </w:rPr>
              <w:t>2.</w:t>
            </w:r>
            <w:r>
              <w:rPr>
                <w:rFonts w:hint="eastAsia" w:ascii="宋体" w:hAnsi="宋体" w:eastAsia="宋体" w:cs="宋体"/>
                <w:b w:val="0"/>
                <w:bCs/>
                <w:i w:val="0"/>
                <w:color w:val="auto"/>
                <w:szCs w:val="21"/>
                <w:highlight w:val="none"/>
                <w:u w:val="none" w:color="auto"/>
              </w:rPr>
              <w:t>解决方案科学、系统、安全、经济，可操作性强，保障措施得力</w:t>
            </w:r>
            <w:r>
              <w:rPr>
                <w:rFonts w:hint="eastAsia" w:ascii="宋体" w:hAnsi="宋体" w:eastAsia="宋体" w:cs="宋体"/>
                <w:b w:val="0"/>
                <w:bCs/>
                <w:i w:val="0"/>
                <w:color w:val="auto"/>
                <w:szCs w:val="21"/>
                <w:highlight w:val="none"/>
                <w:u w:val="none" w:color="auto"/>
                <w:lang w:eastAsia="zh-CN"/>
              </w:rPr>
              <w:t>；</w:t>
            </w:r>
            <w:r>
              <w:rPr>
                <w:rFonts w:hint="eastAsia" w:ascii="宋体" w:hAnsi="宋体" w:eastAsia="宋体" w:cs="宋体"/>
                <w:b w:val="0"/>
                <w:bCs/>
                <w:i w:val="0"/>
                <w:color w:val="auto"/>
                <w:szCs w:val="21"/>
                <w:highlight w:val="none"/>
                <w:u w:val="none" w:color="auto"/>
                <w:lang w:val="en-US" w:eastAsia="zh-CN"/>
              </w:rPr>
              <w:t>3.</w:t>
            </w:r>
            <w:r>
              <w:rPr>
                <w:rFonts w:hint="eastAsia" w:ascii="宋体" w:hAnsi="宋体" w:eastAsia="宋体" w:cs="宋体"/>
                <w:b w:val="0"/>
                <w:bCs/>
                <w:i w:val="0"/>
                <w:color w:val="auto"/>
                <w:szCs w:val="21"/>
                <w:highlight w:val="none"/>
                <w:u w:val="none" w:color="auto"/>
              </w:rPr>
              <w:t>对施工关键技术、工艺把握准确，应用到位，阐释清晰</w:t>
            </w:r>
          </w:p>
          <w:p w14:paraId="2EDE2CA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eastAsia="宋体" w:cs="宋体"/>
                <w:b w:val="0"/>
                <w:bCs/>
                <w:i w:val="0"/>
                <w:color w:val="auto"/>
                <w:szCs w:val="21"/>
                <w:highlight w:val="none"/>
                <w:u w:val="none" w:color="auto"/>
              </w:rPr>
              <w:t>评审标准：优秀得</w:t>
            </w:r>
            <w:r>
              <w:rPr>
                <w:rFonts w:hint="eastAsia" w:ascii="宋体" w:hAnsi="宋体" w:cs="宋体"/>
                <w:b w:val="0"/>
                <w:bCs/>
                <w:i w:val="0"/>
                <w:color w:val="auto"/>
                <w:szCs w:val="21"/>
                <w:highlight w:val="none"/>
                <w:u w:val="none" w:color="auto"/>
                <w:lang w:val="en-US" w:eastAsia="zh-CN"/>
              </w:rPr>
              <w:t>9.0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7.6</w:t>
            </w:r>
            <w:r>
              <w:rPr>
                <w:rFonts w:hint="eastAsia" w:ascii="宋体" w:hAnsi="宋体" w:eastAsia="宋体" w:cs="宋体"/>
                <w:b w:val="0"/>
                <w:bCs/>
                <w:i w:val="0"/>
                <w:color w:val="auto"/>
                <w:szCs w:val="21"/>
                <w:highlight w:val="none"/>
                <w:u w:val="none" w:color="auto"/>
              </w:rPr>
              <w:t>分，良好得</w:t>
            </w:r>
            <w:r>
              <w:rPr>
                <w:rFonts w:hint="eastAsia" w:ascii="宋体" w:hAnsi="宋体" w:cs="宋体"/>
                <w:b w:val="0"/>
                <w:bCs/>
                <w:i w:val="0"/>
                <w:color w:val="auto"/>
                <w:szCs w:val="21"/>
                <w:highlight w:val="none"/>
                <w:u w:val="none" w:color="auto"/>
                <w:lang w:val="en-US" w:eastAsia="zh-CN"/>
              </w:rPr>
              <w:t>7</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5.0</w:t>
            </w:r>
            <w:r>
              <w:rPr>
                <w:rFonts w:hint="eastAsia" w:ascii="宋体" w:hAnsi="宋体" w:eastAsia="宋体" w:cs="宋体"/>
                <w:b w:val="0"/>
                <w:bCs/>
                <w:i w:val="0"/>
                <w:color w:val="auto"/>
                <w:szCs w:val="21"/>
                <w:highlight w:val="none"/>
                <w:u w:val="none" w:color="auto"/>
              </w:rPr>
              <w:t>分，一般得</w:t>
            </w:r>
            <w:r>
              <w:rPr>
                <w:rFonts w:hint="eastAsia" w:ascii="宋体" w:hAnsi="宋体" w:cs="宋体"/>
                <w:b w:val="0"/>
                <w:bCs/>
                <w:i w:val="0"/>
                <w:color w:val="auto"/>
                <w:szCs w:val="21"/>
                <w:highlight w:val="none"/>
                <w:u w:val="none" w:color="auto"/>
                <w:lang w:val="en-US" w:eastAsia="zh-CN"/>
              </w:rPr>
              <w:t>4</w:t>
            </w:r>
            <w:r>
              <w:rPr>
                <w:rFonts w:hint="eastAsia" w:ascii="宋体" w:hAnsi="宋体" w:eastAsia="宋体" w:cs="宋体"/>
                <w:b w:val="0"/>
                <w:bCs/>
                <w:i w:val="0"/>
                <w:color w:val="auto"/>
                <w:szCs w:val="21"/>
                <w:highlight w:val="none"/>
                <w:u w:val="none" w:color="auto"/>
              </w:rPr>
              <w:t>.9-</w:t>
            </w:r>
            <w:r>
              <w:rPr>
                <w:rFonts w:hint="eastAsia" w:ascii="宋体" w:hAnsi="宋体" w:cs="宋体"/>
                <w:b w:val="0"/>
                <w:bCs/>
                <w:i w:val="0"/>
                <w:color w:val="auto"/>
                <w:szCs w:val="21"/>
                <w:highlight w:val="none"/>
                <w:u w:val="none" w:color="auto"/>
                <w:lang w:val="en-US" w:eastAsia="zh-CN"/>
              </w:rPr>
              <w:t>2</w:t>
            </w:r>
            <w:r>
              <w:rPr>
                <w:rFonts w:hint="eastAsia" w:ascii="宋体" w:hAnsi="宋体" w:eastAsia="宋体" w:cs="宋体"/>
                <w:b w:val="0"/>
                <w:bCs/>
                <w:i w:val="0"/>
                <w:color w:val="auto"/>
                <w:szCs w:val="21"/>
                <w:highlight w:val="none"/>
                <w:u w:val="none" w:color="auto"/>
              </w:rPr>
              <w:t>.5分，</w:t>
            </w:r>
            <w:r>
              <w:rPr>
                <w:rFonts w:hint="eastAsia" w:ascii="宋体" w:hAnsi="宋体" w:cs="宋体"/>
                <w:b w:val="0"/>
                <w:bCs/>
                <w:i w:val="0"/>
                <w:color w:val="auto"/>
                <w:szCs w:val="21"/>
                <w:highlight w:val="none"/>
                <w:u w:val="none" w:color="auto"/>
                <w:lang w:val="en-US" w:eastAsia="zh-CN"/>
              </w:rPr>
              <w:t>较差得2</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4</w:t>
            </w:r>
            <w:r>
              <w:rPr>
                <w:rFonts w:hint="eastAsia" w:ascii="宋体" w:hAnsi="宋体" w:eastAsia="宋体" w:cs="宋体"/>
                <w:b w:val="0"/>
                <w:bCs/>
                <w:i w:val="0"/>
                <w:color w:val="auto"/>
                <w:szCs w:val="21"/>
                <w:highlight w:val="none"/>
                <w:u w:val="none" w:color="auto"/>
              </w:rPr>
              <w:t>-</w:t>
            </w:r>
            <w:r>
              <w:rPr>
                <w:rFonts w:hint="eastAsia" w:ascii="宋体" w:hAnsi="宋体" w:eastAsia="宋体" w:cs="宋体"/>
                <w:b w:val="0"/>
                <w:bCs/>
                <w:i w:val="0"/>
                <w:color w:val="auto"/>
                <w:szCs w:val="21"/>
                <w:highlight w:val="none"/>
                <w:u w:val="none" w:color="auto"/>
                <w:lang w:val="en-US" w:eastAsia="zh-CN"/>
              </w:rPr>
              <w:t>0.1</w:t>
            </w:r>
            <w:r>
              <w:rPr>
                <w:rFonts w:hint="eastAsia" w:ascii="宋体" w:hAnsi="宋体" w:eastAsia="宋体" w:cs="宋体"/>
                <w:b w:val="0"/>
                <w:bCs/>
                <w:i w:val="0"/>
                <w:color w:val="auto"/>
                <w:szCs w:val="21"/>
                <w:highlight w:val="none"/>
                <w:u w:val="none" w:color="auto"/>
              </w:rPr>
              <w:t>分。如投标人未提供本项内容，则本项评标得分为0分</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得分范围</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9</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分。</w:t>
            </w:r>
          </w:p>
        </w:tc>
      </w:tr>
      <w:tr w14:paraId="748E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jc w:val="center"/>
        </w:trPr>
        <w:tc>
          <w:tcPr>
            <w:tcW w:w="741" w:type="dxa"/>
            <w:vMerge w:val="continue"/>
            <w:vAlign w:val="center"/>
          </w:tcPr>
          <w:p w14:paraId="34FDE5C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val="0"/>
                <w:i w:val="0"/>
                <w:color w:val="auto"/>
                <w:szCs w:val="21"/>
                <w:highlight w:val="none"/>
                <w:u w:val="none" w:color="auto"/>
              </w:rPr>
            </w:pPr>
          </w:p>
        </w:tc>
        <w:tc>
          <w:tcPr>
            <w:tcW w:w="1059" w:type="dxa"/>
            <w:vMerge w:val="continue"/>
            <w:vAlign w:val="center"/>
          </w:tcPr>
          <w:p w14:paraId="7E0A901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2196" w:type="dxa"/>
            <w:shd w:val="clear" w:color="auto" w:fill="auto"/>
            <w:vAlign w:val="center"/>
          </w:tcPr>
          <w:p w14:paraId="766A9687">
            <w:pPr>
              <w:pStyle w:val="51"/>
              <w:snapToGrid w:val="0"/>
              <w:spacing w:line="240" w:lineRule="atLeast"/>
              <w:jc w:val="center"/>
              <w:rPr>
                <w:rFonts w:hint="default" w:ascii="宋体" w:hAnsi="宋体" w:eastAsia="宋体" w:cs="宋体"/>
                <w:b w:val="0"/>
                <w:i w:val="0"/>
                <w:color w:val="auto"/>
                <w:sz w:val="24"/>
                <w:szCs w:val="24"/>
                <w:highlight w:val="none"/>
                <w:u w:val="none" w:color="auto"/>
                <w:lang w:val="en-US" w:eastAsia="zh-CN" w:bidi="ar-SA"/>
              </w:rPr>
            </w:pPr>
            <w:r>
              <w:rPr>
                <w:rFonts w:hint="eastAsia" w:ascii="宋体" w:hAnsi="宋体" w:eastAsia="宋体" w:cs="宋体"/>
                <w:b w:val="0"/>
                <w:i w:val="0"/>
                <w:color w:val="auto"/>
                <w:kern w:val="2"/>
                <w:sz w:val="21"/>
                <w:szCs w:val="24"/>
                <w:highlight w:val="none"/>
                <w:u w:val="none" w:color="auto"/>
                <w:lang w:val="en-US" w:eastAsia="zh-CN" w:bidi="ar-SA"/>
              </w:rPr>
              <w:t>施工进度计划和各阶段进度保证措施</w:t>
            </w:r>
            <w:r>
              <w:rPr>
                <w:rFonts w:hint="eastAsia" w:cs="宋体"/>
                <w:b w:val="0"/>
                <w:i w:val="0"/>
                <w:color w:val="auto"/>
                <w:kern w:val="2"/>
                <w:sz w:val="21"/>
                <w:szCs w:val="24"/>
                <w:highlight w:val="none"/>
                <w:u w:val="none" w:color="auto"/>
                <w:lang w:val="en-US" w:eastAsia="zh-CN" w:bidi="ar-SA"/>
              </w:rPr>
              <w:t>、</w:t>
            </w:r>
            <w:r>
              <w:rPr>
                <w:rFonts w:hint="eastAsia" w:ascii="宋体" w:hAnsi="宋体" w:eastAsia="宋体" w:cs="宋体"/>
                <w:b w:val="0"/>
                <w:i w:val="0"/>
                <w:color w:val="auto"/>
                <w:kern w:val="2"/>
                <w:sz w:val="21"/>
                <w:szCs w:val="24"/>
                <w:highlight w:val="none"/>
                <w:u w:val="none" w:color="auto"/>
                <w:lang w:val="en-US" w:eastAsia="zh-CN" w:bidi="ar-SA"/>
              </w:rPr>
              <w:t>工程质量保证措施</w:t>
            </w:r>
            <w:r>
              <w:rPr>
                <w:rFonts w:hint="eastAsia" w:cs="宋体"/>
                <w:b w:val="0"/>
                <w:i w:val="0"/>
                <w:color w:val="auto"/>
                <w:kern w:val="2"/>
                <w:sz w:val="21"/>
                <w:szCs w:val="24"/>
                <w:highlight w:val="none"/>
                <w:u w:val="none" w:color="auto"/>
                <w:lang w:val="en-US" w:eastAsia="zh-CN" w:bidi="ar-SA"/>
              </w:rPr>
              <w:t>及</w:t>
            </w:r>
            <w:r>
              <w:rPr>
                <w:rFonts w:hint="eastAsia" w:ascii="宋体" w:hAnsi="宋体" w:eastAsia="宋体" w:cs="宋体"/>
                <w:b w:val="0"/>
                <w:i w:val="0"/>
                <w:color w:val="auto"/>
                <w:kern w:val="2"/>
                <w:sz w:val="21"/>
                <w:szCs w:val="24"/>
                <w:highlight w:val="none"/>
                <w:u w:val="none" w:color="auto"/>
                <w:lang w:val="en-US" w:eastAsia="zh-CN" w:bidi="ar-SA"/>
              </w:rPr>
              <w:t>安全文明施工保证措施</w:t>
            </w:r>
          </w:p>
        </w:tc>
        <w:tc>
          <w:tcPr>
            <w:tcW w:w="810" w:type="dxa"/>
            <w:gridSpan w:val="2"/>
            <w:shd w:val="clear" w:color="auto" w:fill="auto"/>
            <w:vAlign w:val="center"/>
          </w:tcPr>
          <w:p w14:paraId="258A17C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cs="宋体"/>
                <w:b w:val="0"/>
                <w:bCs/>
                <w:i w:val="0"/>
                <w:color w:val="auto"/>
                <w:szCs w:val="21"/>
                <w:highlight w:val="none"/>
                <w:u w:val="none" w:color="auto"/>
                <w:lang w:val="en-US" w:eastAsia="zh-CN"/>
              </w:rPr>
              <w:t>4</w:t>
            </w:r>
          </w:p>
        </w:tc>
        <w:tc>
          <w:tcPr>
            <w:tcW w:w="5270" w:type="dxa"/>
            <w:shd w:val="clear" w:color="auto" w:fill="auto"/>
            <w:vAlign w:val="center"/>
          </w:tcPr>
          <w:p w14:paraId="4502871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i w:val="0"/>
                <w:color w:val="auto"/>
                <w:szCs w:val="21"/>
                <w:highlight w:val="none"/>
                <w:u w:val="none" w:color="auto"/>
                <w:lang w:val="en-US" w:eastAsia="zh-CN"/>
              </w:rPr>
            </w:pPr>
            <w:r>
              <w:rPr>
                <w:rFonts w:hint="eastAsia" w:ascii="宋体" w:hAnsi="宋体" w:eastAsia="宋体" w:cs="宋体"/>
                <w:b w:val="0"/>
                <w:bCs/>
                <w:i w:val="0"/>
                <w:color w:val="auto"/>
                <w:szCs w:val="21"/>
                <w:highlight w:val="none"/>
                <w:u w:val="none" w:color="auto"/>
              </w:rPr>
              <w:t>评审维度：</w:t>
            </w:r>
            <w:r>
              <w:rPr>
                <w:rFonts w:hint="eastAsia" w:ascii="宋体" w:hAnsi="宋体" w:eastAsia="宋体" w:cs="宋体"/>
                <w:b w:val="0"/>
                <w:bCs/>
                <w:i w:val="0"/>
                <w:color w:val="auto"/>
                <w:szCs w:val="21"/>
                <w:highlight w:val="none"/>
                <w:u w:val="none" w:color="auto"/>
                <w:lang w:val="en-US" w:eastAsia="zh-CN"/>
              </w:rPr>
              <w:t>1.</w:t>
            </w:r>
            <w:r>
              <w:rPr>
                <w:rFonts w:hint="eastAsia" w:ascii="宋体" w:hAnsi="宋体" w:eastAsia="宋体" w:cs="宋体"/>
                <w:b w:val="0"/>
                <w:bCs/>
                <w:i w:val="0"/>
                <w:color w:val="auto"/>
                <w:szCs w:val="21"/>
                <w:highlight w:val="none"/>
                <w:u w:val="none" w:color="auto"/>
              </w:rPr>
              <w:t>施工进度计划编制合理、可行，关键线路清晰、准确、完整</w:t>
            </w:r>
            <w:r>
              <w:rPr>
                <w:rFonts w:hint="eastAsia" w:ascii="宋体" w:hAnsi="宋体" w:eastAsia="宋体" w:cs="宋体"/>
                <w:b w:val="0"/>
                <w:bCs/>
                <w:i w:val="0"/>
                <w:color w:val="auto"/>
                <w:szCs w:val="21"/>
                <w:highlight w:val="none"/>
                <w:u w:val="none" w:color="auto"/>
                <w:lang w:eastAsia="zh-CN"/>
              </w:rPr>
              <w:t>；</w:t>
            </w:r>
            <w:r>
              <w:rPr>
                <w:rFonts w:hint="eastAsia" w:ascii="宋体" w:hAnsi="宋体" w:eastAsia="宋体" w:cs="宋体"/>
                <w:b w:val="0"/>
                <w:bCs/>
                <w:i w:val="0"/>
                <w:color w:val="auto"/>
                <w:szCs w:val="21"/>
                <w:highlight w:val="none"/>
                <w:u w:val="none" w:color="auto"/>
              </w:rPr>
              <w:t>关键节点控制措施得力、可操作性强，保证措施可靠</w:t>
            </w:r>
            <w:r>
              <w:rPr>
                <w:rFonts w:hint="eastAsia" w:ascii="宋体" w:hAnsi="宋体" w:cs="宋体"/>
                <w:b w:val="0"/>
                <w:bCs/>
                <w:i w:val="0"/>
                <w:color w:val="auto"/>
                <w:szCs w:val="21"/>
                <w:highlight w:val="none"/>
                <w:u w:val="none" w:color="auto"/>
                <w:lang w:eastAsia="zh-CN"/>
              </w:rPr>
              <w:t>；</w:t>
            </w:r>
            <w:r>
              <w:rPr>
                <w:rFonts w:hint="eastAsia" w:ascii="宋体" w:hAnsi="宋体" w:cs="宋体"/>
                <w:b w:val="0"/>
                <w:bCs/>
                <w:i w:val="0"/>
                <w:color w:val="auto"/>
                <w:szCs w:val="21"/>
                <w:highlight w:val="none"/>
                <w:u w:val="none" w:color="auto"/>
                <w:lang w:val="en-US" w:eastAsia="zh-CN"/>
              </w:rPr>
              <w:t>2.</w:t>
            </w:r>
            <w:r>
              <w:rPr>
                <w:rFonts w:hint="eastAsia" w:ascii="宋体" w:hAnsi="宋体" w:eastAsia="宋体" w:cs="宋体"/>
                <w:b w:val="0"/>
                <w:bCs/>
                <w:i w:val="0"/>
                <w:color w:val="auto"/>
                <w:szCs w:val="21"/>
                <w:highlight w:val="none"/>
                <w:u w:val="none" w:color="auto"/>
              </w:rPr>
              <w:t>工程质量保证计划全面细致、结合实际、措施具体，可行性高，满足招标文件要求</w:t>
            </w:r>
            <w:r>
              <w:rPr>
                <w:rFonts w:hint="eastAsia" w:ascii="宋体" w:hAnsi="宋体" w:cs="宋体"/>
                <w:b w:val="0"/>
                <w:bCs/>
                <w:i w:val="0"/>
                <w:color w:val="auto"/>
                <w:szCs w:val="21"/>
                <w:highlight w:val="none"/>
                <w:u w:val="none" w:color="auto"/>
                <w:lang w:eastAsia="zh-CN"/>
              </w:rPr>
              <w:t>；</w:t>
            </w:r>
            <w:r>
              <w:rPr>
                <w:rFonts w:hint="eastAsia" w:ascii="宋体" w:hAnsi="宋体" w:cs="宋体"/>
                <w:b w:val="0"/>
                <w:bCs/>
                <w:i w:val="0"/>
                <w:color w:val="auto"/>
                <w:szCs w:val="21"/>
                <w:highlight w:val="none"/>
                <w:u w:val="none" w:color="auto"/>
                <w:lang w:val="en-US" w:eastAsia="zh-CN"/>
              </w:rPr>
              <w:t>3.</w:t>
            </w:r>
            <w:r>
              <w:rPr>
                <w:rFonts w:hint="eastAsia" w:ascii="宋体" w:hAnsi="宋体" w:eastAsia="宋体" w:cs="宋体"/>
                <w:b w:val="0"/>
                <w:bCs/>
                <w:i w:val="0"/>
                <w:color w:val="auto"/>
                <w:szCs w:val="21"/>
                <w:highlight w:val="none"/>
                <w:u w:val="none" w:color="auto"/>
              </w:rPr>
              <w:t>安全文明施工保证</w:t>
            </w:r>
            <w:r>
              <w:rPr>
                <w:rFonts w:hint="eastAsia" w:ascii="宋体" w:hAnsi="宋体" w:cs="宋体"/>
                <w:b w:val="0"/>
                <w:bCs/>
                <w:i w:val="0"/>
                <w:color w:val="auto"/>
                <w:szCs w:val="21"/>
                <w:highlight w:val="none"/>
                <w:u w:val="none" w:color="auto"/>
                <w:lang w:val="en-US" w:eastAsia="zh-CN"/>
              </w:rPr>
              <w:t>计划</w:t>
            </w:r>
            <w:r>
              <w:rPr>
                <w:rFonts w:hint="eastAsia" w:ascii="宋体" w:hAnsi="宋体" w:eastAsia="宋体" w:cs="宋体"/>
                <w:b w:val="0"/>
                <w:bCs/>
                <w:i w:val="0"/>
                <w:color w:val="auto"/>
                <w:szCs w:val="21"/>
                <w:highlight w:val="none"/>
                <w:u w:val="none" w:color="auto"/>
              </w:rPr>
              <w:t>全面</w:t>
            </w:r>
            <w:r>
              <w:rPr>
                <w:rFonts w:hint="eastAsia" w:ascii="宋体" w:hAnsi="宋体" w:cs="宋体"/>
                <w:b w:val="0"/>
                <w:bCs/>
                <w:i w:val="0"/>
                <w:color w:val="auto"/>
                <w:szCs w:val="21"/>
                <w:highlight w:val="none"/>
                <w:u w:val="none" w:color="auto"/>
                <w:lang w:eastAsia="zh-CN"/>
              </w:rPr>
              <w:t>、</w:t>
            </w:r>
            <w:r>
              <w:rPr>
                <w:rFonts w:hint="eastAsia" w:ascii="宋体" w:hAnsi="宋体" w:eastAsia="宋体" w:cs="宋体"/>
                <w:b w:val="0"/>
                <w:bCs/>
                <w:i w:val="0"/>
                <w:color w:val="auto"/>
                <w:szCs w:val="21"/>
                <w:highlight w:val="none"/>
                <w:u w:val="none" w:color="auto"/>
              </w:rPr>
              <w:t>周到、完整，关键地点、工序、环节控制保障措施得力</w:t>
            </w:r>
            <w:r>
              <w:rPr>
                <w:rFonts w:hint="eastAsia" w:ascii="宋体" w:hAnsi="宋体" w:cs="宋体"/>
                <w:b w:val="0"/>
                <w:bCs/>
                <w:i w:val="0"/>
                <w:color w:val="auto"/>
                <w:szCs w:val="21"/>
                <w:highlight w:val="none"/>
                <w:u w:val="none" w:color="auto"/>
                <w:lang w:eastAsia="zh-CN"/>
              </w:rPr>
              <w:t>。</w:t>
            </w:r>
          </w:p>
          <w:p w14:paraId="645DA62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eastAsia="宋体" w:cs="宋体"/>
                <w:b w:val="0"/>
                <w:bCs/>
                <w:i w:val="0"/>
                <w:color w:val="auto"/>
                <w:szCs w:val="21"/>
                <w:highlight w:val="none"/>
                <w:u w:val="none" w:color="auto"/>
              </w:rPr>
              <w:t>评审标准：优秀得</w:t>
            </w:r>
            <w:r>
              <w:rPr>
                <w:rFonts w:hint="eastAsia" w:ascii="宋体" w:hAnsi="宋体" w:cs="宋体"/>
                <w:b w:val="0"/>
                <w:bCs/>
                <w:i w:val="0"/>
                <w:color w:val="auto"/>
                <w:szCs w:val="21"/>
                <w:highlight w:val="none"/>
                <w:u w:val="none" w:color="auto"/>
                <w:lang w:val="en-US" w:eastAsia="zh-CN"/>
              </w:rPr>
              <w:t>4.0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2.6</w:t>
            </w:r>
            <w:r>
              <w:rPr>
                <w:rFonts w:hint="eastAsia" w:ascii="宋体" w:hAnsi="宋体" w:eastAsia="宋体" w:cs="宋体"/>
                <w:b w:val="0"/>
                <w:bCs/>
                <w:i w:val="0"/>
                <w:color w:val="auto"/>
                <w:szCs w:val="21"/>
                <w:highlight w:val="none"/>
                <w:u w:val="none" w:color="auto"/>
              </w:rPr>
              <w:t>分，良好得</w:t>
            </w:r>
            <w:r>
              <w:rPr>
                <w:rFonts w:hint="eastAsia" w:ascii="宋体" w:hAnsi="宋体" w:cs="宋体"/>
                <w:b w:val="0"/>
                <w:bCs/>
                <w:i w:val="0"/>
                <w:color w:val="auto"/>
                <w:szCs w:val="21"/>
                <w:highlight w:val="none"/>
                <w:u w:val="none" w:color="auto"/>
                <w:lang w:val="en-US" w:eastAsia="zh-CN"/>
              </w:rPr>
              <w:t>2</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1.0</w:t>
            </w:r>
            <w:r>
              <w:rPr>
                <w:rFonts w:hint="eastAsia" w:ascii="宋体" w:hAnsi="宋体" w:eastAsia="宋体" w:cs="宋体"/>
                <w:b w:val="0"/>
                <w:bCs/>
                <w:i w:val="0"/>
                <w:color w:val="auto"/>
                <w:szCs w:val="21"/>
                <w:highlight w:val="none"/>
                <w:u w:val="none" w:color="auto"/>
              </w:rPr>
              <w:t>分，一般得</w:t>
            </w:r>
            <w:r>
              <w:rPr>
                <w:rFonts w:hint="eastAsia" w:ascii="宋体" w:hAnsi="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.9-0.5分，</w:t>
            </w:r>
            <w:r>
              <w:rPr>
                <w:rFonts w:hint="eastAsia" w:ascii="宋体" w:hAnsi="宋体" w:cs="宋体"/>
                <w:b w:val="0"/>
                <w:bCs/>
                <w:i w:val="0"/>
                <w:color w:val="auto"/>
                <w:szCs w:val="21"/>
                <w:highlight w:val="none"/>
                <w:u w:val="none" w:color="auto"/>
                <w:lang w:val="en-US" w:eastAsia="zh-CN"/>
              </w:rPr>
              <w:t>较差得</w:t>
            </w:r>
            <w:r>
              <w:rPr>
                <w:rFonts w:hint="eastAsia" w:ascii="宋体" w:hAnsi="宋体" w:eastAsia="宋体" w:cs="宋体"/>
                <w:b w:val="0"/>
                <w:bCs/>
                <w:i w:val="0"/>
                <w:color w:val="auto"/>
                <w:szCs w:val="21"/>
                <w:highlight w:val="none"/>
                <w:u w:val="none" w:color="auto"/>
              </w:rPr>
              <w:t>0.</w:t>
            </w:r>
            <w:r>
              <w:rPr>
                <w:rFonts w:hint="eastAsia" w:ascii="宋体" w:hAnsi="宋体" w:cs="宋体"/>
                <w:b w:val="0"/>
                <w:bCs/>
                <w:i w:val="0"/>
                <w:color w:val="auto"/>
                <w:szCs w:val="21"/>
                <w:highlight w:val="none"/>
                <w:u w:val="none" w:color="auto"/>
                <w:lang w:val="en-US" w:eastAsia="zh-CN"/>
              </w:rPr>
              <w:t>4</w:t>
            </w:r>
            <w:r>
              <w:rPr>
                <w:rFonts w:hint="eastAsia" w:ascii="宋体" w:hAnsi="宋体" w:eastAsia="宋体" w:cs="宋体"/>
                <w:b w:val="0"/>
                <w:bCs/>
                <w:i w:val="0"/>
                <w:color w:val="auto"/>
                <w:szCs w:val="21"/>
                <w:highlight w:val="none"/>
                <w:u w:val="none" w:color="auto"/>
              </w:rPr>
              <w:t>-</w:t>
            </w:r>
            <w:r>
              <w:rPr>
                <w:rFonts w:hint="eastAsia" w:ascii="宋体" w:hAnsi="宋体" w:eastAsia="宋体" w:cs="宋体"/>
                <w:b w:val="0"/>
                <w:bCs/>
                <w:i w:val="0"/>
                <w:color w:val="auto"/>
                <w:szCs w:val="21"/>
                <w:highlight w:val="none"/>
                <w:u w:val="none" w:color="auto"/>
                <w:lang w:val="en-US" w:eastAsia="zh-CN"/>
              </w:rPr>
              <w:t>0.1</w:t>
            </w:r>
            <w:r>
              <w:rPr>
                <w:rFonts w:hint="eastAsia" w:ascii="宋体" w:hAnsi="宋体" w:eastAsia="宋体" w:cs="宋体"/>
                <w:b w:val="0"/>
                <w:bCs/>
                <w:i w:val="0"/>
                <w:color w:val="auto"/>
                <w:szCs w:val="21"/>
                <w:highlight w:val="none"/>
                <w:u w:val="none" w:color="auto"/>
              </w:rPr>
              <w:t>分。如投标人未提供本项内容，则本项评标得分为0分</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得分范围</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4</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分。</w:t>
            </w:r>
          </w:p>
        </w:tc>
      </w:tr>
      <w:tr w14:paraId="4B7B8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7" w:hRule="atLeast"/>
          <w:jc w:val="center"/>
        </w:trPr>
        <w:tc>
          <w:tcPr>
            <w:tcW w:w="741" w:type="dxa"/>
            <w:vMerge w:val="continue"/>
            <w:vAlign w:val="center"/>
          </w:tcPr>
          <w:p w14:paraId="4D1DA6E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val="0"/>
                <w:i w:val="0"/>
                <w:color w:val="auto"/>
                <w:szCs w:val="21"/>
                <w:highlight w:val="none"/>
                <w:u w:val="none" w:color="auto"/>
              </w:rPr>
            </w:pPr>
          </w:p>
        </w:tc>
        <w:tc>
          <w:tcPr>
            <w:tcW w:w="1059" w:type="dxa"/>
            <w:vMerge w:val="continue"/>
            <w:vAlign w:val="center"/>
          </w:tcPr>
          <w:p w14:paraId="13D6A7C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2196" w:type="dxa"/>
            <w:shd w:val="clear" w:color="auto" w:fill="auto"/>
            <w:vAlign w:val="center"/>
          </w:tcPr>
          <w:p w14:paraId="356F6C5F">
            <w:pPr>
              <w:bidi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b w:val="0"/>
                <w:i w:val="0"/>
                <w:color w:val="auto"/>
                <w:kern w:val="2"/>
                <w:sz w:val="21"/>
                <w:szCs w:val="24"/>
                <w:highlight w:val="none"/>
                <w:u w:val="none" w:color="auto"/>
                <w:lang w:val="en-US" w:eastAsia="zh-CN" w:bidi="ar-SA"/>
              </w:rPr>
              <w:t>劳动力投入计划、机械、办公、检测设备投入及保证措施</w:t>
            </w:r>
            <w:r>
              <w:rPr>
                <w:rFonts w:hint="eastAsia" w:ascii="宋体" w:hAnsi="宋体" w:cs="宋体"/>
                <w:b w:val="0"/>
                <w:i w:val="0"/>
                <w:color w:val="auto"/>
                <w:kern w:val="2"/>
                <w:sz w:val="21"/>
                <w:szCs w:val="24"/>
                <w:highlight w:val="none"/>
                <w:u w:val="none" w:color="auto"/>
                <w:lang w:val="en-US" w:eastAsia="zh-CN" w:bidi="ar-SA"/>
              </w:rPr>
              <w:t>、</w:t>
            </w:r>
            <w:r>
              <w:rPr>
                <w:rFonts w:hint="eastAsia" w:ascii="宋体" w:hAnsi="宋体" w:eastAsia="宋体" w:cs="宋体"/>
                <w:b w:val="0"/>
                <w:i w:val="0"/>
                <w:color w:val="auto"/>
                <w:kern w:val="2"/>
                <w:sz w:val="21"/>
                <w:szCs w:val="24"/>
                <w:highlight w:val="none"/>
                <w:u w:val="none" w:color="auto"/>
                <w:lang w:val="en-US" w:eastAsia="zh-CN" w:bidi="ar-SA"/>
              </w:rPr>
              <w:t>技术创新、绿色节能</w:t>
            </w:r>
          </w:p>
        </w:tc>
        <w:tc>
          <w:tcPr>
            <w:tcW w:w="810" w:type="dxa"/>
            <w:gridSpan w:val="2"/>
            <w:shd w:val="clear" w:color="auto" w:fill="auto"/>
            <w:vAlign w:val="center"/>
          </w:tcPr>
          <w:p w14:paraId="3723879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cs="宋体"/>
                <w:b w:val="0"/>
                <w:bCs/>
                <w:i w:val="0"/>
                <w:color w:val="auto"/>
                <w:szCs w:val="21"/>
                <w:highlight w:val="none"/>
                <w:u w:val="none" w:color="auto"/>
                <w:lang w:val="en-US" w:eastAsia="zh-CN"/>
              </w:rPr>
              <w:t>3</w:t>
            </w:r>
          </w:p>
        </w:tc>
        <w:tc>
          <w:tcPr>
            <w:tcW w:w="5270" w:type="dxa"/>
            <w:shd w:val="clear" w:color="auto" w:fill="auto"/>
            <w:vAlign w:val="center"/>
          </w:tcPr>
          <w:p w14:paraId="4A103B2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b w:val="0"/>
                <w:bCs/>
                <w:i w:val="0"/>
                <w:color w:val="auto"/>
                <w:szCs w:val="21"/>
                <w:highlight w:val="none"/>
                <w:u w:val="none" w:color="auto"/>
                <w:lang w:val="en-US" w:eastAsia="zh-CN"/>
              </w:rPr>
            </w:pPr>
            <w:r>
              <w:rPr>
                <w:rFonts w:hint="eastAsia" w:ascii="宋体" w:hAnsi="宋体" w:eastAsia="宋体" w:cs="宋体"/>
                <w:b w:val="0"/>
                <w:bCs/>
                <w:i w:val="0"/>
                <w:color w:val="auto"/>
                <w:szCs w:val="21"/>
                <w:highlight w:val="none"/>
                <w:u w:val="none" w:color="auto"/>
              </w:rPr>
              <w:t>评审维度：</w:t>
            </w:r>
            <w:r>
              <w:rPr>
                <w:rFonts w:hint="eastAsia" w:ascii="宋体" w:hAnsi="宋体" w:eastAsia="宋体" w:cs="宋体"/>
                <w:b w:val="0"/>
                <w:bCs/>
                <w:i w:val="0"/>
                <w:color w:val="auto"/>
                <w:szCs w:val="21"/>
                <w:highlight w:val="none"/>
                <w:u w:val="none" w:color="auto"/>
                <w:lang w:val="en-US" w:eastAsia="zh-CN"/>
              </w:rPr>
              <w:t>1.</w:t>
            </w:r>
            <w:r>
              <w:rPr>
                <w:rFonts w:hint="eastAsia" w:ascii="宋体" w:hAnsi="宋体" w:eastAsia="宋体" w:cs="宋体"/>
                <w:b w:val="0"/>
                <w:bCs/>
                <w:i w:val="0"/>
                <w:color w:val="auto"/>
                <w:szCs w:val="21"/>
                <w:highlight w:val="none"/>
                <w:u w:val="none" w:color="auto"/>
              </w:rPr>
              <w:t>劳动力投入计划、机械、办公、检测设备投入及保证措施</w:t>
            </w:r>
            <w:r>
              <w:rPr>
                <w:rFonts w:hint="eastAsia" w:ascii="宋体" w:hAnsi="宋体" w:eastAsia="宋体" w:cs="宋体"/>
                <w:b w:val="0"/>
                <w:bCs/>
                <w:i w:val="0"/>
                <w:color w:val="auto"/>
                <w:szCs w:val="21"/>
                <w:highlight w:val="none"/>
                <w:u w:val="none" w:color="auto"/>
                <w:lang w:eastAsia="zh-CN"/>
              </w:rPr>
              <w:t>；</w:t>
            </w:r>
            <w:r>
              <w:rPr>
                <w:rFonts w:hint="eastAsia" w:ascii="宋体" w:hAnsi="宋体" w:eastAsia="宋体" w:cs="宋体"/>
                <w:b w:val="0"/>
                <w:bCs/>
                <w:i w:val="0"/>
                <w:color w:val="auto"/>
                <w:szCs w:val="21"/>
                <w:highlight w:val="none"/>
                <w:u w:val="none" w:color="auto"/>
                <w:lang w:val="en-US" w:eastAsia="zh-CN"/>
              </w:rPr>
              <w:t>2.</w:t>
            </w:r>
            <w:r>
              <w:rPr>
                <w:rFonts w:hint="eastAsia" w:ascii="宋体" w:hAnsi="宋体" w:eastAsia="宋体" w:cs="宋体"/>
                <w:b w:val="0"/>
                <w:bCs/>
                <w:i w:val="0"/>
                <w:color w:val="auto"/>
                <w:szCs w:val="21"/>
                <w:highlight w:val="none"/>
                <w:u w:val="none" w:color="auto"/>
              </w:rPr>
              <w:t>投入计划与进度计划协调，调配计划合理，保证措施具体</w:t>
            </w:r>
            <w:r>
              <w:rPr>
                <w:rFonts w:hint="eastAsia" w:ascii="宋体" w:hAnsi="宋体" w:cs="宋体"/>
                <w:b w:val="0"/>
                <w:bCs/>
                <w:i w:val="0"/>
                <w:color w:val="auto"/>
                <w:szCs w:val="21"/>
                <w:highlight w:val="none"/>
                <w:u w:val="none" w:color="auto"/>
                <w:lang w:eastAsia="zh-CN"/>
              </w:rPr>
              <w:t>；</w:t>
            </w:r>
            <w:r>
              <w:rPr>
                <w:rFonts w:hint="eastAsia" w:ascii="宋体" w:hAnsi="宋体" w:cs="宋体"/>
                <w:b w:val="0"/>
                <w:bCs/>
                <w:i w:val="0"/>
                <w:color w:val="auto"/>
                <w:szCs w:val="21"/>
                <w:highlight w:val="none"/>
                <w:u w:val="none" w:color="auto"/>
                <w:lang w:val="en-US" w:eastAsia="zh-CN"/>
              </w:rPr>
              <w:t>3.</w:t>
            </w:r>
            <w:r>
              <w:rPr>
                <w:rFonts w:hint="eastAsia" w:ascii="宋体" w:hAnsi="宋体" w:eastAsia="宋体" w:cs="宋体"/>
                <w:b w:val="0"/>
                <w:bCs/>
                <w:i w:val="0"/>
                <w:color w:val="auto"/>
                <w:szCs w:val="21"/>
                <w:highlight w:val="none"/>
                <w:u w:val="none" w:color="auto"/>
              </w:rPr>
              <w:t>在本项目施工中运用新技术较多，并且绿色节能的保证措施科学、合理，可操作性高。</w:t>
            </w:r>
          </w:p>
          <w:p w14:paraId="3AB0A4D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eastAsia="宋体" w:cs="宋体"/>
                <w:b w:val="0"/>
                <w:bCs/>
                <w:i w:val="0"/>
                <w:color w:val="auto"/>
                <w:szCs w:val="21"/>
                <w:highlight w:val="none"/>
                <w:u w:val="none" w:color="auto"/>
              </w:rPr>
              <w:t>评审标准：优秀得</w:t>
            </w:r>
            <w:r>
              <w:rPr>
                <w:rFonts w:hint="eastAsia" w:ascii="宋体" w:hAnsi="宋体" w:cs="宋体"/>
                <w:b w:val="0"/>
                <w:bCs/>
                <w:i w:val="0"/>
                <w:color w:val="auto"/>
                <w:szCs w:val="21"/>
                <w:highlight w:val="none"/>
                <w:u w:val="none" w:color="auto"/>
                <w:lang w:val="en-US" w:eastAsia="zh-CN"/>
              </w:rPr>
              <w:t>3.0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2.1</w:t>
            </w:r>
            <w:r>
              <w:rPr>
                <w:rFonts w:hint="eastAsia" w:ascii="宋体" w:hAnsi="宋体" w:eastAsia="宋体" w:cs="宋体"/>
                <w:b w:val="0"/>
                <w:bCs/>
                <w:i w:val="0"/>
                <w:color w:val="auto"/>
                <w:szCs w:val="21"/>
                <w:highlight w:val="none"/>
                <w:u w:val="none" w:color="auto"/>
              </w:rPr>
              <w:t>分，良好得</w:t>
            </w:r>
            <w:r>
              <w:rPr>
                <w:rFonts w:hint="eastAsia" w:ascii="宋体" w:hAnsi="宋体" w:cs="宋体"/>
                <w:b w:val="0"/>
                <w:bCs/>
                <w:i w:val="0"/>
                <w:color w:val="auto"/>
                <w:szCs w:val="21"/>
                <w:highlight w:val="none"/>
                <w:u w:val="none" w:color="auto"/>
                <w:lang w:val="en-US" w:eastAsia="zh-CN"/>
              </w:rPr>
              <w:t>2.0</w:t>
            </w:r>
            <w:r>
              <w:rPr>
                <w:rFonts w:hint="eastAsia" w:ascii="宋体" w:hAnsi="宋体" w:eastAsia="宋体" w:cs="宋体"/>
                <w:b w:val="0"/>
                <w:bCs/>
                <w:i w:val="0"/>
                <w:color w:val="auto"/>
                <w:szCs w:val="21"/>
                <w:highlight w:val="none"/>
                <w:u w:val="none" w:color="auto"/>
              </w:rPr>
              <w:t>-1</w:t>
            </w:r>
            <w:r>
              <w:rPr>
                <w:rFonts w:hint="eastAsia" w:ascii="宋体" w:hAnsi="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分，一般得0.9-0.5分，</w:t>
            </w:r>
            <w:r>
              <w:rPr>
                <w:rFonts w:hint="eastAsia" w:ascii="宋体" w:hAnsi="宋体" w:cs="宋体"/>
                <w:b w:val="0"/>
                <w:bCs/>
                <w:i w:val="0"/>
                <w:color w:val="auto"/>
                <w:szCs w:val="21"/>
                <w:highlight w:val="none"/>
                <w:u w:val="none" w:color="auto"/>
                <w:lang w:val="en-US" w:eastAsia="zh-CN"/>
              </w:rPr>
              <w:t>较差得</w:t>
            </w:r>
            <w:r>
              <w:rPr>
                <w:rFonts w:hint="eastAsia" w:ascii="宋体" w:hAnsi="宋体" w:eastAsia="宋体" w:cs="宋体"/>
                <w:b w:val="0"/>
                <w:bCs/>
                <w:i w:val="0"/>
                <w:color w:val="auto"/>
                <w:szCs w:val="21"/>
                <w:highlight w:val="none"/>
                <w:u w:val="none" w:color="auto"/>
              </w:rPr>
              <w:t>0.</w:t>
            </w:r>
            <w:r>
              <w:rPr>
                <w:rFonts w:hint="eastAsia" w:ascii="宋体" w:hAnsi="宋体" w:cs="宋体"/>
                <w:b w:val="0"/>
                <w:bCs/>
                <w:i w:val="0"/>
                <w:color w:val="auto"/>
                <w:szCs w:val="21"/>
                <w:highlight w:val="none"/>
                <w:u w:val="none" w:color="auto"/>
                <w:lang w:val="en-US" w:eastAsia="zh-CN"/>
              </w:rPr>
              <w:t>4</w:t>
            </w:r>
            <w:r>
              <w:rPr>
                <w:rFonts w:hint="eastAsia" w:ascii="宋体" w:hAnsi="宋体" w:eastAsia="宋体" w:cs="宋体"/>
                <w:b w:val="0"/>
                <w:bCs/>
                <w:i w:val="0"/>
                <w:color w:val="auto"/>
                <w:szCs w:val="21"/>
                <w:highlight w:val="none"/>
                <w:u w:val="none" w:color="auto"/>
              </w:rPr>
              <w:t>-</w:t>
            </w:r>
            <w:r>
              <w:rPr>
                <w:rFonts w:hint="eastAsia" w:ascii="宋体" w:hAnsi="宋体" w:eastAsia="宋体" w:cs="宋体"/>
                <w:b w:val="0"/>
                <w:bCs/>
                <w:i w:val="0"/>
                <w:color w:val="auto"/>
                <w:szCs w:val="21"/>
                <w:highlight w:val="none"/>
                <w:u w:val="none" w:color="auto"/>
                <w:lang w:val="en-US" w:eastAsia="zh-CN"/>
              </w:rPr>
              <w:t>0.1</w:t>
            </w:r>
            <w:r>
              <w:rPr>
                <w:rFonts w:hint="eastAsia" w:ascii="宋体" w:hAnsi="宋体" w:eastAsia="宋体" w:cs="宋体"/>
                <w:b w:val="0"/>
                <w:bCs/>
                <w:i w:val="0"/>
                <w:color w:val="auto"/>
                <w:szCs w:val="21"/>
                <w:highlight w:val="none"/>
                <w:u w:val="none" w:color="auto"/>
              </w:rPr>
              <w:t>分。如投标人未提供本项内容，则本项评标得分为0分</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得分范围</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3</w:t>
            </w:r>
            <w:r>
              <w:rPr>
                <w:rFonts w:hint="eastAsia" w:ascii="宋体" w:hAnsi="宋体" w:eastAsia="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分。</w:t>
            </w:r>
          </w:p>
        </w:tc>
      </w:tr>
      <w:tr w14:paraId="6558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3" w:hRule="atLeast"/>
          <w:jc w:val="center"/>
        </w:trPr>
        <w:tc>
          <w:tcPr>
            <w:tcW w:w="741" w:type="dxa"/>
            <w:vMerge w:val="restart"/>
            <w:vAlign w:val="center"/>
          </w:tcPr>
          <w:p w14:paraId="57D6B02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b w:val="0"/>
                <w:i w:val="0"/>
                <w:color w:val="auto"/>
                <w:szCs w:val="21"/>
                <w:highlight w:val="none"/>
                <w:u w:val="none" w:color="auto"/>
              </w:rPr>
              <w:t>2.2.4（4）</w:t>
            </w:r>
          </w:p>
        </w:tc>
        <w:tc>
          <w:tcPr>
            <w:tcW w:w="1059" w:type="dxa"/>
            <w:vMerge w:val="restart"/>
            <w:vAlign w:val="center"/>
          </w:tcPr>
          <w:p w14:paraId="2C59D69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资信业绩评分标准</w:t>
            </w:r>
          </w:p>
        </w:tc>
        <w:tc>
          <w:tcPr>
            <w:tcW w:w="2196" w:type="dxa"/>
            <w:vAlign w:val="center"/>
          </w:tcPr>
          <w:p w14:paraId="63C7324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highlight w:val="none"/>
                <w:u w:val="none" w:color="auto"/>
                <w:lang w:val="en-US" w:eastAsia="zh-CN"/>
              </w:rPr>
            </w:pPr>
            <w:r>
              <w:rPr>
                <w:rFonts w:hint="eastAsia" w:ascii="宋体" w:hAnsi="宋体" w:eastAsia="宋体" w:cs="宋体"/>
                <w:b w:val="0"/>
                <w:i w:val="0"/>
                <w:color w:val="auto"/>
                <w:highlight w:val="none"/>
                <w:u w:val="none" w:color="auto"/>
                <w:lang w:val="en-US" w:eastAsia="zh-CN"/>
              </w:rPr>
              <w:t>企业业绩（设计）</w:t>
            </w:r>
          </w:p>
        </w:tc>
        <w:tc>
          <w:tcPr>
            <w:tcW w:w="810" w:type="dxa"/>
            <w:gridSpan w:val="2"/>
            <w:vAlign w:val="center"/>
          </w:tcPr>
          <w:p w14:paraId="652D491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color w:val="auto"/>
                <w:szCs w:val="44"/>
                <w:highlight w:val="none"/>
                <w:lang w:val="en-US"/>
              </w:rPr>
            </w:pPr>
            <w:r>
              <w:rPr>
                <w:rFonts w:hint="eastAsia" w:ascii="宋体" w:hAnsi="宋体" w:cs="宋体"/>
                <w:b w:val="0"/>
                <w:bCs/>
                <w:i w:val="0"/>
                <w:color w:val="auto"/>
                <w:szCs w:val="21"/>
                <w:highlight w:val="none"/>
                <w:u w:val="none" w:color="auto"/>
                <w:lang w:val="en-US" w:eastAsia="zh-CN"/>
              </w:rPr>
              <w:t>0.25</w:t>
            </w:r>
          </w:p>
        </w:tc>
        <w:tc>
          <w:tcPr>
            <w:tcW w:w="5270" w:type="dxa"/>
            <w:vAlign w:val="center"/>
          </w:tcPr>
          <w:p w14:paraId="0E9A3748">
            <w:pPr>
              <w:keepNext w:val="0"/>
              <w:keepLines w:val="0"/>
              <w:pageBreakBefore w:val="0"/>
              <w:widowControl w:val="0"/>
              <w:kinsoku/>
              <w:wordWrap/>
              <w:overflowPunct/>
              <w:topLinePunct w:val="0"/>
              <w:autoSpaceDE/>
              <w:autoSpaceDN/>
              <w:bidi w:val="0"/>
              <w:adjustRightInd/>
              <w:snapToGrid/>
              <w:spacing w:line="320" w:lineRule="exact"/>
              <w:jc w:val="both"/>
              <w:textAlignment w:val="auto"/>
              <w:rPr>
                <w:color w:val="auto"/>
                <w:highlight w:val="none"/>
              </w:rPr>
            </w:pPr>
            <w:r>
              <w:rPr>
                <w:rFonts w:hint="eastAsia" w:ascii="宋体" w:hAnsi="宋体" w:eastAsia="宋体" w:cs="宋体"/>
                <w:b w:val="0"/>
                <w:bCs/>
                <w:i w:val="0"/>
                <w:color w:val="auto"/>
                <w:szCs w:val="21"/>
                <w:highlight w:val="none"/>
                <w:u w:val="none" w:color="auto"/>
              </w:rPr>
              <w:t>业绩类别及专业：</w:t>
            </w:r>
            <w:r>
              <w:rPr>
                <w:rFonts w:hint="eastAsia" w:ascii="宋体" w:hAnsi="宋体" w:eastAsia="宋体" w:cs="宋体"/>
                <w:b w:val="0"/>
                <w:bCs/>
                <w:i w:val="0"/>
                <w:strike w:val="0"/>
                <w:dstrike w:val="0"/>
                <w:color w:val="auto"/>
                <w:szCs w:val="21"/>
                <w:highlight w:val="none"/>
                <w:u w:val="none" w:color="auto"/>
              </w:rPr>
              <w:t>【设计类-建筑工程】或【EPC工程总承包类-建筑工程】（新建工程）</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年份：2020年1月1日至投标截止时间</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金额：100万元（含）以上</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分值：0.25分/个，满分：0.25分。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注：业绩以住建领域主体信息库A类+B类入库信息为准，时间以竣工验收时间为准。如组成联合体投标，联合体成员任意一方满足评分标准予以得分。</w:t>
            </w:r>
          </w:p>
        </w:tc>
      </w:tr>
      <w:tr w14:paraId="5BBA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6" w:hRule="atLeast"/>
          <w:jc w:val="center"/>
        </w:trPr>
        <w:tc>
          <w:tcPr>
            <w:tcW w:w="741" w:type="dxa"/>
            <w:vMerge w:val="continue"/>
            <w:vAlign w:val="center"/>
          </w:tcPr>
          <w:p w14:paraId="26251C4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b w:val="0"/>
                <w:i w:val="0"/>
                <w:color w:val="auto"/>
                <w:szCs w:val="21"/>
                <w:highlight w:val="none"/>
                <w:u w:val="none" w:color="auto"/>
              </w:rPr>
              <w:t>2.2.4（4）</w:t>
            </w:r>
          </w:p>
        </w:tc>
        <w:tc>
          <w:tcPr>
            <w:tcW w:w="1059" w:type="dxa"/>
            <w:vMerge w:val="continue"/>
            <w:vAlign w:val="center"/>
          </w:tcPr>
          <w:p w14:paraId="0BC88DE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资信业绩评分标准</w:t>
            </w:r>
          </w:p>
        </w:tc>
        <w:tc>
          <w:tcPr>
            <w:tcW w:w="2196" w:type="dxa"/>
            <w:vAlign w:val="center"/>
          </w:tcPr>
          <w:p w14:paraId="22B143D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highlight w:val="none"/>
                <w:u w:val="none" w:color="auto"/>
                <w:lang w:val="en-US" w:eastAsia="zh-CN"/>
              </w:rPr>
            </w:pPr>
            <w:r>
              <w:rPr>
                <w:rFonts w:hint="eastAsia" w:ascii="宋体" w:hAnsi="宋体" w:eastAsia="宋体" w:cs="宋体"/>
                <w:b w:val="0"/>
                <w:i w:val="0"/>
                <w:color w:val="auto"/>
                <w:highlight w:val="none"/>
                <w:u w:val="none" w:color="auto"/>
                <w:lang w:val="en-US" w:eastAsia="zh-CN"/>
              </w:rPr>
              <w:t>企业业绩（施工）</w:t>
            </w:r>
          </w:p>
        </w:tc>
        <w:tc>
          <w:tcPr>
            <w:tcW w:w="810" w:type="dxa"/>
            <w:gridSpan w:val="2"/>
            <w:vAlign w:val="center"/>
          </w:tcPr>
          <w:p w14:paraId="4D0D899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olor w:val="auto"/>
                <w:szCs w:val="44"/>
                <w:highlight w:val="none"/>
                <w:lang w:val="en-US" w:eastAsia="zh-CN"/>
              </w:rPr>
            </w:pPr>
            <w:r>
              <w:rPr>
                <w:rFonts w:hint="eastAsia" w:ascii="宋体" w:hAnsi="宋体" w:cs="宋体"/>
                <w:b w:val="0"/>
                <w:bCs/>
                <w:i w:val="0"/>
                <w:color w:val="auto"/>
                <w:szCs w:val="21"/>
                <w:highlight w:val="none"/>
                <w:u w:val="none" w:color="auto"/>
                <w:lang w:val="en-US" w:eastAsia="zh-CN"/>
              </w:rPr>
              <w:t>0.25</w:t>
            </w:r>
          </w:p>
        </w:tc>
        <w:tc>
          <w:tcPr>
            <w:tcW w:w="5270" w:type="dxa"/>
            <w:vAlign w:val="center"/>
          </w:tcPr>
          <w:p w14:paraId="27175B23">
            <w:pPr>
              <w:keepNext w:val="0"/>
              <w:keepLines w:val="0"/>
              <w:pageBreakBefore w:val="0"/>
              <w:widowControl w:val="0"/>
              <w:kinsoku/>
              <w:wordWrap/>
              <w:overflowPunct/>
              <w:topLinePunct w:val="0"/>
              <w:autoSpaceDE/>
              <w:autoSpaceDN/>
              <w:bidi w:val="0"/>
              <w:adjustRightInd/>
              <w:snapToGrid/>
              <w:spacing w:line="320" w:lineRule="exact"/>
              <w:jc w:val="both"/>
              <w:textAlignment w:val="auto"/>
              <w:rPr>
                <w:color w:val="auto"/>
                <w:highlight w:val="none"/>
              </w:rPr>
            </w:pPr>
            <w:r>
              <w:rPr>
                <w:rFonts w:hint="eastAsia" w:ascii="宋体" w:hAnsi="宋体" w:eastAsia="宋体" w:cs="宋体"/>
                <w:b w:val="0"/>
                <w:bCs/>
                <w:i w:val="0"/>
                <w:color w:val="auto"/>
                <w:szCs w:val="21"/>
                <w:highlight w:val="none"/>
                <w:u w:val="none" w:color="auto"/>
              </w:rPr>
              <w:t>业绩类别及专业：</w:t>
            </w:r>
            <w:r>
              <w:rPr>
                <w:rFonts w:hint="eastAsia" w:ascii="宋体" w:hAnsi="宋体" w:eastAsia="宋体" w:cs="宋体"/>
                <w:b w:val="0"/>
                <w:bCs/>
                <w:i w:val="0"/>
                <w:strike w:val="0"/>
                <w:dstrike w:val="0"/>
                <w:color w:val="auto"/>
                <w:szCs w:val="21"/>
                <w:highlight w:val="none"/>
                <w:u w:val="none" w:color="auto"/>
              </w:rPr>
              <w:t>【施工类-建筑工程】或【EPC工程总承包类-建筑工程】（新建工程）</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年份：2020年1月1日至投标截止时间</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金额：</w:t>
            </w:r>
            <w:r>
              <w:rPr>
                <w:rFonts w:hint="eastAsia" w:ascii="宋体" w:hAnsi="宋体" w:cs="宋体"/>
                <w:b w:val="0"/>
                <w:bCs/>
                <w:i w:val="0"/>
                <w:color w:val="auto"/>
                <w:szCs w:val="21"/>
                <w:highlight w:val="none"/>
                <w:u w:val="none" w:color="auto"/>
                <w:lang w:eastAsia="zh-CN"/>
              </w:rPr>
              <w:t>2</w:t>
            </w:r>
            <w:r>
              <w:rPr>
                <w:rFonts w:hint="eastAsia" w:ascii="宋体" w:hAnsi="宋体" w:cs="宋体"/>
                <w:b w:val="0"/>
                <w:bCs/>
                <w:i w:val="0"/>
                <w:color w:val="auto"/>
                <w:szCs w:val="21"/>
                <w:highlight w:val="none"/>
                <w:u w:val="none" w:color="auto"/>
                <w:lang w:val="en-US" w:eastAsia="zh-CN"/>
              </w:rPr>
              <w:t>0</w:t>
            </w:r>
            <w:r>
              <w:rPr>
                <w:rFonts w:hint="eastAsia" w:ascii="宋体" w:hAnsi="宋体" w:eastAsia="宋体" w:cs="宋体"/>
                <w:b w:val="0"/>
                <w:bCs/>
                <w:i w:val="0"/>
                <w:color w:val="auto"/>
                <w:szCs w:val="21"/>
                <w:highlight w:val="none"/>
                <w:u w:val="none" w:color="auto"/>
              </w:rPr>
              <w:t>000万元（含）以上</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分值：0.25分/个，满分：0.25分。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注：业绩以住建领域主体信息库A类+B类入库信息为准，时间以竣工验收时间为准。如组成联合体投标，联合体成员任意一方满足评分标准予以得分。</w:t>
            </w:r>
          </w:p>
        </w:tc>
      </w:tr>
      <w:tr w14:paraId="3EFE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9" w:hRule="atLeast"/>
          <w:jc w:val="center"/>
        </w:trPr>
        <w:tc>
          <w:tcPr>
            <w:tcW w:w="741" w:type="dxa"/>
            <w:vMerge w:val="continue"/>
            <w:vAlign w:val="center"/>
          </w:tcPr>
          <w:p w14:paraId="5882CBB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b w:val="0"/>
                <w:i w:val="0"/>
                <w:color w:val="auto"/>
                <w:szCs w:val="21"/>
                <w:highlight w:val="none"/>
                <w:u w:val="none" w:color="auto"/>
              </w:rPr>
              <w:t>2.2.4（4）</w:t>
            </w:r>
          </w:p>
        </w:tc>
        <w:tc>
          <w:tcPr>
            <w:tcW w:w="1059" w:type="dxa"/>
            <w:vMerge w:val="continue"/>
            <w:vAlign w:val="center"/>
          </w:tcPr>
          <w:p w14:paraId="28B8012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资信业绩评分标准</w:t>
            </w:r>
          </w:p>
        </w:tc>
        <w:tc>
          <w:tcPr>
            <w:tcW w:w="2196" w:type="dxa"/>
            <w:vAlign w:val="center"/>
          </w:tcPr>
          <w:p w14:paraId="18D75AF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szCs w:val="21"/>
                <w:highlight w:val="none"/>
              </w:rPr>
            </w:pPr>
            <w:r>
              <w:rPr>
                <w:rFonts w:hint="eastAsia" w:ascii="宋体" w:hAnsi="宋体" w:cs="宋体"/>
                <w:b w:val="0"/>
                <w:i w:val="0"/>
                <w:color w:val="auto"/>
                <w:highlight w:val="none"/>
                <w:u w:val="none" w:color="auto"/>
                <w:lang w:val="en-US" w:eastAsia="zh-CN"/>
              </w:rPr>
              <w:t>财务状况</w:t>
            </w:r>
          </w:p>
        </w:tc>
        <w:tc>
          <w:tcPr>
            <w:tcW w:w="810" w:type="dxa"/>
            <w:gridSpan w:val="2"/>
            <w:vAlign w:val="center"/>
          </w:tcPr>
          <w:p w14:paraId="168E6DF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olor w:val="auto"/>
                <w:szCs w:val="44"/>
                <w:highlight w:val="none"/>
                <w:lang w:val="en-US" w:eastAsia="zh-CN"/>
              </w:rPr>
            </w:pPr>
            <w:r>
              <w:rPr>
                <w:rFonts w:hint="eastAsia" w:ascii="宋体" w:hAnsi="宋体" w:cs="宋体"/>
                <w:b w:val="0"/>
                <w:bCs/>
                <w:i w:val="0"/>
                <w:color w:val="auto"/>
                <w:szCs w:val="21"/>
                <w:highlight w:val="none"/>
                <w:u w:val="none" w:color="auto"/>
                <w:lang w:val="en-US" w:eastAsia="zh-CN"/>
              </w:rPr>
              <w:t>0.5</w:t>
            </w:r>
          </w:p>
        </w:tc>
        <w:tc>
          <w:tcPr>
            <w:tcW w:w="5270" w:type="dxa"/>
            <w:vAlign w:val="center"/>
          </w:tcPr>
          <w:p w14:paraId="53D840BC">
            <w:pPr>
              <w:keepNext w:val="0"/>
              <w:keepLines w:val="0"/>
              <w:pageBreakBefore w:val="0"/>
              <w:widowControl w:val="0"/>
              <w:kinsoku/>
              <w:wordWrap/>
              <w:overflowPunct/>
              <w:topLinePunct w:val="0"/>
              <w:autoSpaceDE/>
              <w:autoSpaceDN/>
              <w:bidi w:val="0"/>
              <w:adjustRightInd/>
              <w:snapToGrid/>
              <w:spacing w:line="320" w:lineRule="exact"/>
              <w:jc w:val="both"/>
              <w:textAlignment w:val="auto"/>
              <w:rPr>
                <w:color w:val="auto"/>
                <w:highlight w:val="none"/>
              </w:rPr>
            </w:pPr>
            <w:r>
              <w:rPr>
                <w:rFonts w:hint="eastAsia" w:ascii="宋体" w:hAnsi="宋体" w:eastAsia="宋体" w:cs="宋体"/>
                <w:b w:val="0"/>
                <w:bCs/>
                <w:i w:val="0"/>
                <w:color w:val="auto"/>
                <w:szCs w:val="21"/>
                <w:highlight w:val="none"/>
                <w:u w:val="none" w:color="auto"/>
              </w:rPr>
              <w:t>评审内容：经审计的财务报告</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年度：（1）202</w:t>
            </w:r>
            <w:r>
              <w:rPr>
                <w:rFonts w:hint="eastAsia" w:ascii="宋体" w:hAnsi="宋体" w:cs="宋体"/>
                <w:b w:val="0"/>
                <w:bCs/>
                <w:i w:val="0"/>
                <w:color w:val="auto"/>
                <w:szCs w:val="21"/>
                <w:highlight w:val="none"/>
                <w:u w:val="none" w:color="auto"/>
                <w:lang w:val="en-US" w:eastAsia="zh-CN"/>
              </w:rPr>
              <w:t>3</w:t>
            </w:r>
            <w:r>
              <w:rPr>
                <w:rFonts w:hint="eastAsia" w:ascii="宋体" w:hAnsi="宋体" w:eastAsia="宋体" w:cs="宋体"/>
                <w:b w:val="0"/>
                <w:bCs/>
                <w:i w:val="0"/>
                <w:color w:val="auto"/>
                <w:szCs w:val="21"/>
                <w:highlight w:val="none"/>
                <w:u w:val="none" w:color="auto"/>
              </w:rPr>
              <w:t>年度、（2）202</w:t>
            </w:r>
            <w:r>
              <w:rPr>
                <w:rFonts w:hint="eastAsia" w:ascii="宋体" w:hAnsi="宋体" w:cs="宋体"/>
                <w:b w:val="0"/>
                <w:bCs/>
                <w:i w:val="0"/>
                <w:color w:val="auto"/>
                <w:szCs w:val="21"/>
                <w:highlight w:val="none"/>
                <w:u w:val="none" w:color="auto"/>
                <w:lang w:val="en-US" w:eastAsia="zh-CN"/>
              </w:rPr>
              <w:t>4</w:t>
            </w:r>
            <w:r>
              <w:rPr>
                <w:rFonts w:hint="eastAsia" w:ascii="宋体" w:hAnsi="宋体" w:eastAsia="宋体" w:cs="宋体"/>
                <w:b w:val="0"/>
                <w:bCs/>
                <w:i w:val="0"/>
                <w:color w:val="auto"/>
                <w:szCs w:val="21"/>
                <w:highlight w:val="none"/>
                <w:u w:val="none" w:color="auto"/>
              </w:rPr>
              <w:t>年度</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分值：0.25分/年度，满分：0.5分。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注：以住建领域主体信息库入库信息为准，报告未经审计或未提供的不得分。</w:t>
            </w:r>
          </w:p>
        </w:tc>
      </w:tr>
      <w:tr w14:paraId="3FF0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9" w:hRule="atLeast"/>
          <w:jc w:val="center"/>
        </w:trPr>
        <w:tc>
          <w:tcPr>
            <w:tcW w:w="741" w:type="dxa"/>
            <w:vMerge w:val="continue"/>
            <w:vAlign w:val="center"/>
          </w:tcPr>
          <w:p w14:paraId="5F65DF0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val="0"/>
                <w:i w:val="0"/>
                <w:color w:val="auto"/>
                <w:szCs w:val="21"/>
                <w:highlight w:val="none"/>
                <w:u w:val="none" w:color="auto"/>
              </w:rPr>
            </w:pPr>
          </w:p>
        </w:tc>
        <w:tc>
          <w:tcPr>
            <w:tcW w:w="1059" w:type="dxa"/>
            <w:vMerge w:val="continue"/>
            <w:vAlign w:val="center"/>
          </w:tcPr>
          <w:p w14:paraId="016B098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2196" w:type="dxa"/>
            <w:shd w:val="clear" w:color="auto" w:fill="auto"/>
            <w:vAlign w:val="center"/>
          </w:tcPr>
          <w:p w14:paraId="1A5E3E59">
            <w:pPr>
              <w:spacing w:line="420" w:lineRule="exact"/>
              <w:jc w:val="center"/>
              <w:rPr>
                <w:rFonts w:hint="eastAsia" w:ascii="宋体" w:hAnsi="宋体" w:eastAsia="宋体" w:cs="宋体"/>
                <w:b w:val="0"/>
                <w:i w:val="0"/>
                <w:color w:val="auto"/>
                <w:kern w:val="2"/>
                <w:sz w:val="21"/>
                <w:szCs w:val="24"/>
                <w:highlight w:val="none"/>
                <w:u w:val="none" w:color="auto"/>
                <w:lang w:val="en-US" w:eastAsia="zh-CN" w:bidi="ar-SA"/>
              </w:rPr>
            </w:pPr>
            <w:r>
              <w:rPr>
                <w:rFonts w:hint="eastAsia" w:ascii="宋体" w:hAnsi="宋体" w:eastAsia="宋体" w:cs="宋体"/>
                <w:b w:val="0"/>
                <w:i w:val="0"/>
                <w:color w:val="auto"/>
                <w:highlight w:val="none"/>
                <w:u w:val="none" w:color="auto"/>
              </w:rPr>
              <w:t>设计负责人</w:t>
            </w:r>
          </w:p>
        </w:tc>
        <w:tc>
          <w:tcPr>
            <w:tcW w:w="810" w:type="dxa"/>
            <w:gridSpan w:val="2"/>
            <w:shd w:val="clear" w:color="auto" w:fill="auto"/>
            <w:vAlign w:val="center"/>
          </w:tcPr>
          <w:p w14:paraId="7321E02D">
            <w:pPr>
              <w:spacing w:line="420" w:lineRule="exact"/>
              <w:jc w:val="center"/>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eastAsia="宋体" w:cs="宋体"/>
                <w:b w:val="0"/>
                <w:bCs/>
                <w:i w:val="0"/>
                <w:color w:val="auto"/>
                <w:szCs w:val="21"/>
                <w:highlight w:val="none"/>
                <w:u w:val="none" w:color="auto"/>
              </w:rPr>
              <w:t>1</w:t>
            </w:r>
          </w:p>
        </w:tc>
        <w:tc>
          <w:tcPr>
            <w:tcW w:w="5270" w:type="dxa"/>
            <w:shd w:val="clear" w:color="auto" w:fill="auto"/>
            <w:vAlign w:val="center"/>
          </w:tcPr>
          <w:p w14:paraId="7BEF0A3A">
            <w:pPr>
              <w:spacing w:line="420" w:lineRule="exact"/>
              <w:jc w:val="left"/>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eastAsia="宋体" w:cs="宋体"/>
                <w:b w:val="0"/>
                <w:bCs/>
                <w:i w:val="0"/>
                <w:color w:val="auto"/>
                <w:szCs w:val="21"/>
                <w:highlight w:val="none"/>
                <w:u w:val="none" w:color="auto"/>
              </w:rPr>
              <w:t>人员类别：总设计负责人</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评审内容：职称</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评审标准：【不限相关专业（指职称专业类别）正高级工程师（含）以上职称】</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分值：1分，满分：1分。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注：以住建领域主体信息库入库信息为准。如组成联合体投标，联合体成员任意一方满足评分标准予以得分。</w:t>
            </w:r>
          </w:p>
        </w:tc>
      </w:tr>
      <w:tr w14:paraId="11E2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9" w:hRule="atLeast"/>
          <w:jc w:val="center"/>
        </w:trPr>
        <w:tc>
          <w:tcPr>
            <w:tcW w:w="741" w:type="dxa"/>
            <w:vMerge w:val="continue"/>
            <w:vAlign w:val="center"/>
          </w:tcPr>
          <w:p w14:paraId="5406F17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val="0"/>
                <w:i w:val="0"/>
                <w:color w:val="auto"/>
                <w:szCs w:val="21"/>
                <w:highlight w:val="none"/>
                <w:u w:val="none" w:color="auto"/>
              </w:rPr>
            </w:pPr>
          </w:p>
        </w:tc>
        <w:tc>
          <w:tcPr>
            <w:tcW w:w="1059" w:type="dxa"/>
            <w:vMerge w:val="continue"/>
            <w:vAlign w:val="center"/>
          </w:tcPr>
          <w:p w14:paraId="57CE62C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2196" w:type="dxa"/>
            <w:shd w:val="clear" w:color="auto" w:fill="auto"/>
            <w:vAlign w:val="center"/>
          </w:tcPr>
          <w:p w14:paraId="73C29C5A">
            <w:pPr>
              <w:spacing w:line="420" w:lineRule="exact"/>
              <w:jc w:val="center"/>
              <w:rPr>
                <w:rFonts w:hint="eastAsia" w:ascii="宋体" w:hAnsi="宋体" w:eastAsia="宋体" w:cs="宋体"/>
                <w:b w:val="0"/>
                <w:i w:val="0"/>
                <w:color w:val="auto"/>
                <w:kern w:val="2"/>
                <w:sz w:val="21"/>
                <w:szCs w:val="24"/>
                <w:highlight w:val="none"/>
                <w:u w:val="none" w:color="auto"/>
                <w:lang w:val="en-US" w:eastAsia="zh-CN" w:bidi="ar-SA"/>
              </w:rPr>
            </w:pPr>
            <w:r>
              <w:rPr>
                <w:rFonts w:hint="eastAsia" w:ascii="宋体" w:hAnsi="宋体" w:eastAsia="宋体" w:cs="宋体"/>
                <w:b w:val="0"/>
                <w:i w:val="0"/>
                <w:color w:val="auto"/>
                <w:highlight w:val="none"/>
                <w:u w:val="none" w:color="auto"/>
              </w:rPr>
              <w:t>设计团队人员（除设计负责人外）一级注册建筑师</w:t>
            </w:r>
          </w:p>
        </w:tc>
        <w:tc>
          <w:tcPr>
            <w:tcW w:w="810" w:type="dxa"/>
            <w:gridSpan w:val="2"/>
            <w:shd w:val="clear" w:color="auto" w:fill="auto"/>
            <w:vAlign w:val="center"/>
          </w:tcPr>
          <w:p w14:paraId="26E536CE">
            <w:pPr>
              <w:spacing w:line="420" w:lineRule="exact"/>
              <w:jc w:val="center"/>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eastAsia="宋体" w:cs="宋体"/>
                <w:b w:val="0"/>
                <w:bCs/>
                <w:i w:val="0"/>
                <w:color w:val="auto"/>
                <w:szCs w:val="21"/>
                <w:highlight w:val="none"/>
                <w:u w:val="none" w:color="auto"/>
              </w:rPr>
              <w:t>1</w:t>
            </w:r>
          </w:p>
        </w:tc>
        <w:tc>
          <w:tcPr>
            <w:tcW w:w="5270" w:type="dxa"/>
            <w:shd w:val="clear" w:color="auto" w:fill="auto"/>
            <w:vAlign w:val="center"/>
          </w:tcPr>
          <w:p w14:paraId="2242BBAC">
            <w:pPr>
              <w:spacing w:line="420" w:lineRule="exact"/>
              <w:jc w:val="left"/>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eastAsia="宋体" w:cs="宋体"/>
                <w:b w:val="0"/>
                <w:bCs/>
                <w:i w:val="0"/>
                <w:color w:val="auto"/>
                <w:szCs w:val="21"/>
                <w:highlight w:val="none"/>
                <w:u w:val="none" w:color="auto"/>
              </w:rPr>
              <w:t>人员类别：专业设计人员</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评审内容：注册执业资格证书</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评审标准：【一级注册建筑师（不分专业相关专业）】</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分值：0.5分/个，满分：1分。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注：以住建领域主体信息库入库信息为准。如组成联合体投标，联合体成员任意一方满足评分标准予以得分。</w:t>
            </w:r>
          </w:p>
        </w:tc>
      </w:tr>
      <w:tr w14:paraId="55DF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9" w:hRule="atLeast"/>
          <w:jc w:val="center"/>
        </w:trPr>
        <w:tc>
          <w:tcPr>
            <w:tcW w:w="741" w:type="dxa"/>
            <w:vMerge w:val="continue"/>
            <w:vAlign w:val="center"/>
          </w:tcPr>
          <w:p w14:paraId="19884B4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val="0"/>
                <w:i w:val="0"/>
                <w:color w:val="auto"/>
                <w:szCs w:val="21"/>
                <w:highlight w:val="none"/>
                <w:u w:val="none" w:color="auto"/>
              </w:rPr>
            </w:pPr>
          </w:p>
        </w:tc>
        <w:tc>
          <w:tcPr>
            <w:tcW w:w="1059" w:type="dxa"/>
            <w:vMerge w:val="continue"/>
            <w:vAlign w:val="center"/>
          </w:tcPr>
          <w:p w14:paraId="75020E0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2196" w:type="dxa"/>
            <w:shd w:val="clear" w:color="auto" w:fill="auto"/>
            <w:vAlign w:val="center"/>
          </w:tcPr>
          <w:p w14:paraId="6AB18F20">
            <w:pPr>
              <w:spacing w:line="420" w:lineRule="exact"/>
              <w:jc w:val="center"/>
              <w:rPr>
                <w:rFonts w:hint="eastAsia" w:ascii="宋体" w:hAnsi="宋体" w:eastAsia="宋体" w:cs="宋体"/>
                <w:b w:val="0"/>
                <w:i w:val="0"/>
                <w:color w:val="auto"/>
                <w:kern w:val="2"/>
                <w:sz w:val="21"/>
                <w:szCs w:val="24"/>
                <w:highlight w:val="none"/>
                <w:u w:val="none" w:color="auto"/>
                <w:lang w:val="en-US" w:eastAsia="zh-CN" w:bidi="ar-SA"/>
              </w:rPr>
            </w:pPr>
            <w:r>
              <w:rPr>
                <w:rFonts w:hint="eastAsia" w:ascii="宋体" w:hAnsi="宋体" w:eastAsia="宋体" w:cs="宋体"/>
                <w:b w:val="0"/>
                <w:i w:val="0"/>
                <w:color w:val="auto"/>
                <w:highlight w:val="none"/>
                <w:u w:val="none" w:color="auto"/>
              </w:rPr>
              <w:t>设计团队人员（除设计负责人外）一级注册结构工程师</w:t>
            </w:r>
          </w:p>
        </w:tc>
        <w:tc>
          <w:tcPr>
            <w:tcW w:w="810" w:type="dxa"/>
            <w:gridSpan w:val="2"/>
            <w:shd w:val="clear" w:color="auto" w:fill="auto"/>
            <w:vAlign w:val="center"/>
          </w:tcPr>
          <w:p w14:paraId="1B63405D">
            <w:pPr>
              <w:spacing w:line="420" w:lineRule="exact"/>
              <w:jc w:val="center"/>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eastAsia="宋体" w:cs="宋体"/>
                <w:b w:val="0"/>
                <w:bCs/>
                <w:i w:val="0"/>
                <w:color w:val="auto"/>
                <w:szCs w:val="21"/>
                <w:highlight w:val="none"/>
                <w:u w:val="none" w:color="auto"/>
              </w:rPr>
              <w:t>0.5</w:t>
            </w:r>
          </w:p>
        </w:tc>
        <w:tc>
          <w:tcPr>
            <w:tcW w:w="5270" w:type="dxa"/>
            <w:shd w:val="clear" w:color="auto" w:fill="auto"/>
            <w:vAlign w:val="center"/>
          </w:tcPr>
          <w:p w14:paraId="2914E02A">
            <w:pPr>
              <w:spacing w:line="420" w:lineRule="exact"/>
              <w:jc w:val="left"/>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eastAsia="宋体" w:cs="宋体"/>
                <w:b w:val="0"/>
                <w:bCs/>
                <w:i w:val="0"/>
                <w:color w:val="auto"/>
                <w:szCs w:val="21"/>
                <w:highlight w:val="none"/>
                <w:u w:val="none" w:color="auto"/>
              </w:rPr>
              <w:t>人员类别：专业设计人员</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评审内容：注册执业资格证书</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评审标准：【一级注册结构工程师（不分专业相关专业）】</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分值：0.25分/个，满分：0.5分。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注：以住建领域主体信息库入库信息为准。如组成联合体投标，联合体成员任意一方满足评分标准予以得分。</w:t>
            </w:r>
          </w:p>
        </w:tc>
      </w:tr>
      <w:tr w14:paraId="1BE8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9" w:hRule="atLeast"/>
          <w:jc w:val="center"/>
        </w:trPr>
        <w:tc>
          <w:tcPr>
            <w:tcW w:w="741" w:type="dxa"/>
            <w:vMerge w:val="continue"/>
            <w:vAlign w:val="center"/>
          </w:tcPr>
          <w:p w14:paraId="429A9BE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val="0"/>
                <w:i w:val="0"/>
                <w:color w:val="auto"/>
                <w:szCs w:val="21"/>
                <w:highlight w:val="none"/>
                <w:u w:val="none" w:color="auto"/>
              </w:rPr>
            </w:pPr>
          </w:p>
        </w:tc>
        <w:tc>
          <w:tcPr>
            <w:tcW w:w="1059" w:type="dxa"/>
            <w:vMerge w:val="continue"/>
            <w:vAlign w:val="center"/>
          </w:tcPr>
          <w:p w14:paraId="0E0491F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2196" w:type="dxa"/>
            <w:shd w:val="clear" w:color="auto" w:fill="auto"/>
            <w:vAlign w:val="center"/>
          </w:tcPr>
          <w:p w14:paraId="7D691432">
            <w:pPr>
              <w:spacing w:line="420" w:lineRule="exact"/>
              <w:jc w:val="center"/>
              <w:rPr>
                <w:rFonts w:hint="eastAsia" w:ascii="宋体" w:hAnsi="宋体" w:eastAsia="宋体" w:cs="宋体"/>
                <w:b w:val="0"/>
                <w:i w:val="0"/>
                <w:color w:val="auto"/>
                <w:kern w:val="2"/>
                <w:sz w:val="21"/>
                <w:szCs w:val="24"/>
                <w:highlight w:val="none"/>
                <w:u w:val="none" w:color="auto"/>
                <w:lang w:val="en-US" w:eastAsia="zh-CN" w:bidi="ar-SA"/>
              </w:rPr>
            </w:pPr>
            <w:r>
              <w:rPr>
                <w:rFonts w:hint="eastAsia" w:ascii="宋体" w:hAnsi="宋体" w:eastAsia="宋体" w:cs="宋体"/>
                <w:b w:val="0"/>
                <w:i w:val="0"/>
                <w:color w:val="auto"/>
                <w:highlight w:val="none"/>
                <w:u w:val="none" w:color="auto"/>
              </w:rPr>
              <w:t>设计团队人员（除设计负责人外）注册公用设备工程师1</w:t>
            </w:r>
          </w:p>
        </w:tc>
        <w:tc>
          <w:tcPr>
            <w:tcW w:w="810" w:type="dxa"/>
            <w:gridSpan w:val="2"/>
            <w:shd w:val="clear" w:color="auto" w:fill="auto"/>
            <w:vAlign w:val="center"/>
          </w:tcPr>
          <w:p w14:paraId="25BD7D14">
            <w:pPr>
              <w:spacing w:line="420" w:lineRule="exact"/>
              <w:jc w:val="center"/>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eastAsia="宋体" w:cs="宋体"/>
                <w:b w:val="0"/>
                <w:bCs/>
                <w:i w:val="0"/>
                <w:color w:val="auto"/>
                <w:szCs w:val="21"/>
                <w:highlight w:val="none"/>
                <w:u w:val="none" w:color="auto"/>
              </w:rPr>
              <w:t>0.5</w:t>
            </w:r>
          </w:p>
        </w:tc>
        <w:tc>
          <w:tcPr>
            <w:tcW w:w="5270" w:type="dxa"/>
            <w:shd w:val="clear" w:color="auto" w:fill="auto"/>
            <w:vAlign w:val="center"/>
          </w:tcPr>
          <w:p w14:paraId="4E3FB191">
            <w:pPr>
              <w:spacing w:line="420" w:lineRule="exact"/>
              <w:jc w:val="left"/>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eastAsia="宋体" w:cs="宋体"/>
                <w:b w:val="0"/>
                <w:bCs/>
                <w:i w:val="0"/>
                <w:color w:val="auto"/>
                <w:szCs w:val="21"/>
                <w:highlight w:val="none"/>
                <w:u w:val="none" w:color="auto"/>
              </w:rPr>
              <w:t>人员类别：专业设计人员</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评审内容：注册执业资格证书</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评审标准：【注册公用设备工程师（给水排水相关专业）】</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分值：0.25分/个，满分：0.5分。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注：以住建领域主体信息库入库信息为准。如组成联合体投标，联合体成员任意一方满足评分标准予以得分。</w:t>
            </w:r>
          </w:p>
        </w:tc>
      </w:tr>
      <w:tr w14:paraId="15A6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9" w:hRule="atLeast"/>
          <w:jc w:val="center"/>
        </w:trPr>
        <w:tc>
          <w:tcPr>
            <w:tcW w:w="741" w:type="dxa"/>
            <w:vMerge w:val="continue"/>
            <w:vAlign w:val="center"/>
          </w:tcPr>
          <w:p w14:paraId="719476D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val="0"/>
                <w:i w:val="0"/>
                <w:color w:val="auto"/>
                <w:szCs w:val="21"/>
                <w:highlight w:val="none"/>
                <w:u w:val="none" w:color="auto"/>
              </w:rPr>
            </w:pPr>
          </w:p>
        </w:tc>
        <w:tc>
          <w:tcPr>
            <w:tcW w:w="1059" w:type="dxa"/>
            <w:vMerge w:val="continue"/>
            <w:vAlign w:val="center"/>
          </w:tcPr>
          <w:p w14:paraId="2E2047E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2196" w:type="dxa"/>
            <w:shd w:val="clear" w:color="auto" w:fill="auto"/>
            <w:vAlign w:val="center"/>
          </w:tcPr>
          <w:p w14:paraId="24C43B40">
            <w:pPr>
              <w:spacing w:line="420" w:lineRule="exact"/>
              <w:jc w:val="center"/>
              <w:rPr>
                <w:rFonts w:hint="eastAsia" w:ascii="宋体" w:hAnsi="宋体" w:eastAsia="宋体" w:cs="宋体"/>
                <w:b w:val="0"/>
                <w:i w:val="0"/>
                <w:color w:val="auto"/>
                <w:kern w:val="2"/>
                <w:sz w:val="21"/>
                <w:szCs w:val="24"/>
                <w:highlight w:val="none"/>
                <w:u w:val="none" w:color="auto"/>
                <w:lang w:val="en-US" w:eastAsia="zh-CN" w:bidi="ar-SA"/>
              </w:rPr>
            </w:pPr>
            <w:r>
              <w:rPr>
                <w:rFonts w:hint="eastAsia" w:ascii="宋体" w:hAnsi="宋体" w:eastAsia="宋体" w:cs="宋体"/>
                <w:b w:val="0"/>
                <w:i w:val="0"/>
                <w:color w:val="auto"/>
                <w:highlight w:val="none"/>
                <w:u w:val="none" w:color="auto"/>
              </w:rPr>
              <w:t>设计团队人员（除设计负责人外）注册公用设备工程师2</w:t>
            </w:r>
          </w:p>
        </w:tc>
        <w:tc>
          <w:tcPr>
            <w:tcW w:w="810" w:type="dxa"/>
            <w:gridSpan w:val="2"/>
            <w:shd w:val="clear" w:color="auto" w:fill="auto"/>
            <w:vAlign w:val="center"/>
          </w:tcPr>
          <w:p w14:paraId="08310565">
            <w:pPr>
              <w:spacing w:line="420" w:lineRule="exact"/>
              <w:jc w:val="center"/>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eastAsia="宋体" w:cs="宋体"/>
                <w:b w:val="0"/>
                <w:bCs/>
                <w:i w:val="0"/>
                <w:color w:val="auto"/>
                <w:szCs w:val="21"/>
                <w:highlight w:val="none"/>
                <w:u w:val="none" w:color="auto"/>
              </w:rPr>
              <w:t>0.5</w:t>
            </w:r>
          </w:p>
        </w:tc>
        <w:tc>
          <w:tcPr>
            <w:tcW w:w="5270" w:type="dxa"/>
            <w:shd w:val="clear" w:color="auto" w:fill="auto"/>
            <w:vAlign w:val="center"/>
          </w:tcPr>
          <w:p w14:paraId="59F866C4">
            <w:pPr>
              <w:spacing w:line="420" w:lineRule="exact"/>
              <w:jc w:val="left"/>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eastAsia="宋体" w:cs="宋体"/>
                <w:b w:val="0"/>
                <w:bCs/>
                <w:i w:val="0"/>
                <w:color w:val="auto"/>
                <w:szCs w:val="21"/>
                <w:highlight w:val="none"/>
                <w:u w:val="none" w:color="auto"/>
              </w:rPr>
              <w:t>人员类别：专业设计人员</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评审内容：注册执业资格证书</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评审标准：【注册公用设备工程师（暖通空调相关专业）】</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分值：0.25分/个，满分：0.5分。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注：以住建领域主体信息库入库信息为准。如组成联合体投标，联合体成员任意一方满足评分标准予以得分。</w:t>
            </w:r>
          </w:p>
        </w:tc>
      </w:tr>
      <w:tr w14:paraId="1E35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9" w:hRule="atLeast"/>
          <w:jc w:val="center"/>
        </w:trPr>
        <w:tc>
          <w:tcPr>
            <w:tcW w:w="741" w:type="dxa"/>
            <w:vMerge w:val="continue"/>
            <w:vAlign w:val="center"/>
          </w:tcPr>
          <w:p w14:paraId="1F7131E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val="0"/>
                <w:i w:val="0"/>
                <w:color w:val="auto"/>
                <w:szCs w:val="21"/>
                <w:highlight w:val="none"/>
                <w:u w:val="none" w:color="auto"/>
              </w:rPr>
            </w:pPr>
          </w:p>
        </w:tc>
        <w:tc>
          <w:tcPr>
            <w:tcW w:w="1059" w:type="dxa"/>
            <w:vMerge w:val="continue"/>
            <w:vAlign w:val="center"/>
          </w:tcPr>
          <w:p w14:paraId="319CE66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2196" w:type="dxa"/>
            <w:shd w:val="clear" w:color="auto" w:fill="auto"/>
            <w:vAlign w:val="center"/>
          </w:tcPr>
          <w:p w14:paraId="0FD91209">
            <w:pPr>
              <w:spacing w:line="420" w:lineRule="exact"/>
              <w:jc w:val="center"/>
              <w:rPr>
                <w:rFonts w:hint="eastAsia" w:ascii="宋体" w:hAnsi="宋体" w:eastAsia="宋体" w:cs="宋体"/>
                <w:b w:val="0"/>
                <w:i w:val="0"/>
                <w:color w:val="auto"/>
                <w:kern w:val="2"/>
                <w:sz w:val="21"/>
                <w:szCs w:val="24"/>
                <w:highlight w:val="none"/>
                <w:u w:val="none" w:color="auto"/>
                <w:lang w:val="en-US" w:eastAsia="zh-CN" w:bidi="ar-SA"/>
              </w:rPr>
            </w:pPr>
            <w:r>
              <w:rPr>
                <w:rFonts w:hint="eastAsia" w:ascii="宋体" w:hAnsi="宋体" w:eastAsia="宋体" w:cs="宋体"/>
                <w:b w:val="0"/>
                <w:i w:val="0"/>
                <w:color w:val="auto"/>
                <w:highlight w:val="none"/>
                <w:u w:val="none" w:color="auto"/>
              </w:rPr>
              <w:t>设计团队人员（除设计负责人外）注册电气工程师</w:t>
            </w:r>
          </w:p>
        </w:tc>
        <w:tc>
          <w:tcPr>
            <w:tcW w:w="810" w:type="dxa"/>
            <w:gridSpan w:val="2"/>
            <w:shd w:val="clear" w:color="auto" w:fill="auto"/>
            <w:vAlign w:val="center"/>
          </w:tcPr>
          <w:p w14:paraId="3D50CA08">
            <w:pPr>
              <w:spacing w:line="420" w:lineRule="exact"/>
              <w:jc w:val="center"/>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eastAsia="宋体" w:cs="宋体"/>
                <w:b w:val="0"/>
                <w:bCs/>
                <w:i w:val="0"/>
                <w:color w:val="auto"/>
                <w:szCs w:val="21"/>
                <w:highlight w:val="none"/>
                <w:u w:val="none" w:color="auto"/>
              </w:rPr>
              <w:t>0.5</w:t>
            </w:r>
          </w:p>
        </w:tc>
        <w:tc>
          <w:tcPr>
            <w:tcW w:w="5270" w:type="dxa"/>
            <w:shd w:val="clear" w:color="auto" w:fill="auto"/>
            <w:vAlign w:val="center"/>
          </w:tcPr>
          <w:p w14:paraId="1335844A">
            <w:pPr>
              <w:spacing w:line="420" w:lineRule="exact"/>
              <w:jc w:val="left"/>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eastAsia="宋体" w:cs="宋体"/>
                <w:b w:val="0"/>
                <w:bCs/>
                <w:i w:val="0"/>
                <w:color w:val="auto"/>
                <w:szCs w:val="21"/>
                <w:highlight w:val="none"/>
                <w:u w:val="none" w:color="auto"/>
              </w:rPr>
              <w:t>人员类别：专业设计人员</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评审内容：注册执业资格证书</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评审标准：【注册电气工程师（供配电相关专业）】</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分值：0.25分/个，满分：0.5分。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注：以住建领域主体信息库入库信息为准。如组成联合体投标，联合体成员任意一方满足评分标准予以得分。</w:t>
            </w:r>
          </w:p>
        </w:tc>
      </w:tr>
      <w:tr w14:paraId="2200B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2" w:hRule="atLeast"/>
          <w:jc w:val="center"/>
        </w:trPr>
        <w:tc>
          <w:tcPr>
            <w:tcW w:w="741" w:type="dxa"/>
            <w:vMerge w:val="continue"/>
            <w:vAlign w:val="center"/>
          </w:tcPr>
          <w:p w14:paraId="6BFDA3E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val="0"/>
                <w:i w:val="0"/>
                <w:color w:val="auto"/>
                <w:szCs w:val="21"/>
                <w:highlight w:val="none"/>
                <w:u w:val="none" w:color="auto"/>
              </w:rPr>
            </w:pPr>
          </w:p>
        </w:tc>
        <w:tc>
          <w:tcPr>
            <w:tcW w:w="1059" w:type="dxa"/>
            <w:vMerge w:val="continue"/>
            <w:vAlign w:val="center"/>
          </w:tcPr>
          <w:p w14:paraId="032C88B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szCs w:val="21"/>
                <w:highlight w:val="none"/>
                <w:u w:val="none" w:color="auto"/>
              </w:rPr>
            </w:pPr>
          </w:p>
        </w:tc>
        <w:tc>
          <w:tcPr>
            <w:tcW w:w="2196" w:type="dxa"/>
            <w:shd w:val="clear" w:color="auto" w:fill="auto"/>
            <w:vAlign w:val="center"/>
          </w:tcPr>
          <w:p w14:paraId="1214D652">
            <w:pPr>
              <w:spacing w:line="420" w:lineRule="exact"/>
              <w:jc w:val="center"/>
              <w:rPr>
                <w:rFonts w:hint="eastAsia" w:ascii="宋体" w:hAnsi="宋体" w:eastAsia="宋体" w:cs="宋体"/>
                <w:b w:val="0"/>
                <w:i w:val="0"/>
                <w:color w:val="auto"/>
                <w:highlight w:val="none"/>
                <w:u w:val="none" w:color="auto"/>
              </w:rPr>
            </w:pPr>
            <w:r>
              <w:rPr>
                <w:rFonts w:hint="eastAsia" w:ascii="宋体" w:hAnsi="宋体" w:eastAsia="宋体" w:cs="宋体"/>
                <w:b w:val="0"/>
                <w:i w:val="0"/>
                <w:color w:val="auto"/>
                <w:highlight w:val="none"/>
                <w:u w:val="none" w:color="auto"/>
              </w:rPr>
              <w:t>拟派项目管理班子资历（施工现场专业人员职业培训合格证）</w:t>
            </w:r>
          </w:p>
          <w:p w14:paraId="5C83934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kern w:val="2"/>
                <w:sz w:val="21"/>
                <w:szCs w:val="24"/>
                <w:highlight w:val="none"/>
                <w:u w:val="none" w:color="auto"/>
                <w:lang w:val="en-US" w:eastAsia="zh-CN" w:bidi="ar-SA"/>
              </w:rPr>
            </w:pPr>
          </w:p>
          <w:p w14:paraId="4265FF0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kern w:val="2"/>
                <w:sz w:val="21"/>
                <w:szCs w:val="24"/>
                <w:highlight w:val="none"/>
                <w:u w:val="none" w:color="auto"/>
                <w:lang w:val="en-US" w:eastAsia="zh-CN" w:bidi="ar-SA"/>
              </w:rPr>
            </w:pPr>
          </w:p>
        </w:tc>
        <w:tc>
          <w:tcPr>
            <w:tcW w:w="810" w:type="dxa"/>
            <w:gridSpan w:val="2"/>
            <w:shd w:val="clear" w:color="auto" w:fill="auto"/>
            <w:vAlign w:val="center"/>
          </w:tcPr>
          <w:p w14:paraId="7A516919">
            <w:pPr>
              <w:spacing w:line="420" w:lineRule="exact"/>
              <w:jc w:val="center"/>
              <w:rPr>
                <w:rFonts w:hint="eastAsia" w:ascii="宋体" w:hAnsi="宋体" w:cs="宋体"/>
                <w:b w:val="0"/>
                <w:bCs/>
                <w:i w:val="0"/>
                <w:color w:val="auto"/>
                <w:szCs w:val="21"/>
                <w:highlight w:val="none"/>
                <w:u w:val="none" w:color="auto"/>
                <w:lang w:val="en-US" w:eastAsia="zh-CN"/>
              </w:rPr>
            </w:pPr>
            <w:r>
              <w:rPr>
                <w:rFonts w:hint="eastAsia" w:ascii="宋体" w:hAnsi="宋体" w:cs="宋体"/>
                <w:b w:val="0"/>
                <w:bCs/>
                <w:i w:val="0"/>
                <w:color w:val="auto"/>
                <w:szCs w:val="21"/>
                <w:highlight w:val="none"/>
                <w:u w:val="none" w:color="auto"/>
                <w:lang w:val="en-US" w:eastAsia="zh-CN"/>
              </w:rPr>
              <w:t>4.0</w:t>
            </w:r>
          </w:p>
          <w:p w14:paraId="3131DFF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b w:val="0"/>
                <w:bCs/>
                <w:i w:val="0"/>
                <w:color w:val="auto"/>
                <w:szCs w:val="21"/>
                <w:highlight w:val="none"/>
                <w:u w:val="none" w:color="auto"/>
                <w:lang w:val="en-US" w:eastAsia="zh-CN"/>
              </w:rPr>
            </w:pPr>
          </w:p>
          <w:p w14:paraId="7AFEC7E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olor w:val="auto"/>
                <w:szCs w:val="44"/>
                <w:highlight w:val="none"/>
                <w:lang w:val="en-US" w:eastAsia="zh-CN"/>
              </w:rPr>
            </w:pPr>
          </w:p>
        </w:tc>
        <w:tc>
          <w:tcPr>
            <w:tcW w:w="5270" w:type="dxa"/>
            <w:shd w:val="clear" w:color="auto" w:fill="auto"/>
            <w:vAlign w:val="center"/>
          </w:tcPr>
          <w:p w14:paraId="5FF9F7E6">
            <w:pPr>
              <w:spacing w:line="420" w:lineRule="exact"/>
              <w:jc w:val="left"/>
              <w:rPr>
                <w:rFonts w:hint="eastAsia" w:ascii="宋体" w:hAnsi="宋体" w:eastAsia="宋体" w:cs="宋体"/>
                <w:b w:val="0"/>
                <w:bCs/>
                <w:i w:val="0"/>
                <w:color w:val="auto"/>
                <w:szCs w:val="21"/>
                <w:highlight w:val="none"/>
                <w:u w:val="none" w:color="auto"/>
              </w:rPr>
            </w:pPr>
            <w:r>
              <w:rPr>
                <w:rFonts w:hint="eastAsia" w:ascii="宋体" w:hAnsi="宋体" w:eastAsia="宋体" w:cs="宋体"/>
                <w:b w:val="0"/>
                <w:bCs/>
                <w:i w:val="0"/>
                <w:color w:val="auto"/>
                <w:szCs w:val="21"/>
                <w:highlight w:val="none"/>
                <w:u w:val="none" w:color="auto"/>
              </w:rPr>
              <w:t>评审内容：施工现场专业人员职业培训合格证</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（1）施工员 分值：0.5分/个，最多得：1分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（2）质</w:t>
            </w:r>
            <w:r>
              <w:rPr>
                <w:rFonts w:hint="eastAsia" w:ascii="宋体" w:hAnsi="宋体" w:cs="宋体"/>
                <w:b w:val="0"/>
                <w:bCs/>
                <w:i w:val="0"/>
                <w:color w:val="auto"/>
                <w:szCs w:val="21"/>
                <w:highlight w:val="none"/>
                <w:u w:val="none" w:color="auto"/>
                <w:lang w:val="en-US" w:eastAsia="zh-CN"/>
              </w:rPr>
              <w:t>量</w:t>
            </w:r>
            <w:r>
              <w:rPr>
                <w:rFonts w:hint="eastAsia" w:ascii="宋体" w:hAnsi="宋体" w:eastAsia="宋体" w:cs="宋体"/>
                <w:b w:val="0"/>
                <w:bCs/>
                <w:i w:val="0"/>
                <w:color w:val="auto"/>
                <w:szCs w:val="21"/>
                <w:highlight w:val="none"/>
                <w:u w:val="none" w:color="auto"/>
              </w:rPr>
              <w:t>员 分值：0.5分/个，最多得：0.5分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（3）安全员 分值：0.5分/个，最多得：</w:t>
            </w:r>
            <w:r>
              <w:rPr>
                <w:rFonts w:hint="eastAsia" w:ascii="宋体" w:hAnsi="宋体" w:cs="宋体"/>
                <w:b w:val="0"/>
                <w:bCs/>
                <w:i w:val="0"/>
                <w:color w:val="auto"/>
                <w:szCs w:val="21"/>
                <w:highlight w:val="none"/>
                <w:u w:val="none" w:color="auto"/>
                <w:lang w:val="en-US" w:eastAsia="zh-CN"/>
              </w:rPr>
              <w:t>1</w:t>
            </w:r>
            <w:r>
              <w:rPr>
                <w:rFonts w:hint="eastAsia" w:ascii="宋体" w:hAnsi="宋体" w:eastAsia="宋体" w:cs="宋体"/>
                <w:b w:val="0"/>
                <w:bCs/>
                <w:i w:val="0"/>
                <w:color w:val="auto"/>
                <w:szCs w:val="21"/>
                <w:highlight w:val="none"/>
                <w:u w:val="none" w:color="auto"/>
              </w:rPr>
              <w:t>.5分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（4）劳务员 分值：0.5分/个，最多得：0.5分</w:t>
            </w:r>
          </w:p>
          <w:p w14:paraId="6844DE31">
            <w:pPr>
              <w:spacing w:line="420" w:lineRule="exact"/>
              <w:jc w:val="left"/>
              <w:rPr>
                <w:rFonts w:hint="eastAsia" w:ascii="宋体" w:hAnsi="宋体" w:cs="宋体"/>
                <w:b w:val="0"/>
                <w:bCs/>
                <w:i w:val="0"/>
                <w:color w:val="auto"/>
                <w:szCs w:val="21"/>
                <w:highlight w:val="none"/>
                <w:u w:val="none" w:color="auto"/>
                <w:lang w:eastAsia="zh-CN"/>
              </w:rPr>
            </w:pPr>
            <w:r>
              <w:rPr>
                <w:rFonts w:hint="eastAsia" w:ascii="宋体" w:hAnsi="宋体" w:cs="宋体"/>
                <w:b w:val="0"/>
                <w:bCs/>
                <w:i w:val="0"/>
                <w:color w:val="auto"/>
                <w:szCs w:val="21"/>
                <w:highlight w:val="none"/>
                <w:u w:val="none" w:color="auto"/>
                <w:lang w:eastAsia="zh-CN"/>
              </w:rPr>
              <w:t>（</w:t>
            </w:r>
            <w:r>
              <w:rPr>
                <w:rFonts w:hint="eastAsia" w:ascii="宋体" w:hAnsi="宋体" w:cs="宋体"/>
                <w:b w:val="0"/>
                <w:bCs/>
                <w:i w:val="0"/>
                <w:color w:val="auto"/>
                <w:szCs w:val="21"/>
                <w:highlight w:val="none"/>
                <w:u w:val="none" w:color="auto"/>
                <w:lang w:val="en-US" w:eastAsia="zh-CN"/>
              </w:rPr>
              <w:t>5</w:t>
            </w:r>
            <w:r>
              <w:rPr>
                <w:rFonts w:hint="eastAsia" w:ascii="宋体" w:hAnsi="宋体" w:cs="宋体"/>
                <w:b w:val="0"/>
                <w:bCs/>
                <w:i w:val="0"/>
                <w:color w:val="auto"/>
                <w:szCs w:val="21"/>
                <w:highlight w:val="none"/>
                <w:u w:val="none" w:color="auto"/>
                <w:lang w:eastAsia="zh-CN"/>
              </w:rPr>
              <w:t>）</w:t>
            </w:r>
            <w:r>
              <w:rPr>
                <w:rFonts w:hint="eastAsia" w:ascii="宋体" w:hAnsi="宋体" w:cs="宋体"/>
                <w:b w:val="0"/>
                <w:bCs/>
                <w:i w:val="0"/>
                <w:color w:val="auto"/>
                <w:szCs w:val="21"/>
                <w:highlight w:val="none"/>
                <w:u w:val="none" w:color="auto"/>
                <w:lang w:val="en-US" w:eastAsia="zh-CN"/>
              </w:rPr>
              <w:t>机械员 分值：0.5分/个，最多得：0.5分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满分：</w:t>
            </w:r>
            <w:r>
              <w:rPr>
                <w:rFonts w:hint="eastAsia" w:ascii="宋体" w:hAnsi="宋体" w:cs="宋体"/>
                <w:b w:val="0"/>
                <w:bCs/>
                <w:i w:val="0"/>
                <w:color w:val="auto"/>
                <w:szCs w:val="21"/>
                <w:highlight w:val="none"/>
                <w:u w:val="none" w:color="auto"/>
                <w:lang w:val="en-US" w:eastAsia="zh-CN"/>
              </w:rPr>
              <w:t>4.0</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注：以住建领域主体信息库入库的有效证书为准。如组成联合体投标，联合体成员任意一方满足评分标准予以得分。</w:t>
            </w:r>
          </w:p>
          <w:p w14:paraId="25B69810">
            <w:pPr>
              <w:keepNext w:val="0"/>
              <w:keepLines w:val="0"/>
              <w:pageBreakBefore w:val="0"/>
              <w:widowControl w:val="0"/>
              <w:kinsoku/>
              <w:wordWrap/>
              <w:overflowPunct/>
              <w:topLinePunct w:val="0"/>
              <w:autoSpaceDE/>
              <w:autoSpaceDN/>
              <w:bidi w:val="0"/>
              <w:adjustRightInd/>
              <w:snapToGrid/>
              <w:spacing w:line="320" w:lineRule="exact"/>
              <w:jc w:val="both"/>
              <w:textAlignment w:val="auto"/>
              <w:rPr>
                <w:color w:val="auto"/>
                <w:highlight w:val="none"/>
              </w:rPr>
            </w:pPr>
          </w:p>
        </w:tc>
      </w:tr>
      <w:tr w14:paraId="26914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800" w:type="dxa"/>
            <w:gridSpan w:val="2"/>
            <w:vAlign w:val="center"/>
          </w:tcPr>
          <w:p w14:paraId="0E3871E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b/>
                <w:color w:val="auto"/>
                <w:szCs w:val="21"/>
                <w:highlight w:val="none"/>
              </w:rPr>
            </w:pPr>
            <w:r>
              <w:rPr>
                <w:rFonts w:hint="eastAsia" w:ascii="宋体" w:hAnsi="宋体"/>
                <w:b/>
                <w:color w:val="auto"/>
                <w:szCs w:val="21"/>
                <w:highlight w:val="none"/>
              </w:rPr>
              <w:t>条款号</w:t>
            </w:r>
          </w:p>
        </w:tc>
        <w:tc>
          <w:tcPr>
            <w:tcW w:w="8276" w:type="dxa"/>
            <w:gridSpan w:val="4"/>
            <w:vAlign w:val="center"/>
          </w:tcPr>
          <w:p w14:paraId="295AD66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b/>
                <w:color w:val="auto"/>
                <w:szCs w:val="21"/>
                <w:highlight w:val="none"/>
              </w:rPr>
            </w:pPr>
            <w:r>
              <w:rPr>
                <w:rFonts w:hint="eastAsia" w:ascii="宋体" w:hAnsi="宋体"/>
                <w:b/>
                <w:color w:val="auto"/>
                <w:szCs w:val="21"/>
                <w:highlight w:val="none"/>
              </w:rPr>
              <w:t>具体内容</w:t>
            </w:r>
          </w:p>
        </w:tc>
      </w:tr>
      <w:tr w14:paraId="5D34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741" w:type="dxa"/>
            <w:vAlign w:val="center"/>
          </w:tcPr>
          <w:p w14:paraId="705FF5A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auto"/>
                <w:szCs w:val="21"/>
                <w:highlight w:val="none"/>
              </w:rPr>
            </w:pPr>
            <w:r>
              <w:rPr>
                <w:rFonts w:hint="eastAsia"/>
                <w:color w:val="auto"/>
                <w:szCs w:val="21"/>
                <w:highlight w:val="none"/>
                <w:lang w:val="en-US" w:eastAsia="zh-CN"/>
              </w:rPr>
              <w:t>3.2.5</w:t>
            </w:r>
          </w:p>
        </w:tc>
        <w:tc>
          <w:tcPr>
            <w:tcW w:w="1059" w:type="dxa"/>
            <w:vAlign w:val="center"/>
          </w:tcPr>
          <w:p w14:paraId="4D07665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color w:val="auto"/>
                <w:szCs w:val="21"/>
                <w:highlight w:val="none"/>
              </w:rPr>
            </w:pPr>
            <w:r>
              <w:rPr>
                <w:rFonts w:hint="eastAsia" w:ascii="宋体" w:hAnsi="宋体"/>
                <w:color w:val="auto"/>
                <w:szCs w:val="21"/>
                <w:highlight w:val="none"/>
                <w:lang w:val="en-US" w:eastAsia="zh-CN"/>
              </w:rPr>
              <w:t>评分结果汇总</w:t>
            </w:r>
          </w:p>
        </w:tc>
        <w:tc>
          <w:tcPr>
            <w:tcW w:w="8276" w:type="dxa"/>
            <w:gridSpan w:val="4"/>
            <w:vAlign w:val="center"/>
          </w:tcPr>
          <w:p w14:paraId="07A5414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olor w:val="auto"/>
                <w:highlight w:val="none"/>
              </w:rPr>
            </w:pPr>
            <w:r>
              <w:rPr>
                <w:rFonts w:hint="eastAsia" w:eastAsia="宋体"/>
                <w:color w:val="auto"/>
                <w:highlight w:val="none"/>
                <w:lang w:val="en-US" w:eastAsia="zh-CN"/>
              </w:rPr>
              <w:t>最终（含分项）评分结果汇总确定办法</w:t>
            </w:r>
            <w:r>
              <w:rPr>
                <w:rFonts w:hint="eastAsia"/>
                <w:color w:val="auto"/>
                <w:highlight w:val="none"/>
                <w:lang w:val="en-US" w:eastAsia="zh-CN"/>
              </w:rPr>
              <w:t>：</w:t>
            </w:r>
          </w:p>
          <w:p w14:paraId="4DAB0A73">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color w:val="auto"/>
                <w:highlight w:val="none"/>
              </w:rPr>
            </w:pPr>
            <w:r>
              <w:rPr>
                <w:rFonts w:hint="eastAsia"/>
                <w:color w:val="auto"/>
                <w:highlight w:val="none"/>
                <w:lang w:val="en-US" w:eastAsia="zh-CN"/>
              </w:rPr>
              <w:t>☑所有评标委员会成员评分的算术平均值。</w:t>
            </w:r>
          </w:p>
          <w:p w14:paraId="7904276B">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default"/>
                <w:color w:val="auto"/>
                <w:highlight w:val="none"/>
              </w:rPr>
            </w:pPr>
            <w:r>
              <w:rPr>
                <w:rFonts w:hint="eastAsia"/>
                <w:color w:val="auto"/>
                <w:highlight w:val="none"/>
                <w:lang w:val="en-US" w:eastAsia="zh-CN"/>
              </w:rPr>
              <w:t>□所有评标委员会成员评分去掉一个最高分和一个最低分后计算平均值（分项评审成员3名（含3名）以下时，按照算术平均值进行计算）。</w:t>
            </w:r>
          </w:p>
        </w:tc>
      </w:tr>
      <w:tr w14:paraId="257E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8" w:hRule="atLeast"/>
          <w:jc w:val="center"/>
        </w:trPr>
        <w:tc>
          <w:tcPr>
            <w:tcW w:w="741" w:type="dxa"/>
            <w:vAlign w:val="center"/>
          </w:tcPr>
          <w:p w14:paraId="1BE2941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b/>
                <w:color w:val="auto"/>
                <w:szCs w:val="21"/>
                <w:highlight w:val="none"/>
              </w:rPr>
            </w:pPr>
            <w:r>
              <w:rPr>
                <w:color w:val="auto"/>
                <w:szCs w:val="21"/>
                <w:highlight w:val="none"/>
              </w:rPr>
              <w:t>3.</w:t>
            </w:r>
            <w:r>
              <w:rPr>
                <w:rFonts w:hint="eastAsia"/>
                <w:color w:val="auto"/>
                <w:szCs w:val="21"/>
                <w:highlight w:val="none"/>
              </w:rPr>
              <w:t>4</w:t>
            </w:r>
            <w:r>
              <w:rPr>
                <w:color w:val="auto"/>
                <w:szCs w:val="21"/>
                <w:highlight w:val="none"/>
              </w:rPr>
              <w:t>.1</w:t>
            </w:r>
          </w:p>
        </w:tc>
        <w:tc>
          <w:tcPr>
            <w:tcW w:w="1059" w:type="dxa"/>
            <w:vAlign w:val="center"/>
          </w:tcPr>
          <w:p w14:paraId="0216DB8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b/>
                <w:color w:val="auto"/>
                <w:szCs w:val="21"/>
                <w:highlight w:val="none"/>
              </w:rPr>
            </w:pPr>
            <w:r>
              <w:rPr>
                <w:rFonts w:hint="eastAsia" w:ascii="宋体" w:hAnsi="宋体"/>
                <w:color w:val="auto"/>
                <w:szCs w:val="21"/>
                <w:highlight w:val="none"/>
              </w:rPr>
              <w:t>推荐中标候选人</w:t>
            </w:r>
          </w:p>
        </w:tc>
        <w:tc>
          <w:tcPr>
            <w:tcW w:w="8276" w:type="dxa"/>
            <w:gridSpan w:val="4"/>
            <w:vAlign w:val="center"/>
          </w:tcPr>
          <w:p w14:paraId="2E583AE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eastAsia="宋体"/>
                <w:color w:val="auto"/>
                <w:highlight w:val="none"/>
                <w:lang w:val="en-US" w:eastAsia="zh-CN"/>
              </w:rPr>
            </w:pPr>
            <w:r>
              <w:rPr>
                <w:rFonts w:hint="eastAsia" w:eastAsia="宋体"/>
                <w:color w:val="auto"/>
                <w:highlight w:val="none"/>
                <w:lang w:val="en-US" w:eastAsia="zh-CN"/>
              </w:rPr>
              <w:t xml:space="preserve">    （1）评标委员会向招标人推荐不超过3家的合格的中标候选人，且对每个中标候选人的技术咨询建议、优势、不足、风险等情况进行说明，提出推荐意见和建议。</w:t>
            </w:r>
          </w:p>
          <w:p w14:paraId="65E87B1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olor w:val="auto"/>
                <w:highlight w:val="none"/>
              </w:rPr>
            </w:pPr>
            <w:r>
              <w:rPr>
                <w:rFonts w:hint="eastAsia" w:eastAsia="宋体"/>
                <w:color w:val="auto"/>
                <w:highlight w:val="none"/>
                <w:lang w:val="en-US" w:eastAsia="zh-CN"/>
              </w:rPr>
              <w:t xml:space="preserve">    （2）除评标办法前附表规定采用技术标或综合性入围方式的（按前附表设定规则计算最终得分和排序），最终得分计算和排序方法按照经济标+技术标+资信标+其他评审汇总得分排序，并按得分由高到低顺序推荐中标候选人，或根据招标人授权直接确定中标人，但投标报价低于其成本的除外。综合评分相等时，依次按下列因素排序：（1）投标报价由低到高（2）技术标得分由高到低（3）资信标得分由高到低（4）其他因素得分由高到低；上述因素仍不能排定顺序的，由招标人或者招标人授权的评标委员会自行确定。</w:t>
            </w:r>
          </w:p>
        </w:tc>
      </w:tr>
      <w:bookmarkEnd w:id="654"/>
    </w:tbl>
    <w:p w14:paraId="09EA436F">
      <w:pPr>
        <w:spacing w:line="400" w:lineRule="exact"/>
        <w:rPr>
          <w:color w:val="auto"/>
          <w:szCs w:val="21"/>
          <w:highlight w:val="none"/>
        </w:rPr>
      </w:pPr>
      <w:r>
        <w:rPr>
          <w:color w:val="auto"/>
          <w:szCs w:val="21"/>
          <w:highlight w:val="none"/>
        </w:rPr>
        <w:br w:type="page"/>
      </w:r>
    </w:p>
    <w:p w14:paraId="158862BA">
      <w:pPr>
        <w:pStyle w:val="35"/>
        <w:tabs>
          <w:tab w:val="left" w:pos="3207"/>
        </w:tabs>
        <w:rPr>
          <w:color w:val="auto"/>
          <w:highlight w:val="none"/>
        </w:rPr>
      </w:pPr>
      <w:bookmarkStart w:id="659" w:name="_Toc182923789"/>
      <w:bookmarkStart w:id="660" w:name="_Toc29817"/>
      <w:bookmarkStart w:id="661" w:name="_Toc256000083"/>
      <w:r>
        <w:rPr>
          <w:rFonts w:hint="eastAsia"/>
          <w:color w:val="auto"/>
          <w:highlight w:val="none"/>
        </w:rPr>
        <w:t>评标办法正文部分</w:t>
      </w:r>
      <w:bookmarkEnd w:id="659"/>
      <w:bookmarkEnd w:id="660"/>
      <w:bookmarkEnd w:id="661"/>
      <w:r>
        <w:rPr>
          <w:color w:val="auto"/>
          <w:highlight w:val="none"/>
        </w:rPr>
        <w:tab/>
      </w:r>
    </w:p>
    <w:p w14:paraId="41779CF3">
      <w:pPr>
        <w:pStyle w:val="22"/>
        <w:keepNext/>
        <w:keepLines/>
        <w:widowControl w:val="0"/>
        <w:wordWrap/>
        <w:topLinePunct w:val="0"/>
        <w:spacing w:beforeAutospacing="0" w:after="0" w:afterAutospacing="0" w:line="360" w:lineRule="exact"/>
        <w:jc w:val="both"/>
        <w:outlineLvl w:val="1"/>
        <w:rPr>
          <w:rFonts w:ascii="Times New Roman" w:hAnsi="Times New Roman" w:eastAsia="黑体"/>
          <w:color w:val="auto"/>
          <w:kern w:val="2"/>
          <w:sz w:val="28"/>
          <w:highlight w:val="none"/>
          <w:lang w:bidi="ar"/>
        </w:rPr>
      </w:pPr>
      <w:bookmarkStart w:id="662" w:name="_Toc256000084"/>
      <w:bookmarkStart w:id="663" w:name="_Toc182923790"/>
      <w:bookmarkStart w:id="664" w:name="_Toc2727"/>
      <w:r>
        <w:rPr>
          <w:rFonts w:hint="eastAsia" w:ascii="Times New Roman" w:hAnsi="Times New Roman" w:eastAsia="黑体"/>
          <w:color w:val="auto"/>
          <w:kern w:val="2"/>
          <w:sz w:val="28"/>
          <w:highlight w:val="none"/>
          <w:lang w:bidi="ar"/>
        </w:rPr>
        <w:t>1.评标方法</w:t>
      </w:r>
      <w:bookmarkEnd w:id="662"/>
      <w:bookmarkEnd w:id="663"/>
      <w:bookmarkEnd w:id="664"/>
    </w:p>
    <w:p w14:paraId="1CC69051">
      <w:pPr>
        <w:spacing w:line="400" w:lineRule="exact"/>
        <w:ind w:firstLine="420" w:firstLineChars="200"/>
        <w:rPr>
          <w:color w:val="auto"/>
          <w:highlight w:val="none"/>
        </w:rPr>
      </w:pPr>
      <w:r>
        <w:rPr>
          <w:rFonts w:hint="eastAsia"/>
          <w:color w:val="auto"/>
          <w:highlight w:val="none"/>
        </w:rPr>
        <w:t>本次评标采用综合评估法。评标委员会对满足招标文件实质性要求的投标文件，按照本章第2.2款规定的评分标准进行打分，并按评标办法前附表的规定推荐中标候选人</w:t>
      </w:r>
      <w:bookmarkStart w:id="665" w:name="_Hlk152257834"/>
      <w:r>
        <w:rPr>
          <w:rFonts w:hint="eastAsia" w:ascii="宋体" w:hAnsi="宋体" w:cs="宋体"/>
          <w:color w:val="auto"/>
          <w:szCs w:val="21"/>
          <w:highlight w:val="none"/>
        </w:rPr>
        <w:t>。</w:t>
      </w:r>
      <w:bookmarkEnd w:id="665"/>
    </w:p>
    <w:p w14:paraId="6D97678E">
      <w:pPr>
        <w:pStyle w:val="22"/>
        <w:keepNext/>
        <w:keepLines/>
        <w:widowControl w:val="0"/>
        <w:wordWrap/>
        <w:topLinePunct w:val="0"/>
        <w:spacing w:beforeAutospacing="0" w:after="0" w:afterAutospacing="0" w:line="360" w:lineRule="exact"/>
        <w:jc w:val="both"/>
        <w:outlineLvl w:val="1"/>
        <w:rPr>
          <w:rFonts w:ascii="Times New Roman" w:hAnsi="Times New Roman" w:eastAsia="黑体"/>
          <w:color w:val="auto"/>
          <w:kern w:val="2"/>
          <w:sz w:val="28"/>
          <w:highlight w:val="none"/>
          <w:lang w:bidi="ar"/>
        </w:rPr>
      </w:pPr>
      <w:bookmarkStart w:id="666" w:name="_Toc182923791"/>
      <w:bookmarkStart w:id="667" w:name="_Toc23758"/>
      <w:bookmarkStart w:id="668" w:name="_Toc148860639"/>
      <w:bookmarkStart w:id="669" w:name="_Toc11130"/>
      <w:bookmarkStart w:id="670" w:name="_Toc256000085"/>
      <w:bookmarkStart w:id="671" w:name="_Hlk171343585"/>
      <w:r>
        <w:rPr>
          <w:rFonts w:hint="eastAsia" w:ascii="Times New Roman" w:hAnsi="Times New Roman" w:eastAsia="黑体"/>
          <w:color w:val="auto"/>
          <w:kern w:val="2"/>
          <w:sz w:val="28"/>
          <w:highlight w:val="none"/>
          <w:lang w:bidi="ar"/>
        </w:rPr>
        <w:t>2.评审标准</w:t>
      </w:r>
      <w:bookmarkEnd w:id="666"/>
      <w:bookmarkEnd w:id="667"/>
      <w:bookmarkEnd w:id="668"/>
      <w:bookmarkEnd w:id="669"/>
      <w:bookmarkEnd w:id="670"/>
    </w:p>
    <w:p w14:paraId="200173BB">
      <w:pPr>
        <w:pStyle w:val="22"/>
        <w:keepNext/>
        <w:keepLines/>
        <w:widowControl w:val="0"/>
        <w:wordWrap/>
        <w:topLinePunct w:val="0"/>
        <w:spacing w:before="0" w:beforeAutospacing="0" w:after="0" w:afterAutospacing="0" w:line="360" w:lineRule="exact"/>
        <w:jc w:val="both"/>
        <w:outlineLvl w:val="2"/>
        <w:rPr>
          <w:rFonts w:ascii="Times New Roman" w:hAnsi="Times New Roman" w:eastAsia="黑体"/>
          <w:color w:val="auto"/>
          <w:kern w:val="2"/>
          <w:highlight w:val="none"/>
          <w:lang w:bidi="ar"/>
        </w:rPr>
      </w:pPr>
      <w:bookmarkStart w:id="672" w:name="_Toc256000086"/>
      <w:bookmarkStart w:id="673" w:name="_Toc26800"/>
      <w:bookmarkStart w:id="674" w:name="_Toc182923792"/>
      <w:bookmarkStart w:id="675" w:name="_Toc31412"/>
      <w:bookmarkStart w:id="676" w:name="_Toc148860640"/>
      <w:r>
        <w:rPr>
          <w:rFonts w:hint="eastAsia" w:ascii="Times New Roman" w:hAnsi="Times New Roman" w:eastAsia="黑体"/>
          <w:color w:val="auto"/>
          <w:kern w:val="2"/>
          <w:highlight w:val="none"/>
          <w:lang w:bidi="ar"/>
        </w:rPr>
        <w:t>2.1初步评审标准</w:t>
      </w:r>
      <w:bookmarkEnd w:id="672"/>
      <w:bookmarkEnd w:id="673"/>
      <w:bookmarkEnd w:id="674"/>
      <w:bookmarkEnd w:id="675"/>
      <w:bookmarkEnd w:id="676"/>
    </w:p>
    <w:p w14:paraId="1F62045D">
      <w:pPr>
        <w:spacing w:line="400" w:lineRule="exact"/>
        <w:ind w:firstLine="420" w:firstLineChars="200"/>
        <w:rPr>
          <w:color w:val="auto"/>
          <w:highlight w:val="none"/>
        </w:rPr>
      </w:pPr>
      <w:r>
        <w:rPr>
          <w:rFonts w:hint="eastAsia"/>
          <w:color w:val="auto"/>
          <w:highlight w:val="none"/>
        </w:rPr>
        <w:t>2.1.1 形式评审标准：见评标办法前附表。</w:t>
      </w:r>
    </w:p>
    <w:p w14:paraId="236FAE42">
      <w:pPr>
        <w:spacing w:line="400" w:lineRule="exact"/>
        <w:ind w:firstLine="420" w:firstLineChars="200"/>
        <w:rPr>
          <w:color w:val="auto"/>
          <w:highlight w:val="none"/>
        </w:rPr>
      </w:pPr>
      <w:r>
        <w:rPr>
          <w:rFonts w:hint="eastAsia"/>
          <w:color w:val="auto"/>
          <w:highlight w:val="none"/>
        </w:rPr>
        <w:t>2.1.2 资格评审标准：见评标办法前附表。</w:t>
      </w:r>
    </w:p>
    <w:p w14:paraId="1C73A3B6">
      <w:pPr>
        <w:spacing w:line="400" w:lineRule="exact"/>
        <w:ind w:firstLine="420" w:firstLineChars="200"/>
        <w:rPr>
          <w:color w:val="auto"/>
          <w:highlight w:val="none"/>
        </w:rPr>
      </w:pPr>
      <w:r>
        <w:rPr>
          <w:rFonts w:hint="eastAsia"/>
          <w:color w:val="auto"/>
          <w:highlight w:val="none"/>
        </w:rPr>
        <w:t>2.1.3 响应性评审标准：见评标办法前附表。</w:t>
      </w:r>
    </w:p>
    <w:p w14:paraId="4F1B39A7">
      <w:pPr>
        <w:pStyle w:val="22"/>
        <w:keepNext/>
        <w:keepLines/>
        <w:widowControl w:val="0"/>
        <w:wordWrap/>
        <w:topLinePunct w:val="0"/>
        <w:spacing w:before="0" w:beforeAutospacing="0" w:after="0" w:afterAutospacing="0" w:line="360" w:lineRule="exact"/>
        <w:jc w:val="both"/>
        <w:outlineLvl w:val="2"/>
        <w:rPr>
          <w:rFonts w:ascii="Times New Roman" w:hAnsi="Times New Roman" w:eastAsia="黑体"/>
          <w:color w:val="auto"/>
          <w:kern w:val="2"/>
          <w:highlight w:val="none"/>
          <w:lang w:bidi="ar"/>
        </w:rPr>
      </w:pPr>
      <w:bookmarkStart w:id="677" w:name="_Toc11425"/>
      <w:bookmarkStart w:id="678" w:name="_Toc182923793"/>
      <w:bookmarkStart w:id="679" w:name="_Toc256000087"/>
      <w:bookmarkStart w:id="680" w:name="_Toc12991"/>
      <w:bookmarkStart w:id="681" w:name="_Toc148860641"/>
      <w:r>
        <w:rPr>
          <w:rFonts w:hint="eastAsia" w:ascii="Times New Roman" w:hAnsi="Times New Roman" w:eastAsia="黑体"/>
          <w:color w:val="auto"/>
          <w:kern w:val="2"/>
          <w:highlight w:val="none"/>
          <w:lang w:bidi="ar"/>
        </w:rPr>
        <w:t>2.2分值构成与评分标准</w:t>
      </w:r>
      <w:bookmarkEnd w:id="677"/>
      <w:bookmarkEnd w:id="678"/>
      <w:bookmarkEnd w:id="679"/>
      <w:bookmarkEnd w:id="680"/>
      <w:bookmarkEnd w:id="681"/>
    </w:p>
    <w:p w14:paraId="7F5E5B8A">
      <w:pPr>
        <w:spacing w:line="400" w:lineRule="exact"/>
        <w:ind w:firstLine="420" w:firstLineChars="200"/>
        <w:rPr>
          <w:color w:val="auto"/>
          <w:highlight w:val="none"/>
        </w:rPr>
      </w:pPr>
      <w:r>
        <w:rPr>
          <w:rFonts w:hint="eastAsia"/>
          <w:color w:val="auto"/>
          <w:highlight w:val="none"/>
        </w:rPr>
        <w:t>2.2.1 分值构成</w:t>
      </w:r>
    </w:p>
    <w:p w14:paraId="026469FD">
      <w:pPr>
        <w:spacing w:line="400" w:lineRule="exact"/>
        <w:ind w:firstLine="420" w:firstLineChars="200"/>
        <w:rPr>
          <w:color w:val="auto"/>
          <w:highlight w:val="none"/>
        </w:rPr>
      </w:pPr>
      <w:r>
        <w:rPr>
          <w:rFonts w:hint="eastAsia"/>
          <w:color w:val="auto"/>
          <w:highlight w:val="none"/>
        </w:rPr>
        <w:t>（1）投标报价：见评标办法前附表；</w:t>
      </w:r>
      <w:r>
        <w:rPr>
          <w:color w:val="auto"/>
          <w:highlight w:val="none"/>
        </w:rPr>
        <w:t xml:space="preserve"> </w:t>
      </w:r>
    </w:p>
    <w:p w14:paraId="654165C6">
      <w:pPr>
        <w:spacing w:line="400" w:lineRule="exact"/>
        <w:ind w:firstLine="420" w:firstLineChars="200"/>
        <w:rPr>
          <w:color w:val="auto"/>
          <w:highlight w:val="none"/>
        </w:rPr>
      </w:pPr>
      <w:r>
        <w:rPr>
          <w:rFonts w:hint="eastAsia"/>
          <w:color w:val="auto"/>
          <w:highlight w:val="none"/>
        </w:rPr>
        <w:t>（2）承包人建议书：见评标办法前附表；</w:t>
      </w:r>
      <w:r>
        <w:rPr>
          <w:color w:val="auto"/>
          <w:highlight w:val="none"/>
        </w:rPr>
        <w:t xml:space="preserve"> </w:t>
      </w:r>
    </w:p>
    <w:p w14:paraId="1A6E0854">
      <w:pPr>
        <w:spacing w:line="400" w:lineRule="exact"/>
        <w:ind w:firstLine="420" w:firstLineChars="200"/>
        <w:rPr>
          <w:color w:val="auto"/>
          <w:highlight w:val="none"/>
        </w:rPr>
      </w:pPr>
      <w:r>
        <w:rPr>
          <w:rFonts w:hint="eastAsia"/>
          <w:color w:val="auto"/>
          <w:highlight w:val="none"/>
        </w:rPr>
        <w:t>（3）承包人实施方案：见评标办法前附表；</w:t>
      </w:r>
    </w:p>
    <w:p w14:paraId="1AC74CE4">
      <w:pPr>
        <w:spacing w:line="400" w:lineRule="exact"/>
        <w:ind w:firstLine="420" w:firstLineChars="200"/>
        <w:rPr>
          <w:color w:val="auto"/>
          <w:highlight w:val="none"/>
        </w:rPr>
      </w:pPr>
      <w:r>
        <w:rPr>
          <w:rFonts w:hint="eastAsia"/>
          <w:color w:val="auto"/>
          <w:highlight w:val="none"/>
        </w:rPr>
        <w:t>（4）资信业绩部分：见评标办法前附表；</w:t>
      </w:r>
    </w:p>
    <w:p w14:paraId="011F4C84">
      <w:pPr>
        <w:spacing w:line="400" w:lineRule="exact"/>
        <w:ind w:firstLine="420" w:firstLineChars="200"/>
        <w:rPr>
          <w:color w:val="auto"/>
          <w:highlight w:val="none"/>
        </w:rPr>
      </w:pPr>
      <w:r>
        <w:rPr>
          <w:rFonts w:hint="eastAsia"/>
          <w:color w:val="auto"/>
          <w:highlight w:val="none"/>
        </w:rPr>
        <w:t>（5）</w:t>
      </w:r>
      <w:r>
        <w:rPr>
          <w:color w:val="auto"/>
          <w:highlight w:val="none"/>
        </w:rPr>
        <w:t>其他因素：</w:t>
      </w:r>
      <w:r>
        <w:rPr>
          <w:rFonts w:hint="eastAsia"/>
          <w:color w:val="auto"/>
          <w:highlight w:val="none"/>
        </w:rPr>
        <w:t>见评标办法前附表。</w:t>
      </w:r>
    </w:p>
    <w:p w14:paraId="13EEBCD3">
      <w:pPr>
        <w:spacing w:line="400" w:lineRule="exact"/>
        <w:ind w:firstLine="420" w:firstLineChars="200"/>
        <w:rPr>
          <w:color w:val="auto"/>
          <w:highlight w:val="none"/>
        </w:rPr>
      </w:pPr>
      <w:r>
        <w:rPr>
          <w:rFonts w:hint="eastAsia"/>
          <w:color w:val="auto"/>
          <w:highlight w:val="none"/>
        </w:rPr>
        <w:t>2.2.2 评标基准价计算</w:t>
      </w:r>
    </w:p>
    <w:p w14:paraId="73089743">
      <w:pPr>
        <w:spacing w:line="400" w:lineRule="exact"/>
        <w:ind w:firstLine="420" w:firstLineChars="200"/>
        <w:rPr>
          <w:color w:val="auto"/>
          <w:highlight w:val="none"/>
        </w:rPr>
      </w:pPr>
      <w:r>
        <w:rPr>
          <w:rFonts w:hint="eastAsia"/>
          <w:color w:val="auto"/>
          <w:highlight w:val="none"/>
        </w:rPr>
        <w:t>评标基准价计算方法：见评标办法前附表。</w:t>
      </w:r>
    </w:p>
    <w:p w14:paraId="4EF4400D">
      <w:pPr>
        <w:spacing w:line="400" w:lineRule="exact"/>
        <w:ind w:firstLine="420" w:firstLineChars="200"/>
        <w:rPr>
          <w:color w:val="auto"/>
          <w:highlight w:val="none"/>
        </w:rPr>
      </w:pPr>
      <w:r>
        <w:rPr>
          <w:rFonts w:hint="eastAsia"/>
          <w:color w:val="auto"/>
          <w:highlight w:val="none"/>
        </w:rPr>
        <w:t>2.2.3 投标报价的偏差率计算</w:t>
      </w:r>
    </w:p>
    <w:p w14:paraId="0B27217F">
      <w:pPr>
        <w:spacing w:line="400" w:lineRule="exact"/>
        <w:ind w:firstLine="420" w:firstLineChars="200"/>
        <w:rPr>
          <w:color w:val="auto"/>
          <w:highlight w:val="none"/>
        </w:rPr>
      </w:pPr>
      <w:r>
        <w:rPr>
          <w:rFonts w:hint="eastAsia"/>
          <w:color w:val="auto"/>
          <w:highlight w:val="none"/>
        </w:rPr>
        <w:t>投标报价的偏差率计算公式：见评标办法前附表。</w:t>
      </w:r>
    </w:p>
    <w:p w14:paraId="7AF0EA2D">
      <w:pPr>
        <w:spacing w:line="400" w:lineRule="exact"/>
        <w:ind w:firstLine="420" w:firstLineChars="200"/>
        <w:rPr>
          <w:color w:val="auto"/>
          <w:highlight w:val="none"/>
        </w:rPr>
      </w:pPr>
      <w:r>
        <w:rPr>
          <w:rFonts w:hint="eastAsia"/>
          <w:color w:val="auto"/>
          <w:highlight w:val="none"/>
        </w:rPr>
        <w:t>2.2.4 评分标准</w:t>
      </w:r>
    </w:p>
    <w:p w14:paraId="2F1E1D64">
      <w:pPr>
        <w:spacing w:line="400" w:lineRule="exact"/>
        <w:ind w:firstLine="420" w:firstLineChars="200"/>
        <w:rPr>
          <w:color w:val="auto"/>
          <w:highlight w:val="none"/>
        </w:rPr>
      </w:pPr>
      <w:r>
        <w:rPr>
          <w:rFonts w:hint="eastAsia"/>
          <w:color w:val="auto"/>
          <w:highlight w:val="none"/>
        </w:rPr>
        <w:t>（1）投标报价评分标准：见评标办法前附表；</w:t>
      </w:r>
      <w:r>
        <w:rPr>
          <w:color w:val="auto"/>
          <w:highlight w:val="none"/>
        </w:rPr>
        <w:t xml:space="preserve"> </w:t>
      </w:r>
    </w:p>
    <w:p w14:paraId="238DA735">
      <w:pPr>
        <w:spacing w:line="400" w:lineRule="exact"/>
        <w:ind w:firstLine="420" w:firstLineChars="200"/>
        <w:rPr>
          <w:color w:val="auto"/>
          <w:highlight w:val="none"/>
        </w:rPr>
      </w:pPr>
      <w:r>
        <w:rPr>
          <w:rFonts w:hint="eastAsia"/>
          <w:color w:val="auto"/>
          <w:highlight w:val="none"/>
        </w:rPr>
        <w:t>（2）承包人建议书评分标准：见评标办法前附表；</w:t>
      </w:r>
    </w:p>
    <w:p w14:paraId="14297516">
      <w:pPr>
        <w:spacing w:line="400" w:lineRule="exact"/>
        <w:ind w:firstLine="420" w:firstLineChars="200"/>
        <w:rPr>
          <w:color w:val="auto"/>
          <w:highlight w:val="none"/>
        </w:rPr>
      </w:pPr>
      <w:r>
        <w:rPr>
          <w:rFonts w:hint="eastAsia"/>
          <w:color w:val="auto"/>
          <w:highlight w:val="none"/>
        </w:rPr>
        <w:t>（3）承包人实施方案评分标准：见评标办法前附表；</w:t>
      </w:r>
    </w:p>
    <w:p w14:paraId="04E3D3BB">
      <w:pPr>
        <w:spacing w:line="400" w:lineRule="exact"/>
        <w:ind w:firstLine="420" w:firstLineChars="200"/>
        <w:rPr>
          <w:color w:val="auto"/>
          <w:highlight w:val="none"/>
        </w:rPr>
      </w:pPr>
      <w:r>
        <w:rPr>
          <w:rFonts w:hint="eastAsia"/>
          <w:color w:val="auto"/>
          <w:highlight w:val="none"/>
        </w:rPr>
        <w:t>（4）资信业绩评分标准：见评标办法前附表；</w:t>
      </w:r>
    </w:p>
    <w:p w14:paraId="6F906305">
      <w:pPr>
        <w:spacing w:line="400" w:lineRule="exact"/>
        <w:ind w:firstLine="420" w:firstLineChars="200"/>
        <w:rPr>
          <w:color w:val="auto"/>
          <w:highlight w:val="none"/>
        </w:rPr>
      </w:pPr>
      <w:r>
        <w:rPr>
          <w:rFonts w:hint="eastAsia"/>
          <w:color w:val="auto"/>
          <w:highlight w:val="none"/>
        </w:rPr>
        <w:t>（5）其他因素评分标准：见评标办法前附表。</w:t>
      </w:r>
    </w:p>
    <w:p w14:paraId="7BBD3784">
      <w:pPr>
        <w:pStyle w:val="35"/>
        <w:spacing w:line="360" w:lineRule="exact"/>
        <w:rPr>
          <w:color w:val="auto"/>
          <w:highlight w:val="none"/>
        </w:rPr>
      </w:pPr>
      <w:bookmarkStart w:id="682" w:name="_Toc182923794"/>
      <w:bookmarkStart w:id="683" w:name="_Toc148860642"/>
      <w:bookmarkStart w:id="684" w:name="_Toc32050"/>
      <w:bookmarkStart w:id="685" w:name="_Toc23016"/>
      <w:bookmarkStart w:id="686" w:name="_Toc256000088"/>
      <w:r>
        <w:rPr>
          <w:rFonts w:hint="eastAsia"/>
          <w:color w:val="auto"/>
          <w:highlight w:val="none"/>
        </w:rPr>
        <w:t>3.评标程序</w:t>
      </w:r>
      <w:bookmarkEnd w:id="682"/>
      <w:bookmarkEnd w:id="683"/>
      <w:bookmarkEnd w:id="684"/>
      <w:bookmarkEnd w:id="685"/>
      <w:bookmarkEnd w:id="686"/>
    </w:p>
    <w:p w14:paraId="0EBD97E2">
      <w:pPr>
        <w:pStyle w:val="22"/>
        <w:keepNext/>
        <w:keepLines/>
        <w:widowControl w:val="0"/>
        <w:wordWrap/>
        <w:topLinePunct w:val="0"/>
        <w:spacing w:before="0" w:beforeAutospacing="0" w:after="0" w:afterAutospacing="0" w:line="360" w:lineRule="exact"/>
        <w:jc w:val="both"/>
        <w:outlineLvl w:val="2"/>
        <w:rPr>
          <w:rFonts w:ascii="Times New Roman" w:hAnsi="Times New Roman" w:eastAsia="黑体"/>
          <w:color w:val="auto"/>
          <w:kern w:val="2"/>
          <w:highlight w:val="none"/>
          <w:lang w:bidi="ar"/>
        </w:rPr>
      </w:pPr>
      <w:bookmarkStart w:id="687" w:name="_Toc5914"/>
      <w:bookmarkStart w:id="688" w:name="_Toc148860643"/>
      <w:bookmarkStart w:id="689" w:name="_Toc23270"/>
      <w:bookmarkStart w:id="690" w:name="_Toc256000090"/>
      <w:bookmarkStart w:id="691" w:name="_Toc182923795"/>
      <w:r>
        <w:rPr>
          <w:rFonts w:hint="eastAsia" w:ascii="Times New Roman" w:hAnsi="Times New Roman" w:eastAsia="黑体"/>
          <w:color w:val="auto"/>
          <w:kern w:val="2"/>
          <w:highlight w:val="none"/>
          <w:lang w:bidi="ar"/>
        </w:rPr>
        <w:t>3.1初步评审</w:t>
      </w:r>
      <w:bookmarkEnd w:id="687"/>
      <w:bookmarkEnd w:id="688"/>
      <w:bookmarkEnd w:id="689"/>
      <w:bookmarkEnd w:id="690"/>
      <w:bookmarkEnd w:id="691"/>
    </w:p>
    <w:p w14:paraId="6E7B9AFE">
      <w:pPr>
        <w:spacing w:line="400" w:lineRule="exact"/>
        <w:ind w:firstLine="420" w:firstLineChars="200"/>
        <w:rPr>
          <w:color w:val="auto"/>
          <w:highlight w:val="none"/>
        </w:rPr>
      </w:pPr>
      <w:r>
        <w:rPr>
          <w:rFonts w:hint="eastAsia"/>
          <w:color w:val="auto"/>
          <w:highlight w:val="none"/>
        </w:rPr>
        <w:t>3.1.1评标委员会依据本章第2.1款规定的标准对投标文件进行初步评审。有一项不符合评审标准的，评标委员会应当否决其投标。（适用于未进行资格预审的）</w:t>
      </w:r>
    </w:p>
    <w:p w14:paraId="03E9DE62">
      <w:pPr>
        <w:spacing w:line="380" w:lineRule="exact"/>
        <w:ind w:firstLine="420" w:firstLineChars="200"/>
        <w:rPr>
          <w:color w:val="auto"/>
          <w:highlight w:val="none"/>
        </w:rPr>
      </w:pPr>
      <w:r>
        <w:rPr>
          <w:rFonts w:hint="eastAsia"/>
          <w:color w:val="auto"/>
          <w:highlight w:val="none"/>
        </w:rPr>
        <w:t>3.1.2 投标人有以下情形之一的，评标委员会应当否决其投标：</w:t>
      </w:r>
    </w:p>
    <w:p w14:paraId="4278CD7D">
      <w:pPr>
        <w:spacing w:line="380" w:lineRule="exact"/>
        <w:ind w:firstLine="420" w:firstLineChars="200"/>
        <w:rPr>
          <w:color w:val="auto"/>
          <w:highlight w:val="none"/>
        </w:rPr>
      </w:pPr>
      <w:r>
        <w:rPr>
          <w:rFonts w:hint="eastAsia"/>
          <w:color w:val="auto"/>
          <w:highlight w:val="none"/>
        </w:rPr>
        <w:t>（</w:t>
      </w:r>
      <w:r>
        <w:rPr>
          <w:color w:val="auto"/>
          <w:highlight w:val="none"/>
        </w:rPr>
        <w:t>1</w:t>
      </w:r>
      <w:r>
        <w:rPr>
          <w:rFonts w:hint="eastAsia"/>
          <w:color w:val="auto"/>
          <w:highlight w:val="none"/>
        </w:rPr>
        <w:t>）不按评标委员会要求澄清、说明或补正。</w:t>
      </w:r>
    </w:p>
    <w:p w14:paraId="1F925E5B">
      <w:pPr>
        <w:spacing w:line="380" w:lineRule="exact"/>
        <w:ind w:firstLine="420" w:firstLineChars="200"/>
        <w:rPr>
          <w:color w:val="auto"/>
          <w:highlight w:val="none"/>
        </w:rPr>
      </w:pPr>
      <w:r>
        <w:rPr>
          <w:rFonts w:hint="eastAsia"/>
          <w:color w:val="auto"/>
          <w:highlight w:val="none"/>
        </w:rPr>
        <w:t>（</w:t>
      </w:r>
      <w:r>
        <w:rPr>
          <w:color w:val="auto"/>
          <w:highlight w:val="none"/>
        </w:rPr>
        <w:t>2</w:t>
      </w:r>
      <w:r>
        <w:rPr>
          <w:rFonts w:hint="eastAsia"/>
          <w:color w:val="auto"/>
          <w:highlight w:val="none"/>
        </w:rPr>
        <w:t>）有串通投标、弄虚作假、行贿等违法行为；</w:t>
      </w:r>
    </w:p>
    <w:p w14:paraId="244F3EE0">
      <w:pPr>
        <w:spacing w:line="380" w:lineRule="exact"/>
        <w:ind w:firstLine="420" w:firstLineChars="200"/>
        <w:rPr>
          <w:color w:val="auto"/>
          <w:highlight w:val="none"/>
        </w:rPr>
      </w:pPr>
      <w:r>
        <w:rPr>
          <w:rFonts w:hint="eastAsia"/>
          <w:color w:val="auto"/>
          <w:highlight w:val="none"/>
        </w:rPr>
        <w:t>1）有下列情形之一的，视为投标人相互串通投标：</w:t>
      </w:r>
    </w:p>
    <w:p w14:paraId="5DF8129F">
      <w:pPr>
        <w:spacing w:line="380" w:lineRule="exact"/>
        <w:ind w:firstLine="420" w:firstLineChars="200"/>
        <w:rPr>
          <w:color w:val="auto"/>
          <w:highlight w:val="none"/>
        </w:rPr>
      </w:pPr>
      <w:r>
        <w:rPr>
          <w:rFonts w:hint="eastAsia"/>
          <w:color w:val="auto"/>
          <w:highlight w:val="none"/>
        </w:rPr>
        <w:t>① 不同投标人的投标文件由同一单位或者个人编制；</w:t>
      </w:r>
    </w:p>
    <w:p w14:paraId="2CCA58E5">
      <w:pPr>
        <w:spacing w:line="380" w:lineRule="exact"/>
        <w:ind w:firstLine="420" w:firstLineChars="200"/>
        <w:rPr>
          <w:color w:val="auto"/>
          <w:highlight w:val="none"/>
        </w:rPr>
      </w:pPr>
      <w:r>
        <w:rPr>
          <w:rFonts w:hint="eastAsia"/>
          <w:color w:val="auto"/>
          <w:highlight w:val="none"/>
        </w:rPr>
        <w:t>② 不同投标人委托同一单位或者个人办理投标事宜；</w:t>
      </w:r>
    </w:p>
    <w:p w14:paraId="2DFF66B7">
      <w:pPr>
        <w:spacing w:line="380" w:lineRule="exact"/>
        <w:ind w:firstLine="420" w:firstLineChars="200"/>
        <w:rPr>
          <w:color w:val="auto"/>
          <w:highlight w:val="none"/>
        </w:rPr>
      </w:pPr>
      <w:r>
        <w:rPr>
          <w:rFonts w:hint="eastAsia"/>
          <w:color w:val="auto"/>
          <w:highlight w:val="none"/>
        </w:rPr>
        <w:t>③ 不同投标人使用同一电脑等电子设备办理投标事宜（下载招标文件、上传投标文件、授权委托人或项目经理实名认证等关键环节）；</w:t>
      </w:r>
    </w:p>
    <w:p w14:paraId="7DBA0AA4">
      <w:pPr>
        <w:spacing w:line="380" w:lineRule="exact"/>
        <w:ind w:firstLine="420" w:firstLineChars="200"/>
        <w:rPr>
          <w:color w:val="auto"/>
          <w:highlight w:val="none"/>
        </w:rPr>
      </w:pPr>
      <w:r>
        <w:rPr>
          <w:rFonts w:hint="eastAsia"/>
          <w:color w:val="auto"/>
          <w:highlight w:val="none"/>
        </w:rPr>
        <w:t>④ 不同投标人的投标文件载明的项目管理成员为同一人；</w:t>
      </w:r>
    </w:p>
    <w:p w14:paraId="5BF8C89E">
      <w:pPr>
        <w:spacing w:line="380" w:lineRule="exact"/>
        <w:ind w:firstLine="420" w:firstLineChars="200"/>
        <w:rPr>
          <w:color w:val="auto"/>
          <w:highlight w:val="none"/>
        </w:rPr>
      </w:pPr>
      <w:r>
        <w:rPr>
          <w:rFonts w:hint="eastAsia"/>
          <w:color w:val="auto"/>
          <w:highlight w:val="none"/>
        </w:rPr>
        <w:t>⑤ 不同投标人的投标文件非典型一致或者投标报价呈规律性差异；</w:t>
      </w:r>
    </w:p>
    <w:p w14:paraId="07F3B96A">
      <w:pPr>
        <w:spacing w:line="380" w:lineRule="exact"/>
        <w:ind w:firstLine="420" w:firstLineChars="200"/>
        <w:rPr>
          <w:color w:val="auto"/>
          <w:highlight w:val="none"/>
        </w:rPr>
      </w:pPr>
      <w:r>
        <w:rPr>
          <w:rFonts w:hint="eastAsia"/>
          <w:color w:val="auto"/>
          <w:highlight w:val="none"/>
        </w:rPr>
        <w:t>⑥ 不同投标人的投标文件相互混装；</w:t>
      </w:r>
    </w:p>
    <w:p w14:paraId="41D107D4">
      <w:pPr>
        <w:spacing w:line="380" w:lineRule="exact"/>
        <w:ind w:firstLine="420" w:firstLineChars="20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7 \* GB3</w:instrText>
      </w:r>
      <w:r>
        <w:rPr>
          <w:color w:val="auto"/>
          <w:highlight w:val="none"/>
        </w:rPr>
        <w:instrText xml:space="preserve"> </w:instrText>
      </w:r>
      <w:r>
        <w:rPr>
          <w:color w:val="auto"/>
          <w:highlight w:val="none"/>
        </w:rPr>
        <w:fldChar w:fldCharType="separate"/>
      </w:r>
      <w:r>
        <w:rPr>
          <w:rFonts w:hint="eastAsia"/>
          <w:color w:val="auto"/>
          <w:highlight w:val="none"/>
        </w:rPr>
        <w:t>⑦</w:t>
      </w:r>
      <w:r>
        <w:rPr>
          <w:color w:val="auto"/>
          <w:highlight w:val="none"/>
        </w:rPr>
        <w:fldChar w:fldCharType="end"/>
      </w:r>
      <w:r>
        <w:rPr>
          <w:color w:val="auto"/>
          <w:highlight w:val="none"/>
        </w:rPr>
        <w:t xml:space="preserve"> </w:t>
      </w:r>
      <w:r>
        <w:rPr>
          <w:rFonts w:hint="eastAsia"/>
          <w:color w:val="auto"/>
          <w:highlight w:val="none"/>
        </w:rPr>
        <w:t>不同投标人的投标保证金或保函（保险）财务费用从同一单位或者个人的账户转出；</w:t>
      </w:r>
    </w:p>
    <w:p w14:paraId="58615A21">
      <w:pPr>
        <w:spacing w:line="380" w:lineRule="exact"/>
        <w:ind w:firstLine="420" w:firstLineChars="200"/>
        <w:rPr>
          <w:color w:val="auto"/>
          <w:highlight w:val="none"/>
        </w:rPr>
      </w:pPr>
      <w:r>
        <w:rPr>
          <w:rFonts w:hint="eastAsia" w:ascii="宋体" w:hAnsi="宋体"/>
          <w:color w:val="auto"/>
          <w:highlight w:val="none"/>
        </w:rPr>
        <w:t>⑧</w:t>
      </w:r>
      <w:r>
        <w:rPr>
          <w:color w:val="auto"/>
          <w:highlight w:val="none"/>
        </w:rPr>
        <w:t xml:space="preserve"> </w:t>
      </w:r>
      <w:r>
        <w:rPr>
          <w:rFonts w:hint="eastAsia"/>
          <w:color w:val="auto"/>
          <w:highlight w:val="none"/>
        </w:rPr>
        <w:t>不同投标人的投标文件存在“MAC地址”、“文件创建标识码”、“文件制作机器码”等唯一性标识一致等情形。</w:t>
      </w:r>
    </w:p>
    <w:p w14:paraId="0016E95B">
      <w:pPr>
        <w:spacing w:line="380" w:lineRule="exact"/>
        <w:ind w:firstLine="420" w:firstLineChars="200"/>
        <w:rPr>
          <w:color w:val="auto"/>
          <w:highlight w:val="none"/>
        </w:rPr>
      </w:pPr>
      <w:r>
        <w:rPr>
          <w:rFonts w:hint="eastAsia"/>
          <w:color w:val="auto"/>
          <w:highlight w:val="none"/>
        </w:rPr>
        <w:t>2）有下列情形之一的，属于弄虚作假行为：</w:t>
      </w:r>
    </w:p>
    <w:p w14:paraId="650002E9">
      <w:pPr>
        <w:spacing w:line="380" w:lineRule="exact"/>
        <w:ind w:firstLine="420" w:firstLineChars="200"/>
        <w:rPr>
          <w:color w:val="auto"/>
          <w:highlight w:val="none"/>
        </w:rPr>
      </w:pPr>
      <w:r>
        <w:rPr>
          <w:rFonts w:hint="eastAsia"/>
          <w:color w:val="auto"/>
          <w:highlight w:val="none"/>
        </w:rPr>
        <w:t>① 使用通过受让或者租借等方式获取的资格、资质证书投标的，即以他人名义投标的。</w:t>
      </w:r>
    </w:p>
    <w:p w14:paraId="05CEB6C4">
      <w:pPr>
        <w:spacing w:line="380" w:lineRule="exact"/>
        <w:ind w:firstLine="420" w:firstLineChars="200"/>
        <w:rPr>
          <w:color w:val="auto"/>
          <w:highlight w:val="none"/>
        </w:rPr>
      </w:pPr>
      <w:r>
        <w:rPr>
          <w:rFonts w:hint="eastAsia"/>
          <w:color w:val="auto"/>
          <w:highlight w:val="none"/>
        </w:rPr>
        <w:t>② 使用伪造、变造的许可证件；</w:t>
      </w:r>
    </w:p>
    <w:p w14:paraId="290903A4">
      <w:pPr>
        <w:spacing w:line="380" w:lineRule="exact"/>
        <w:ind w:firstLine="420" w:firstLineChars="200"/>
        <w:rPr>
          <w:color w:val="auto"/>
          <w:highlight w:val="none"/>
        </w:rPr>
      </w:pPr>
      <w:r>
        <w:rPr>
          <w:rFonts w:hint="eastAsia"/>
          <w:color w:val="auto"/>
          <w:highlight w:val="none"/>
        </w:rPr>
        <w:t>③ 提供虚假的财务状况或者业绩；</w:t>
      </w:r>
    </w:p>
    <w:p w14:paraId="126FB0D4">
      <w:pPr>
        <w:spacing w:line="380" w:lineRule="exact"/>
        <w:ind w:firstLine="420" w:firstLineChars="200"/>
        <w:rPr>
          <w:color w:val="auto"/>
          <w:highlight w:val="none"/>
        </w:rPr>
      </w:pPr>
      <w:r>
        <w:rPr>
          <w:rFonts w:hint="eastAsia"/>
          <w:color w:val="auto"/>
          <w:highlight w:val="none"/>
        </w:rPr>
        <w:t>④ 提供虚假的项目负责人或者主要技术人员简历、社会保险证明；</w:t>
      </w:r>
    </w:p>
    <w:p w14:paraId="0F9886C7">
      <w:pPr>
        <w:spacing w:line="380" w:lineRule="exact"/>
        <w:ind w:firstLine="420" w:firstLineChars="200"/>
        <w:rPr>
          <w:color w:val="auto"/>
          <w:highlight w:val="none"/>
        </w:rPr>
      </w:pPr>
      <w:r>
        <w:rPr>
          <w:rFonts w:hint="eastAsia"/>
          <w:color w:val="auto"/>
          <w:highlight w:val="none"/>
        </w:rPr>
        <w:t>⑤ 提供虚假的信用状况；</w:t>
      </w:r>
    </w:p>
    <w:p w14:paraId="53550A7A">
      <w:pPr>
        <w:spacing w:line="380" w:lineRule="exact"/>
        <w:ind w:firstLine="420" w:firstLineChars="200"/>
        <w:rPr>
          <w:color w:val="auto"/>
          <w:highlight w:val="none"/>
        </w:rPr>
      </w:pPr>
      <w:r>
        <w:rPr>
          <w:rFonts w:hint="eastAsia"/>
          <w:color w:val="auto"/>
          <w:highlight w:val="none"/>
        </w:rPr>
        <w:t>⑥ 其他弄虚作假的行为。</w:t>
      </w:r>
    </w:p>
    <w:p w14:paraId="1D0730FC">
      <w:pPr>
        <w:spacing w:line="400" w:lineRule="exact"/>
        <w:ind w:firstLine="420" w:firstLineChars="200"/>
        <w:rPr>
          <w:color w:val="auto"/>
          <w:highlight w:val="none"/>
        </w:rPr>
      </w:pPr>
      <w:r>
        <w:rPr>
          <w:rFonts w:hint="eastAsia"/>
          <w:color w:val="auto"/>
          <w:highlight w:val="none"/>
        </w:rPr>
        <w:t>（3）不按评标委员会要求澄清、说明或补正的。</w:t>
      </w:r>
    </w:p>
    <w:p w14:paraId="7635F4CA">
      <w:pPr>
        <w:spacing w:line="400" w:lineRule="exact"/>
        <w:ind w:firstLine="420" w:firstLineChars="200"/>
        <w:rPr>
          <w:color w:val="auto"/>
          <w:highlight w:val="none"/>
        </w:rPr>
      </w:pPr>
      <w:r>
        <w:rPr>
          <w:rFonts w:hint="eastAsia"/>
          <w:color w:val="auto"/>
          <w:highlight w:val="none"/>
        </w:rPr>
        <w:t>3.1.3 投标报价有算术错误的及其他错误的，评标委员会按以下原则对投标报价进行修正，修正的价格经投标人书面确认后具有约束力。投标人不接受修正价格的，或者修正后的投标报价超过最高投标限价的（如有），评标委员会应当否决其投标。</w:t>
      </w:r>
    </w:p>
    <w:p w14:paraId="017C07C6">
      <w:pPr>
        <w:spacing w:line="400" w:lineRule="exact"/>
        <w:ind w:firstLine="420" w:firstLineChars="200"/>
        <w:rPr>
          <w:color w:val="auto"/>
          <w:highlight w:val="none"/>
        </w:rPr>
      </w:pPr>
      <w:r>
        <w:rPr>
          <w:rFonts w:hint="eastAsia"/>
          <w:color w:val="auto"/>
          <w:highlight w:val="none"/>
        </w:rPr>
        <w:t>（1）投标文件中的大写金额与小写金额不一致的，以大写金额为准；</w:t>
      </w:r>
    </w:p>
    <w:p w14:paraId="35B94C2E">
      <w:pPr>
        <w:spacing w:line="400" w:lineRule="exact"/>
        <w:ind w:firstLine="420" w:firstLineChars="200"/>
        <w:rPr>
          <w:color w:val="auto"/>
          <w:highlight w:val="none"/>
        </w:rPr>
      </w:pPr>
      <w:r>
        <w:rPr>
          <w:rFonts w:hint="eastAsia"/>
          <w:color w:val="auto"/>
          <w:highlight w:val="none"/>
        </w:rPr>
        <w:t>（2）总价金额与依据单价计算出的结果不一致的，以单价金额为准修正总价，但单价金额小数点有明显错误的除外。</w:t>
      </w:r>
    </w:p>
    <w:p w14:paraId="4863DC81">
      <w:pPr>
        <w:spacing w:line="380" w:lineRule="exact"/>
        <w:ind w:firstLine="420" w:firstLineChars="200"/>
        <w:rPr>
          <w:color w:val="auto"/>
          <w:highlight w:val="none"/>
        </w:rPr>
      </w:pPr>
      <w:r>
        <w:rPr>
          <w:rFonts w:hint="eastAsia"/>
          <w:color w:val="auto"/>
          <w:highlight w:val="none"/>
        </w:rPr>
        <w:t>3.1.4 评标委员会发现投标人的报价明显低于其他投标报价，或者在设有最高投标限价时明显低于最高投标限价，使得其投标报价可能低于其个别成本的，应当要求该投标人作出书面说明并提供相应的证明材料。投标人不能合理说明或者不能提供相应证明材料的，由评标委员会认定该投标人以低于成本报价竞标，否决其投标。</w:t>
      </w:r>
    </w:p>
    <w:p w14:paraId="7B228AAE">
      <w:pPr>
        <w:spacing w:line="380" w:lineRule="exact"/>
        <w:ind w:firstLine="420" w:firstLineChars="200"/>
        <w:rPr>
          <w:color w:val="auto"/>
          <w:highlight w:val="none"/>
        </w:rPr>
      </w:pPr>
      <w:r>
        <w:rPr>
          <w:rFonts w:hint="eastAsia"/>
          <w:color w:val="auto"/>
          <w:highlight w:val="none"/>
        </w:rPr>
        <w:t>3.1</w:t>
      </w:r>
      <w:r>
        <w:rPr>
          <w:color w:val="auto"/>
          <w:highlight w:val="none"/>
        </w:rPr>
        <w:t>.</w:t>
      </w:r>
      <w:r>
        <w:rPr>
          <w:rFonts w:hint="eastAsia"/>
          <w:color w:val="auto"/>
          <w:highlight w:val="none"/>
        </w:rPr>
        <w:t>5</w:t>
      </w:r>
      <w:r>
        <w:rPr>
          <w:color w:val="auto"/>
          <w:highlight w:val="none"/>
        </w:rPr>
        <w:t xml:space="preserve"> 评标委员会否决不合格投标后，因有效投标不足三个使得投标明显缺乏竞争的，评标委员会可以否决全部投标。</w:t>
      </w:r>
    </w:p>
    <w:p w14:paraId="525C9ABE">
      <w:pPr>
        <w:pStyle w:val="22"/>
        <w:keepNext/>
        <w:keepLines/>
        <w:widowControl w:val="0"/>
        <w:wordWrap/>
        <w:topLinePunct w:val="0"/>
        <w:spacing w:before="0" w:beforeAutospacing="0" w:after="0" w:afterAutospacing="0" w:line="360" w:lineRule="exact"/>
        <w:jc w:val="both"/>
        <w:outlineLvl w:val="2"/>
        <w:rPr>
          <w:rFonts w:ascii="Times New Roman" w:hAnsi="Times New Roman" w:eastAsia="黑体"/>
          <w:color w:val="auto"/>
          <w:kern w:val="2"/>
          <w:highlight w:val="none"/>
          <w:lang w:bidi="ar"/>
        </w:rPr>
      </w:pPr>
      <w:bookmarkStart w:id="692" w:name="_Toc9697"/>
      <w:bookmarkStart w:id="693" w:name="_Toc9682"/>
      <w:bookmarkStart w:id="694" w:name="_Toc182923796"/>
      <w:bookmarkStart w:id="695" w:name="_Toc256000091"/>
      <w:bookmarkStart w:id="696" w:name="_Toc148860644"/>
      <w:r>
        <w:rPr>
          <w:rFonts w:hint="eastAsia" w:ascii="Times New Roman" w:hAnsi="Times New Roman" w:eastAsia="黑体"/>
          <w:color w:val="auto"/>
          <w:kern w:val="2"/>
          <w:highlight w:val="none"/>
          <w:lang w:bidi="ar"/>
        </w:rPr>
        <w:t>3.2详细评审</w:t>
      </w:r>
      <w:bookmarkEnd w:id="692"/>
      <w:bookmarkEnd w:id="693"/>
      <w:bookmarkEnd w:id="694"/>
      <w:bookmarkEnd w:id="695"/>
      <w:bookmarkEnd w:id="696"/>
    </w:p>
    <w:p w14:paraId="6268FAFF">
      <w:pPr>
        <w:spacing w:line="380" w:lineRule="exact"/>
        <w:ind w:firstLine="420" w:firstLineChars="200"/>
        <w:rPr>
          <w:color w:val="auto"/>
          <w:highlight w:val="none"/>
        </w:rPr>
      </w:pPr>
      <w:r>
        <w:rPr>
          <w:rFonts w:hint="eastAsia"/>
          <w:color w:val="auto"/>
          <w:highlight w:val="none"/>
        </w:rPr>
        <w:t>3.2.1 评标委员会对通过了初步评审的投标文件进行详细评审。</w:t>
      </w:r>
      <w:bookmarkStart w:id="697" w:name="_Hlk175579082"/>
      <w:r>
        <w:rPr>
          <w:rFonts w:hint="eastAsia"/>
          <w:color w:val="auto"/>
          <w:highlight w:val="none"/>
        </w:rPr>
        <w:t>如采用入围方式的，则按照评标办法前附表规定的方式进行入围。</w:t>
      </w:r>
      <w:bookmarkEnd w:id="697"/>
    </w:p>
    <w:p w14:paraId="25785FD5">
      <w:pPr>
        <w:spacing w:line="400" w:lineRule="exact"/>
        <w:ind w:firstLine="420" w:firstLineChars="200"/>
        <w:rPr>
          <w:color w:val="auto"/>
          <w:highlight w:val="none"/>
        </w:rPr>
      </w:pPr>
      <w:r>
        <w:rPr>
          <w:rFonts w:hint="eastAsia"/>
          <w:color w:val="auto"/>
          <w:highlight w:val="none"/>
        </w:rPr>
        <w:t>3.2.</w:t>
      </w:r>
      <w:r>
        <w:rPr>
          <w:color w:val="auto"/>
          <w:highlight w:val="none"/>
        </w:rPr>
        <w:t>2</w:t>
      </w:r>
      <w:r>
        <w:rPr>
          <w:rFonts w:hint="eastAsia"/>
          <w:color w:val="auto"/>
          <w:highlight w:val="none"/>
        </w:rPr>
        <w:t xml:space="preserve"> 评标委员会按本章第2.2款规定的量化因素和分值进行打分，并计算出综合评估得分。评标办法前附表对承包人建议书中的设计文件评审有特殊规定的，从其规定。</w:t>
      </w:r>
    </w:p>
    <w:p w14:paraId="22DB0371">
      <w:pPr>
        <w:spacing w:line="400" w:lineRule="exact"/>
        <w:ind w:firstLine="420" w:firstLineChars="200"/>
        <w:rPr>
          <w:color w:val="auto"/>
          <w:highlight w:val="none"/>
        </w:rPr>
      </w:pPr>
      <w:r>
        <w:rPr>
          <w:rFonts w:hint="eastAsia"/>
          <w:color w:val="auto"/>
          <w:highlight w:val="none"/>
        </w:rPr>
        <w:t>（1）按本章第2.2.4（1）目规定的评审因素和分值对投标报价计算出得分A；</w:t>
      </w:r>
      <w:r>
        <w:rPr>
          <w:color w:val="auto"/>
          <w:highlight w:val="none"/>
        </w:rPr>
        <w:t xml:space="preserve"> </w:t>
      </w:r>
    </w:p>
    <w:p w14:paraId="006FD15C">
      <w:pPr>
        <w:spacing w:line="400" w:lineRule="exact"/>
        <w:ind w:firstLine="420" w:firstLineChars="200"/>
        <w:rPr>
          <w:color w:val="auto"/>
          <w:highlight w:val="none"/>
        </w:rPr>
      </w:pPr>
      <w:r>
        <w:rPr>
          <w:rFonts w:hint="eastAsia"/>
          <w:color w:val="auto"/>
          <w:highlight w:val="none"/>
        </w:rPr>
        <w:t>（2）按本章第2.2.4（2）目规定的评审因素和分值对承包人建议书计算出得分B；</w:t>
      </w:r>
    </w:p>
    <w:p w14:paraId="4CB93185">
      <w:pPr>
        <w:spacing w:line="400" w:lineRule="exact"/>
        <w:ind w:firstLine="420" w:firstLineChars="200"/>
        <w:rPr>
          <w:color w:val="auto"/>
          <w:highlight w:val="none"/>
        </w:rPr>
      </w:pPr>
      <w:r>
        <w:rPr>
          <w:rFonts w:hint="eastAsia"/>
          <w:color w:val="auto"/>
          <w:highlight w:val="none"/>
        </w:rPr>
        <w:t>（3）按本章第2.2.4（3）目规定的评审因素和分值对承包人实施方案计算出得分C；</w:t>
      </w:r>
    </w:p>
    <w:p w14:paraId="68E0AD9F">
      <w:pPr>
        <w:spacing w:line="400" w:lineRule="exact"/>
        <w:ind w:firstLine="420" w:firstLineChars="200"/>
        <w:rPr>
          <w:color w:val="auto"/>
          <w:highlight w:val="none"/>
        </w:rPr>
      </w:pPr>
      <w:r>
        <w:rPr>
          <w:rFonts w:hint="eastAsia"/>
          <w:color w:val="auto"/>
          <w:highlight w:val="none"/>
        </w:rPr>
        <w:t>（4）按本章第2.2.4（4）目规定的评审因素和分值对资信业绩计算出得分D；</w:t>
      </w:r>
    </w:p>
    <w:p w14:paraId="1873963A">
      <w:pPr>
        <w:spacing w:line="400" w:lineRule="exact"/>
        <w:ind w:firstLine="420" w:firstLineChars="200"/>
        <w:rPr>
          <w:color w:val="auto"/>
          <w:highlight w:val="none"/>
        </w:rPr>
      </w:pPr>
      <w:r>
        <w:rPr>
          <w:rFonts w:hint="eastAsia"/>
          <w:color w:val="auto"/>
          <w:highlight w:val="none"/>
        </w:rPr>
        <w:t>（5）按本章第2.2.4（5）目规定的评审因素和分值对其他因素计算出得分E。</w:t>
      </w:r>
    </w:p>
    <w:p w14:paraId="5AC8A51C">
      <w:pPr>
        <w:spacing w:line="400" w:lineRule="exact"/>
        <w:ind w:firstLine="420" w:firstLineChars="200"/>
        <w:rPr>
          <w:color w:val="auto"/>
          <w:highlight w:val="none"/>
        </w:rPr>
      </w:pPr>
      <w:r>
        <w:rPr>
          <w:rFonts w:hint="eastAsia"/>
          <w:color w:val="auto"/>
          <w:highlight w:val="none"/>
        </w:rPr>
        <w:t>3.2.</w:t>
      </w:r>
      <w:r>
        <w:rPr>
          <w:color w:val="auto"/>
          <w:highlight w:val="none"/>
        </w:rPr>
        <w:t>3</w:t>
      </w:r>
      <w:r>
        <w:rPr>
          <w:rFonts w:hint="eastAsia"/>
          <w:color w:val="auto"/>
          <w:highlight w:val="none"/>
        </w:rPr>
        <w:t xml:space="preserve"> 评分分值计算保留小数点后两位，小数点后第三位“四舍五入”。</w:t>
      </w:r>
    </w:p>
    <w:p w14:paraId="325A16A0">
      <w:pPr>
        <w:spacing w:line="400" w:lineRule="exact"/>
        <w:ind w:firstLine="420" w:firstLineChars="200"/>
        <w:rPr>
          <w:color w:val="auto"/>
          <w:highlight w:val="none"/>
        </w:rPr>
      </w:pPr>
      <w:r>
        <w:rPr>
          <w:rFonts w:hint="eastAsia"/>
          <w:color w:val="auto"/>
          <w:highlight w:val="none"/>
        </w:rPr>
        <w:t>3.2.</w:t>
      </w:r>
      <w:r>
        <w:rPr>
          <w:color w:val="auto"/>
          <w:highlight w:val="none"/>
        </w:rPr>
        <w:t>4</w:t>
      </w:r>
      <w:r>
        <w:rPr>
          <w:rFonts w:hint="eastAsia"/>
          <w:color w:val="auto"/>
          <w:highlight w:val="none"/>
        </w:rPr>
        <w:t xml:space="preserve"> 投标人得分=A+B+C+D+E。</w:t>
      </w:r>
    </w:p>
    <w:p w14:paraId="76763558">
      <w:pPr>
        <w:spacing w:line="400" w:lineRule="exact"/>
        <w:ind w:firstLine="420" w:firstLineChars="200"/>
        <w:rPr>
          <w:color w:val="auto"/>
          <w:highlight w:val="none"/>
        </w:rPr>
      </w:pPr>
      <w:r>
        <w:rPr>
          <w:rFonts w:hint="eastAsia"/>
          <w:color w:val="auto"/>
          <w:highlight w:val="none"/>
        </w:rPr>
        <w:t>3.2.</w:t>
      </w:r>
      <w:r>
        <w:rPr>
          <w:color w:val="auto"/>
          <w:highlight w:val="none"/>
        </w:rPr>
        <w:t>5</w:t>
      </w:r>
      <w:r>
        <w:rPr>
          <w:rFonts w:hint="eastAsia"/>
          <w:color w:val="auto"/>
          <w:highlight w:val="none"/>
        </w:rPr>
        <w:t xml:space="preserve"> </w:t>
      </w:r>
      <w:bookmarkStart w:id="698" w:name="_Hlk174450796"/>
      <w:r>
        <w:rPr>
          <w:rFonts w:hint="eastAsia"/>
          <w:color w:val="auto"/>
          <w:highlight w:val="none"/>
        </w:rPr>
        <w:t>各投标人评分结果汇总确定办法详见评标办法前附表。</w:t>
      </w:r>
      <w:bookmarkEnd w:id="698"/>
    </w:p>
    <w:p w14:paraId="417EEF90">
      <w:pPr>
        <w:pStyle w:val="22"/>
        <w:keepNext/>
        <w:keepLines/>
        <w:widowControl w:val="0"/>
        <w:wordWrap/>
        <w:topLinePunct w:val="0"/>
        <w:spacing w:before="0" w:beforeAutospacing="0" w:after="0" w:afterAutospacing="0" w:line="360" w:lineRule="exact"/>
        <w:jc w:val="both"/>
        <w:outlineLvl w:val="2"/>
        <w:rPr>
          <w:rFonts w:ascii="Times New Roman" w:hAnsi="Times New Roman" w:eastAsia="黑体"/>
          <w:color w:val="auto"/>
          <w:kern w:val="2"/>
          <w:highlight w:val="none"/>
          <w:lang w:bidi="ar"/>
        </w:rPr>
      </w:pPr>
      <w:bookmarkStart w:id="699" w:name="_Toc256000092"/>
      <w:bookmarkStart w:id="700" w:name="_Toc182923797"/>
      <w:bookmarkStart w:id="701" w:name="_Toc148860645"/>
      <w:bookmarkStart w:id="702" w:name="_Toc1892"/>
      <w:bookmarkStart w:id="703" w:name="_Toc9767"/>
      <w:r>
        <w:rPr>
          <w:rFonts w:hint="eastAsia" w:ascii="Times New Roman" w:hAnsi="Times New Roman" w:eastAsia="黑体"/>
          <w:color w:val="auto"/>
          <w:kern w:val="2"/>
          <w:highlight w:val="none"/>
          <w:lang w:bidi="ar"/>
        </w:rPr>
        <w:t>3.3投标文件的澄清和补正</w:t>
      </w:r>
      <w:bookmarkEnd w:id="699"/>
      <w:bookmarkEnd w:id="700"/>
      <w:bookmarkEnd w:id="701"/>
      <w:bookmarkEnd w:id="702"/>
      <w:bookmarkEnd w:id="703"/>
    </w:p>
    <w:p w14:paraId="3D9DA072">
      <w:pPr>
        <w:spacing w:line="400" w:lineRule="exact"/>
        <w:ind w:firstLine="420" w:firstLineChars="200"/>
        <w:rPr>
          <w:color w:val="auto"/>
          <w:highlight w:val="none"/>
        </w:rPr>
      </w:pPr>
      <w:r>
        <w:rPr>
          <w:rFonts w:hint="eastAsia"/>
          <w:color w:val="auto"/>
          <w:highlight w:val="none"/>
        </w:rPr>
        <w:t>3.3.1 在评标过程中，评标委员会可以书面形式要求投标人对所提交投标文件中不明确的内容进行书面澄清或说明，或者对细微偏差进行补正。评标委员会不接受投标人主动提出的澄清、说明或补正。</w:t>
      </w:r>
    </w:p>
    <w:p w14:paraId="7F61A165">
      <w:pPr>
        <w:spacing w:line="400" w:lineRule="exact"/>
        <w:ind w:firstLine="420" w:firstLineChars="200"/>
        <w:rPr>
          <w:color w:val="auto"/>
          <w:highlight w:val="none"/>
        </w:rPr>
      </w:pPr>
      <w:r>
        <w:rPr>
          <w:rFonts w:hint="eastAsia"/>
          <w:color w:val="auto"/>
          <w:highlight w:val="none"/>
        </w:rPr>
        <w:t>3.3.2 澄清、说明和补正不得改变投标文件的实质性内容。投标人的书面澄清、说明和补正属于投标文件的组成部分。</w:t>
      </w:r>
    </w:p>
    <w:p w14:paraId="0C0F0BDC">
      <w:pPr>
        <w:spacing w:line="400" w:lineRule="exact"/>
        <w:ind w:firstLine="420" w:firstLineChars="200"/>
        <w:rPr>
          <w:color w:val="auto"/>
          <w:highlight w:val="none"/>
        </w:rPr>
      </w:pPr>
      <w:r>
        <w:rPr>
          <w:rFonts w:hint="eastAsia"/>
          <w:color w:val="auto"/>
          <w:highlight w:val="none"/>
        </w:rPr>
        <w:t>3.3.3 评标委员会对投标人提交的澄清、说明或补正有疑问的，可以要求投标人进一步澄清、说明或补正，直至满足评标委员会的要求。</w:t>
      </w:r>
    </w:p>
    <w:p w14:paraId="2B8E1E94">
      <w:pPr>
        <w:spacing w:line="400" w:lineRule="exact"/>
        <w:ind w:firstLine="420" w:firstLineChars="200"/>
        <w:rPr>
          <w:color w:val="auto"/>
          <w:highlight w:val="none"/>
        </w:rPr>
      </w:pPr>
      <w:bookmarkStart w:id="704" w:name="_Hlk175579190"/>
      <w:r>
        <w:rPr>
          <w:rFonts w:hint="eastAsia"/>
          <w:color w:val="auto"/>
          <w:highlight w:val="none"/>
        </w:rPr>
        <w:t>3.3.4评标委员会要求投标人对投标文件问题澄清的通知，以及投标人对投标文件的澄清通过电子招标投标系统（辽宁省工程建设项目数字化开标评标系统）以书面形式进行。</w:t>
      </w:r>
      <w:bookmarkStart w:id="705" w:name="_Hlk161316527"/>
      <w:r>
        <w:rPr>
          <w:rFonts w:hint="eastAsia"/>
          <w:color w:val="auto"/>
          <w:highlight w:val="none"/>
        </w:rPr>
        <w:t>投标人的澄清、说明或补正应在评标办法前附表通知规定的</w:t>
      </w:r>
      <w:r>
        <w:rPr>
          <w:rFonts w:hint="eastAsia" w:ascii="宋体" w:hAnsi="宋体" w:cs="微软雅黑"/>
          <w:color w:val="auto"/>
          <w:szCs w:val="21"/>
          <w:highlight w:val="none"/>
        </w:rPr>
        <w:t>时间要求内</w:t>
      </w:r>
      <w:r>
        <w:rPr>
          <w:rFonts w:hint="eastAsia"/>
          <w:color w:val="auto"/>
          <w:highlight w:val="none"/>
        </w:rPr>
        <w:t>提交，否则评标委员会（电子招标投标系统）将拒绝接收。</w:t>
      </w:r>
      <w:bookmarkEnd w:id="704"/>
      <w:bookmarkEnd w:id="705"/>
    </w:p>
    <w:p w14:paraId="67E53F91">
      <w:pPr>
        <w:pStyle w:val="22"/>
        <w:keepNext/>
        <w:keepLines/>
        <w:widowControl w:val="0"/>
        <w:wordWrap/>
        <w:topLinePunct w:val="0"/>
        <w:spacing w:before="0" w:beforeAutospacing="0" w:after="0" w:afterAutospacing="0" w:line="360" w:lineRule="exact"/>
        <w:jc w:val="both"/>
        <w:outlineLvl w:val="2"/>
        <w:rPr>
          <w:rFonts w:ascii="Times New Roman" w:hAnsi="Times New Roman" w:eastAsia="黑体"/>
          <w:color w:val="auto"/>
          <w:kern w:val="2"/>
          <w:highlight w:val="none"/>
          <w:lang w:bidi="ar"/>
        </w:rPr>
      </w:pPr>
      <w:bookmarkStart w:id="706" w:name="_Toc256000093"/>
      <w:bookmarkStart w:id="707" w:name="_Toc4190"/>
      <w:bookmarkStart w:id="708" w:name="_Toc182923798"/>
      <w:bookmarkStart w:id="709" w:name="_Toc24690"/>
      <w:bookmarkStart w:id="710" w:name="_Toc148860646"/>
      <w:r>
        <w:rPr>
          <w:rFonts w:hint="eastAsia" w:ascii="Times New Roman" w:hAnsi="Times New Roman" w:eastAsia="黑体"/>
          <w:color w:val="auto"/>
          <w:kern w:val="2"/>
          <w:highlight w:val="none"/>
          <w:lang w:bidi="ar"/>
        </w:rPr>
        <w:t>3.4评标结果</w:t>
      </w:r>
      <w:bookmarkEnd w:id="706"/>
      <w:bookmarkEnd w:id="707"/>
      <w:bookmarkEnd w:id="708"/>
      <w:bookmarkEnd w:id="709"/>
      <w:bookmarkEnd w:id="710"/>
    </w:p>
    <w:p w14:paraId="4A0C5B1B">
      <w:pPr>
        <w:spacing w:line="400" w:lineRule="exact"/>
        <w:ind w:firstLine="420" w:firstLineChars="200"/>
        <w:rPr>
          <w:color w:val="auto"/>
          <w:highlight w:val="none"/>
        </w:rPr>
      </w:pPr>
      <w:r>
        <w:rPr>
          <w:rFonts w:hint="eastAsia"/>
          <w:color w:val="auto"/>
          <w:highlight w:val="none"/>
        </w:rPr>
        <w:t xml:space="preserve">3.4.1 </w:t>
      </w:r>
      <w:bookmarkStart w:id="711" w:name="_Hlk175579211"/>
      <w:r>
        <w:rPr>
          <w:rFonts w:hint="eastAsia"/>
          <w:color w:val="auto"/>
          <w:highlight w:val="none"/>
        </w:rPr>
        <w:t>评标委员会按照本章评标办法前附表规定的推荐方法和第二章“投标人须知”前附表第7.1款推荐的中标候选人数量推荐中标候选人。</w:t>
      </w:r>
      <w:bookmarkEnd w:id="711"/>
    </w:p>
    <w:p w14:paraId="0D0A6AB4">
      <w:pPr>
        <w:spacing w:line="400" w:lineRule="exact"/>
        <w:ind w:firstLine="420" w:firstLineChars="200"/>
        <w:rPr>
          <w:color w:val="auto"/>
          <w:highlight w:val="none"/>
        </w:rPr>
      </w:pPr>
      <w:r>
        <w:rPr>
          <w:rFonts w:hint="eastAsia"/>
          <w:color w:val="auto"/>
          <w:highlight w:val="none"/>
        </w:rPr>
        <w:t>3.4.2 评标委员会完成评标后，应当向招标人提交书面评标报告。</w:t>
      </w:r>
    </w:p>
    <w:p w14:paraId="4A479ED7">
      <w:pPr>
        <w:spacing w:line="400" w:lineRule="exact"/>
        <w:ind w:firstLine="420" w:firstLineChars="200"/>
        <w:rPr>
          <w:color w:val="auto"/>
          <w:highlight w:val="none"/>
        </w:rPr>
      </w:pPr>
      <w:bookmarkStart w:id="712" w:name="_Hlk161478081"/>
      <w:bookmarkStart w:id="713" w:name="_Hlk175579220"/>
      <w:r>
        <w:rPr>
          <w:rFonts w:hint="eastAsia"/>
          <w:color w:val="auto"/>
          <w:highlight w:val="none"/>
        </w:rPr>
        <w:t xml:space="preserve">3.4.3 </w:t>
      </w:r>
      <w:r>
        <w:rPr>
          <w:rFonts w:hint="eastAsia" w:ascii="宋体" w:hAnsi="宋体" w:cs="微软雅黑"/>
          <w:color w:val="auto"/>
          <w:szCs w:val="21"/>
          <w:highlight w:val="none"/>
        </w:rPr>
        <w:t>投标人串通投标或弄虚作假或有其他违法行为，评标委员会在评标过程中发现，证据确凿的，经评标委员会成员三分之二以上同意，其投标作否决投标处理；证据不够确凿的，其投标不能作否决投标处理，但评标委员会在向招标人提交书面评标报告时，应予说明。在评标结束后发现投标人串通投标或弄虚作假或有其他违法行为，查证属实的，取消其中标资格。</w:t>
      </w:r>
      <w:bookmarkEnd w:id="712"/>
      <w:r>
        <w:rPr>
          <w:color w:val="auto"/>
          <w:highlight w:val="none"/>
        </w:rPr>
        <w:br w:type="page"/>
      </w:r>
    </w:p>
    <w:bookmarkEnd w:id="671"/>
    <w:bookmarkEnd w:id="713"/>
    <w:p w14:paraId="3B01368B">
      <w:pPr>
        <w:pStyle w:val="3"/>
        <w:rPr>
          <w:b w:val="0"/>
          <w:color w:val="auto"/>
          <w:sz w:val="24"/>
          <w:szCs w:val="24"/>
          <w:highlight w:val="none"/>
        </w:rPr>
      </w:pPr>
      <w:bookmarkStart w:id="714" w:name="_Toc256000094"/>
      <w:bookmarkStart w:id="715" w:name="_Toc162103264"/>
      <w:bookmarkStart w:id="716" w:name="_Toc182923799"/>
      <w:bookmarkStart w:id="717" w:name="_Toc32105"/>
      <w:bookmarkStart w:id="718" w:name="_Hlk175579552"/>
      <w:bookmarkStart w:id="719" w:name="_Hlk175579420"/>
      <w:r>
        <w:rPr>
          <w:rFonts w:hint="eastAsia"/>
          <w:b w:val="0"/>
          <w:color w:val="auto"/>
          <w:sz w:val="24"/>
          <w:szCs w:val="24"/>
          <w:highlight w:val="none"/>
        </w:rPr>
        <w:t>附件A：评标详细程序</w:t>
      </w:r>
      <w:bookmarkEnd w:id="714"/>
      <w:bookmarkEnd w:id="715"/>
      <w:bookmarkEnd w:id="716"/>
      <w:bookmarkEnd w:id="717"/>
    </w:p>
    <w:p w14:paraId="056F2E32">
      <w:pPr>
        <w:jc w:val="center"/>
        <w:rPr>
          <w:rFonts w:ascii="黑体" w:eastAsia="黑体"/>
          <w:b/>
          <w:color w:val="auto"/>
          <w:sz w:val="28"/>
          <w:szCs w:val="28"/>
          <w:highlight w:val="none"/>
        </w:rPr>
      </w:pPr>
      <w:r>
        <w:rPr>
          <w:rFonts w:hint="eastAsia" w:ascii="黑体" w:eastAsia="黑体"/>
          <w:b/>
          <w:color w:val="auto"/>
          <w:sz w:val="28"/>
          <w:szCs w:val="28"/>
          <w:highlight w:val="none"/>
        </w:rPr>
        <w:t>评标详细程序</w:t>
      </w:r>
    </w:p>
    <w:p w14:paraId="50ECE75F">
      <w:pPr>
        <w:pStyle w:val="37"/>
        <w:ind w:firstLine="118"/>
        <w:rPr>
          <w:rFonts w:hint="eastAsia"/>
          <w:color w:val="auto"/>
          <w:highlight w:val="none"/>
        </w:rPr>
      </w:pPr>
      <w:bookmarkStart w:id="720" w:name="_Toc162103211"/>
      <w:bookmarkStart w:id="721" w:name="_Toc167542465"/>
      <w:bookmarkStart w:id="722" w:name="_Toc150507309"/>
      <w:bookmarkStart w:id="723" w:name="_Toc174544003"/>
      <w:bookmarkStart w:id="724" w:name="_Toc256000095"/>
      <w:bookmarkStart w:id="725" w:name="_Toc182923800"/>
      <w:bookmarkStart w:id="726" w:name="_Toc2927"/>
      <w:r>
        <w:rPr>
          <w:rFonts w:hint="eastAsia"/>
          <w:color w:val="auto"/>
          <w:highlight w:val="none"/>
        </w:rPr>
        <w:t>A0.总  则</w:t>
      </w:r>
      <w:bookmarkEnd w:id="720"/>
      <w:bookmarkEnd w:id="721"/>
      <w:bookmarkEnd w:id="722"/>
      <w:bookmarkEnd w:id="723"/>
      <w:bookmarkEnd w:id="724"/>
      <w:bookmarkEnd w:id="725"/>
      <w:bookmarkEnd w:id="726"/>
    </w:p>
    <w:p w14:paraId="7F889243">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本附件是本章“评标办法”的组成部分，是对本章第3条所规定的评标程序的进一步细化，评标委员会应当按照本附件所</w:t>
      </w:r>
      <w:r>
        <w:rPr>
          <w:rFonts w:hint="eastAsia"/>
          <w:color w:val="auto"/>
          <w:highlight w:val="none"/>
        </w:rPr>
        <w:t>规定</w:t>
      </w:r>
      <w:r>
        <w:rPr>
          <w:rFonts w:hint="eastAsia" w:ascii="宋体" w:hAnsi="宋体"/>
          <w:color w:val="auto"/>
          <w:szCs w:val="21"/>
          <w:highlight w:val="none"/>
        </w:rPr>
        <w:t>的详细程序开展并完成评标工作。</w:t>
      </w:r>
    </w:p>
    <w:p w14:paraId="6970D1A0">
      <w:pPr>
        <w:pStyle w:val="37"/>
        <w:ind w:firstLine="118"/>
        <w:rPr>
          <w:rFonts w:hint="eastAsia"/>
          <w:color w:val="auto"/>
          <w:highlight w:val="none"/>
        </w:rPr>
      </w:pPr>
      <w:bookmarkStart w:id="727" w:name="_Toc167542466"/>
      <w:bookmarkStart w:id="728" w:name="_Toc174544004"/>
      <w:bookmarkStart w:id="729" w:name="_Toc256000096"/>
      <w:bookmarkStart w:id="730" w:name="_Toc6478"/>
      <w:bookmarkStart w:id="731" w:name="_Toc162103212"/>
      <w:bookmarkStart w:id="732" w:name="_Toc150507310"/>
      <w:bookmarkStart w:id="733" w:name="_Toc182923801"/>
      <w:r>
        <w:rPr>
          <w:rFonts w:hint="eastAsia"/>
          <w:color w:val="auto"/>
          <w:highlight w:val="none"/>
        </w:rPr>
        <w:t>A1.基本程序</w:t>
      </w:r>
      <w:bookmarkEnd w:id="727"/>
      <w:bookmarkEnd w:id="728"/>
      <w:bookmarkEnd w:id="729"/>
      <w:bookmarkEnd w:id="730"/>
      <w:bookmarkEnd w:id="731"/>
      <w:bookmarkEnd w:id="732"/>
      <w:bookmarkEnd w:id="733"/>
    </w:p>
    <w:p w14:paraId="24AD225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评标活动将按以下五个步骤进行：</w:t>
      </w:r>
    </w:p>
    <w:p w14:paraId="251AB31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（1）评标准备；</w:t>
      </w:r>
    </w:p>
    <w:p w14:paraId="077C673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（2）初步评审；</w:t>
      </w:r>
    </w:p>
    <w:p w14:paraId="4BB2D9A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（3）详细评审；</w:t>
      </w:r>
    </w:p>
    <w:p w14:paraId="0FCD39D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（4）澄清、说明或</w:t>
      </w:r>
      <w:r>
        <w:rPr>
          <w:rFonts w:hint="eastAsia"/>
          <w:color w:val="auto"/>
          <w:highlight w:val="none"/>
        </w:rPr>
        <w:t>补正</w:t>
      </w:r>
      <w:r>
        <w:rPr>
          <w:rFonts w:hint="eastAsia" w:ascii="宋体" w:hAnsi="宋体"/>
          <w:color w:val="auto"/>
          <w:szCs w:val="21"/>
          <w:highlight w:val="none"/>
        </w:rPr>
        <w:t>；</w:t>
      </w:r>
    </w:p>
    <w:p w14:paraId="6895E9A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（5）推荐中标候选人</w:t>
      </w:r>
      <w:r>
        <w:rPr>
          <w:rFonts w:hint="eastAsia"/>
          <w:color w:val="auto"/>
          <w:highlight w:val="none"/>
        </w:rPr>
        <w:t>或者</w:t>
      </w:r>
      <w:r>
        <w:rPr>
          <w:rFonts w:hint="eastAsia" w:ascii="宋体" w:hAnsi="宋体"/>
          <w:color w:val="auto"/>
          <w:szCs w:val="21"/>
          <w:highlight w:val="none"/>
        </w:rPr>
        <w:t>直接确定中标人及提交评标报告。</w:t>
      </w:r>
    </w:p>
    <w:p w14:paraId="353BC61F">
      <w:pPr>
        <w:pStyle w:val="37"/>
        <w:ind w:firstLine="118"/>
        <w:rPr>
          <w:rFonts w:hint="eastAsia"/>
          <w:color w:val="auto"/>
          <w:highlight w:val="none"/>
        </w:rPr>
      </w:pPr>
      <w:bookmarkStart w:id="734" w:name="_Toc167542467"/>
      <w:bookmarkStart w:id="735" w:name="_Toc174544005"/>
      <w:bookmarkStart w:id="736" w:name="_Toc256000097"/>
      <w:bookmarkStart w:id="737" w:name="_Toc150507311"/>
      <w:bookmarkStart w:id="738" w:name="_Toc162103213"/>
      <w:bookmarkStart w:id="739" w:name="_Toc21451"/>
      <w:bookmarkStart w:id="740" w:name="_Toc182923802"/>
      <w:r>
        <w:rPr>
          <w:rFonts w:hint="eastAsia"/>
          <w:color w:val="auto"/>
          <w:highlight w:val="none"/>
        </w:rPr>
        <w:t>A2.评标准备</w:t>
      </w:r>
      <w:bookmarkEnd w:id="734"/>
      <w:bookmarkEnd w:id="735"/>
      <w:bookmarkEnd w:id="736"/>
      <w:bookmarkEnd w:id="737"/>
      <w:bookmarkEnd w:id="738"/>
      <w:bookmarkEnd w:id="739"/>
      <w:bookmarkEnd w:id="740"/>
    </w:p>
    <w:p w14:paraId="63F3C0BA">
      <w:pPr>
        <w:pStyle w:val="37"/>
        <w:ind w:firstLine="103"/>
        <w:rPr>
          <w:rFonts w:hint="eastAsia" w:ascii="宋体"/>
          <w:bCs/>
          <w:color w:val="auto"/>
          <w:sz w:val="21"/>
          <w:szCs w:val="21"/>
          <w:highlight w:val="none"/>
        </w:rPr>
      </w:pPr>
      <w:bookmarkStart w:id="741" w:name="_Toc150507312"/>
      <w:bookmarkStart w:id="742" w:name="_Toc5176"/>
      <w:bookmarkStart w:id="743" w:name="_Toc167542468"/>
      <w:bookmarkStart w:id="744" w:name="_Toc174544006"/>
      <w:bookmarkStart w:id="745" w:name="_Toc162103214"/>
      <w:bookmarkStart w:id="746" w:name="_Toc182923803"/>
      <w:bookmarkStart w:id="747" w:name="_Toc256000098"/>
      <w:r>
        <w:rPr>
          <w:rFonts w:hint="eastAsia"/>
          <w:bCs/>
          <w:color w:val="auto"/>
          <w:sz w:val="21"/>
          <w:szCs w:val="21"/>
          <w:highlight w:val="none"/>
        </w:rPr>
        <w:t>A2.1评标委员会成员签到</w:t>
      </w:r>
      <w:bookmarkEnd w:id="741"/>
      <w:bookmarkEnd w:id="742"/>
      <w:bookmarkEnd w:id="743"/>
      <w:bookmarkEnd w:id="744"/>
      <w:bookmarkEnd w:id="745"/>
      <w:bookmarkEnd w:id="746"/>
      <w:bookmarkEnd w:id="747"/>
    </w:p>
    <w:p w14:paraId="19076F0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评标委员会成员到达评标现场时应在</w:t>
      </w:r>
      <w:r>
        <w:rPr>
          <w:rFonts w:hint="eastAsia"/>
          <w:color w:val="auto"/>
          <w:highlight w:val="none"/>
        </w:rPr>
        <w:t>签到</w:t>
      </w:r>
      <w:r>
        <w:rPr>
          <w:rFonts w:hint="eastAsia" w:ascii="宋体" w:hAnsi="宋体"/>
          <w:color w:val="auto"/>
          <w:szCs w:val="21"/>
          <w:highlight w:val="none"/>
        </w:rPr>
        <w:t>表上签到以证明其出席。评标委员会签到表见</w:t>
      </w:r>
      <w:r>
        <w:rPr>
          <w:rFonts w:hint="eastAsia" w:ascii="宋体" w:hAnsi="宋体"/>
          <w:b/>
          <w:color w:val="auto"/>
          <w:szCs w:val="21"/>
          <w:highlight w:val="none"/>
        </w:rPr>
        <w:t>附表A-1</w:t>
      </w:r>
      <w:r>
        <w:rPr>
          <w:rFonts w:hint="eastAsia" w:ascii="宋体" w:hAnsi="宋体"/>
          <w:color w:val="auto"/>
          <w:szCs w:val="21"/>
          <w:highlight w:val="none"/>
        </w:rPr>
        <w:t>。并按照要求阅读评标纪律。</w:t>
      </w:r>
    </w:p>
    <w:p w14:paraId="121B2733">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评标委员会成员在评标前，应当签订签署评标专家告知承诺函。评标专家告知承诺函见</w:t>
      </w:r>
      <w:r>
        <w:rPr>
          <w:rFonts w:hint="eastAsia" w:ascii="宋体" w:hAnsi="宋体"/>
          <w:b/>
          <w:color w:val="auto"/>
          <w:szCs w:val="21"/>
          <w:highlight w:val="none"/>
        </w:rPr>
        <w:t>附表A-2。</w:t>
      </w:r>
      <w:r>
        <w:rPr>
          <w:rFonts w:hint="eastAsia" w:ascii="宋体" w:hAnsi="宋体"/>
          <w:color w:val="auto"/>
          <w:szCs w:val="21"/>
          <w:highlight w:val="none"/>
        </w:rPr>
        <w:t>评标委员会成员对尽职、回避、保密、廉洁，不参与串通投标等进行承诺，承诺遵守有关评标管理规定以及评标纪律，客观、公正地进行评标，并接受招投标监管部门的监督。</w:t>
      </w:r>
    </w:p>
    <w:p w14:paraId="1CD80CB4">
      <w:pPr>
        <w:pStyle w:val="37"/>
        <w:ind w:firstLine="103"/>
        <w:rPr>
          <w:rFonts w:hint="eastAsia"/>
          <w:bCs/>
          <w:color w:val="auto"/>
          <w:sz w:val="21"/>
          <w:szCs w:val="21"/>
          <w:highlight w:val="none"/>
        </w:rPr>
      </w:pPr>
      <w:bookmarkStart w:id="748" w:name="_Toc150507313"/>
      <w:bookmarkStart w:id="749" w:name="_Toc28341"/>
      <w:bookmarkStart w:id="750" w:name="_Toc182923804"/>
      <w:bookmarkStart w:id="751" w:name="_Toc167542469"/>
      <w:bookmarkStart w:id="752" w:name="_Toc174544007"/>
      <w:bookmarkStart w:id="753" w:name="_Toc162103215"/>
      <w:bookmarkStart w:id="754" w:name="_Toc256000099"/>
      <w:r>
        <w:rPr>
          <w:rFonts w:hint="eastAsia"/>
          <w:bCs/>
          <w:color w:val="auto"/>
          <w:sz w:val="21"/>
          <w:szCs w:val="21"/>
          <w:highlight w:val="none"/>
        </w:rPr>
        <w:t>A2.2评标委员会的分工</w:t>
      </w:r>
      <w:bookmarkEnd w:id="748"/>
      <w:bookmarkEnd w:id="749"/>
      <w:bookmarkEnd w:id="750"/>
      <w:bookmarkEnd w:id="751"/>
      <w:bookmarkEnd w:id="752"/>
      <w:bookmarkEnd w:id="753"/>
      <w:bookmarkEnd w:id="754"/>
    </w:p>
    <w:p w14:paraId="3C621D07">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w:t>
      </w:r>
      <w:r>
        <w:rPr>
          <w:rFonts w:ascii="宋体" w:hAnsi="宋体"/>
          <w:color w:val="auto"/>
          <w:szCs w:val="21"/>
          <w:highlight w:val="none"/>
        </w:rPr>
        <w:t>1</w:t>
      </w:r>
      <w:r>
        <w:rPr>
          <w:rFonts w:hint="eastAsia" w:ascii="宋体" w:hAnsi="宋体"/>
          <w:color w:val="auto"/>
          <w:szCs w:val="21"/>
          <w:highlight w:val="none"/>
        </w:rPr>
        <w:t>评标委员会首先推选一名评标委员会主任。评标委员会主任负责评标活动的组织工作。</w:t>
      </w:r>
    </w:p>
    <w:p w14:paraId="50B618E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A2.2.2 评标委员会主任除履行自己作为评标委员会</w:t>
      </w:r>
      <w:r>
        <w:rPr>
          <w:rFonts w:hint="eastAsia"/>
          <w:color w:val="auto"/>
          <w:highlight w:val="none"/>
        </w:rPr>
        <w:t>成员</w:t>
      </w:r>
      <w:r>
        <w:rPr>
          <w:rFonts w:hint="eastAsia" w:ascii="宋体" w:hAnsi="宋体"/>
          <w:color w:val="auto"/>
          <w:szCs w:val="21"/>
          <w:highlight w:val="none"/>
        </w:rPr>
        <w:t>独立评标的职责外，主要负责以下工作：</w:t>
      </w:r>
    </w:p>
    <w:p w14:paraId="76E10F92">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（1）组织评标委员会成员学习</w:t>
      </w:r>
      <w:r>
        <w:rPr>
          <w:rFonts w:hint="eastAsia"/>
          <w:color w:val="auto"/>
          <w:highlight w:val="none"/>
        </w:rPr>
        <w:t>招标文件</w:t>
      </w:r>
      <w:r>
        <w:rPr>
          <w:rFonts w:hint="eastAsia" w:ascii="宋体" w:hAnsi="宋体"/>
          <w:color w:val="auto"/>
          <w:szCs w:val="21"/>
          <w:highlight w:val="none"/>
        </w:rPr>
        <w:t>中载明的评标标准和方法；</w:t>
      </w:r>
    </w:p>
    <w:p w14:paraId="2AAA1AD9">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（2）提醒招标人做好评标准备工作，包括提供所需的评标基础资料；</w:t>
      </w:r>
    </w:p>
    <w:p w14:paraId="362CFD81">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（3）汇总各评标委员会成员认为</w:t>
      </w:r>
      <w:r>
        <w:rPr>
          <w:rFonts w:hint="eastAsia"/>
          <w:color w:val="auto"/>
          <w:highlight w:val="none"/>
        </w:rPr>
        <w:t>需要</w:t>
      </w:r>
      <w:r>
        <w:rPr>
          <w:rFonts w:hint="eastAsia" w:ascii="宋体" w:hAnsi="宋体"/>
          <w:color w:val="auto"/>
          <w:szCs w:val="21"/>
          <w:highlight w:val="none"/>
        </w:rPr>
        <w:t>投标人澄清、说明或者补正的问题，组织评标委员会对投标人质询并对投标人的答复进行评审；</w:t>
      </w:r>
    </w:p>
    <w:p w14:paraId="2751675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（4）对出现较大争议的事项进行</w:t>
      </w:r>
      <w:r>
        <w:rPr>
          <w:rFonts w:hint="eastAsia"/>
          <w:color w:val="auto"/>
          <w:highlight w:val="none"/>
        </w:rPr>
        <w:t>书面</w:t>
      </w:r>
      <w:r>
        <w:rPr>
          <w:rFonts w:hint="eastAsia" w:ascii="宋体" w:hAnsi="宋体"/>
          <w:color w:val="auto"/>
          <w:szCs w:val="21"/>
          <w:highlight w:val="none"/>
        </w:rPr>
        <w:t>记录；</w:t>
      </w:r>
    </w:p>
    <w:p w14:paraId="58D9A06C">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（5）查验评标用表格和评标记录的完整性及有效性；</w:t>
      </w:r>
    </w:p>
    <w:p w14:paraId="790C728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（6）组织对评标结论进行复核</w:t>
      </w:r>
      <w:r>
        <w:rPr>
          <w:rFonts w:hint="eastAsia"/>
          <w:color w:val="auto"/>
          <w:highlight w:val="none"/>
        </w:rPr>
        <w:t>确认</w:t>
      </w:r>
      <w:r>
        <w:rPr>
          <w:rFonts w:hint="eastAsia" w:ascii="宋体" w:hAnsi="宋体"/>
          <w:color w:val="auto"/>
          <w:szCs w:val="21"/>
          <w:highlight w:val="none"/>
        </w:rPr>
        <w:t>；</w:t>
      </w:r>
    </w:p>
    <w:p w14:paraId="3B43153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（7）组织编写评标报告，推荐中标候选人。</w:t>
      </w:r>
    </w:p>
    <w:p w14:paraId="3EFDC957">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A2.2.3评标委员会主任在与其他评标委员会成员商议的基础上可以将评标委员会按照评标专家抽取专业划分为技术组和经济组。</w:t>
      </w:r>
    </w:p>
    <w:p w14:paraId="3F8C36C3">
      <w:pPr>
        <w:pStyle w:val="37"/>
        <w:ind w:firstLine="103"/>
        <w:rPr>
          <w:rFonts w:hint="eastAsia"/>
          <w:bCs/>
          <w:color w:val="auto"/>
          <w:sz w:val="21"/>
          <w:szCs w:val="21"/>
          <w:highlight w:val="none"/>
        </w:rPr>
      </w:pPr>
      <w:bookmarkStart w:id="755" w:name="_Toc256000100"/>
      <w:bookmarkStart w:id="756" w:name="_Toc150507314"/>
      <w:bookmarkStart w:id="757" w:name="_Toc167542470"/>
      <w:bookmarkStart w:id="758" w:name="_Toc2467"/>
      <w:bookmarkStart w:id="759" w:name="_Toc174544008"/>
      <w:bookmarkStart w:id="760" w:name="_Toc182923805"/>
      <w:bookmarkStart w:id="761" w:name="_Toc162103216"/>
      <w:r>
        <w:rPr>
          <w:rFonts w:hint="eastAsia"/>
          <w:bCs/>
          <w:color w:val="auto"/>
          <w:sz w:val="21"/>
          <w:szCs w:val="21"/>
          <w:highlight w:val="none"/>
        </w:rPr>
        <w:t>A2.3熟悉文件资料</w:t>
      </w:r>
      <w:bookmarkEnd w:id="755"/>
      <w:bookmarkEnd w:id="756"/>
      <w:bookmarkEnd w:id="757"/>
      <w:bookmarkEnd w:id="758"/>
      <w:bookmarkEnd w:id="759"/>
      <w:bookmarkEnd w:id="760"/>
      <w:bookmarkEnd w:id="761"/>
    </w:p>
    <w:p w14:paraId="4DEE894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2.3.1评标委员会主任应组织评标委员会成员认真研究招标文件，了解和熟悉招标目的、招标范围、主要合同条件、发包人要求、质量标准，掌握评标标准和方法，熟悉本章及附件中包括的评标表格的使用，如果本章及附件所附的表格不能满足评标所需时，评标委员会应补充编制评标所需的表格。未在招标文件中规定的标准和方法不得作为评标的依据。</w:t>
      </w:r>
    </w:p>
    <w:p w14:paraId="70D89DA3">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A2.3.2招标人或招标代理机构应向评标委员会提供评标所需的信息和数据，包括：</w:t>
      </w:r>
    </w:p>
    <w:p w14:paraId="6C099E7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（1）招标文件及其澄清、修改</w:t>
      </w:r>
      <w:r>
        <w:rPr>
          <w:rFonts w:hint="eastAsia"/>
          <w:color w:val="auto"/>
          <w:highlight w:val="none"/>
        </w:rPr>
        <w:t>文件</w:t>
      </w:r>
      <w:r>
        <w:rPr>
          <w:rFonts w:hint="eastAsia" w:ascii="宋体" w:hAnsi="宋体"/>
          <w:color w:val="auto"/>
          <w:szCs w:val="21"/>
          <w:highlight w:val="none"/>
        </w:rPr>
        <w:t>；</w:t>
      </w:r>
    </w:p>
    <w:p w14:paraId="5E83B5B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（2）投标人的投标文件；</w:t>
      </w:r>
    </w:p>
    <w:p w14:paraId="443B6AF9">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（3）开标记录表以及二次刷卡、保证金缴纳等信息；</w:t>
      </w:r>
    </w:p>
    <w:p w14:paraId="369249E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（4）最高投标限价；</w:t>
      </w:r>
    </w:p>
    <w:p w14:paraId="30117748">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（5）评标表格；</w:t>
      </w:r>
    </w:p>
    <w:p w14:paraId="65EE302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（6）有关的法律、法规、规章、国家标准以及招标人或评标委员会认为必要的其他信息和数据。</w:t>
      </w:r>
    </w:p>
    <w:p w14:paraId="45DD2C2C">
      <w:pPr>
        <w:pStyle w:val="37"/>
        <w:ind w:firstLine="103"/>
        <w:rPr>
          <w:rFonts w:hint="eastAsia"/>
          <w:bCs/>
          <w:color w:val="auto"/>
          <w:sz w:val="21"/>
          <w:szCs w:val="21"/>
          <w:highlight w:val="none"/>
        </w:rPr>
      </w:pPr>
      <w:bookmarkStart w:id="762" w:name="_Toc256000101"/>
      <w:bookmarkStart w:id="763" w:name="_Toc162103217"/>
      <w:bookmarkStart w:id="764" w:name="_Toc150507315"/>
      <w:bookmarkStart w:id="765" w:name="_Toc174544009"/>
      <w:bookmarkStart w:id="766" w:name="_Toc167542471"/>
      <w:bookmarkStart w:id="767" w:name="_Toc154"/>
      <w:bookmarkStart w:id="768" w:name="_Toc182923806"/>
      <w:r>
        <w:rPr>
          <w:rFonts w:hint="eastAsia"/>
          <w:bCs/>
          <w:color w:val="auto"/>
          <w:sz w:val="21"/>
          <w:szCs w:val="21"/>
          <w:highlight w:val="none"/>
        </w:rPr>
        <w:t>A2.4暗标编号</w:t>
      </w:r>
      <w:bookmarkEnd w:id="762"/>
      <w:bookmarkEnd w:id="763"/>
      <w:bookmarkEnd w:id="764"/>
      <w:bookmarkEnd w:id="765"/>
      <w:bookmarkEnd w:id="766"/>
      <w:bookmarkEnd w:id="767"/>
      <w:bookmarkEnd w:id="768"/>
    </w:p>
    <w:p w14:paraId="4892A25C">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第二章“投标人须知”前附表第3.7.4款要求对技术标采用“模块化暗标”评审方式且编制有</w:t>
      </w:r>
      <w:r>
        <w:rPr>
          <w:rFonts w:hint="eastAsia"/>
          <w:color w:val="auto"/>
          <w:highlight w:val="none"/>
        </w:rPr>
        <w:t>模块化</w:t>
      </w:r>
      <w:r>
        <w:rPr>
          <w:rFonts w:hint="eastAsia" w:ascii="宋体" w:hAnsi="宋体"/>
          <w:color w:val="auto"/>
          <w:szCs w:val="21"/>
          <w:highlight w:val="none"/>
        </w:rPr>
        <w:t>暗标要求的，则在评标工作开始前，就暗标模块编号与投标人的对应关系使用</w:t>
      </w:r>
      <w:r>
        <w:rPr>
          <w:rFonts w:ascii="宋体" w:hAnsi="宋体"/>
          <w:b/>
          <w:color w:val="auto"/>
          <w:szCs w:val="21"/>
          <w:highlight w:val="none"/>
        </w:rPr>
        <w:t>附表A-3</w:t>
      </w:r>
      <w:r>
        <w:rPr>
          <w:rFonts w:hint="eastAsia" w:ascii="宋体" w:hAnsi="宋体"/>
          <w:color w:val="auto"/>
          <w:szCs w:val="21"/>
          <w:highlight w:val="none"/>
        </w:rPr>
        <w:t>做好暗标编号记录，暗标模块编号按随机方式编排。在评标委员会技术标成员均完成暗标部分评审并对评审结果签字确认和汇总后，招标人方可向评标委员会公布暗标编号。</w:t>
      </w:r>
    </w:p>
    <w:p w14:paraId="120E64E0">
      <w:pPr>
        <w:pStyle w:val="37"/>
        <w:ind w:firstLine="103"/>
        <w:rPr>
          <w:rFonts w:hint="eastAsia"/>
          <w:bCs/>
          <w:color w:val="auto"/>
          <w:sz w:val="21"/>
          <w:szCs w:val="21"/>
          <w:highlight w:val="none"/>
        </w:rPr>
      </w:pPr>
      <w:bookmarkStart w:id="769" w:name="_Toc167542472"/>
      <w:bookmarkStart w:id="770" w:name="_Toc12194"/>
      <w:bookmarkStart w:id="771" w:name="_Toc150507316"/>
      <w:bookmarkStart w:id="772" w:name="_Toc256000102"/>
      <w:bookmarkStart w:id="773" w:name="_Toc174544010"/>
      <w:bookmarkStart w:id="774" w:name="_Toc162103218"/>
      <w:bookmarkStart w:id="775" w:name="_Toc182923807"/>
      <w:r>
        <w:rPr>
          <w:rFonts w:hint="eastAsia"/>
          <w:bCs/>
          <w:color w:val="auto"/>
          <w:sz w:val="21"/>
          <w:szCs w:val="21"/>
          <w:highlight w:val="none"/>
        </w:rPr>
        <w:t>A2.5对投标文件进行基础性数据分析和整理工作</w:t>
      </w:r>
      <w:bookmarkEnd w:id="769"/>
      <w:bookmarkEnd w:id="770"/>
      <w:bookmarkEnd w:id="771"/>
      <w:bookmarkEnd w:id="772"/>
      <w:bookmarkEnd w:id="773"/>
      <w:bookmarkEnd w:id="774"/>
      <w:bookmarkEnd w:id="775"/>
    </w:p>
    <w:p w14:paraId="1A611822">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A2.5.1在不改变投标人投标文件实质性内容的前提下，评标委员会应当借助</w:t>
      </w:r>
      <w:r>
        <w:rPr>
          <w:rFonts w:ascii="宋体" w:hAnsi="宋体"/>
          <w:color w:val="auto"/>
          <w:szCs w:val="21"/>
          <w:highlight w:val="none"/>
        </w:rPr>
        <w:t>计算机辅助评标系统</w:t>
      </w:r>
      <w:r>
        <w:rPr>
          <w:rFonts w:hint="eastAsia" w:ascii="宋体" w:hAnsi="宋体"/>
          <w:color w:val="auto"/>
          <w:szCs w:val="21"/>
          <w:highlight w:val="none"/>
        </w:rPr>
        <w:t>对投标文件进行基础性数据分析和整理，评标委员会对分析成果审议后，决定需要投标人进行书面澄清、说明或补正的，通过电子招标投标系统（辽宁省工程建设项目数字化开标评标系统）向投标人发出</w:t>
      </w:r>
      <w:r>
        <w:rPr>
          <w:rFonts w:ascii="宋体" w:hAnsi="宋体"/>
          <w:color w:val="auto"/>
          <w:szCs w:val="21"/>
          <w:highlight w:val="none"/>
        </w:rPr>
        <w:t>投标文件</w:t>
      </w:r>
      <w:r>
        <w:rPr>
          <w:rFonts w:hint="eastAsia" w:ascii="宋体" w:hAnsi="宋体"/>
          <w:color w:val="auto"/>
          <w:szCs w:val="21"/>
          <w:highlight w:val="none"/>
        </w:rPr>
        <w:t>澄清通知。《</w:t>
      </w:r>
      <w:r>
        <w:rPr>
          <w:rFonts w:ascii="宋体" w:hAnsi="宋体"/>
          <w:color w:val="auto"/>
          <w:szCs w:val="21"/>
          <w:highlight w:val="none"/>
        </w:rPr>
        <w:t>投标文件</w:t>
      </w:r>
      <w:r>
        <w:rPr>
          <w:rFonts w:hint="eastAsia" w:ascii="宋体" w:hAnsi="宋体"/>
          <w:color w:val="auto"/>
          <w:szCs w:val="21"/>
          <w:highlight w:val="none"/>
        </w:rPr>
        <w:t>问题澄清通知》采用投标人须知附表六所提供的格式。</w:t>
      </w:r>
    </w:p>
    <w:p w14:paraId="22EB04E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A2.5.2投标人接到评标委员会发出的</w:t>
      </w:r>
      <w:r>
        <w:rPr>
          <w:rFonts w:ascii="宋体" w:hAnsi="宋体"/>
          <w:color w:val="auto"/>
          <w:szCs w:val="21"/>
          <w:highlight w:val="none"/>
        </w:rPr>
        <w:t>投标文件</w:t>
      </w:r>
      <w:r>
        <w:rPr>
          <w:rFonts w:hint="eastAsia" w:ascii="宋体" w:hAnsi="宋体"/>
          <w:color w:val="auto"/>
          <w:szCs w:val="21"/>
          <w:highlight w:val="none"/>
        </w:rPr>
        <w:t>澄清</w:t>
      </w:r>
      <w:r>
        <w:rPr>
          <w:rFonts w:hint="eastAsia"/>
          <w:color w:val="auto"/>
          <w:highlight w:val="none"/>
        </w:rPr>
        <w:t>通知</w:t>
      </w:r>
      <w:r>
        <w:rPr>
          <w:rFonts w:hint="eastAsia" w:ascii="宋体" w:hAnsi="宋体"/>
          <w:color w:val="auto"/>
          <w:szCs w:val="21"/>
          <w:highlight w:val="none"/>
        </w:rPr>
        <w:t>后，</w:t>
      </w:r>
      <w:r>
        <w:rPr>
          <w:rFonts w:ascii="宋体" w:hAnsi="宋体"/>
          <w:color w:val="auto"/>
          <w:szCs w:val="21"/>
          <w:highlight w:val="none"/>
        </w:rPr>
        <w:t>应按评标委员会的要求在规定的时间</w:t>
      </w:r>
      <w:r>
        <w:rPr>
          <w:rFonts w:hint="eastAsia" w:ascii="宋体" w:hAnsi="宋体"/>
          <w:color w:val="auto"/>
          <w:szCs w:val="21"/>
          <w:highlight w:val="none"/>
        </w:rPr>
        <w:t>内，</w:t>
      </w:r>
      <w:r>
        <w:rPr>
          <w:rFonts w:ascii="宋体" w:hAnsi="宋体"/>
          <w:color w:val="auto"/>
          <w:szCs w:val="21"/>
          <w:highlight w:val="none"/>
        </w:rPr>
        <w:t>通过</w:t>
      </w:r>
      <w:r>
        <w:rPr>
          <w:rFonts w:hint="eastAsia" w:ascii="宋体" w:hAnsi="宋体"/>
          <w:color w:val="auto"/>
          <w:szCs w:val="21"/>
          <w:highlight w:val="none"/>
        </w:rPr>
        <w:t>电子招标投标系统（辽宁省工程建设项目数字化开标评标系统）提交</w:t>
      </w:r>
      <w:r>
        <w:rPr>
          <w:rFonts w:ascii="宋体" w:hAnsi="宋体"/>
          <w:color w:val="auto"/>
          <w:szCs w:val="21"/>
          <w:highlight w:val="none"/>
        </w:rPr>
        <w:t>投标文件</w:t>
      </w:r>
      <w:r>
        <w:rPr>
          <w:rFonts w:hint="eastAsia" w:ascii="宋体" w:hAnsi="宋体"/>
          <w:color w:val="auto"/>
          <w:szCs w:val="21"/>
          <w:highlight w:val="none"/>
        </w:rPr>
        <w:t>的</w:t>
      </w:r>
      <w:r>
        <w:rPr>
          <w:rFonts w:ascii="宋体" w:hAnsi="宋体"/>
          <w:color w:val="auto"/>
          <w:szCs w:val="21"/>
          <w:highlight w:val="none"/>
        </w:rPr>
        <w:t>澄清</w:t>
      </w:r>
      <w:r>
        <w:rPr>
          <w:rFonts w:hint="eastAsia" w:ascii="宋体" w:hAnsi="宋体"/>
          <w:color w:val="auto"/>
          <w:szCs w:val="21"/>
          <w:highlight w:val="none"/>
        </w:rPr>
        <w:t>和相关资料（如有）</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投标文件</w:t>
      </w:r>
      <w:r>
        <w:rPr>
          <w:rFonts w:hint="eastAsia" w:ascii="宋体" w:hAnsi="宋体"/>
          <w:color w:val="auto"/>
          <w:szCs w:val="21"/>
          <w:highlight w:val="none"/>
        </w:rPr>
        <w:t>问题的澄清》采用投标人须知附表七所提供的格式。</w:t>
      </w:r>
    </w:p>
    <w:p w14:paraId="453AEA72">
      <w:pPr>
        <w:pStyle w:val="37"/>
        <w:ind w:firstLine="118"/>
        <w:rPr>
          <w:rFonts w:hint="eastAsia"/>
          <w:color w:val="auto"/>
          <w:highlight w:val="none"/>
        </w:rPr>
      </w:pPr>
      <w:bookmarkStart w:id="776" w:name="_Toc25908"/>
      <w:bookmarkStart w:id="777" w:name="_Toc182923808"/>
      <w:bookmarkStart w:id="778" w:name="_Toc174544011"/>
      <w:bookmarkStart w:id="779" w:name="_Toc256000103"/>
      <w:bookmarkStart w:id="780" w:name="_Toc167542473"/>
      <w:bookmarkStart w:id="781" w:name="_Toc150507317"/>
      <w:bookmarkStart w:id="782" w:name="_Toc162103219"/>
      <w:r>
        <w:rPr>
          <w:rFonts w:hint="eastAsia"/>
          <w:color w:val="auto"/>
          <w:highlight w:val="none"/>
        </w:rPr>
        <w:t>A3</w:t>
      </w:r>
      <w:r>
        <w:rPr>
          <w:color w:val="auto"/>
          <w:highlight w:val="none"/>
        </w:rPr>
        <w:t>.</w:t>
      </w:r>
      <w:r>
        <w:rPr>
          <w:rFonts w:hint="eastAsia"/>
          <w:color w:val="auto"/>
          <w:highlight w:val="none"/>
        </w:rPr>
        <w:t>初步评审</w:t>
      </w:r>
      <w:bookmarkEnd w:id="776"/>
      <w:bookmarkEnd w:id="777"/>
      <w:bookmarkEnd w:id="778"/>
      <w:bookmarkEnd w:id="779"/>
      <w:bookmarkEnd w:id="780"/>
      <w:bookmarkEnd w:id="781"/>
      <w:bookmarkEnd w:id="782"/>
    </w:p>
    <w:p w14:paraId="46B92F3E">
      <w:pPr>
        <w:pStyle w:val="37"/>
        <w:ind w:firstLine="103"/>
        <w:rPr>
          <w:rFonts w:hint="eastAsia"/>
          <w:bCs/>
          <w:color w:val="auto"/>
          <w:sz w:val="21"/>
          <w:szCs w:val="21"/>
          <w:highlight w:val="none"/>
        </w:rPr>
      </w:pPr>
      <w:bookmarkStart w:id="783" w:name="_Toc162103220"/>
      <w:bookmarkStart w:id="784" w:name="_Toc174544012"/>
      <w:bookmarkStart w:id="785" w:name="_Toc182923809"/>
      <w:bookmarkStart w:id="786" w:name="_Toc256000104"/>
      <w:bookmarkStart w:id="787" w:name="_Toc167542474"/>
      <w:bookmarkStart w:id="788" w:name="_Toc16690"/>
      <w:bookmarkStart w:id="789" w:name="_Toc150507318"/>
      <w:r>
        <w:rPr>
          <w:rFonts w:hint="eastAsia"/>
          <w:bCs/>
          <w:color w:val="auto"/>
          <w:sz w:val="21"/>
          <w:szCs w:val="21"/>
          <w:highlight w:val="none"/>
        </w:rPr>
        <w:t>A3.1形式评审</w:t>
      </w:r>
      <w:bookmarkEnd w:id="783"/>
      <w:bookmarkEnd w:id="784"/>
      <w:bookmarkEnd w:id="785"/>
      <w:bookmarkEnd w:id="786"/>
      <w:bookmarkEnd w:id="787"/>
      <w:bookmarkEnd w:id="788"/>
      <w:bookmarkEnd w:id="789"/>
    </w:p>
    <w:p w14:paraId="6F8C3C3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评标委员会根据评标办法前附表中规定的评审因素和评审标准，对投标人的投标文件进行形式评审，并使用</w:t>
      </w:r>
      <w:r>
        <w:rPr>
          <w:rFonts w:hint="eastAsia" w:ascii="宋体" w:hAnsi="宋体"/>
          <w:b/>
          <w:color w:val="auto"/>
          <w:szCs w:val="21"/>
          <w:highlight w:val="none"/>
        </w:rPr>
        <w:t>附表A-4</w:t>
      </w:r>
      <w:r>
        <w:rPr>
          <w:rFonts w:hint="eastAsia" w:ascii="宋体" w:hAnsi="宋体"/>
          <w:color w:val="auto"/>
          <w:szCs w:val="21"/>
          <w:highlight w:val="none"/>
        </w:rPr>
        <w:t>记录评审结果。</w:t>
      </w:r>
    </w:p>
    <w:p w14:paraId="494511D7">
      <w:pPr>
        <w:pStyle w:val="37"/>
        <w:ind w:firstLine="103"/>
        <w:rPr>
          <w:rFonts w:hint="eastAsia"/>
          <w:bCs/>
          <w:color w:val="auto"/>
          <w:sz w:val="21"/>
          <w:szCs w:val="21"/>
          <w:highlight w:val="none"/>
        </w:rPr>
      </w:pPr>
      <w:bookmarkStart w:id="790" w:name="_Toc167542475"/>
      <w:bookmarkStart w:id="791" w:name="_Toc174544013"/>
      <w:bookmarkStart w:id="792" w:name="_Toc162103221"/>
      <w:bookmarkStart w:id="793" w:name="_Toc150507319"/>
      <w:bookmarkStart w:id="794" w:name="_Toc256000105"/>
      <w:bookmarkStart w:id="795" w:name="_Toc182923810"/>
      <w:bookmarkStart w:id="796" w:name="_Toc10507"/>
      <w:r>
        <w:rPr>
          <w:rFonts w:hint="eastAsia"/>
          <w:bCs/>
          <w:color w:val="auto"/>
          <w:sz w:val="21"/>
          <w:szCs w:val="21"/>
          <w:highlight w:val="none"/>
        </w:rPr>
        <w:t>A3.2资格评审</w:t>
      </w:r>
      <w:bookmarkEnd w:id="790"/>
      <w:bookmarkEnd w:id="791"/>
      <w:bookmarkEnd w:id="792"/>
      <w:bookmarkEnd w:id="793"/>
      <w:bookmarkEnd w:id="794"/>
      <w:bookmarkEnd w:id="795"/>
      <w:bookmarkEnd w:id="796"/>
    </w:p>
    <w:p w14:paraId="01BD9C3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评标委员会根据评标办法前附表中规定的评审因素和评审标准，对投标人的投标文件进行资格评审，并使用</w:t>
      </w:r>
      <w:r>
        <w:rPr>
          <w:rFonts w:hint="eastAsia" w:ascii="宋体" w:hAnsi="宋体"/>
          <w:b/>
          <w:color w:val="auto"/>
          <w:szCs w:val="21"/>
          <w:highlight w:val="none"/>
        </w:rPr>
        <w:t>附表A-5</w:t>
      </w:r>
      <w:r>
        <w:rPr>
          <w:rFonts w:hint="eastAsia" w:ascii="宋体" w:hAnsi="宋体"/>
          <w:color w:val="auto"/>
          <w:szCs w:val="21"/>
          <w:highlight w:val="none"/>
        </w:rPr>
        <w:t>记录评审结果。</w:t>
      </w:r>
    </w:p>
    <w:p w14:paraId="3F8DC30E">
      <w:pPr>
        <w:pStyle w:val="37"/>
        <w:ind w:firstLine="103"/>
        <w:rPr>
          <w:rFonts w:hint="eastAsia"/>
          <w:bCs/>
          <w:color w:val="auto"/>
          <w:sz w:val="21"/>
          <w:szCs w:val="21"/>
          <w:highlight w:val="none"/>
        </w:rPr>
      </w:pPr>
      <w:bookmarkStart w:id="797" w:name="_Toc182923811"/>
      <w:bookmarkStart w:id="798" w:name="_Toc150507320"/>
      <w:bookmarkStart w:id="799" w:name="_Toc174544014"/>
      <w:bookmarkStart w:id="800" w:name="_Toc167542476"/>
      <w:bookmarkStart w:id="801" w:name="_Toc26673"/>
      <w:bookmarkStart w:id="802" w:name="_Toc162103222"/>
      <w:bookmarkStart w:id="803" w:name="_Toc256000106"/>
      <w:r>
        <w:rPr>
          <w:rFonts w:hint="eastAsia"/>
          <w:bCs/>
          <w:color w:val="auto"/>
          <w:sz w:val="21"/>
          <w:szCs w:val="21"/>
          <w:highlight w:val="none"/>
        </w:rPr>
        <w:t>A3.3响应性评审</w:t>
      </w:r>
      <w:bookmarkEnd w:id="797"/>
      <w:bookmarkEnd w:id="798"/>
      <w:bookmarkEnd w:id="799"/>
      <w:bookmarkEnd w:id="800"/>
      <w:bookmarkEnd w:id="801"/>
      <w:bookmarkEnd w:id="802"/>
      <w:bookmarkEnd w:id="803"/>
    </w:p>
    <w:p w14:paraId="19E2C69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A3.3.1评标委员会根据评标办法前附表中规定的评审因素和评审标准，对投标人的投标文件进行响应性评审，并使用</w:t>
      </w:r>
      <w:r>
        <w:rPr>
          <w:rFonts w:hint="eastAsia" w:ascii="宋体" w:hAnsi="宋体"/>
          <w:b/>
          <w:color w:val="auto"/>
          <w:szCs w:val="21"/>
          <w:highlight w:val="none"/>
        </w:rPr>
        <w:t>附表A-6</w:t>
      </w:r>
      <w:r>
        <w:rPr>
          <w:rFonts w:hint="eastAsia" w:ascii="宋体" w:hAnsi="宋体"/>
          <w:color w:val="auto"/>
          <w:szCs w:val="21"/>
          <w:highlight w:val="none"/>
        </w:rPr>
        <w:t>记录评审结果。</w:t>
      </w:r>
    </w:p>
    <w:p w14:paraId="515A4A4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3.3.2投标人投标价格不得超出（不含等于）按照第二章“投标人须知”前附表载明的最高投标限价（投标人投标价格是指投标函中的大写报价或经投标人确认的算术错误修正后的价格不超过本项目最高投标限价），凡投标人的投标价格超出最高投标限价的，该投标人的投标文件不能通过响应性评审。</w:t>
      </w:r>
    </w:p>
    <w:p w14:paraId="7DBB375F">
      <w:pPr>
        <w:pStyle w:val="37"/>
        <w:ind w:firstLine="103"/>
        <w:rPr>
          <w:rFonts w:hint="eastAsia"/>
          <w:bCs/>
          <w:color w:val="auto"/>
          <w:sz w:val="21"/>
          <w:szCs w:val="21"/>
          <w:highlight w:val="none"/>
        </w:rPr>
      </w:pPr>
      <w:bookmarkStart w:id="804" w:name="_Toc162103223"/>
      <w:bookmarkStart w:id="805" w:name="_Toc256000107"/>
      <w:bookmarkStart w:id="806" w:name="_Toc150507321"/>
      <w:bookmarkStart w:id="807" w:name="_Toc167542477"/>
      <w:bookmarkStart w:id="808" w:name="_Toc174544015"/>
      <w:bookmarkStart w:id="809" w:name="_Toc182923812"/>
      <w:bookmarkStart w:id="810" w:name="_Toc18460"/>
      <w:r>
        <w:rPr>
          <w:rFonts w:hint="eastAsia"/>
          <w:bCs/>
          <w:color w:val="auto"/>
          <w:sz w:val="21"/>
          <w:szCs w:val="21"/>
          <w:highlight w:val="none"/>
        </w:rPr>
        <w:t>A3.</w:t>
      </w:r>
      <w:r>
        <w:rPr>
          <w:bCs/>
          <w:color w:val="auto"/>
          <w:sz w:val="21"/>
          <w:szCs w:val="21"/>
          <w:highlight w:val="none"/>
        </w:rPr>
        <w:t>4</w:t>
      </w:r>
      <w:r>
        <w:rPr>
          <w:rFonts w:hint="eastAsia"/>
          <w:bCs/>
          <w:color w:val="auto"/>
          <w:sz w:val="21"/>
          <w:szCs w:val="21"/>
          <w:highlight w:val="none"/>
        </w:rPr>
        <w:t>算术错误修正</w:t>
      </w:r>
      <w:bookmarkEnd w:id="804"/>
      <w:bookmarkEnd w:id="805"/>
      <w:bookmarkEnd w:id="806"/>
      <w:bookmarkEnd w:id="807"/>
      <w:bookmarkEnd w:id="808"/>
      <w:bookmarkEnd w:id="809"/>
      <w:bookmarkEnd w:id="810"/>
    </w:p>
    <w:p w14:paraId="60090E61">
      <w:pPr>
        <w:spacing w:line="400" w:lineRule="exact"/>
        <w:ind w:firstLine="420" w:firstLineChars="200"/>
        <w:rPr>
          <w:rFonts w:ascii="黑体" w:eastAsia="黑体"/>
          <w:color w:val="auto"/>
          <w:szCs w:val="21"/>
          <w:highlight w:val="none"/>
        </w:rPr>
      </w:pPr>
      <w:r>
        <w:rPr>
          <w:rFonts w:hint="eastAsia" w:ascii="宋体" w:hAnsi="宋体"/>
          <w:color w:val="auto"/>
          <w:szCs w:val="21"/>
          <w:highlight w:val="none"/>
        </w:rPr>
        <w:t>评标委员会依据本章中规定的相关原则对投标报价中存在的算术错误进行修正，修正的价格经投标人书面确认后具有约束力。投标人不接受修正价格的，或者修正后的投标价格超过最高投标限价的（如有），其投标应当被否决。</w:t>
      </w:r>
    </w:p>
    <w:p w14:paraId="77C6FF2E">
      <w:pPr>
        <w:pStyle w:val="37"/>
        <w:ind w:firstLine="103"/>
        <w:rPr>
          <w:rFonts w:hint="eastAsia"/>
          <w:bCs/>
          <w:color w:val="auto"/>
          <w:sz w:val="21"/>
          <w:szCs w:val="21"/>
          <w:highlight w:val="none"/>
        </w:rPr>
      </w:pPr>
      <w:bookmarkStart w:id="811" w:name="_Toc150507322"/>
      <w:bookmarkStart w:id="812" w:name="_Toc162103224"/>
      <w:bookmarkStart w:id="813" w:name="_Toc3065"/>
      <w:bookmarkStart w:id="814" w:name="_Toc182923813"/>
      <w:bookmarkStart w:id="815" w:name="_Toc174544016"/>
      <w:bookmarkStart w:id="816" w:name="_Toc167542478"/>
      <w:bookmarkStart w:id="817" w:name="_Toc256000108"/>
      <w:r>
        <w:rPr>
          <w:rFonts w:hint="eastAsia"/>
          <w:bCs/>
          <w:color w:val="auto"/>
          <w:sz w:val="21"/>
          <w:szCs w:val="21"/>
          <w:highlight w:val="none"/>
        </w:rPr>
        <w:t>A3.</w:t>
      </w:r>
      <w:r>
        <w:rPr>
          <w:bCs/>
          <w:color w:val="auto"/>
          <w:sz w:val="21"/>
          <w:szCs w:val="21"/>
          <w:highlight w:val="none"/>
        </w:rPr>
        <w:t>5</w:t>
      </w:r>
      <w:r>
        <w:rPr>
          <w:rFonts w:hint="eastAsia"/>
          <w:bCs/>
          <w:color w:val="auto"/>
          <w:sz w:val="21"/>
          <w:szCs w:val="21"/>
          <w:highlight w:val="none"/>
        </w:rPr>
        <w:t>判断投标报价是否低于成本</w:t>
      </w:r>
      <w:bookmarkEnd w:id="811"/>
      <w:bookmarkEnd w:id="812"/>
      <w:bookmarkEnd w:id="813"/>
      <w:bookmarkEnd w:id="814"/>
      <w:bookmarkEnd w:id="815"/>
      <w:bookmarkEnd w:id="816"/>
      <w:bookmarkEnd w:id="817"/>
    </w:p>
    <w:p w14:paraId="7442CD48">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根据本章第3.1.4项的规定，评标委员会根据评审程序、标准和方法，判断投标报价是否低于其成本。评标委员会认定投标人以低于成本竞标的，其投标应当被否决。并使用</w:t>
      </w:r>
      <w:r>
        <w:rPr>
          <w:rFonts w:hint="eastAsia" w:ascii="宋体" w:hAnsi="宋体"/>
          <w:b/>
          <w:color w:val="auto"/>
          <w:szCs w:val="21"/>
          <w:highlight w:val="none"/>
        </w:rPr>
        <w:t>附表</w:t>
      </w:r>
      <w:r>
        <w:rPr>
          <w:rFonts w:ascii="宋体" w:hAnsi="宋体"/>
          <w:b/>
          <w:color w:val="auto"/>
          <w:szCs w:val="21"/>
          <w:highlight w:val="none"/>
        </w:rPr>
        <w:t>C</w:t>
      </w:r>
      <w:r>
        <w:rPr>
          <w:rFonts w:hint="eastAsia" w:ascii="宋体" w:hAnsi="宋体"/>
          <w:b/>
          <w:color w:val="auto"/>
          <w:szCs w:val="21"/>
          <w:highlight w:val="none"/>
        </w:rPr>
        <w:t>-1</w:t>
      </w:r>
      <w:r>
        <w:rPr>
          <w:rFonts w:hint="eastAsia" w:ascii="宋体" w:hAnsi="宋体"/>
          <w:color w:val="auto"/>
          <w:szCs w:val="21"/>
          <w:highlight w:val="none"/>
        </w:rPr>
        <w:t>记录评审结果</w:t>
      </w:r>
    </w:p>
    <w:p w14:paraId="29B213AD">
      <w:pPr>
        <w:pStyle w:val="37"/>
        <w:ind w:firstLine="103"/>
        <w:rPr>
          <w:rFonts w:hint="eastAsia"/>
          <w:bCs/>
          <w:color w:val="auto"/>
          <w:sz w:val="21"/>
          <w:szCs w:val="21"/>
          <w:highlight w:val="none"/>
        </w:rPr>
      </w:pPr>
      <w:bookmarkStart w:id="818" w:name="_Toc182923814"/>
      <w:bookmarkStart w:id="819" w:name="_Toc150507323"/>
      <w:bookmarkStart w:id="820" w:name="_Toc167542479"/>
      <w:bookmarkStart w:id="821" w:name="_Toc256000109"/>
      <w:bookmarkStart w:id="822" w:name="_Toc162103225"/>
      <w:bookmarkStart w:id="823" w:name="_Toc174544017"/>
      <w:bookmarkStart w:id="824" w:name="_Toc8821"/>
      <w:r>
        <w:rPr>
          <w:rFonts w:hint="eastAsia"/>
          <w:bCs/>
          <w:color w:val="auto"/>
          <w:sz w:val="21"/>
          <w:szCs w:val="21"/>
          <w:highlight w:val="none"/>
        </w:rPr>
        <w:t>A3.</w:t>
      </w:r>
      <w:r>
        <w:rPr>
          <w:bCs/>
          <w:color w:val="auto"/>
          <w:sz w:val="21"/>
          <w:szCs w:val="21"/>
          <w:highlight w:val="none"/>
        </w:rPr>
        <w:t>6</w:t>
      </w:r>
      <w:r>
        <w:rPr>
          <w:rFonts w:hint="eastAsia"/>
          <w:bCs/>
          <w:color w:val="auto"/>
          <w:sz w:val="21"/>
          <w:szCs w:val="21"/>
          <w:highlight w:val="none"/>
        </w:rPr>
        <w:t xml:space="preserve"> 判断投标是否为应当被否决</w:t>
      </w:r>
      <w:bookmarkEnd w:id="818"/>
      <w:bookmarkEnd w:id="819"/>
      <w:bookmarkEnd w:id="820"/>
      <w:bookmarkEnd w:id="821"/>
      <w:bookmarkEnd w:id="822"/>
      <w:bookmarkEnd w:id="823"/>
      <w:bookmarkEnd w:id="824"/>
    </w:p>
    <w:p w14:paraId="1EDE760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.1判断投标人的投标是否应当被</w:t>
      </w:r>
      <w:r>
        <w:rPr>
          <w:rFonts w:hint="eastAsia"/>
          <w:color w:val="auto"/>
          <w:highlight w:val="none"/>
        </w:rPr>
        <w:t>否决</w:t>
      </w:r>
      <w:r>
        <w:rPr>
          <w:rFonts w:hint="eastAsia" w:ascii="宋体" w:hAnsi="宋体"/>
          <w:color w:val="auto"/>
          <w:szCs w:val="21"/>
          <w:highlight w:val="none"/>
        </w:rPr>
        <w:t>的全部条件（包括本章第3.1.2项、第3.1.3项中规定的条件），在本章前附表中集中列示。并使用</w:t>
      </w:r>
      <w:r>
        <w:rPr>
          <w:rFonts w:hint="eastAsia" w:ascii="宋体" w:hAnsi="宋体"/>
          <w:b/>
          <w:color w:val="auto"/>
          <w:szCs w:val="21"/>
          <w:highlight w:val="none"/>
        </w:rPr>
        <w:t>附表A-9</w:t>
      </w:r>
      <w:r>
        <w:rPr>
          <w:rFonts w:hint="eastAsia" w:ascii="宋体" w:hAnsi="宋体"/>
          <w:color w:val="auto"/>
          <w:szCs w:val="21"/>
          <w:highlight w:val="none"/>
        </w:rPr>
        <w:t>记录评审结果。</w:t>
      </w:r>
    </w:p>
    <w:p w14:paraId="016050BE">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.2本章</w:t>
      </w:r>
      <w:r>
        <w:rPr>
          <w:rFonts w:hint="eastAsia" w:ascii="宋体" w:hAnsi="宋体"/>
          <w:b/>
          <w:color w:val="auto"/>
          <w:szCs w:val="21"/>
          <w:highlight w:val="none"/>
        </w:rPr>
        <w:t>附件B</w:t>
      </w:r>
      <w:r>
        <w:rPr>
          <w:rFonts w:hint="eastAsia" w:ascii="宋体" w:hAnsi="宋体"/>
          <w:color w:val="auto"/>
          <w:szCs w:val="21"/>
          <w:highlight w:val="none"/>
        </w:rPr>
        <w:t>集中列示的否决投标的条件不应与第二章“投标人须知”和本章前附表和正文部分包括的否决投标的条件抵触，</w:t>
      </w:r>
      <w:r>
        <w:rPr>
          <w:rFonts w:hint="eastAsia"/>
          <w:color w:val="auto"/>
          <w:highlight w:val="none"/>
        </w:rPr>
        <w:t>如果</w:t>
      </w:r>
      <w:r>
        <w:rPr>
          <w:rFonts w:hint="eastAsia" w:ascii="宋体" w:hAnsi="宋体"/>
          <w:color w:val="auto"/>
          <w:szCs w:val="21"/>
          <w:highlight w:val="none"/>
        </w:rPr>
        <w:t>出现相互矛盾的情况，以本章前附表和正文部分的规定为准。</w:t>
      </w:r>
    </w:p>
    <w:p w14:paraId="2349208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.3评标委员会在评标（包括初步评审和详细评审）过程中，依据本章前附表和正文部分中规定的否决投标的条件判断投标人的投标是否为应当被否决。</w:t>
      </w:r>
    </w:p>
    <w:p w14:paraId="12EC200D">
      <w:pPr>
        <w:pStyle w:val="37"/>
        <w:ind w:firstLine="103"/>
        <w:rPr>
          <w:rFonts w:hint="eastAsia"/>
          <w:bCs/>
          <w:color w:val="auto"/>
          <w:sz w:val="21"/>
          <w:szCs w:val="21"/>
          <w:highlight w:val="none"/>
        </w:rPr>
      </w:pPr>
      <w:bookmarkStart w:id="825" w:name="_Toc162103226"/>
      <w:bookmarkStart w:id="826" w:name="_Toc167542480"/>
      <w:bookmarkStart w:id="827" w:name="_Toc256000110"/>
      <w:bookmarkStart w:id="828" w:name="_Toc174544018"/>
      <w:bookmarkStart w:id="829" w:name="_Toc150507324"/>
      <w:bookmarkStart w:id="830" w:name="_Toc182923815"/>
      <w:bookmarkStart w:id="831" w:name="_Toc20980"/>
      <w:r>
        <w:rPr>
          <w:rFonts w:hint="eastAsia"/>
          <w:bCs/>
          <w:color w:val="auto"/>
          <w:sz w:val="21"/>
          <w:szCs w:val="21"/>
          <w:highlight w:val="none"/>
        </w:rPr>
        <w:t>A3.</w:t>
      </w:r>
      <w:r>
        <w:rPr>
          <w:bCs/>
          <w:color w:val="auto"/>
          <w:sz w:val="21"/>
          <w:szCs w:val="21"/>
          <w:highlight w:val="none"/>
        </w:rPr>
        <w:t>7</w:t>
      </w:r>
      <w:r>
        <w:rPr>
          <w:rFonts w:hint="eastAsia"/>
          <w:bCs/>
          <w:color w:val="auto"/>
          <w:sz w:val="21"/>
          <w:szCs w:val="21"/>
          <w:highlight w:val="none"/>
        </w:rPr>
        <w:t xml:space="preserve"> 澄清、说明或补正</w:t>
      </w:r>
      <w:bookmarkEnd w:id="825"/>
      <w:bookmarkEnd w:id="826"/>
      <w:bookmarkEnd w:id="827"/>
      <w:bookmarkEnd w:id="828"/>
      <w:bookmarkEnd w:id="829"/>
      <w:bookmarkEnd w:id="830"/>
      <w:bookmarkEnd w:id="831"/>
    </w:p>
    <w:p w14:paraId="2FE8552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在初步评审过程中，评标委员会应当就投标文件中</w:t>
      </w:r>
      <w:r>
        <w:rPr>
          <w:rFonts w:hint="eastAsia"/>
          <w:color w:val="auto"/>
          <w:highlight w:val="none"/>
        </w:rPr>
        <w:t>含义不明确、对同类问题表述不一致或者有明显文字和计算错误的内容</w:t>
      </w:r>
      <w:r>
        <w:rPr>
          <w:rFonts w:hint="eastAsia" w:ascii="宋体" w:hAnsi="宋体"/>
          <w:color w:val="auto"/>
          <w:szCs w:val="21"/>
          <w:highlight w:val="none"/>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color w:val="auto"/>
          <w:highlight w:val="none"/>
        </w:rPr>
        <w:t>通过电子招标投标系统</w:t>
      </w:r>
      <w:r>
        <w:rPr>
          <w:rFonts w:hint="eastAsia" w:ascii="宋体" w:hAnsi="宋体"/>
          <w:color w:val="auto"/>
          <w:szCs w:val="21"/>
          <w:highlight w:val="none"/>
        </w:rPr>
        <w:t>（辽宁省工程建设项目数字化开标评标系统）</w:t>
      </w:r>
      <w:r>
        <w:rPr>
          <w:rFonts w:hint="eastAsia"/>
          <w:color w:val="auto"/>
          <w:highlight w:val="none"/>
        </w:rPr>
        <w:t>以书面形式进行。</w:t>
      </w:r>
    </w:p>
    <w:p w14:paraId="745FAA52">
      <w:pPr>
        <w:pStyle w:val="37"/>
        <w:ind w:firstLine="118"/>
        <w:rPr>
          <w:rFonts w:hint="eastAsia"/>
          <w:color w:val="auto"/>
          <w:highlight w:val="none"/>
        </w:rPr>
      </w:pPr>
      <w:bookmarkStart w:id="832" w:name="_Toc174544019"/>
      <w:bookmarkStart w:id="833" w:name="_Toc182923816"/>
      <w:bookmarkStart w:id="834" w:name="_Toc256000111"/>
      <w:bookmarkStart w:id="835" w:name="_Toc150507325"/>
      <w:bookmarkStart w:id="836" w:name="_Toc162103227"/>
      <w:bookmarkStart w:id="837" w:name="_Toc24338"/>
      <w:bookmarkStart w:id="838" w:name="_Toc167542481"/>
      <w:r>
        <w:rPr>
          <w:rFonts w:hint="eastAsia"/>
          <w:color w:val="auto"/>
          <w:highlight w:val="none"/>
        </w:rPr>
        <w:t>A4.详细评审</w:t>
      </w:r>
      <w:bookmarkEnd w:id="832"/>
      <w:bookmarkEnd w:id="833"/>
      <w:bookmarkEnd w:id="834"/>
      <w:bookmarkEnd w:id="835"/>
      <w:bookmarkEnd w:id="836"/>
      <w:bookmarkEnd w:id="837"/>
      <w:bookmarkEnd w:id="838"/>
    </w:p>
    <w:p w14:paraId="6FF11790">
      <w:pPr>
        <w:spacing w:line="400" w:lineRule="exact"/>
        <w:ind w:firstLine="420" w:firstLineChars="200"/>
        <w:rPr>
          <w:rFonts w:hint="eastAsia" w:ascii="宋体" w:hAnsi="宋体"/>
          <w:color w:val="auto"/>
          <w:szCs w:val="21"/>
          <w:highlight w:val="none"/>
        </w:rPr>
      </w:pPr>
      <w:bookmarkStart w:id="839" w:name="_Toc150507326"/>
      <w:bookmarkStart w:id="840" w:name="_Toc162103228"/>
      <w:r>
        <w:rPr>
          <w:rFonts w:hint="eastAsia" w:ascii="宋体" w:hAnsi="宋体"/>
          <w:color w:val="auto"/>
          <w:szCs w:val="21"/>
          <w:highlight w:val="none"/>
        </w:rPr>
        <w:t>只有通过了初步评审、被判定为合格的投标方可进入详细评审。初步评审通过后，使用</w:t>
      </w:r>
      <w:r>
        <w:rPr>
          <w:rFonts w:hint="eastAsia" w:ascii="宋体" w:hAnsi="宋体"/>
          <w:b/>
          <w:color w:val="auto"/>
          <w:szCs w:val="21"/>
          <w:highlight w:val="none"/>
        </w:rPr>
        <w:t>附表A-</w:t>
      </w:r>
      <w:r>
        <w:rPr>
          <w:rFonts w:ascii="宋体" w:hAnsi="宋体"/>
          <w:b/>
          <w:color w:val="auto"/>
          <w:szCs w:val="21"/>
          <w:highlight w:val="none"/>
        </w:rPr>
        <w:t>8</w:t>
      </w:r>
      <w:r>
        <w:rPr>
          <w:rFonts w:hint="eastAsia" w:ascii="宋体" w:hAnsi="宋体"/>
          <w:color w:val="auto"/>
          <w:szCs w:val="21"/>
          <w:highlight w:val="none"/>
        </w:rPr>
        <w:t>记录初步评审结果</w:t>
      </w:r>
      <w:r>
        <w:rPr>
          <w:rFonts w:hint="eastAsia" w:ascii="黑体" w:hAnsi="宋体" w:eastAsia="黑体"/>
          <w:color w:val="auto"/>
          <w:szCs w:val="21"/>
          <w:highlight w:val="none"/>
        </w:rPr>
        <w:t>。</w:t>
      </w:r>
    </w:p>
    <w:p w14:paraId="22D9A7D6">
      <w:pPr>
        <w:pStyle w:val="37"/>
        <w:ind w:firstLine="103"/>
        <w:rPr>
          <w:rFonts w:hint="eastAsia"/>
          <w:bCs/>
          <w:color w:val="auto"/>
          <w:sz w:val="21"/>
          <w:szCs w:val="21"/>
          <w:highlight w:val="none"/>
        </w:rPr>
      </w:pPr>
      <w:bookmarkStart w:id="841" w:name="_Toc18333"/>
      <w:bookmarkStart w:id="842" w:name="_Toc256000112"/>
      <w:bookmarkStart w:id="843" w:name="_Toc182923817"/>
      <w:bookmarkStart w:id="844" w:name="_Toc174544020"/>
      <w:bookmarkStart w:id="845" w:name="_Toc167542482"/>
      <w:r>
        <w:rPr>
          <w:rFonts w:hint="eastAsia"/>
          <w:bCs/>
          <w:color w:val="auto"/>
          <w:sz w:val="21"/>
          <w:szCs w:val="21"/>
          <w:highlight w:val="none"/>
        </w:rPr>
        <w:t>A4.1详细评审的程序</w:t>
      </w:r>
      <w:bookmarkEnd w:id="839"/>
      <w:bookmarkEnd w:id="840"/>
      <w:bookmarkEnd w:id="841"/>
      <w:bookmarkEnd w:id="842"/>
      <w:bookmarkEnd w:id="843"/>
      <w:bookmarkEnd w:id="844"/>
      <w:bookmarkEnd w:id="845"/>
    </w:p>
    <w:p w14:paraId="7FD256E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评标委员会按照本章第3.2款中规定的程序进行详细评审：</w:t>
      </w:r>
    </w:p>
    <w:p w14:paraId="54D9058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（1）经济标评审和评分；</w:t>
      </w:r>
    </w:p>
    <w:p w14:paraId="7865EE1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（2）承包人建议书评审和评分；</w:t>
      </w:r>
    </w:p>
    <w:p w14:paraId="1259E1D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（3）技术标评审和评分； </w:t>
      </w:r>
    </w:p>
    <w:p w14:paraId="0E472E0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（4）资信标评审和评分；</w:t>
      </w:r>
    </w:p>
    <w:p w14:paraId="0AABA6E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（5）其他因素评审和</w:t>
      </w:r>
      <w:r>
        <w:rPr>
          <w:rFonts w:hint="eastAsia"/>
          <w:color w:val="auto"/>
          <w:highlight w:val="none"/>
        </w:rPr>
        <w:t>评分</w:t>
      </w:r>
      <w:r>
        <w:rPr>
          <w:rFonts w:hint="eastAsia" w:ascii="宋体" w:hAnsi="宋体"/>
          <w:color w:val="auto"/>
          <w:szCs w:val="21"/>
          <w:highlight w:val="none"/>
        </w:rPr>
        <w:t>；</w:t>
      </w:r>
    </w:p>
    <w:p w14:paraId="14BCE26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（6）汇总评分结果。</w:t>
      </w:r>
    </w:p>
    <w:p w14:paraId="79AC0EA5">
      <w:pPr>
        <w:pStyle w:val="37"/>
        <w:ind w:firstLine="103"/>
        <w:rPr>
          <w:rFonts w:hint="eastAsia"/>
          <w:bCs/>
          <w:color w:val="auto"/>
          <w:sz w:val="21"/>
          <w:szCs w:val="21"/>
          <w:highlight w:val="none"/>
        </w:rPr>
      </w:pPr>
      <w:bookmarkStart w:id="846" w:name="_Toc182923818"/>
      <w:bookmarkStart w:id="847" w:name="_Toc30267"/>
      <w:bookmarkStart w:id="848" w:name="_Toc174544021"/>
      <w:bookmarkStart w:id="849" w:name="_Toc256000113"/>
      <w:bookmarkStart w:id="850" w:name="_Toc167542483"/>
      <w:bookmarkStart w:id="851" w:name="_Toc162103229"/>
      <w:bookmarkStart w:id="852" w:name="_Toc150507327"/>
      <w:r>
        <w:rPr>
          <w:rFonts w:hint="eastAsia"/>
          <w:bCs/>
          <w:color w:val="auto"/>
          <w:sz w:val="21"/>
          <w:szCs w:val="21"/>
          <w:highlight w:val="none"/>
        </w:rPr>
        <w:t>A4.2经济标评审和评分</w:t>
      </w:r>
      <w:bookmarkEnd w:id="846"/>
      <w:bookmarkEnd w:id="847"/>
      <w:bookmarkEnd w:id="848"/>
      <w:bookmarkEnd w:id="849"/>
      <w:bookmarkEnd w:id="850"/>
      <w:bookmarkEnd w:id="851"/>
      <w:bookmarkEnd w:id="852"/>
    </w:p>
    <w:p w14:paraId="2990D6D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A4.2.1按照评标办法前附表中规定的方法计算各投标人的“评标价”。</w:t>
      </w:r>
    </w:p>
    <w:p w14:paraId="1E2B81B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A4.2.2按照评标办法前附表中</w:t>
      </w:r>
      <w:r>
        <w:rPr>
          <w:rFonts w:hint="eastAsia"/>
          <w:color w:val="auto"/>
          <w:highlight w:val="none"/>
        </w:rPr>
        <w:t>规定</w:t>
      </w:r>
      <w:r>
        <w:rPr>
          <w:rFonts w:hint="eastAsia" w:ascii="宋体" w:hAnsi="宋体"/>
          <w:color w:val="auto"/>
          <w:szCs w:val="21"/>
          <w:highlight w:val="none"/>
        </w:rPr>
        <w:t>的方法计算“评标基准价”。</w:t>
      </w:r>
    </w:p>
    <w:p w14:paraId="3F557AD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w:t>
      </w:r>
      <w:r>
        <w:rPr>
          <w:rFonts w:ascii="宋体" w:hAnsi="宋体"/>
          <w:color w:val="auto"/>
          <w:szCs w:val="21"/>
          <w:highlight w:val="none"/>
        </w:rPr>
        <w:t>3</w:t>
      </w:r>
      <w:r>
        <w:rPr>
          <w:rFonts w:hint="eastAsia" w:ascii="宋体" w:hAnsi="宋体"/>
          <w:color w:val="auto"/>
          <w:szCs w:val="21"/>
          <w:highlight w:val="none"/>
        </w:rPr>
        <w:t>按照评标办法前附表中</w:t>
      </w:r>
      <w:r>
        <w:rPr>
          <w:rFonts w:hint="eastAsia"/>
          <w:color w:val="auto"/>
          <w:highlight w:val="none"/>
        </w:rPr>
        <w:t>规定</w:t>
      </w:r>
      <w:r>
        <w:rPr>
          <w:rFonts w:hint="eastAsia" w:ascii="宋体" w:hAnsi="宋体"/>
          <w:color w:val="auto"/>
          <w:szCs w:val="21"/>
          <w:highlight w:val="none"/>
        </w:rPr>
        <w:t>的方法，计算各个已通过了初步评审的投标报价的“偏差率”。</w:t>
      </w:r>
    </w:p>
    <w:p w14:paraId="2F60E822">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w:t>
      </w:r>
      <w:r>
        <w:rPr>
          <w:rFonts w:ascii="宋体" w:hAnsi="宋体"/>
          <w:color w:val="auto"/>
          <w:szCs w:val="21"/>
          <w:highlight w:val="none"/>
        </w:rPr>
        <w:t>4</w:t>
      </w:r>
      <w:r>
        <w:rPr>
          <w:rFonts w:hint="eastAsia" w:ascii="宋体" w:hAnsi="宋体"/>
          <w:color w:val="auto"/>
          <w:szCs w:val="21"/>
          <w:highlight w:val="none"/>
        </w:rPr>
        <w:t>按照评标办法前附表中规定的评分标准，对照投标报价的偏差率，分别对各个投标报价进行评分，使用</w:t>
      </w:r>
      <w:r>
        <w:rPr>
          <w:rFonts w:hint="eastAsia" w:ascii="宋体" w:hAnsi="宋体"/>
          <w:b/>
          <w:color w:val="auto"/>
          <w:szCs w:val="21"/>
          <w:highlight w:val="none"/>
        </w:rPr>
        <w:t>附表A-</w:t>
      </w:r>
      <w:r>
        <w:rPr>
          <w:rFonts w:ascii="宋体" w:hAnsi="宋体"/>
          <w:b/>
          <w:color w:val="auto"/>
          <w:szCs w:val="21"/>
          <w:highlight w:val="none"/>
        </w:rPr>
        <w:t>10</w:t>
      </w:r>
      <w:r>
        <w:rPr>
          <w:rFonts w:hint="eastAsia" w:ascii="宋体" w:hAnsi="宋体"/>
          <w:color w:val="auto"/>
          <w:szCs w:val="21"/>
          <w:highlight w:val="none"/>
        </w:rPr>
        <w:t>记录对经济标的评分结果，经济标的得分记录为</w:t>
      </w:r>
      <w:r>
        <w:rPr>
          <w:rFonts w:hint="eastAsia" w:ascii="宋体" w:hAnsi="宋体"/>
          <w:b/>
          <w:color w:val="auto"/>
          <w:szCs w:val="21"/>
          <w:highlight w:val="none"/>
        </w:rPr>
        <w:t>A</w:t>
      </w:r>
      <w:r>
        <w:rPr>
          <w:rFonts w:hint="eastAsia" w:ascii="宋体" w:hAnsi="宋体"/>
          <w:color w:val="auto"/>
          <w:szCs w:val="21"/>
          <w:highlight w:val="none"/>
        </w:rPr>
        <w:t>。</w:t>
      </w:r>
    </w:p>
    <w:p w14:paraId="0B645847">
      <w:pPr>
        <w:pStyle w:val="37"/>
        <w:ind w:firstLine="103"/>
        <w:rPr>
          <w:rFonts w:hint="eastAsia"/>
          <w:bCs/>
          <w:color w:val="auto"/>
          <w:sz w:val="21"/>
          <w:szCs w:val="21"/>
          <w:highlight w:val="none"/>
        </w:rPr>
      </w:pPr>
      <w:bookmarkStart w:id="853" w:name="_Toc256000114"/>
      <w:bookmarkStart w:id="854" w:name="_Toc174544022"/>
      <w:bookmarkStart w:id="855" w:name="_Toc10705"/>
      <w:bookmarkStart w:id="856" w:name="_Toc182923819"/>
      <w:bookmarkStart w:id="857" w:name="_Toc167542484"/>
      <w:bookmarkStart w:id="858" w:name="_Toc162103230"/>
      <w:bookmarkStart w:id="859" w:name="_Toc150507328"/>
      <w:r>
        <w:rPr>
          <w:rFonts w:hint="eastAsia"/>
          <w:bCs/>
          <w:color w:val="auto"/>
          <w:sz w:val="21"/>
          <w:szCs w:val="21"/>
          <w:highlight w:val="none"/>
        </w:rPr>
        <w:t xml:space="preserve">A4.3 </w:t>
      </w:r>
      <w:bookmarkStart w:id="860" w:name="_Hlk164713493"/>
      <w:r>
        <w:rPr>
          <w:rFonts w:hint="eastAsia"/>
          <w:bCs/>
          <w:color w:val="auto"/>
          <w:sz w:val="21"/>
          <w:szCs w:val="21"/>
          <w:highlight w:val="none"/>
        </w:rPr>
        <w:t>承包人建议书</w:t>
      </w:r>
      <w:bookmarkEnd w:id="860"/>
      <w:r>
        <w:rPr>
          <w:rFonts w:hint="eastAsia"/>
          <w:bCs/>
          <w:color w:val="auto"/>
          <w:sz w:val="21"/>
          <w:szCs w:val="21"/>
          <w:highlight w:val="none"/>
        </w:rPr>
        <w:t>评审和评分</w:t>
      </w:r>
      <w:bookmarkEnd w:id="853"/>
      <w:bookmarkEnd w:id="854"/>
      <w:bookmarkEnd w:id="855"/>
      <w:bookmarkEnd w:id="856"/>
      <w:bookmarkEnd w:id="857"/>
    </w:p>
    <w:p w14:paraId="0E85C75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按照评标办法前附表中规定的分值设定、各项评分因素、评分标准，对承包人建议书进行评审和评分，并使用</w:t>
      </w:r>
      <w:r>
        <w:rPr>
          <w:rFonts w:hint="eastAsia" w:ascii="宋体" w:hAnsi="宋体"/>
          <w:b/>
          <w:color w:val="auto"/>
          <w:szCs w:val="21"/>
          <w:highlight w:val="none"/>
        </w:rPr>
        <w:t>附表A-</w:t>
      </w:r>
      <w:r>
        <w:rPr>
          <w:rFonts w:ascii="宋体" w:hAnsi="宋体"/>
          <w:b/>
          <w:color w:val="auto"/>
          <w:szCs w:val="21"/>
          <w:highlight w:val="none"/>
        </w:rPr>
        <w:t>1</w:t>
      </w:r>
      <w:r>
        <w:rPr>
          <w:rFonts w:hint="eastAsia" w:ascii="宋体" w:hAnsi="宋体"/>
          <w:b/>
          <w:color w:val="auto"/>
          <w:szCs w:val="21"/>
          <w:highlight w:val="none"/>
        </w:rPr>
        <w:t>1</w:t>
      </w:r>
      <w:r>
        <w:rPr>
          <w:rFonts w:hint="eastAsia" w:ascii="宋体" w:hAnsi="宋体"/>
          <w:color w:val="auto"/>
          <w:szCs w:val="21"/>
          <w:highlight w:val="none"/>
        </w:rPr>
        <w:t>记录对承包人建议书的评分结果，承包人建议书的得分记录为</w:t>
      </w:r>
      <w:r>
        <w:rPr>
          <w:rFonts w:hint="eastAsia" w:ascii="宋体" w:hAnsi="宋体"/>
          <w:b/>
          <w:color w:val="auto"/>
          <w:szCs w:val="21"/>
          <w:highlight w:val="none"/>
        </w:rPr>
        <w:t>B</w:t>
      </w:r>
      <w:r>
        <w:rPr>
          <w:rFonts w:hint="eastAsia" w:ascii="宋体" w:hAnsi="宋体"/>
          <w:color w:val="auto"/>
          <w:szCs w:val="21"/>
          <w:highlight w:val="none"/>
        </w:rPr>
        <w:t>。</w:t>
      </w:r>
    </w:p>
    <w:p w14:paraId="49F672F7">
      <w:pPr>
        <w:pStyle w:val="37"/>
        <w:ind w:firstLine="103"/>
        <w:rPr>
          <w:rFonts w:hint="eastAsia"/>
          <w:bCs/>
          <w:color w:val="auto"/>
          <w:sz w:val="21"/>
          <w:szCs w:val="21"/>
          <w:highlight w:val="none"/>
        </w:rPr>
      </w:pPr>
      <w:bookmarkStart w:id="861" w:name="_Toc174544023"/>
      <w:bookmarkStart w:id="862" w:name="_Toc256000115"/>
      <w:bookmarkStart w:id="863" w:name="_Toc182923820"/>
      <w:bookmarkStart w:id="864" w:name="_Toc10288"/>
      <w:bookmarkStart w:id="865" w:name="_Toc167542485"/>
      <w:r>
        <w:rPr>
          <w:rFonts w:hint="eastAsia"/>
          <w:bCs/>
          <w:color w:val="auto"/>
          <w:sz w:val="21"/>
          <w:szCs w:val="21"/>
          <w:highlight w:val="none"/>
        </w:rPr>
        <w:t>A4.4 技术标评审和评分</w:t>
      </w:r>
      <w:bookmarkEnd w:id="858"/>
      <w:bookmarkEnd w:id="859"/>
      <w:bookmarkEnd w:id="861"/>
      <w:bookmarkEnd w:id="862"/>
      <w:bookmarkEnd w:id="863"/>
      <w:bookmarkEnd w:id="864"/>
      <w:bookmarkEnd w:id="865"/>
    </w:p>
    <w:p w14:paraId="5D7AF8E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按照评标办法前附表中规定的分值设定、各项评分因素、评分标准，对</w:t>
      </w:r>
      <w:bookmarkStart w:id="866" w:name="_Hlk171344922"/>
      <w:r>
        <w:rPr>
          <w:rFonts w:hint="eastAsia" w:ascii="宋体" w:hAnsi="宋体"/>
          <w:color w:val="auto"/>
          <w:szCs w:val="21"/>
          <w:highlight w:val="none"/>
        </w:rPr>
        <w:t>承包人</w:t>
      </w:r>
      <w:bookmarkEnd w:id="866"/>
      <w:r>
        <w:rPr>
          <w:rFonts w:hint="eastAsia" w:ascii="宋体" w:hAnsi="宋体"/>
          <w:color w:val="auto"/>
          <w:szCs w:val="21"/>
          <w:highlight w:val="none"/>
        </w:rPr>
        <w:t>实施方案进行评审和评分，并使用</w:t>
      </w:r>
      <w:r>
        <w:rPr>
          <w:rFonts w:hint="eastAsia" w:ascii="宋体" w:hAnsi="宋体"/>
          <w:b/>
          <w:color w:val="auto"/>
          <w:szCs w:val="21"/>
          <w:highlight w:val="none"/>
        </w:rPr>
        <w:t>附表A-</w:t>
      </w:r>
      <w:r>
        <w:rPr>
          <w:rFonts w:ascii="宋体" w:hAnsi="宋体"/>
          <w:b/>
          <w:color w:val="auto"/>
          <w:szCs w:val="21"/>
          <w:highlight w:val="none"/>
        </w:rPr>
        <w:t>1</w:t>
      </w:r>
      <w:r>
        <w:rPr>
          <w:rFonts w:hint="eastAsia" w:ascii="宋体" w:hAnsi="宋体"/>
          <w:b/>
          <w:color w:val="auto"/>
          <w:szCs w:val="21"/>
          <w:highlight w:val="none"/>
        </w:rPr>
        <w:t>2</w:t>
      </w:r>
      <w:r>
        <w:rPr>
          <w:rFonts w:hint="eastAsia" w:ascii="宋体" w:hAnsi="宋体"/>
          <w:color w:val="auto"/>
          <w:szCs w:val="21"/>
          <w:highlight w:val="none"/>
        </w:rPr>
        <w:t>记录对技术标的评分结果，技术标的得分记录为</w:t>
      </w:r>
      <w:r>
        <w:rPr>
          <w:rFonts w:hint="eastAsia" w:ascii="宋体" w:hAnsi="宋体"/>
          <w:b/>
          <w:color w:val="auto"/>
          <w:szCs w:val="21"/>
          <w:highlight w:val="none"/>
        </w:rPr>
        <w:t>C</w:t>
      </w:r>
      <w:r>
        <w:rPr>
          <w:rFonts w:hint="eastAsia" w:ascii="宋体" w:hAnsi="宋体"/>
          <w:color w:val="auto"/>
          <w:szCs w:val="21"/>
          <w:highlight w:val="none"/>
        </w:rPr>
        <w:t>。</w:t>
      </w:r>
    </w:p>
    <w:p w14:paraId="6FAABCCC">
      <w:pPr>
        <w:pStyle w:val="37"/>
        <w:ind w:firstLine="103"/>
        <w:rPr>
          <w:rFonts w:hint="eastAsia"/>
          <w:bCs/>
          <w:color w:val="auto"/>
          <w:sz w:val="21"/>
          <w:szCs w:val="21"/>
          <w:highlight w:val="none"/>
        </w:rPr>
      </w:pPr>
      <w:bookmarkStart w:id="867" w:name="_Toc167542486"/>
      <w:bookmarkStart w:id="868" w:name="_Toc256000116"/>
      <w:bookmarkStart w:id="869" w:name="_Toc150507329"/>
      <w:bookmarkStart w:id="870" w:name="_Toc174544024"/>
      <w:bookmarkStart w:id="871" w:name="_Toc182923821"/>
      <w:bookmarkStart w:id="872" w:name="_Toc7004"/>
      <w:bookmarkStart w:id="873" w:name="_Toc162103231"/>
      <w:r>
        <w:rPr>
          <w:rFonts w:hint="eastAsia"/>
          <w:bCs/>
          <w:color w:val="auto"/>
          <w:sz w:val="21"/>
          <w:szCs w:val="21"/>
          <w:highlight w:val="none"/>
        </w:rPr>
        <w:t>A4.</w:t>
      </w:r>
      <w:bookmarkStart w:id="874" w:name="_Hlk164534604"/>
      <w:r>
        <w:rPr>
          <w:rFonts w:hint="eastAsia"/>
          <w:bCs/>
          <w:color w:val="auto"/>
          <w:sz w:val="21"/>
          <w:szCs w:val="21"/>
          <w:highlight w:val="none"/>
        </w:rPr>
        <w:t>5 资信</w:t>
      </w:r>
      <w:bookmarkEnd w:id="874"/>
      <w:r>
        <w:rPr>
          <w:rFonts w:hint="eastAsia"/>
          <w:bCs/>
          <w:color w:val="auto"/>
          <w:sz w:val="21"/>
          <w:szCs w:val="21"/>
          <w:highlight w:val="none"/>
        </w:rPr>
        <w:t>标评审和评分</w:t>
      </w:r>
      <w:bookmarkEnd w:id="867"/>
      <w:bookmarkEnd w:id="868"/>
      <w:bookmarkEnd w:id="869"/>
      <w:bookmarkEnd w:id="870"/>
      <w:bookmarkEnd w:id="871"/>
      <w:bookmarkEnd w:id="872"/>
      <w:bookmarkEnd w:id="873"/>
    </w:p>
    <w:p w14:paraId="2D6DE63E">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按照评标办法前附表中规定的分值设定、各项评分因素、评分标准，对企业业绩、资信和项目管理机构等进行评审和评分，并使用</w:t>
      </w:r>
      <w:r>
        <w:rPr>
          <w:rFonts w:hint="eastAsia" w:ascii="宋体" w:hAnsi="宋体"/>
          <w:b/>
          <w:color w:val="auto"/>
          <w:szCs w:val="21"/>
          <w:highlight w:val="none"/>
        </w:rPr>
        <w:t>附表A-14</w:t>
      </w:r>
      <w:r>
        <w:rPr>
          <w:rFonts w:hint="eastAsia" w:ascii="宋体" w:hAnsi="宋体"/>
          <w:color w:val="auto"/>
          <w:szCs w:val="21"/>
          <w:highlight w:val="none"/>
        </w:rPr>
        <w:t>记录对资信标的评分结果，资信标的得分记录为</w:t>
      </w:r>
      <w:r>
        <w:rPr>
          <w:rFonts w:hint="eastAsia" w:ascii="宋体" w:hAnsi="宋体"/>
          <w:b/>
          <w:color w:val="auto"/>
          <w:szCs w:val="21"/>
          <w:highlight w:val="none"/>
        </w:rPr>
        <w:t>D</w:t>
      </w:r>
      <w:r>
        <w:rPr>
          <w:rFonts w:hint="eastAsia" w:ascii="宋体" w:hAnsi="宋体"/>
          <w:color w:val="auto"/>
          <w:szCs w:val="21"/>
          <w:highlight w:val="none"/>
        </w:rPr>
        <w:t>。</w:t>
      </w:r>
    </w:p>
    <w:p w14:paraId="2B0B11A4">
      <w:pPr>
        <w:pStyle w:val="37"/>
        <w:ind w:firstLine="103"/>
        <w:rPr>
          <w:rFonts w:hint="eastAsia"/>
          <w:bCs/>
          <w:color w:val="auto"/>
          <w:sz w:val="21"/>
          <w:szCs w:val="21"/>
          <w:highlight w:val="none"/>
        </w:rPr>
      </w:pPr>
      <w:bookmarkStart w:id="875" w:name="_Toc174544025"/>
      <w:bookmarkStart w:id="876" w:name="_Toc162103232"/>
      <w:bookmarkStart w:id="877" w:name="_Toc150507330"/>
      <w:bookmarkStart w:id="878" w:name="_Toc182923822"/>
      <w:bookmarkStart w:id="879" w:name="_Toc2544"/>
      <w:bookmarkStart w:id="880" w:name="_Toc256000117"/>
      <w:bookmarkStart w:id="881" w:name="_Toc167542487"/>
      <w:r>
        <w:rPr>
          <w:rFonts w:hint="eastAsia"/>
          <w:bCs/>
          <w:color w:val="auto"/>
          <w:sz w:val="21"/>
          <w:szCs w:val="21"/>
          <w:highlight w:val="none"/>
        </w:rPr>
        <w:t>A4.6 其他因素的评审和评分</w:t>
      </w:r>
      <w:bookmarkEnd w:id="875"/>
      <w:bookmarkEnd w:id="876"/>
      <w:bookmarkEnd w:id="877"/>
      <w:bookmarkEnd w:id="878"/>
      <w:bookmarkEnd w:id="879"/>
      <w:bookmarkEnd w:id="880"/>
      <w:bookmarkEnd w:id="881"/>
    </w:p>
    <w:p w14:paraId="03644AB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根据评标办法前附表中规定的分值设定、各项评分因素和相应的评分标准，对其他因素（如果有）进行评审和评分，并使用</w:t>
      </w:r>
      <w:r>
        <w:rPr>
          <w:rFonts w:hint="eastAsia" w:ascii="宋体" w:hAnsi="宋体"/>
          <w:b/>
          <w:color w:val="auto"/>
          <w:szCs w:val="21"/>
          <w:highlight w:val="none"/>
        </w:rPr>
        <w:t>附表A-15</w:t>
      </w:r>
      <w:r>
        <w:rPr>
          <w:rFonts w:hint="eastAsia" w:ascii="宋体" w:hAnsi="宋体"/>
          <w:color w:val="auto"/>
          <w:szCs w:val="21"/>
          <w:highlight w:val="none"/>
        </w:rPr>
        <w:t>记录对其他</w:t>
      </w:r>
      <w:r>
        <w:rPr>
          <w:rFonts w:hint="eastAsia"/>
          <w:color w:val="auto"/>
          <w:highlight w:val="none"/>
        </w:rPr>
        <w:t>因素</w:t>
      </w:r>
      <w:r>
        <w:rPr>
          <w:rFonts w:hint="eastAsia" w:ascii="宋体" w:hAnsi="宋体"/>
          <w:color w:val="auto"/>
          <w:szCs w:val="21"/>
          <w:highlight w:val="none"/>
        </w:rPr>
        <w:t>的评分结果，其他因素的得分记录为</w:t>
      </w:r>
      <w:r>
        <w:rPr>
          <w:rFonts w:hint="eastAsia" w:ascii="宋体" w:hAnsi="宋体"/>
          <w:b/>
          <w:color w:val="auto"/>
          <w:szCs w:val="21"/>
          <w:highlight w:val="none"/>
        </w:rPr>
        <w:t>E</w:t>
      </w:r>
      <w:r>
        <w:rPr>
          <w:rFonts w:hint="eastAsia" w:ascii="宋体" w:hAnsi="宋体"/>
          <w:color w:val="auto"/>
          <w:szCs w:val="21"/>
          <w:highlight w:val="none"/>
        </w:rPr>
        <w:t>。</w:t>
      </w:r>
    </w:p>
    <w:p w14:paraId="739CD1C3">
      <w:pPr>
        <w:pStyle w:val="37"/>
        <w:ind w:firstLine="103"/>
        <w:rPr>
          <w:rFonts w:hint="eastAsia"/>
          <w:bCs/>
          <w:color w:val="auto"/>
          <w:sz w:val="21"/>
          <w:szCs w:val="21"/>
          <w:highlight w:val="none"/>
        </w:rPr>
      </w:pPr>
      <w:bookmarkStart w:id="882" w:name="_Toc256000118"/>
      <w:bookmarkStart w:id="883" w:name="_Toc182923823"/>
      <w:bookmarkStart w:id="884" w:name="_Toc150507331"/>
      <w:bookmarkStart w:id="885" w:name="_Toc167542488"/>
      <w:bookmarkStart w:id="886" w:name="_Toc162103233"/>
      <w:bookmarkStart w:id="887" w:name="_Toc27933"/>
      <w:bookmarkStart w:id="888" w:name="_Toc174544026"/>
      <w:r>
        <w:rPr>
          <w:rFonts w:hint="eastAsia"/>
          <w:bCs/>
          <w:color w:val="auto"/>
          <w:sz w:val="21"/>
          <w:szCs w:val="21"/>
          <w:highlight w:val="none"/>
        </w:rPr>
        <w:t>A4.7 澄清、说明或补正</w:t>
      </w:r>
      <w:bookmarkEnd w:id="882"/>
      <w:bookmarkEnd w:id="883"/>
      <w:bookmarkEnd w:id="884"/>
      <w:bookmarkEnd w:id="885"/>
      <w:bookmarkEnd w:id="886"/>
      <w:bookmarkEnd w:id="887"/>
      <w:bookmarkEnd w:id="888"/>
    </w:p>
    <w:p w14:paraId="083ACD15">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在详细评审过程中，评标委员会应当就投标文件中</w:t>
      </w:r>
      <w:r>
        <w:rPr>
          <w:rFonts w:hint="eastAsia"/>
          <w:color w:val="auto"/>
          <w:highlight w:val="none"/>
        </w:rPr>
        <w:t>含义不明确、对同类问题表述不一致或者有明显文字和计算错误的内容</w:t>
      </w:r>
      <w:r>
        <w:rPr>
          <w:rFonts w:hint="eastAsia" w:ascii="宋体" w:hAnsi="宋体"/>
          <w:color w:val="auto"/>
          <w:szCs w:val="21"/>
          <w:highlight w:val="none"/>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color w:val="auto"/>
          <w:highlight w:val="none"/>
        </w:rPr>
        <w:t>通过电子招标投标系统（辽宁省工程建设项目数字化开标评标系统）以书面形式进行。</w:t>
      </w:r>
    </w:p>
    <w:p w14:paraId="620B1944">
      <w:pPr>
        <w:pStyle w:val="37"/>
        <w:ind w:firstLine="103"/>
        <w:rPr>
          <w:rFonts w:hint="eastAsia"/>
          <w:bCs/>
          <w:color w:val="auto"/>
          <w:sz w:val="21"/>
          <w:szCs w:val="21"/>
          <w:highlight w:val="none"/>
        </w:rPr>
      </w:pPr>
      <w:bookmarkStart w:id="889" w:name="_Toc162103234"/>
      <w:bookmarkStart w:id="890" w:name="_Toc174544027"/>
      <w:bookmarkStart w:id="891" w:name="_Toc167542489"/>
      <w:bookmarkStart w:id="892" w:name="_Toc24909"/>
      <w:bookmarkStart w:id="893" w:name="_Toc182923824"/>
      <w:bookmarkStart w:id="894" w:name="_Toc150507332"/>
      <w:bookmarkStart w:id="895" w:name="_Toc256000119"/>
      <w:r>
        <w:rPr>
          <w:rFonts w:hint="eastAsia"/>
          <w:bCs/>
          <w:color w:val="auto"/>
          <w:sz w:val="21"/>
          <w:szCs w:val="21"/>
          <w:highlight w:val="none"/>
        </w:rPr>
        <w:t>A4.8汇总评分（评审）结果</w:t>
      </w:r>
      <w:bookmarkEnd w:id="889"/>
      <w:bookmarkEnd w:id="890"/>
      <w:bookmarkEnd w:id="891"/>
      <w:bookmarkEnd w:id="892"/>
      <w:bookmarkEnd w:id="893"/>
      <w:bookmarkEnd w:id="894"/>
      <w:bookmarkEnd w:id="895"/>
    </w:p>
    <w:p w14:paraId="37CE846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评标委员会成员应按照</w:t>
      </w:r>
      <w:r>
        <w:rPr>
          <w:rFonts w:hint="eastAsia" w:ascii="宋体" w:hAnsi="宋体"/>
          <w:b/>
          <w:color w:val="auto"/>
          <w:szCs w:val="21"/>
          <w:highlight w:val="none"/>
        </w:rPr>
        <w:t>附表A-16</w:t>
      </w:r>
      <w:r>
        <w:rPr>
          <w:rFonts w:hint="eastAsia" w:ascii="宋体" w:hAnsi="宋体"/>
          <w:color w:val="auto"/>
          <w:szCs w:val="21"/>
          <w:highlight w:val="none"/>
        </w:rPr>
        <w:t>的格式汇总各个评标委员会成员的详细评审评分结果，并按照详细评审最终得分由高至低的次序对投标人进行排序。</w:t>
      </w:r>
    </w:p>
    <w:p w14:paraId="30880F0A">
      <w:pPr>
        <w:pStyle w:val="37"/>
        <w:ind w:firstLine="118"/>
        <w:rPr>
          <w:rFonts w:hint="eastAsia"/>
          <w:color w:val="auto"/>
          <w:highlight w:val="none"/>
        </w:rPr>
      </w:pPr>
      <w:bookmarkStart w:id="896" w:name="_Toc27715"/>
      <w:bookmarkStart w:id="897" w:name="_Toc162103235"/>
      <w:bookmarkStart w:id="898" w:name="_Toc174544028"/>
      <w:bookmarkStart w:id="899" w:name="_Toc150507333"/>
      <w:bookmarkStart w:id="900" w:name="_Toc167542490"/>
      <w:bookmarkStart w:id="901" w:name="_Toc182923825"/>
      <w:bookmarkStart w:id="902" w:name="_Toc256000120"/>
      <w:r>
        <w:rPr>
          <w:rFonts w:hint="eastAsia"/>
          <w:color w:val="auto"/>
          <w:highlight w:val="none"/>
        </w:rPr>
        <w:t>A5</w:t>
      </w:r>
      <w:r>
        <w:rPr>
          <w:color w:val="auto"/>
          <w:highlight w:val="none"/>
        </w:rPr>
        <w:t>.</w:t>
      </w:r>
      <w:r>
        <w:rPr>
          <w:rFonts w:hint="eastAsia"/>
          <w:color w:val="auto"/>
          <w:highlight w:val="none"/>
        </w:rPr>
        <w:t>推荐中标候选人或者直接确定中标人</w:t>
      </w:r>
      <w:bookmarkEnd w:id="896"/>
      <w:bookmarkEnd w:id="897"/>
      <w:bookmarkEnd w:id="898"/>
      <w:bookmarkEnd w:id="899"/>
      <w:bookmarkEnd w:id="900"/>
      <w:bookmarkEnd w:id="901"/>
      <w:bookmarkEnd w:id="902"/>
    </w:p>
    <w:p w14:paraId="1D217BA7">
      <w:pPr>
        <w:pStyle w:val="37"/>
        <w:ind w:firstLine="103"/>
        <w:rPr>
          <w:rFonts w:hint="eastAsia"/>
          <w:bCs/>
          <w:color w:val="auto"/>
          <w:sz w:val="21"/>
          <w:szCs w:val="21"/>
          <w:highlight w:val="none"/>
        </w:rPr>
      </w:pPr>
      <w:bookmarkStart w:id="903" w:name="_Toc4798"/>
      <w:bookmarkStart w:id="904" w:name="_Toc256000121"/>
      <w:bookmarkStart w:id="905" w:name="_Toc182923826"/>
      <w:bookmarkStart w:id="906" w:name="_Toc150507334"/>
      <w:bookmarkStart w:id="907" w:name="_Toc162103236"/>
      <w:bookmarkStart w:id="908" w:name="_Toc174544029"/>
      <w:bookmarkStart w:id="909" w:name="_Toc167542491"/>
      <w:r>
        <w:rPr>
          <w:rFonts w:hint="eastAsia"/>
          <w:bCs/>
          <w:color w:val="auto"/>
          <w:sz w:val="21"/>
          <w:szCs w:val="21"/>
          <w:highlight w:val="none"/>
        </w:rPr>
        <w:t>A5.1推荐中标候选人</w:t>
      </w:r>
      <w:bookmarkEnd w:id="903"/>
      <w:bookmarkEnd w:id="904"/>
      <w:bookmarkEnd w:id="905"/>
      <w:bookmarkEnd w:id="906"/>
      <w:bookmarkEnd w:id="907"/>
      <w:bookmarkEnd w:id="908"/>
      <w:bookmarkEnd w:id="909"/>
    </w:p>
    <w:p w14:paraId="165FB11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A5.1.1</w:t>
      </w:r>
      <w:r>
        <w:rPr>
          <w:rFonts w:hint="eastAsia"/>
          <w:color w:val="auto"/>
          <w:highlight w:val="none"/>
        </w:rPr>
        <w:t>评标委员会按照本章评标办法前附表规定的推荐方法和第二章“投标人须知”前附表第7.1款推荐的中标候选人数量</w:t>
      </w:r>
      <w:r>
        <w:rPr>
          <w:rFonts w:hint="eastAsia" w:ascii="宋体" w:hAnsi="宋体"/>
          <w:color w:val="auto"/>
          <w:szCs w:val="21"/>
          <w:highlight w:val="none"/>
        </w:rPr>
        <w:t>，按照</w:t>
      </w:r>
      <w:r>
        <w:rPr>
          <w:rFonts w:hint="eastAsia" w:ascii="宋体" w:hAnsi="宋体"/>
          <w:b/>
          <w:color w:val="auto"/>
          <w:szCs w:val="21"/>
          <w:highlight w:val="none"/>
        </w:rPr>
        <w:t>附表A-18</w:t>
      </w:r>
      <w:r>
        <w:rPr>
          <w:rFonts w:hint="eastAsia" w:ascii="宋体" w:hAnsi="宋体"/>
          <w:bCs/>
          <w:color w:val="auto"/>
          <w:szCs w:val="21"/>
          <w:highlight w:val="none"/>
        </w:rPr>
        <w:t>格式推荐中标候选人。</w:t>
      </w:r>
      <w:r>
        <w:rPr>
          <w:rFonts w:hint="eastAsia" w:ascii="宋体" w:hAnsi="宋体"/>
          <w:color w:val="auto"/>
          <w:szCs w:val="21"/>
          <w:highlight w:val="none"/>
        </w:rPr>
        <w:t>评标委员会在推荐中标候选人时，应遵照以下原则:</w:t>
      </w:r>
    </w:p>
    <w:p w14:paraId="6ECE3C1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（1）评标委员会按照</w:t>
      </w:r>
      <w:bookmarkStart w:id="910" w:name="_Hlk171344251"/>
      <w:r>
        <w:rPr>
          <w:rFonts w:hint="eastAsia"/>
          <w:color w:val="auto"/>
          <w:highlight w:val="none"/>
        </w:rPr>
        <w:t>本章评标办法前附表规定的</w:t>
      </w:r>
      <w:r>
        <w:rPr>
          <w:rFonts w:hint="eastAsia" w:ascii="宋体" w:hAnsi="宋体"/>
          <w:color w:val="auto"/>
          <w:szCs w:val="21"/>
          <w:highlight w:val="none"/>
        </w:rPr>
        <w:t>方法</w:t>
      </w:r>
      <w:bookmarkEnd w:id="910"/>
      <w:r>
        <w:rPr>
          <w:rFonts w:hint="eastAsia" w:ascii="宋体" w:hAnsi="宋体"/>
          <w:color w:val="auto"/>
          <w:szCs w:val="21"/>
          <w:highlight w:val="none"/>
        </w:rPr>
        <w:t>推荐中标候选人。</w:t>
      </w:r>
      <w:r>
        <w:rPr>
          <w:rFonts w:hint="eastAsia"/>
          <w:color w:val="auto"/>
          <w:highlight w:val="none"/>
        </w:rPr>
        <w:t>招标文件允许多标段投标、多标段中标的，各标段中标候选人的推荐按规定执行，对某些标段由此产生的空缺由排序在后的投标人依次替补。</w:t>
      </w:r>
    </w:p>
    <w:p w14:paraId="73F5068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（2）如果评标委员会根据本章的规定否决有关投标后，有效投标不足三个，且少于第二章“投标人须知”前附表第7.1款规定的中标</w:t>
      </w:r>
      <w:r>
        <w:rPr>
          <w:rFonts w:hint="eastAsia"/>
          <w:color w:val="auto"/>
          <w:highlight w:val="none"/>
        </w:rPr>
        <w:t>候选人</w:t>
      </w:r>
      <w:r>
        <w:rPr>
          <w:rFonts w:hint="eastAsia" w:ascii="宋体" w:hAnsi="宋体"/>
          <w:color w:val="auto"/>
          <w:szCs w:val="21"/>
          <w:highlight w:val="none"/>
        </w:rPr>
        <w:t>数量的，</w:t>
      </w:r>
      <w:bookmarkStart w:id="911" w:name="_Hlk171344300"/>
      <w:r>
        <w:rPr>
          <w:rFonts w:hint="eastAsia" w:ascii="宋体" w:hAnsi="宋体"/>
          <w:color w:val="auto"/>
          <w:szCs w:val="21"/>
          <w:highlight w:val="none"/>
        </w:rPr>
        <w:t>则评标委员会可以将所有有效投标人作为中标候选人向招标人推荐。</w:t>
      </w:r>
      <w:bookmarkEnd w:id="911"/>
      <w:r>
        <w:rPr>
          <w:rFonts w:hint="eastAsia" w:ascii="宋体" w:hAnsi="宋体"/>
          <w:color w:val="auto"/>
          <w:szCs w:val="21"/>
          <w:highlight w:val="none"/>
        </w:rPr>
        <w:t>如果因有效投标不足三个使得投标明显缺乏竞争的，评标委员会可以否决所有投标，并建议招标人重新招标。</w:t>
      </w:r>
    </w:p>
    <w:p w14:paraId="550F0E4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A5.1.2投标人数量少于三个或者所有投标被否决的，招标人应当依法重新招标。</w:t>
      </w:r>
    </w:p>
    <w:p w14:paraId="1A790BE6">
      <w:pPr>
        <w:pStyle w:val="37"/>
        <w:ind w:firstLine="103"/>
        <w:rPr>
          <w:rFonts w:hint="eastAsia"/>
          <w:bCs/>
          <w:color w:val="auto"/>
          <w:sz w:val="21"/>
          <w:szCs w:val="21"/>
          <w:highlight w:val="none"/>
        </w:rPr>
      </w:pPr>
      <w:bookmarkStart w:id="912" w:name="_Toc3946"/>
      <w:bookmarkStart w:id="913" w:name="_Toc167542492"/>
      <w:bookmarkStart w:id="914" w:name="_Toc150507335"/>
      <w:bookmarkStart w:id="915" w:name="_Toc256000122"/>
      <w:bookmarkStart w:id="916" w:name="_Toc162103237"/>
      <w:bookmarkStart w:id="917" w:name="_Toc174544030"/>
      <w:bookmarkStart w:id="918" w:name="_Toc182923827"/>
      <w:r>
        <w:rPr>
          <w:rFonts w:hint="eastAsia"/>
          <w:bCs/>
          <w:color w:val="auto"/>
          <w:sz w:val="21"/>
          <w:szCs w:val="21"/>
          <w:highlight w:val="none"/>
        </w:rPr>
        <w:t>A5.2直接确定中标人</w:t>
      </w:r>
      <w:bookmarkEnd w:id="912"/>
      <w:bookmarkEnd w:id="913"/>
      <w:bookmarkEnd w:id="914"/>
      <w:bookmarkEnd w:id="915"/>
      <w:bookmarkEnd w:id="916"/>
      <w:bookmarkEnd w:id="917"/>
      <w:bookmarkEnd w:id="918"/>
    </w:p>
    <w:p w14:paraId="665A24E1">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第二章“投标人须知”前附表授权评标委员会</w:t>
      </w:r>
      <w:r>
        <w:rPr>
          <w:rFonts w:hint="eastAsia"/>
          <w:color w:val="auto"/>
          <w:highlight w:val="none"/>
        </w:rPr>
        <w:t>直接</w:t>
      </w:r>
      <w:r>
        <w:rPr>
          <w:rFonts w:hint="eastAsia" w:ascii="宋体" w:hAnsi="宋体"/>
          <w:color w:val="auto"/>
          <w:szCs w:val="21"/>
          <w:highlight w:val="none"/>
        </w:rPr>
        <w:t>确定中标人的，评标委员会按照最终得分由高至低的次序排列。</w:t>
      </w:r>
    </w:p>
    <w:p w14:paraId="7B6A56C8">
      <w:pPr>
        <w:pStyle w:val="37"/>
        <w:ind w:firstLine="103"/>
        <w:rPr>
          <w:rFonts w:hint="eastAsia"/>
          <w:bCs/>
          <w:color w:val="auto"/>
          <w:sz w:val="21"/>
          <w:szCs w:val="21"/>
          <w:highlight w:val="none"/>
        </w:rPr>
      </w:pPr>
      <w:bookmarkStart w:id="919" w:name="_Toc150507336"/>
      <w:bookmarkStart w:id="920" w:name="_Toc162103238"/>
      <w:bookmarkStart w:id="921" w:name="_Toc174544031"/>
      <w:bookmarkStart w:id="922" w:name="_Toc13951"/>
      <w:bookmarkStart w:id="923" w:name="_Toc182923828"/>
      <w:bookmarkStart w:id="924" w:name="_Toc167542493"/>
      <w:bookmarkStart w:id="925" w:name="_Toc256000123"/>
      <w:r>
        <w:rPr>
          <w:rFonts w:hint="eastAsia"/>
          <w:bCs/>
          <w:color w:val="auto"/>
          <w:sz w:val="21"/>
          <w:szCs w:val="21"/>
          <w:highlight w:val="none"/>
        </w:rPr>
        <w:t>A5.3编制评标报告</w:t>
      </w:r>
      <w:bookmarkEnd w:id="919"/>
      <w:bookmarkEnd w:id="920"/>
      <w:bookmarkEnd w:id="921"/>
      <w:bookmarkEnd w:id="922"/>
      <w:bookmarkEnd w:id="923"/>
      <w:bookmarkEnd w:id="924"/>
      <w:bookmarkEnd w:id="925"/>
    </w:p>
    <w:p w14:paraId="004F92DE">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评标委员会根据本章第3.4.2项的规定向</w:t>
      </w:r>
      <w:r>
        <w:rPr>
          <w:rFonts w:hint="eastAsia"/>
          <w:color w:val="auto"/>
          <w:highlight w:val="none"/>
        </w:rPr>
        <w:t>招标</w:t>
      </w:r>
      <w:r>
        <w:rPr>
          <w:rFonts w:hint="eastAsia" w:ascii="宋体" w:hAnsi="宋体"/>
          <w:color w:val="auto"/>
          <w:szCs w:val="21"/>
          <w:highlight w:val="none"/>
        </w:rPr>
        <w:t>人提交评标报告。评标报告应当由全体评标委员会成员签字，并于评标结束时抄送有关行政监督部门。评标报告应当包括以下内容：</w:t>
      </w:r>
    </w:p>
    <w:p w14:paraId="5A3995CE">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（1）基本情况和数据表；</w:t>
      </w:r>
    </w:p>
    <w:p w14:paraId="34E25473">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（2）评标委员会成员名单；</w:t>
      </w:r>
    </w:p>
    <w:p w14:paraId="2C523002">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（3）开标记录；</w:t>
      </w:r>
    </w:p>
    <w:p w14:paraId="0E6453BE">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（4）通过初步评审的投标人一览表；</w:t>
      </w:r>
    </w:p>
    <w:p w14:paraId="029130E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（5）被否决投标的情况说明；</w:t>
      </w:r>
    </w:p>
    <w:p w14:paraId="5AD0023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（6）评标标准、评标方法或者评标</w:t>
      </w:r>
      <w:r>
        <w:rPr>
          <w:rFonts w:hint="eastAsia"/>
          <w:color w:val="auto"/>
          <w:highlight w:val="none"/>
        </w:rPr>
        <w:t>因素</w:t>
      </w:r>
      <w:r>
        <w:rPr>
          <w:rFonts w:hint="eastAsia" w:ascii="宋体" w:hAnsi="宋体"/>
          <w:color w:val="auto"/>
          <w:szCs w:val="21"/>
          <w:highlight w:val="none"/>
        </w:rPr>
        <w:t>一览表；</w:t>
      </w:r>
    </w:p>
    <w:p w14:paraId="1C7C84C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（7）经评审的价格一览表（包括评标委员会在评标过程中所形成的所有记载评标结果、结论的表格、说明、记录等文件）；</w:t>
      </w:r>
    </w:p>
    <w:p w14:paraId="2401B7C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（8）经评审的投标人排序；</w:t>
      </w:r>
    </w:p>
    <w:p w14:paraId="36766848">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（9）推荐的中标候选人名单（</w:t>
      </w:r>
      <w:r>
        <w:rPr>
          <w:rFonts w:hint="eastAsia"/>
          <w:color w:val="auto"/>
          <w:highlight w:val="none"/>
        </w:rPr>
        <w:t>如果</w:t>
      </w:r>
      <w:r>
        <w:rPr>
          <w:rFonts w:hint="eastAsia" w:ascii="宋体" w:hAnsi="宋体"/>
          <w:color w:val="auto"/>
          <w:szCs w:val="21"/>
          <w:highlight w:val="none"/>
        </w:rPr>
        <w:t>第二章“投标人须知”前附表授权评标委员会直接确定中标人，则为“确定的中标人”）与签订合同前要</w:t>
      </w:r>
      <w:r>
        <w:rPr>
          <w:rFonts w:hint="eastAsia"/>
          <w:color w:val="auto"/>
          <w:highlight w:val="none"/>
        </w:rPr>
        <w:t>处理</w:t>
      </w:r>
      <w:r>
        <w:rPr>
          <w:rFonts w:hint="eastAsia" w:ascii="宋体" w:hAnsi="宋体"/>
          <w:color w:val="auto"/>
          <w:szCs w:val="21"/>
          <w:highlight w:val="none"/>
        </w:rPr>
        <w:t>的事宜；</w:t>
      </w:r>
    </w:p>
    <w:p w14:paraId="7FB43A5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（10）澄清、说明、补正事项纪要。</w:t>
      </w:r>
    </w:p>
    <w:p w14:paraId="5E131A17">
      <w:pPr>
        <w:pStyle w:val="37"/>
        <w:ind w:firstLine="118"/>
        <w:rPr>
          <w:rFonts w:hint="eastAsia"/>
          <w:color w:val="auto"/>
          <w:highlight w:val="none"/>
        </w:rPr>
      </w:pPr>
      <w:bookmarkStart w:id="926" w:name="_Toc167542494"/>
      <w:bookmarkStart w:id="927" w:name="_Toc24993"/>
      <w:bookmarkStart w:id="928" w:name="_Toc174544032"/>
      <w:bookmarkStart w:id="929" w:name="_Toc150507337"/>
      <w:bookmarkStart w:id="930" w:name="_Toc256000124"/>
      <w:bookmarkStart w:id="931" w:name="_Toc182923829"/>
      <w:bookmarkStart w:id="932" w:name="_Toc162103239"/>
      <w:r>
        <w:rPr>
          <w:rFonts w:hint="eastAsia"/>
          <w:color w:val="auto"/>
          <w:highlight w:val="none"/>
        </w:rPr>
        <w:t>A6.特殊情况的处置程序</w:t>
      </w:r>
      <w:bookmarkEnd w:id="926"/>
      <w:bookmarkEnd w:id="927"/>
      <w:bookmarkEnd w:id="928"/>
      <w:bookmarkEnd w:id="929"/>
      <w:bookmarkEnd w:id="930"/>
      <w:bookmarkEnd w:id="931"/>
      <w:bookmarkEnd w:id="932"/>
    </w:p>
    <w:p w14:paraId="38D41202">
      <w:pPr>
        <w:pStyle w:val="37"/>
        <w:ind w:firstLine="103"/>
        <w:rPr>
          <w:rFonts w:hint="eastAsia"/>
          <w:bCs/>
          <w:color w:val="auto"/>
          <w:sz w:val="21"/>
          <w:szCs w:val="21"/>
          <w:highlight w:val="none"/>
        </w:rPr>
      </w:pPr>
      <w:bookmarkStart w:id="933" w:name="_Toc162103240"/>
      <w:bookmarkStart w:id="934" w:name="_Toc182923830"/>
      <w:bookmarkStart w:id="935" w:name="_Toc256000125"/>
      <w:bookmarkStart w:id="936" w:name="_Toc22536"/>
      <w:bookmarkStart w:id="937" w:name="_Toc174544033"/>
      <w:bookmarkStart w:id="938" w:name="_Toc167542495"/>
      <w:bookmarkStart w:id="939" w:name="_Toc150507338"/>
      <w:r>
        <w:rPr>
          <w:rFonts w:hint="eastAsia"/>
          <w:bCs/>
          <w:color w:val="auto"/>
          <w:sz w:val="21"/>
          <w:szCs w:val="21"/>
          <w:highlight w:val="none"/>
        </w:rPr>
        <w:t>A6.1暗标评审的评审程序规定（适用于对技术标进行暗标评审的）</w:t>
      </w:r>
      <w:bookmarkEnd w:id="933"/>
      <w:bookmarkEnd w:id="934"/>
      <w:bookmarkEnd w:id="935"/>
      <w:bookmarkEnd w:id="936"/>
      <w:bookmarkEnd w:id="937"/>
      <w:bookmarkEnd w:id="938"/>
      <w:bookmarkEnd w:id="939"/>
    </w:p>
    <w:p w14:paraId="7DFCCE2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如果第二章“投标人须知”前附表第</w:t>
      </w:r>
      <w:r>
        <w:rPr>
          <w:rFonts w:hint="eastAsia"/>
          <w:color w:val="auto"/>
          <w:highlight w:val="none"/>
        </w:rPr>
        <w:t>3.7.4</w:t>
      </w:r>
      <w:r>
        <w:rPr>
          <w:rFonts w:hint="eastAsia" w:ascii="宋体" w:hAnsi="宋体"/>
          <w:color w:val="auto"/>
          <w:szCs w:val="21"/>
          <w:highlight w:val="none"/>
        </w:rPr>
        <w:t>项要求对技术标采用模块化暗标方式，如果技术标是详细评审阶段的评审内容的，则评标委员会需将技术标（暗标）的格式类评审在初步评审阶段完成，详细评审阶段发现某个模块存在</w:t>
      </w:r>
      <w:r>
        <w:rPr>
          <w:rFonts w:hint="eastAsia"/>
          <w:color w:val="auto"/>
          <w:szCs w:val="21"/>
          <w:highlight w:val="none"/>
        </w:rPr>
        <w:t>出现投标人的名称和其</w:t>
      </w:r>
      <w:r>
        <w:rPr>
          <w:rFonts w:hint="eastAsia"/>
          <w:color w:val="auto"/>
          <w:szCs w:val="21"/>
          <w:highlight w:val="none"/>
          <w:lang w:val="en-US" w:eastAsia="zh-CN"/>
        </w:rPr>
        <w:t>他</w:t>
      </w:r>
      <w:r>
        <w:rPr>
          <w:rFonts w:hint="eastAsia"/>
          <w:color w:val="auto"/>
          <w:szCs w:val="21"/>
          <w:highlight w:val="none"/>
        </w:rPr>
        <w:t>可识别投标人身份的字符、徽标、人员名称等以及雷同性标记内容，仍可对投标人的投标文件进行否决，否决任一模块代表着本投标人的投标文件全部被否决。</w:t>
      </w:r>
      <w:r>
        <w:rPr>
          <w:rFonts w:hint="eastAsia" w:ascii="宋体" w:hAnsi="宋体"/>
          <w:color w:val="auto"/>
          <w:szCs w:val="21"/>
          <w:highlight w:val="none"/>
        </w:rPr>
        <w:t>电子招标投标系统（辽宁省工程建设项目数字化开标评标系统）应采取措施，在经济标、技术标、资信标、其他因素的评审完成后，再公开相应暗标编号与投标人名称之间的对应关系。初步评审被否决的投标不再进入详细评审阶段。</w:t>
      </w:r>
    </w:p>
    <w:p w14:paraId="1143275A">
      <w:pPr>
        <w:pStyle w:val="37"/>
        <w:ind w:firstLine="103"/>
        <w:rPr>
          <w:rFonts w:hint="eastAsia"/>
          <w:bCs/>
          <w:color w:val="auto"/>
          <w:sz w:val="21"/>
          <w:szCs w:val="21"/>
          <w:highlight w:val="none"/>
        </w:rPr>
      </w:pPr>
      <w:bookmarkStart w:id="940" w:name="_Toc17056"/>
      <w:bookmarkStart w:id="941" w:name="_Toc167542496"/>
      <w:bookmarkStart w:id="942" w:name="_Toc150507339"/>
      <w:bookmarkStart w:id="943" w:name="_Toc174544034"/>
      <w:bookmarkStart w:id="944" w:name="_Toc182923831"/>
      <w:bookmarkStart w:id="945" w:name="_Toc256000126"/>
      <w:bookmarkStart w:id="946" w:name="_Toc162103241"/>
      <w:r>
        <w:rPr>
          <w:rFonts w:hint="eastAsia"/>
          <w:bCs/>
          <w:color w:val="auto"/>
          <w:sz w:val="21"/>
          <w:szCs w:val="21"/>
          <w:highlight w:val="none"/>
        </w:rPr>
        <w:t>A6.2关于评标活动暂停</w:t>
      </w:r>
      <w:bookmarkEnd w:id="940"/>
      <w:bookmarkEnd w:id="941"/>
      <w:bookmarkEnd w:id="942"/>
      <w:bookmarkEnd w:id="943"/>
      <w:bookmarkEnd w:id="944"/>
      <w:bookmarkEnd w:id="945"/>
      <w:bookmarkEnd w:id="946"/>
    </w:p>
    <w:p w14:paraId="0695DFD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A6.2.1评标委员会应当执行连续评标的原则，按评标办法中规定的程序、内容、方法、标准完成全部评标工作。只有发生不可抗力导致评标</w:t>
      </w:r>
      <w:r>
        <w:rPr>
          <w:rFonts w:hint="eastAsia"/>
          <w:color w:val="auto"/>
          <w:highlight w:val="none"/>
        </w:rPr>
        <w:t>工作</w:t>
      </w:r>
      <w:r>
        <w:rPr>
          <w:rFonts w:hint="eastAsia" w:ascii="宋体" w:hAnsi="宋体"/>
          <w:color w:val="auto"/>
          <w:szCs w:val="21"/>
          <w:highlight w:val="none"/>
        </w:rPr>
        <w:t>无法继续时，评标活动方可暂停。</w:t>
      </w:r>
    </w:p>
    <w:p w14:paraId="1B86421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A6.2.2发生评标暂停情况时，评标委员会应当封存全部投标文件和评标记录，待不可抗力的影响结束且具备继续评标的条件时，由原评标委员会继续评标。</w:t>
      </w:r>
    </w:p>
    <w:p w14:paraId="3F0603A4">
      <w:pPr>
        <w:pStyle w:val="37"/>
        <w:ind w:firstLine="103"/>
        <w:rPr>
          <w:rFonts w:hint="eastAsia"/>
          <w:bCs/>
          <w:color w:val="auto"/>
          <w:sz w:val="21"/>
          <w:szCs w:val="21"/>
          <w:highlight w:val="none"/>
        </w:rPr>
      </w:pPr>
      <w:bookmarkStart w:id="947" w:name="_Toc182923832"/>
      <w:bookmarkStart w:id="948" w:name="_Toc174544035"/>
      <w:bookmarkStart w:id="949" w:name="_Toc167542497"/>
      <w:bookmarkStart w:id="950" w:name="_Toc14815"/>
      <w:bookmarkStart w:id="951" w:name="_Toc256000127"/>
      <w:bookmarkStart w:id="952" w:name="_Toc162103242"/>
      <w:bookmarkStart w:id="953" w:name="_Toc150507340"/>
      <w:r>
        <w:rPr>
          <w:rFonts w:hint="eastAsia"/>
          <w:bCs/>
          <w:color w:val="auto"/>
          <w:sz w:val="21"/>
          <w:szCs w:val="21"/>
          <w:highlight w:val="none"/>
        </w:rPr>
        <w:t>A6.3关于评标中途更换评标委员会成员</w:t>
      </w:r>
      <w:bookmarkEnd w:id="947"/>
      <w:bookmarkEnd w:id="948"/>
      <w:bookmarkEnd w:id="949"/>
      <w:bookmarkEnd w:id="950"/>
      <w:bookmarkEnd w:id="951"/>
      <w:bookmarkEnd w:id="952"/>
      <w:bookmarkEnd w:id="953"/>
    </w:p>
    <w:p w14:paraId="09BA230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A6.3.1除非发生下列情况之一，评标委员会成员</w:t>
      </w:r>
      <w:r>
        <w:rPr>
          <w:rFonts w:hint="eastAsia"/>
          <w:color w:val="auto"/>
          <w:highlight w:val="none"/>
        </w:rPr>
        <w:t>不得</w:t>
      </w:r>
      <w:r>
        <w:rPr>
          <w:rFonts w:hint="eastAsia" w:ascii="宋体" w:hAnsi="宋体"/>
          <w:color w:val="auto"/>
          <w:szCs w:val="21"/>
          <w:highlight w:val="none"/>
        </w:rPr>
        <w:t>在评标中途更换：</w:t>
      </w:r>
    </w:p>
    <w:p w14:paraId="69E9E418">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（1）因不可抗拒的客观原因，不能到场或需在评标</w:t>
      </w:r>
      <w:r>
        <w:rPr>
          <w:rFonts w:hint="eastAsia"/>
          <w:color w:val="auto"/>
          <w:highlight w:val="none"/>
        </w:rPr>
        <w:t>中途</w:t>
      </w:r>
      <w:r>
        <w:rPr>
          <w:rFonts w:hint="eastAsia" w:ascii="宋体" w:hAnsi="宋体"/>
          <w:color w:val="auto"/>
          <w:szCs w:val="21"/>
          <w:highlight w:val="none"/>
        </w:rPr>
        <w:t>退出评标活动。</w:t>
      </w:r>
    </w:p>
    <w:p w14:paraId="21A9431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（2）根据法律法规规定，某个或某几个评标委员会</w:t>
      </w:r>
      <w:r>
        <w:rPr>
          <w:rFonts w:hint="eastAsia"/>
          <w:color w:val="auto"/>
          <w:highlight w:val="none"/>
        </w:rPr>
        <w:t>成员</w:t>
      </w:r>
      <w:r>
        <w:rPr>
          <w:rFonts w:hint="eastAsia" w:ascii="宋体" w:hAnsi="宋体"/>
          <w:color w:val="auto"/>
          <w:szCs w:val="21"/>
          <w:highlight w:val="none"/>
        </w:rPr>
        <w:t>需要回避。</w:t>
      </w:r>
    </w:p>
    <w:p w14:paraId="1E5D19D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A6.3.2退出评标的评标委员会成员，其已完成的</w:t>
      </w:r>
      <w:r>
        <w:rPr>
          <w:rFonts w:hint="eastAsia"/>
          <w:color w:val="auto"/>
          <w:highlight w:val="none"/>
        </w:rPr>
        <w:t>评标</w:t>
      </w:r>
      <w:r>
        <w:rPr>
          <w:rFonts w:hint="eastAsia" w:ascii="宋体" w:hAnsi="宋体"/>
          <w:color w:val="auto"/>
          <w:szCs w:val="21"/>
          <w:highlight w:val="none"/>
        </w:rPr>
        <w:t>行为无效。由招标人根据本招标文件规定的评标委员会成员生产方式另行确定替代者进行评标。</w:t>
      </w:r>
    </w:p>
    <w:p w14:paraId="4C23684F">
      <w:pPr>
        <w:pStyle w:val="37"/>
        <w:ind w:firstLine="103"/>
        <w:rPr>
          <w:rFonts w:hint="eastAsia"/>
          <w:bCs/>
          <w:color w:val="auto"/>
          <w:sz w:val="21"/>
          <w:szCs w:val="21"/>
          <w:highlight w:val="none"/>
        </w:rPr>
      </w:pPr>
      <w:bookmarkStart w:id="954" w:name="_Toc150507341"/>
      <w:bookmarkStart w:id="955" w:name="_Toc182923833"/>
      <w:bookmarkStart w:id="956" w:name="_Toc3515"/>
      <w:bookmarkStart w:id="957" w:name="_Toc174544036"/>
      <w:bookmarkStart w:id="958" w:name="_Toc162103243"/>
      <w:bookmarkStart w:id="959" w:name="_Toc256000128"/>
      <w:bookmarkStart w:id="960" w:name="_Toc167542498"/>
      <w:r>
        <w:rPr>
          <w:rFonts w:hint="eastAsia"/>
          <w:bCs/>
          <w:color w:val="auto"/>
          <w:sz w:val="21"/>
          <w:szCs w:val="21"/>
          <w:highlight w:val="none"/>
        </w:rPr>
        <w:t>A6.4 评标争议处理</w:t>
      </w:r>
      <w:bookmarkEnd w:id="954"/>
      <w:bookmarkEnd w:id="955"/>
      <w:bookmarkEnd w:id="956"/>
      <w:bookmarkEnd w:id="957"/>
      <w:bookmarkEnd w:id="958"/>
      <w:bookmarkEnd w:id="959"/>
      <w:bookmarkEnd w:id="960"/>
    </w:p>
    <w:p w14:paraId="3C88EA0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A6.4.1评标委员会全体成员应独立评审，对所</w:t>
      </w:r>
      <w:r>
        <w:rPr>
          <w:rFonts w:hint="eastAsia"/>
          <w:color w:val="auto"/>
          <w:highlight w:val="none"/>
        </w:rPr>
        <w:t>提出</w:t>
      </w:r>
      <w:r>
        <w:rPr>
          <w:rFonts w:hint="eastAsia" w:ascii="宋体" w:hAnsi="宋体"/>
          <w:color w:val="auto"/>
          <w:szCs w:val="21"/>
          <w:highlight w:val="none"/>
        </w:rPr>
        <w:t>的评审意见承担个人责任。</w:t>
      </w:r>
    </w:p>
    <w:p w14:paraId="1A7F3452">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A6.4.2在任何评标环节中，需评标委员会就某项</w:t>
      </w:r>
      <w:r>
        <w:rPr>
          <w:rFonts w:hint="eastAsia"/>
          <w:color w:val="auto"/>
          <w:highlight w:val="none"/>
        </w:rPr>
        <w:t>定性</w:t>
      </w:r>
      <w:r>
        <w:rPr>
          <w:rFonts w:hint="eastAsia" w:ascii="宋体" w:hAnsi="宋体"/>
          <w:color w:val="auto"/>
          <w:szCs w:val="21"/>
          <w:highlight w:val="none"/>
        </w:rPr>
        <w:t>的评审结论做出表决的，由评标委员会全体成员按照少数服从多数的原则，以记名投票方式表决。表决不得违背法律、法规、规章和招标文件的规定。</w:t>
      </w:r>
    </w:p>
    <w:p w14:paraId="00DC51A2">
      <w:pPr>
        <w:spacing w:line="400" w:lineRule="exact"/>
        <w:ind w:firstLine="420" w:firstLineChars="200"/>
        <w:rPr>
          <w:rFonts w:hint="eastAsia" w:ascii="宋体" w:hAnsi="宋体"/>
          <w:color w:val="auto"/>
          <w:szCs w:val="21"/>
          <w:highlight w:val="none"/>
          <w:bdr w:val="single" w:color="auto" w:sz="4" w:space="0"/>
        </w:rPr>
      </w:pPr>
      <w:r>
        <w:rPr>
          <w:rFonts w:hint="eastAsia" w:ascii="宋体" w:hAnsi="宋体"/>
          <w:color w:val="auto"/>
          <w:szCs w:val="21"/>
          <w:highlight w:val="none"/>
        </w:rPr>
        <w:t>A6.4.</w:t>
      </w:r>
      <w:r>
        <w:rPr>
          <w:rFonts w:ascii="宋体" w:hAnsi="宋体"/>
          <w:color w:val="auto"/>
          <w:szCs w:val="21"/>
          <w:highlight w:val="none"/>
        </w:rPr>
        <w:t>3</w:t>
      </w:r>
      <w:r>
        <w:rPr>
          <w:rFonts w:hint="eastAsia"/>
          <w:color w:val="auto"/>
          <w:highlight w:val="none"/>
        </w:rPr>
        <w:t>评标委员会成员对书面决议或评审结论持有异议的，</w:t>
      </w:r>
      <w:r>
        <w:rPr>
          <w:rFonts w:hint="eastAsia" w:ascii="宋体" w:hAnsi="宋体"/>
          <w:color w:val="auto"/>
          <w:highlight w:val="none"/>
        </w:rPr>
        <w:t>可以</w:t>
      </w:r>
      <w:r>
        <w:rPr>
          <w:rFonts w:hint="eastAsia"/>
          <w:color w:val="auto"/>
          <w:highlight w:val="none"/>
        </w:rPr>
        <w:t>书面阐述其不同意见和理由。拒绝在书面决议或评标报告上签名，且不陈述其不同意见和理由的，视为同意书面决议或评标结论，评标委员会应当</w:t>
      </w:r>
      <w:r>
        <w:rPr>
          <w:rFonts w:hint="eastAsia" w:ascii="宋体" w:hAnsi="宋体"/>
          <w:color w:val="auto"/>
          <w:highlight w:val="none"/>
        </w:rPr>
        <w:t>对此</w:t>
      </w:r>
      <w:r>
        <w:rPr>
          <w:rFonts w:hint="eastAsia"/>
          <w:color w:val="auto"/>
          <w:highlight w:val="none"/>
        </w:rPr>
        <w:t>在评标报告中做出书面说明。</w:t>
      </w:r>
    </w:p>
    <w:p w14:paraId="6408014C">
      <w:pPr>
        <w:pStyle w:val="37"/>
        <w:ind w:firstLine="118"/>
        <w:rPr>
          <w:rFonts w:hint="eastAsia"/>
          <w:color w:val="auto"/>
          <w:highlight w:val="none"/>
        </w:rPr>
      </w:pPr>
      <w:bookmarkStart w:id="961" w:name="_Toc167542499"/>
      <w:bookmarkStart w:id="962" w:name="_Toc162103244"/>
      <w:bookmarkStart w:id="963" w:name="_Toc182923834"/>
      <w:bookmarkStart w:id="964" w:name="_Toc2382"/>
      <w:bookmarkStart w:id="965" w:name="_Toc256000129"/>
      <w:bookmarkStart w:id="966" w:name="_Toc174544037"/>
      <w:bookmarkStart w:id="967" w:name="_Toc150507342"/>
      <w:r>
        <w:rPr>
          <w:rFonts w:hint="eastAsia"/>
          <w:color w:val="auto"/>
          <w:highlight w:val="none"/>
        </w:rPr>
        <w:t>A7.补充条款</w:t>
      </w:r>
      <w:bookmarkEnd w:id="961"/>
      <w:bookmarkEnd w:id="962"/>
      <w:bookmarkEnd w:id="963"/>
      <w:bookmarkEnd w:id="964"/>
      <w:bookmarkEnd w:id="965"/>
      <w:bookmarkEnd w:id="966"/>
      <w:bookmarkEnd w:id="967"/>
    </w:p>
    <w:p w14:paraId="03950A79">
      <w:pPr>
        <w:adjustRightInd w:val="0"/>
        <w:snapToGrid w:val="0"/>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bookmarkEnd w:id="718"/>
    <w:p w14:paraId="4EC4D1E8">
      <w:pPr>
        <w:widowControl/>
        <w:jc w:val="left"/>
        <w:rPr>
          <w:color w:val="auto"/>
          <w:highlight w:val="none"/>
        </w:rPr>
      </w:pPr>
      <w:r>
        <w:rPr>
          <w:color w:val="auto"/>
          <w:highlight w:val="none"/>
        </w:rPr>
        <w:br w:type="page"/>
      </w:r>
    </w:p>
    <w:p w14:paraId="3781484A">
      <w:pPr>
        <w:widowControl/>
        <w:jc w:val="left"/>
        <w:rPr>
          <w:color w:val="auto"/>
          <w:highlight w:val="none"/>
        </w:rPr>
      </w:pPr>
    </w:p>
    <w:p w14:paraId="553A0723">
      <w:pPr>
        <w:pStyle w:val="3"/>
        <w:widowControl/>
        <w:rPr>
          <w:rFonts w:hint="eastAsia" w:ascii="宋体" w:hAnsi="宋体" w:eastAsia="宋体" w:cs="宋体"/>
          <w:color w:val="auto"/>
          <w:sz w:val="24"/>
          <w:szCs w:val="24"/>
          <w:highlight w:val="none"/>
        </w:rPr>
      </w:pPr>
      <w:bookmarkStart w:id="968" w:name="_Toc182923835"/>
      <w:bookmarkStart w:id="969" w:name="_Toc20048"/>
      <w:bookmarkStart w:id="970" w:name="_Toc256000130"/>
      <w:bookmarkStart w:id="971" w:name="_Toc1360"/>
      <w:bookmarkStart w:id="972" w:name="_Toc148967356"/>
      <w:r>
        <w:rPr>
          <w:rFonts w:hint="eastAsia" w:ascii="宋体" w:hAnsi="宋体" w:eastAsia="宋体" w:cs="宋体"/>
          <w:color w:val="auto"/>
          <w:sz w:val="24"/>
          <w:szCs w:val="24"/>
          <w:highlight w:val="none"/>
        </w:rPr>
        <w:t>附件B：否决投标的条件</w:t>
      </w:r>
      <w:bookmarkEnd w:id="968"/>
      <w:bookmarkEnd w:id="969"/>
      <w:bookmarkEnd w:id="970"/>
      <w:bookmarkEnd w:id="971"/>
      <w:bookmarkEnd w:id="972"/>
      <w:r>
        <w:rPr>
          <w:rFonts w:hint="eastAsia" w:ascii="宋体" w:hAnsi="宋体" w:eastAsia="宋体" w:cs="宋体"/>
          <w:color w:val="auto"/>
          <w:sz w:val="24"/>
          <w:szCs w:val="24"/>
          <w:highlight w:val="none"/>
        </w:rPr>
        <w:t xml:space="preserve"> </w:t>
      </w:r>
    </w:p>
    <w:p w14:paraId="5CA6CE8D">
      <w:pPr>
        <w:widowControl/>
        <w:jc w:val="center"/>
        <w:rPr>
          <w:rFonts w:ascii="黑体" w:eastAsia="黑体" w:cs="黑体"/>
          <w:b/>
          <w:color w:val="auto"/>
          <w:sz w:val="28"/>
          <w:szCs w:val="28"/>
          <w:highlight w:val="none"/>
        </w:rPr>
      </w:pPr>
      <w:r>
        <w:rPr>
          <w:rFonts w:hint="eastAsia" w:ascii="黑体" w:eastAsia="黑体" w:cs="黑体"/>
          <w:b/>
          <w:color w:val="auto"/>
          <w:kern w:val="0"/>
          <w:sz w:val="28"/>
          <w:szCs w:val="28"/>
          <w:highlight w:val="none"/>
          <w:lang w:bidi="ar"/>
        </w:rPr>
        <w:t>否决投标的条件</w:t>
      </w:r>
    </w:p>
    <w:p w14:paraId="7417D66D">
      <w:pPr>
        <w:pStyle w:val="22"/>
        <w:keepNext/>
        <w:keepLines/>
        <w:widowControl w:val="0"/>
        <w:spacing w:before="0" w:beforeAutospacing="0" w:after="0" w:afterAutospacing="0" w:line="400" w:lineRule="exact"/>
        <w:jc w:val="both"/>
        <w:outlineLvl w:val="2"/>
        <w:rPr>
          <w:rFonts w:hint="eastAsia" w:ascii="黑体" w:eastAsia="黑体" w:cs="黑体"/>
          <w:color w:val="auto"/>
          <w:highlight w:val="none"/>
        </w:rPr>
      </w:pPr>
      <w:bookmarkStart w:id="973" w:name="_Toc9224"/>
      <w:bookmarkStart w:id="974" w:name="_Toc256000131"/>
      <w:bookmarkStart w:id="975" w:name="_Toc2188"/>
      <w:bookmarkStart w:id="976" w:name="_Toc167542501"/>
      <w:bookmarkStart w:id="977" w:name="_Toc182923836"/>
      <w:r>
        <w:rPr>
          <w:rFonts w:hint="eastAsia" w:ascii="黑体" w:eastAsia="黑体" w:cs="黑体"/>
          <w:color w:val="auto"/>
          <w:kern w:val="2"/>
          <w:highlight w:val="none"/>
          <w:lang w:bidi="ar"/>
        </w:rPr>
        <w:t>B0.总  则</w:t>
      </w:r>
      <w:bookmarkEnd w:id="973"/>
      <w:bookmarkEnd w:id="974"/>
      <w:bookmarkEnd w:id="975"/>
      <w:bookmarkEnd w:id="976"/>
      <w:bookmarkEnd w:id="977"/>
    </w:p>
    <w:p w14:paraId="408E9253">
      <w:pPr>
        <w:widowControl/>
        <w:spacing w:line="430" w:lineRule="exact"/>
        <w:ind w:firstLine="420" w:firstLineChars="200"/>
        <w:jc w:val="left"/>
        <w:rPr>
          <w:rFonts w:hint="eastAsia" w:ascii="宋体" w:hAnsi="宋体" w:cs="宋体"/>
          <w:color w:val="auto"/>
          <w:szCs w:val="21"/>
          <w:highlight w:val="none"/>
        </w:rPr>
      </w:pPr>
      <w:r>
        <w:rPr>
          <w:rFonts w:hint="eastAsia" w:ascii="宋体" w:hAnsi="宋体" w:cs="宋体"/>
          <w:color w:val="auto"/>
          <w:kern w:val="0"/>
          <w:szCs w:val="21"/>
          <w:highlight w:val="none"/>
          <w:lang w:bidi="ar"/>
        </w:rPr>
        <w:t>本附件所集中列示的否决投标的条件，是本章“评标办法”的组成部分，是对第二章“投标人须知”和本章正文部分所规定的否决投标的条件的总结和补充，如果出现不一致的情况，以本章前附表和正文部分的规定为准。</w:t>
      </w:r>
    </w:p>
    <w:p w14:paraId="5E287D25">
      <w:pPr>
        <w:pStyle w:val="22"/>
        <w:keepNext/>
        <w:keepLines/>
        <w:widowControl w:val="0"/>
        <w:spacing w:before="0" w:beforeAutospacing="0" w:after="0" w:afterAutospacing="0" w:line="400" w:lineRule="exact"/>
        <w:jc w:val="both"/>
        <w:outlineLvl w:val="2"/>
        <w:rPr>
          <w:rFonts w:hint="eastAsia" w:ascii="黑体" w:eastAsia="黑体" w:cs="黑体"/>
          <w:color w:val="auto"/>
          <w:highlight w:val="none"/>
        </w:rPr>
      </w:pPr>
      <w:bookmarkStart w:id="978" w:name="_Toc182923837"/>
      <w:bookmarkStart w:id="979" w:name="_Toc167542502"/>
      <w:bookmarkStart w:id="980" w:name="_Toc3777"/>
      <w:bookmarkStart w:id="981" w:name="_Toc256000132"/>
      <w:bookmarkStart w:id="982" w:name="_Toc26024"/>
      <w:r>
        <w:rPr>
          <w:rFonts w:hint="eastAsia" w:ascii="黑体" w:eastAsia="黑体" w:cs="黑体"/>
          <w:color w:val="auto"/>
          <w:kern w:val="2"/>
          <w:highlight w:val="none"/>
          <w:lang w:bidi="ar"/>
        </w:rPr>
        <w:t>B1.否决投标的条件</w:t>
      </w:r>
      <w:bookmarkEnd w:id="978"/>
      <w:bookmarkEnd w:id="979"/>
      <w:bookmarkEnd w:id="980"/>
      <w:bookmarkEnd w:id="981"/>
      <w:bookmarkEnd w:id="982"/>
    </w:p>
    <w:p w14:paraId="508AAEEF">
      <w:pPr>
        <w:widowControl/>
        <w:spacing w:line="430" w:lineRule="exact"/>
        <w:ind w:firstLine="420" w:firstLineChars="200"/>
        <w:jc w:val="left"/>
        <w:rPr>
          <w:rFonts w:hint="eastAsia" w:ascii="宋体" w:hAnsi="宋体" w:cs="宋体"/>
          <w:color w:val="auto"/>
          <w:szCs w:val="21"/>
          <w:highlight w:val="none"/>
        </w:rPr>
      </w:pPr>
      <w:r>
        <w:rPr>
          <w:rFonts w:hint="eastAsia" w:ascii="宋体" w:hAnsi="宋体" w:cs="宋体"/>
          <w:color w:val="auto"/>
          <w:kern w:val="0"/>
          <w:szCs w:val="21"/>
          <w:highlight w:val="none"/>
          <w:lang w:bidi="ar"/>
        </w:rPr>
        <w:t>投标人或其投标文件有下列情形之一的，评标委员会应当否决其投标：</w:t>
      </w:r>
    </w:p>
    <w:p w14:paraId="083235CD">
      <w:pPr>
        <w:widowControl/>
        <w:spacing w:line="430" w:lineRule="exact"/>
        <w:ind w:firstLine="420" w:firstLineChars="200"/>
        <w:rPr>
          <w:color w:val="auto"/>
          <w:kern w:val="0"/>
          <w:szCs w:val="21"/>
          <w:highlight w:val="none"/>
          <w:lang w:bidi="ar"/>
        </w:rPr>
      </w:pPr>
      <w:r>
        <w:rPr>
          <w:rFonts w:hint="eastAsia"/>
          <w:color w:val="auto"/>
          <w:kern w:val="0"/>
          <w:szCs w:val="21"/>
          <w:highlight w:val="none"/>
          <w:lang w:bidi="ar"/>
        </w:rPr>
        <w:t>B1</w:t>
      </w:r>
      <w:r>
        <w:rPr>
          <w:color w:val="auto"/>
          <w:kern w:val="0"/>
          <w:szCs w:val="21"/>
          <w:highlight w:val="none"/>
          <w:lang w:bidi="ar"/>
        </w:rPr>
        <w:t>.1在形式评审、资格评审、响应性评审中，评标委员会认定投标人的投标文件不符合评标办法前附表中规定的任何一项评审标准的。主要包括以下内容：</w:t>
      </w:r>
    </w:p>
    <w:p w14:paraId="1F24FF36">
      <w:pPr>
        <w:widowControl/>
        <w:spacing w:line="430" w:lineRule="exact"/>
        <w:ind w:firstLine="420" w:firstLineChars="200"/>
        <w:rPr>
          <w:color w:val="auto"/>
          <w:szCs w:val="21"/>
          <w:highlight w:val="none"/>
        </w:rPr>
      </w:pPr>
      <w:r>
        <w:rPr>
          <w:color w:val="auto"/>
          <w:kern w:val="0"/>
          <w:szCs w:val="21"/>
          <w:highlight w:val="none"/>
          <w:lang w:bidi="ar"/>
        </w:rPr>
        <w:t>（1）投标人名称与营业执照、资质证书、</w:t>
      </w:r>
      <w:r>
        <w:rPr>
          <w:color w:val="auto"/>
          <w:highlight w:val="none"/>
        </w:rPr>
        <w:t>安全生产许可证</w:t>
      </w:r>
      <w:r>
        <w:rPr>
          <w:color w:val="auto"/>
          <w:kern w:val="0"/>
          <w:szCs w:val="21"/>
          <w:highlight w:val="none"/>
          <w:lang w:bidi="ar"/>
        </w:rPr>
        <w:t>不一致；或提供无效的营业执照、资质证书、安全生</w:t>
      </w:r>
      <w:r>
        <w:rPr>
          <w:rFonts w:hint="eastAsia"/>
          <w:color w:val="auto"/>
          <w:kern w:val="0"/>
          <w:szCs w:val="21"/>
          <w:highlight w:val="none"/>
          <w:lang w:val="en-US" w:eastAsia="zh-CN" w:bidi="ar"/>
        </w:rPr>
        <w:t>产</w:t>
      </w:r>
      <w:r>
        <w:rPr>
          <w:color w:val="auto"/>
          <w:kern w:val="0"/>
          <w:szCs w:val="21"/>
          <w:highlight w:val="none"/>
          <w:lang w:bidi="ar"/>
        </w:rPr>
        <w:t>许可证的；</w:t>
      </w:r>
    </w:p>
    <w:p w14:paraId="7BAB7C8C">
      <w:pPr>
        <w:widowControl/>
        <w:spacing w:line="430" w:lineRule="exact"/>
        <w:ind w:firstLine="420" w:firstLineChars="200"/>
        <w:rPr>
          <w:color w:val="auto"/>
          <w:szCs w:val="21"/>
          <w:highlight w:val="none"/>
        </w:rPr>
      </w:pPr>
      <w:r>
        <w:rPr>
          <w:color w:val="auto"/>
          <w:kern w:val="0"/>
          <w:szCs w:val="21"/>
          <w:highlight w:val="none"/>
          <w:lang w:bidi="ar"/>
        </w:rPr>
        <w:t>（2）未按照第二章“投标人须知”第3.7.3（4）目规定和第七章“投标文件格式”的要求进行电子签章的；</w:t>
      </w:r>
    </w:p>
    <w:p w14:paraId="4F356C83">
      <w:pPr>
        <w:widowControl/>
        <w:spacing w:line="430" w:lineRule="exact"/>
        <w:ind w:firstLine="420" w:firstLineChars="200"/>
        <w:rPr>
          <w:color w:val="auto"/>
          <w:szCs w:val="21"/>
          <w:highlight w:val="none"/>
        </w:rPr>
      </w:pPr>
      <w:r>
        <w:rPr>
          <w:color w:val="auto"/>
          <w:kern w:val="0"/>
          <w:szCs w:val="21"/>
          <w:highlight w:val="none"/>
          <w:lang w:bidi="ar"/>
        </w:rPr>
        <w:t>（3）联合体投标没有提交共同投标协议或共同投标协议未按招标文件提供的格式签署、提交，未明确联合体牵头人和各方权利与义务，未承诺就中标项目向招标人承担连带责任的（如有）；</w:t>
      </w:r>
    </w:p>
    <w:p w14:paraId="3E5423D6">
      <w:pPr>
        <w:widowControl/>
        <w:spacing w:line="430" w:lineRule="exact"/>
        <w:ind w:firstLine="420" w:firstLineChars="200"/>
        <w:rPr>
          <w:color w:val="auto"/>
          <w:szCs w:val="21"/>
          <w:highlight w:val="none"/>
        </w:rPr>
      </w:pPr>
      <w:r>
        <w:rPr>
          <w:color w:val="auto"/>
          <w:kern w:val="0"/>
          <w:szCs w:val="21"/>
          <w:highlight w:val="none"/>
          <w:lang w:bidi="ar"/>
        </w:rPr>
        <w:t>（4）同一投标人提交两个以上不同的投标文件或者投标报价的（但招标文件要求提交备选投标的除外）；</w:t>
      </w:r>
    </w:p>
    <w:p w14:paraId="40B1F3B3">
      <w:pPr>
        <w:widowControl/>
        <w:spacing w:line="430" w:lineRule="exact"/>
        <w:ind w:firstLine="420" w:firstLineChars="200"/>
        <w:rPr>
          <w:color w:val="auto"/>
          <w:szCs w:val="21"/>
          <w:highlight w:val="none"/>
        </w:rPr>
      </w:pPr>
      <w:r>
        <w:rPr>
          <w:color w:val="auto"/>
          <w:kern w:val="0"/>
          <w:szCs w:val="21"/>
          <w:highlight w:val="none"/>
          <w:lang w:bidi="ar"/>
        </w:rPr>
        <w:t>（5）未按照招标文件的要求报送应有的投标报价表格的；</w:t>
      </w:r>
    </w:p>
    <w:p w14:paraId="10811A77">
      <w:pPr>
        <w:widowControl/>
        <w:spacing w:line="430" w:lineRule="exact"/>
        <w:ind w:firstLine="420" w:firstLineChars="200"/>
        <w:rPr>
          <w:color w:val="auto"/>
          <w:szCs w:val="21"/>
          <w:highlight w:val="none"/>
        </w:rPr>
      </w:pPr>
      <w:r>
        <w:rPr>
          <w:color w:val="auto"/>
          <w:kern w:val="0"/>
          <w:szCs w:val="21"/>
          <w:highlight w:val="none"/>
          <w:lang w:bidi="ar"/>
        </w:rPr>
        <w:t>（6）项目经理</w:t>
      </w:r>
      <w:r>
        <w:rPr>
          <w:color w:val="auto"/>
          <w:highlight w:val="none"/>
        </w:rPr>
        <w:t>二次刷卡</w:t>
      </w:r>
      <w:r>
        <w:rPr>
          <w:color w:val="auto"/>
          <w:kern w:val="0"/>
          <w:szCs w:val="21"/>
          <w:highlight w:val="none"/>
          <w:lang w:bidi="ar"/>
        </w:rPr>
        <w:t>实名认证未通过的；</w:t>
      </w:r>
    </w:p>
    <w:p w14:paraId="16D3CEEA">
      <w:pPr>
        <w:widowControl/>
        <w:spacing w:line="430" w:lineRule="exact"/>
        <w:ind w:firstLine="420" w:firstLineChars="200"/>
        <w:rPr>
          <w:color w:val="auto"/>
          <w:szCs w:val="21"/>
          <w:highlight w:val="none"/>
        </w:rPr>
      </w:pPr>
      <w:r>
        <w:rPr>
          <w:color w:val="auto"/>
          <w:kern w:val="0"/>
          <w:szCs w:val="21"/>
          <w:highlight w:val="none"/>
          <w:lang w:bidi="ar"/>
        </w:rPr>
        <w:t>（7）法定代表人或授权委托人未完成实名认证的；</w:t>
      </w:r>
    </w:p>
    <w:p w14:paraId="18ECD9B8">
      <w:pPr>
        <w:widowControl/>
        <w:spacing w:line="430" w:lineRule="exact"/>
        <w:ind w:firstLine="420" w:firstLineChars="200"/>
        <w:rPr>
          <w:color w:val="auto"/>
          <w:szCs w:val="21"/>
          <w:highlight w:val="none"/>
        </w:rPr>
      </w:pPr>
      <w:r>
        <w:rPr>
          <w:color w:val="auto"/>
          <w:kern w:val="0"/>
          <w:szCs w:val="21"/>
          <w:highlight w:val="none"/>
          <w:lang w:bidi="ar"/>
        </w:rPr>
        <w:t>（8）</w:t>
      </w:r>
      <w:r>
        <w:rPr>
          <w:rFonts w:hint="eastAsia"/>
          <w:color w:val="auto"/>
          <w:highlight w:val="none"/>
        </w:rPr>
        <w:t>采用技术标暗标评审的，</w:t>
      </w:r>
      <w:r>
        <w:rPr>
          <w:color w:val="auto"/>
          <w:kern w:val="0"/>
          <w:szCs w:val="21"/>
          <w:highlight w:val="none"/>
          <w:lang w:bidi="ar"/>
        </w:rPr>
        <w:t>未按招标文件要求编制技术标（暗标）投标文件的；</w:t>
      </w:r>
    </w:p>
    <w:p w14:paraId="586E0C53">
      <w:pPr>
        <w:widowControl/>
        <w:spacing w:line="430" w:lineRule="exact"/>
        <w:ind w:firstLine="420" w:firstLineChars="200"/>
        <w:rPr>
          <w:color w:val="auto"/>
          <w:szCs w:val="21"/>
          <w:highlight w:val="none"/>
        </w:rPr>
      </w:pPr>
      <w:r>
        <w:rPr>
          <w:color w:val="auto"/>
          <w:kern w:val="0"/>
          <w:szCs w:val="21"/>
          <w:highlight w:val="none"/>
          <w:lang w:bidi="ar"/>
        </w:rPr>
        <w:t>（9）投标人资质条件不符合国家规定和招标文件要求的；</w:t>
      </w:r>
    </w:p>
    <w:p w14:paraId="0CD085A9">
      <w:pPr>
        <w:widowControl/>
        <w:spacing w:line="430" w:lineRule="exact"/>
        <w:ind w:firstLine="420" w:firstLineChars="200"/>
        <w:rPr>
          <w:color w:val="auto"/>
          <w:szCs w:val="21"/>
          <w:highlight w:val="none"/>
        </w:rPr>
      </w:pPr>
      <w:r>
        <w:rPr>
          <w:color w:val="auto"/>
          <w:kern w:val="0"/>
          <w:szCs w:val="21"/>
          <w:highlight w:val="none"/>
          <w:lang w:bidi="ar"/>
        </w:rPr>
        <w:t>（10）</w:t>
      </w:r>
      <w:r>
        <w:rPr>
          <w:color w:val="auto"/>
          <w:highlight w:val="none"/>
        </w:rPr>
        <w:t>项目经理或施工负责人资格不符合招标文件规定的专业等级要求，或已在其他在建工程担任项目经理或施工负责人（同一工程相邻分段发包或者分期施工的除外）</w:t>
      </w:r>
      <w:r>
        <w:rPr>
          <w:color w:val="auto"/>
          <w:kern w:val="0"/>
          <w:szCs w:val="21"/>
          <w:highlight w:val="none"/>
          <w:lang w:bidi="ar"/>
        </w:rPr>
        <w:t>；</w:t>
      </w:r>
    </w:p>
    <w:p w14:paraId="2A09CC57">
      <w:pPr>
        <w:widowControl/>
        <w:spacing w:line="430" w:lineRule="exact"/>
        <w:ind w:firstLine="420" w:firstLineChars="200"/>
        <w:rPr>
          <w:color w:val="auto"/>
          <w:szCs w:val="21"/>
          <w:highlight w:val="none"/>
        </w:rPr>
      </w:pPr>
      <w:r>
        <w:rPr>
          <w:color w:val="auto"/>
          <w:kern w:val="0"/>
          <w:szCs w:val="21"/>
          <w:highlight w:val="none"/>
          <w:lang w:bidi="ar"/>
        </w:rPr>
        <w:t>（11）具有投标人须知第1.4.3（10）至（17）条目规定的情形；</w:t>
      </w:r>
    </w:p>
    <w:p w14:paraId="5CAB5332">
      <w:pPr>
        <w:widowControl/>
        <w:spacing w:line="430" w:lineRule="exact"/>
        <w:ind w:firstLine="420" w:firstLineChars="200"/>
        <w:rPr>
          <w:color w:val="auto"/>
          <w:szCs w:val="21"/>
          <w:highlight w:val="none"/>
        </w:rPr>
      </w:pPr>
      <w:r>
        <w:rPr>
          <w:color w:val="auto"/>
          <w:kern w:val="0"/>
          <w:szCs w:val="21"/>
          <w:highlight w:val="none"/>
          <w:lang w:bidi="ar"/>
        </w:rPr>
        <w:t>（12）未按招标文件要求提交投标保证金的；</w:t>
      </w:r>
    </w:p>
    <w:p w14:paraId="17347FB0">
      <w:pPr>
        <w:widowControl/>
        <w:spacing w:line="430" w:lineRule="exact"/>
        <w:ind w:firstLine="420" w:firstLineChars="200"/>
        <w:rPr>
          <w:color w:val="auto"/>
          <w:szCs w:val="21"/>
          <w:highlight w:val="none"/>
        </w:rPr>
      </w:pPr>
      <w:r>
        <w:rPr>
          <w:color w:val="auto"/>
          <w:kern w:val="0"/>
          <w:szCs w:val="21"/>
          <w:highlight w:val="none"/>
          <w:lang w:bidi="ar"/>
        </w:rPr>
        <w:t>（13）投标人填写的价格清单与招标文件给定的格式不一致的；</w:t>
      </w:r>
    </w:p>
    <w:p w14:paraId="6D4AC2F7">
      <w:pPr>
        <w:widowControl/>
        <w:spacing w:line="430" w:lineRule="exact"/>
        <w:ind w:firstLine="420" w:firstLineChars="200"/>
        <w:rPr>
          <w:color w:val="auto"/>
          <w:szCs w:val="21"/>
          <w:highlight w:val="none"/>
        </w:rPr>
      </w:pPr>
      <w:r>
        <w:rPr>
          <w:color w:val="auto"/>
          <w:kern w:val="0"/>
          <w:szCs w:val="21"/>
          <w:highlight w:val="none"/>
          <w:lang w:bidi="ar"/>
        </w:rPr>
        <w:t>（14）工期未响应招标文件规定的；</w:t>
      </w:r>
    </w:p>
    <w:p w14:paraId="790585FF">
      <w:pPr>
        <w:widowControl/>
        <w:spacing w:line="430" w:lineRule="exact"/>
        <w:ind w:firstLine="420" w:firstLineChars="200"/>
        <w:rPr>
          <w:color w:val="auto"/>
          <w:szCs w:val="21"/>
          <w:highlight w:val="none"/>
        </w:rPr>
      </w:pPr>
      <w:r>
        <w:rPr>
          <w:color w:val="auto"/>
          <w:kern w:val="0"/>
          <w:szCs w:val="21"/>
          <w:highlight w:val="none"/>
          <w:lang w:bidi="ar"/>
        </w:rPr>
        <w:t>（15）投标人不接受算术错误修正后的报价；</w:t>
      </w:r>
    </w:p>
    <w:p w14:paraId="0A4B9578">
      <w:pPr>
        <w:widowControl/>
        <w:spacing w:line="430" w:lineRule="exact"/>
        <w:ind w:firstLine="420" w:firstLineChars="200"/>
        <w:rPr>
          <w:color w:val="auto"/>
          <w:szCs w:val="21"/>
          <w:highlight w:val="none"/>
        </w:rPr>
      </w:pPr>
      <w:r>
        <w:rPr>
          <w:color w:val="auto"/>
          <w:kern w:val="0"/>
          <w:szCs w:val="21"/>
          <w:highlight w:val="none"/>
          <w:lang w:bidi="ar"/>
        </w:rPr>
        <w:t>（16）投标报价（含修正后）高于招标文件设定的最高投标限价的；</w:t>
      </w:r>
    </w:p>
    <w:p w14:paraId="079603B7">
      <w:pPr>
        <w:widowControl/>
        <w:spacing w:line="430" w:lineRule="exact"/>
        <w:ind w:firstLine="420" w:firstLineChars="200"/>
        <w:rPr>
          <w:color w:val="auto"/>
          <w:szCs w:val="21"/>
          <w:highlight w:val="none"/>
        </w:rPr>
      </w:pPr>
      <w:r>
        <w:rPr>
          <w:color w:val="auto"/>
          <w:kern w:val="0"/>
          <w:szCs w:val="21"/>
          <w:highlight w:val="none"/>
          <w:lang w:bidi="ar"/>
        </w:rPr>
        <w:t>（17）质量标准不满足招标文件规定的；</w:t>
      </w:r>
    </w:p>
    <w:p w14:paraId="3EDD8FFD">
      <w:pPr>
        <w:widowControl/>
        <w:spacing w:line="430" w:lineRule="exact"/>
        <w:ind w:firstLine="420" w:firstLineChars="200"/>
        <w:rPr>
          <w:color w:val="auto"/>
          <w:szCs w:val="21"/>
          <w:highlight w:val="none"/>
        </w:rPr>
      </w:pPr>
      <w:r>
        <w:rPr>
          <w:color w:val="auto"/>
          <w:kern w:val="0"/>
          <w:szCs w:val="21"/>
          <w:highlight w:val="none"/>
          <w:lang w:bidi="ar"/>
        </w:rPr>
        <w:t>（18）投标有效期不符合招标文件规定的；</w:t>
      </w:r>
    </w:p>
    <w:p w14:paraId="576F7268">
      <w:pPr>
        <w:widowControl/>
        <w:spacing w:line="430" w:lineRule="exact"/>
        <w:ind w:firstLine="420" w:firstLineChars="200"/>
        <w:rPr>
          <w:color w:val="auto"/>
          <w:szCs w:val="21"/>
          <w:highlight w:val="none"/>
        </w:rPr>
      </w:pPr>
      <w:r>
        <w:rPr>
          <w:color w:val="auto"/>
          <w:kern w:val="0"/>
          <w:szCs w:val="21"/>
          <w:highlight w:val="none"/>
          <w:lang w:bidi="ar"/>
        </w:rPr>
        <w:t>（19）权利义务承诺不符合或低于招标文件规定的；</w:t>
      </w:r>
    </w:p>
    <w:p w14:paraId="3D28BF3D">
      <w:pPr>
        <w:widowControl/>
        <w:spacing w:line="430" w:lineRule="exact"/>
        <w:ind w:firstLine="420" w:firstLineChars="200"/>
        <w:rPr>
          <w:color w:val="auto"/>
          <w:szCs w:val="21"/>
          <w:highlight w:val="none"/>
        </w:rPr>
      </w:pPr>
      <w:r>
        <w:rPr>
          <w:color w:val="auto"/>
          <w:kern w:val="0"/>
          <w:szCs w:val="21"/>
          <w:highlight w:val="none"/>
          <w:lang w:bidi="ar"/>
        </w:rPr>
        <w:t>（20）</w:t>
      </w:r>
      <w:r>
        <w:rPr>
          <w:color w:val="auto"/>
          <w:szCs w:val="21"/>
          <w:highlight w:val="none"/>
        </w:rPr>
        <w:t>承包人建议或承包人实施方案不符合招标文件规定的</w:t>
      </w:r>
      <w:r>
        <w:rPr>
          <w:color w:val="auto"/>
          <w:kern w:val="0"/>
          <w:szCs w:val="21"/>
          <w:highlight w:val="none"/>
          <w:lang w:bidi="ar"/>
        </w:rPr>
        <w:t>；</w:t>
      </w:r>
    </w:p>
    <w:p w14:paraId="28632A0B">
      <w:pPr>
        <w:widowControl/>
        <w:spacing w:line="430" w:lineRule="exact"/>
        <w:ind w:firstLine="420" w:firstLineChars="200"/>
        <w:rPr>
          <w:color w:val="auto"/>
          <w:szCs w:val="21"/>
          <w:highlight w:val="none"/>
        </w:rPr>
      </w:pPr>
      <w:r>
        <w:rPr>
          <w:color w:val="auto"/>
          <w:kern w:val="0"/>
          <w:szCs w:val="21"/>
          <w:highlight w:val="none"/>
          <w:lang w:bidi="ar"/>
        </w:rPr>
        <w:t>（21）分包计划不符合招标文件规定的。</w:t>
      </w:r>
    </w:p>
    <w:p w14:paraId="38BC5080">
      <w:pPr>
        <w:widowControl/>
        <w:spacing w:line="430" w:lineRule="exact"/>
        <w:ind w:firstLine="420" w:firstLineChars="200"/>
        <w:rPr>
          <w:color w:val="auto"/>
          <w:szCs w:val="21"/>
          <w:highlight w:val="none"/>
        </w:rPr>
      </w:pPr>
      <w:r>
        <w:rPr>
          <w:rFonts w:hint="eastAsia"/>
          <w:color w:val="auto"/>
          <w:kern w:val="0"/>
          <w:szCs w:val="21"/>
          <w:highlight w:val="none"/>
          <w:lang w:bidi="ar"/>
        </w:rPr>
        <w:t>B1</w:t>
      </w:r>
      <w:r>
        <w:rPr>
          <w:color w:val="auto"/>
          <w:kern w:val="0"/>
          <w:szCs w:val="21"/>
          <w:highlight w:val="none"/>
          <w:lang w:bidi="ar"/>
        </w:rPr>
        <w:t>.2不按评标委员会要求澄清、说明或补正的。</w:t>
      </w:r>
    </w:p>
    <w:p w14:paraId="10AEAD1B">
      <w:pPr>
        <w:widowControl/>
        <w:spacing w:line="430" w:lineRule="exact"/>
        <w:ind w:firstLine="420" w:firstLineChars="200"/>
        <w:rPr>
          <w:color w:val="auto"/>
          <w:szCs w:val="21"/>
          <w:highlight w:val="none"/>
        </w:rPr>
      </w:pPr>
      <w:r>
        <w:rPr>
          <w:rFonts w:hint="eastAsia"/>
          <w:color w:val="auto"/>
          <w:kern w:val="0"/>
          <w:szCs w:val="21"/>
          <w:highlight w:val="none"/>
          <w:lang w:bidi="ar"/>
        </w:rPr>
        <w:t>B1</w:t>
      </w:r>
      <w:r>
        <w:rPr>
          <w:color w:val="auto"/>
          <w:kern w:val="0"/>
          <w:szCs w:val="21"/>
          <w:highlight w:val="none"/>
          <w:lang w:bidi="ar"/>
        </w:rPr>
        <w:t>.3有串通投标、弄虚作假或有其他违法行为的。包括以下内容：</w:t>
      </w:r>
    </w:p>
    <w:p w14:paraId="060A2036">
      <w:pPr>
        <w:widowControl/>
        <w:spacing w:line="430" w:lineRule="exact"/>
        <w:ind w:firstLine="420" w:firstLineChars="200"/>
        <w:rPr>
          <w:color w:val="auto"/>
          <w:szCs w:val="21"/>
          <w:highlight w:val="none"/>
        </w:rPr>
      </w:pPr>
      <w:r>
        <w:rPr>
          <w:color w:val="auto"/>
          <w:kern w:val="0"/>
          <w:szCs w:val="21"/>
          <w:highlight w:val="none"/>
          <w:lang w:bidi="ar"/>
        </w:rPr>
        <w:t>（1）有下列情形之一的，视为投标人相互串通投标：</w:t>
      </w:r>
    </w:p>
    <w:p w14:paraId="0A811921">
      <w:pPr>
        <w:widowControl/>
        <w:spacing w:line="430" w:lineRule="exact"/>
        <w:ind w:firstLine="420" w:firstLineChars="200"/>
        <w:rPr>
          <w:color w:val="auto"/>
          <w:szCs w:val="21"/>
          <w:highlight w:val="none"/>
        </w:rPr>
      </w:pPr>
      <w:r>
        <w:rPr>
          <w:rFonts w:hint="eastAsia" w:ascii="宋体" w:hAnsi="宋体" w:cs="宋体"/>
          <w:color w:val="auto"/>
          <w:kern w:val="0"/>
          <w:szCs w:val="21"/>
          <w:highlight w:val="none"/>
          <w:lang w:bidi="ar"/>
        </w:rPr>
        <w:t>①</w:t>
      </w:r>
      <w:r>
        <w:rPr>
          <w:color w:val="auto"/>
          <w:kern w:val="0"/>
          <w:szCs w:val="21"/>
          <w:highlight w:val="none"/>
          <w:lang w:bidi="ar"/>
        </w:rPr>
        <w:t xml:space="preserve"> 不同投标人的投标文件由同一单位或者个人编制；</w:t>
      </w:r>
    </w:p>
    <w:p w14:paraId="3BC3052F">
      <w:pPr>
        <w:widowControl/>
        <w:spacing w:line="430" w:lineRule="exact"/>
        <w:ind w:firstLine="420" w:firstLineChars="200"/>
        <w:rPr>
          <w:color w:val="auto"/>
          <w:szCs w:val="21"/>
          <w:highlight w:val="none"/>
        </w:rPr>
      </w:pPr>
      <w:r>
        <w:rPr>
          <w:rFonts w:hint="eastAsia" w:ascii="宋体" w:hAnsi="宋体" w:cs="宋体"/>
          <w:color w:val="auto"/>
          <w:kern w:val="0"/>
          <w:szCs w:val="21"/>
          <w:highlight w:val="none"/>
          <w:lang w:bidi="ar"/>
        </w:rPr>
        <w:t>②</w:t>
      </w:r>
      <w:r>
        <w:rPr>
          <w:color w:val="auto"/>
          <w:kern w:val="0"/>
          <w:szCs w:val="21"/>
          <w:highlight w:val="none"/>
          <w:lang w:bidi="ar"/>
        </w:rPr>
        <w:t xml:space="preserve"> 不同投标人委托同一单位或者个人办理投标事宜；</w:t>
      </w:r>
    </w:p>
    <w:p w14:paraId="634AAFB2">
      <w:pPr>
        <w:widowControl/>
        <w:spacing w:line="430" w:lineRule="exact"/>
        <w:ind w:firstLine="420" w:firstLineChars="200"/>
        <w:rPr>
          <w:color w:val="auto"/>
          <w:szCs w:val="21"/>
          <w:highlight w:val="none"/>
        </w:rPr>
      </w:pPr>
      <w:r>
        <w:rPr>
          <w:rFonts w:hint="eastAsia" w:ascii="宋体" w:hAnsi="宋体" w:cs="宋体"/>
          <w:color w:val="auto"/>
          <w:kern w:val="0"/>
          <w:szCs w:val="21"/>
          <w:highlight w:val="none"/>
          <w:lang w:bidi="ar"/>
        </w:rPr>
        <w:t>③</w:t>
      </w:r>
      <w:r>
        <w:rPr>
          <w:color w:val="auto"/>
          <w:kern w:val="0"/>
          <w:szCs w:val="21"/>
          <w:highlight w:val="none"/>
          <w:lang w:bidi="ar"/>
        </w:rPr>
        <w:t xml:space="preserve"> 不同投标人使用同一电脑等电子设备办理投标事宜（</w:t>
      </w:r>
      <w:r>
        <w:rPr>
          <w:color w:val="auto"/>
          <w:highlight w:val="none"/>
        </w:rPr>
        <w:t>下载招标文件、上传投标文件、授权委托人或项目经理实名认证等关键环节</w:t>
      </w:r>
      <w:r>
        <w:rPr>
          <w:color w:val="auto"/>
          <w:kern w:val="0"/>
          <w:szCs w:val="21"/>
          <w:highlight w:val="none"/>
          <w:lang w:bidi="ar"/>
        </w:rPr>
        <w:t>）；</w:t>
      </w:r>
    </w:p>
    <w:p w14:paraId="36C68989">
      <w:pPr>
        <w:widowControl/>
        <w:spacing w:line="430" w:lineRule="exact"/>
        <w:ind w:firstLine="420" w:firstLineChars="200"/>
        <w:rPr>
          <w:color w:val="auto"/>
          <w:szCs w:val="21"/>
          <w:highlight w:val="none"/>
        </w:rPr>
      </w:pPr>
      <w:r>
        <w:rPr>
          <w:rFonts w:hint="eastAsia" w:ascii="宋体" w:hAnsi="宋体" w:cs="宋体"/>
          <w:color w:val="auto"/>
          <w:kern w:val="0"/>
          <w:szCs w:val="21"/>
          <w:highlight w:val="none"/>
          <w:lang w:bidi="ar"/>
        </w:rPr>
        <w:t>④</w:t>
      </w:r>
      <w:r>
        <w:rPr>
          <w:color w:val="auto"/>
          <w:kern w:val="0"/>
          <w:szCs w:val="21"/>
          <w:highlight w:val="none"/>
          <w:lang w:bidi="ar"/>
        </w:rPr>
        <w:t xml:space="preserve"> 不同投标人的投标文件载明的项目管理成员为同一人；</w:t>
      </w:r>
    </w:p>
    <w:p w14:paraId="5C0278D1">
      <w:pPr>
        <w:widowControl/>
        <w:spacing w:line="430" w:lineRule="exact"/>
        <w:ind w:firstLine="420" w:firstLineChars="200"/>
        <w:rPr>
          <w:color w:val="auto"/>
          <w:szCs w:val="21"/>
          <w:highlight w:val="none"/>
        </w:rPr>
      </w:pPr>
      <w:r>
        <w:rPr>
          <w:rFonts w:hint="eastAsia" w:ascii="宋体" w:hAnsi="宋体" w:cs="宋体"/>
          <w:color w:val="auto"/>
          <w:kern w:val="0"/>
          <w:szCs w:val="21"/>
          <w:highlight w:val="none"/>
          <w:lang w:bidi="ar"/>
        </w:rPr>
        <w:t>⑤</w:t>
      </w:r>
      <w:r>
        <w:rPr>
          <w:color w:val="auto"/>
          <w:kern w:val="0"/>
          <w:szCs w:val="21"/>
          <w:highlight w:val="none"/>
          <w:lang w:bidi="ar"/>
        </w:rPr>
        <w:t xml:space="preserve"> 不同投标人的投标文件非典型一致或者投标报价呈规律性差异；</w:t>
      </w:r>
    </w:p>
    <w:p w14:paraId="5C340B71">
      <w:pPr>
        <w:widowControl/>
        <w:spacing w:line="430" w:lineRule="exact"/>
        <w:ind w:firstLine="420" w:firstLineChars="200"/>
        <w:rPr>
          <w:color w:val="auto"/>
          <w:szCs w:val="21"/>
          <w:highlight w:val="none"/>
        </w:rPr>
      </w:pPr>
      <w:r>
        <w:rPr>
          <w:rFonts w:hint="eastAsia" w:ascii="宋体" w:hAnsi="宋体" w:cs="宋体"/>
          <w:color w:val="auto"/>
          <w:kern w:val="0"/>
          <w:szCs w:val="21"/>
          <w:highlight w:val="none"/>
          <w:lang w:bidi="ar"/>
        </w:rPr>
        <w:t>⑥</w:t>
      </w:r>
      <w:r>
        <w:rPr>
          <w:color w:val="auto"/>
          <w:kern w:val="0"/>
          <w:szCs w:val="21"/>
          <w:highlight w:val="none"/>
          <w:lang w:bidi="ar"/>
        </w:rPr>
        <w:t xml:space="preserve"> 不同投标人的投标文件相互混装；</w:t>
      </w:r>
    </w:p>
    <w:p w14:paraId="69B350CE">
      <w:pPr>
        <w:widowControl/>
        <w:spacing w:line="430" w:lineRule="exact"/>
        <w:ind w:firstLine="420" w:firstLineChars="200"/>
        <w:rPr>
          <w:color w:val="auto"/>
          <w:szCs w:val="21"/>
          <w:highlight w:val="none"/>
        </w:rPr>
      </w:pPr>
      <w:r>
        <w:rPr>
          <w:color w:val="auto"/>
          <w:kern w:val="0"/>
          <w:szCs w:val="21"/>
          <w:highlight w:val="none"/>
          <w:lang w:bidi="ar"/>
        </w:rPr>
        <w:fldChar w:fldCharType="begin"/>
      </w:r>
      <w:r>
        <w:rPr>
          <w:color w:val="auto"/>
          <w:kern w:val="0"/>
          <w:szCs w:val="21"/>
          <w:highlight w:val="none"/>
          <w:lang w:bidi="ar"/>
        </w:rPr>
        <w:instrText xml:space="preserve"> = 7 \* GB3 </w:instrText>
      </w:r>
      <w:r>
        <w:rPr>
          <w:color w:val="auto"/>
          <w:kern w:val="0"/>
          <w:szCs w:val="21"/>
          <w:highlight w:val="none"/>
          <w:lang w:bidi="ar"/>
        </w:rPr>
        <w:fldChar w:fldCharType="separate"/>
      </w:r>
      <w:r>
        <w:rPr>
          <w:color w:val="auto"/>
          <w:kern w:val="0"/>
          <w:szCs w:val="21"/>
          <w:highlight w:val="none"/>
          <w:lang w:bidi="ar"/>
        </w:rPr>
        <w:t>⑦</w:t>
      </w:r>
      <w:r>
        <w:rPr>
          <w:color w:val="auto"/>
          <w:kern w:val="0"/>
          <w:szCs w:val="21"/>
          <w:highlight w:val="none"/>
          <w:lang w:bidi="ar"/>
        </w:rPr>
        <w:fldChar w:fldCharType="end"/>
      </w:r>
      <w:r>
        <w:rPr>
          <w:color w:val="auto"/>
          <w:kern w:val="0"/>
          <w:szCs w:val="21"/>
          <w:highlight w:val="none"/>
          <w:lang w:bidi="ar"/>
        </w:rPr>
        <w:t xml:space="preserve"> 不同投标人的投标保证金或保函（保险）财务费用从同一单位或者个人的账户转出；</w:t>
      </w:r>
    </w:p>
    <w:p w14:paraId="3A37C4BA">
      <w:pPr>
        <w:widowControl/>
        <w:spacing w:line="430" w:lineRule="exact"/>
        <w:ind w:firstLine="420" w:firstLineChars="200"/>
        <w:rPr>
          <w:color w:val="auto"/>
          <w:szCs w:val="21"/>
          <w:highlight w:val="none"/>
        </w:rPr>
      </w:pPr>
      <w:r>
        <w:rPr>
          <w:rFonts w:hint="eastAsia" w:ascii="宋体" w:hAnsi="宋体" w:cs="宋体"/>
          <w:color w:val="auto"/>
          <w:kern w:val="0"/>
          <w:szCs w:val="21"/>
          <w:highlight w:val="none"/>
          <w:lang w:bidi="ar"/>
        </w:rPr>
        <w:t>⑧</w:t>
      </w:r>
      <w:r>
        <w:rPr>
          <w:color w:val="auto"/>
          <w:kern w:val="0"/>
          <w:szCs w:val="21"/>
          <w:highlight w:val="none"/>
          <w:lang w:bidi="ar"/>
        </w:rPr>
        <w:t xml:space="preserve"> 不同投标人的投标文件存在“MAC地址”、“文件创建标识码”、“文件制作机器码”等唯一性标识一致等情形。</w:t>
      </w:r>
    </w:p>
    <w:p w14:paraId="57A0887A">
      <w:pPr>
        <w:widowControl/>
        <w:spacing w:line="430" w:lineRule="exact"/>
        <w:ind w:firstLine="210" w:firstLineChars="100"/>
        <w:rPr>
          <w:color w:val="auto"/>
          <w:szCs w:val="21"/>
          <w:highlight w:val="none"/>
        </w:rPr>
      </w:pPr>
      <w:r>
        <w:rPr>
          <w:color w:val="auto"/>
          <w:kern w:val="0"/>
          <w:szCs w:val="21"/>
          <w:highlight w:val="none"/>
          <w:lang w:bidi="ar"/>
        </w:rPr>
        <w:t>（2）有下列情形之一的，属于弄虚作假行为：</w:t>
      </w:r>
    </w:p>
    <w:p w14:paraId="10716835">
      <w:pPr>
        <w:widowControl/>
        <w:spacing w:line="430" w:lineRule="exact"/>
        <w:ind w:firstLine="420" w:firstLineChars="200"/>
        <w:rPr>
          <w:color w:val="auto"/>
          <w:szCs w:val="21"/>
          <w:highlight w:val="none"/>
        </w:rPr>
      </w:pPr>
      <w:r>
        <w:rPr>
          <w:rFonts w:hint="eastAsia" w:ascii="宋体" w:hAnsi="宋体" w:cs="宋体"/>
          <w:color w:val="auto"/>
          <w:kern w:val="0"/>
          <w:szCs w:val="21"/>
          <w:highlight w:val="none"/>
          <w:lang w:bidi="ar"/>
        </w:rPr>
        <w:t>①</w:t>
      </w:r>
      <w:r>
        <w:rPr>
          <w:color w:val="auto"/>
          <w:kern w:val="0"/>
          <w:szCs w:val="21"/>
          <w:highlight w:val="none"/>
          <w:lang w:bidi="ar"/>
        </w:rPr>
        <w:t xml:space="preserve"> 使用通过受让或者租借等方式获取的资格、资质证书投标的，即以他人名义投标的。</w:t>
      </w:r>
    </w:p>
    <w:p w14:paraId="20E2AF81">
      <w:pPr>
        <w:widowControl/>
        <w:spacing w:line="430" w:lineRule="exact"/>
        <w:ind w:firstLine="420" w:firstLineChars="200"/>
        <w:rPr>
          <w:color w:val="auto"/>
          <w:szCs w:val="21"/>
          <w:highlight w:val="none"/>
        </w:rPr>
      </w:pPr>
      <w:r>
        <w:rPr>
          <w:rFonts w:hint="eastAsia" w:ascii="宋体" w:hAnsi="宋体" w:cs="宋体"/>
          <w:color w:val="auto"/>
          <w:kern w:val="0"/>
          <w:szCs w:val="21"/>
          <w:highlight w:val="none"/>
          <w:lang w:bidi="ar"/>
        </w:rPr>
        <w:t>②</w:t>
      </w:r>
      <w:r>
        <w:rPr>
          <w:color w:val="auto"/>
          <w:kern w:val="0"/>
          <w:szCs w:val="21"/>
          <w:highlight w:val="none"/>
          <w:lang w:bidi="ar"/>
        </w:rPr>
        <w:t xml:space="preserve"> 使用伪造、变造的许可证件；</w:t>
      </w:r>
    </w:p>
    <w:p w14:paraId="580A6EC5">
      <w:pPr>
        <w:widowControl/>
        <w:spacing w:line="430" w:lineRule="exact"/>
        <w:ind w:firstLine="420" w:firstLineChars="200"/>
        <w:rPr>
          <w:color w:val="auto"/>
          <w:szCs w:val="21"/>
          <w:highlight w:val="none"/>
        </w:rPr>
      </w:pPr>
      <w:r>
        <w:rPr>
          <w:rFonts w:hint="eastAsia" w:ascii="宋体" w:hAnsi="宋体" w:cs="宋体"/>
          <w:color w:val="auto"/>
          <w:kern w:val="0"/>
          <w:szCs w:val="21"/>
          <w:highlight w:val="none"/>
          <w:lang w:bidi="ar"/>
        </w:rPr>
        <w:t>③</w:t>
      </w:r>
      <w:r>
        <w:rPr>
          <w:color w:val="auto"/>
          <w:kern w:val="0"/>
          <w:szCs w:val="21"/>
          <w:highlight w:val="none"/>
          <w:lang w:bidi="ar"/>
        </w:rPr>
        <w:t xml:space="preserve"> 提供虚假的财务状况或者业绩；</w:t>
      </w:r>
    </w:p>
    <w:p w14:paraId="7F50D655">
      <w:pPr>
        <w:widowControl/>
        <w:spacing w:line="430" w:lineRule="exact"/>
        <w:ind w:firstLine="420" w:firstLineChars="200"/>
        <w:rPr>
          <w:color w:val="auto"/>
          <w:szCs w:val="21"/>
          <w:highlight w:val="none"/>
        </w:rPr>
      </w:pPr>
      <w:r>
        <w:rPr>
          <w:rFonts w:hint="eastAsia" w:ascii="宋体" w:hAnsi="宋体" w:cs="宋体"/>
          <w:color w:val="auto"/>
          <w:kern w:val="0"/>
          <w:szCs w:val="21"/>
          <w:highlight w:val="none"/>
          <w:lang w:bidi="ar"/>
        </w:rPr>
        <w:t>④</w:t>
      </w:r>
      <w:r>
        <w:rPr>
          <w:color w:val="auto"/>
          <w:kern w:val="0"/>
          <w:szCs w:val="21"/>
          <w:highlight w:val="none"/>
          <w:lang w:bidi="ar"/>
        </w:rPr>
        <w:t xml:space="preserve"> 提供虚假的</w:t>
      </w:r>
      <w:r>
        <w:rPr>
          <w:color w:val="auto"/>
          <w:highlight w:val="none"/>
        </w:rPr>
        <w:t>项目负责人或者主要技术人员简历、社会保险证明</w:t>
      </w:r>
      <w:r>
        <w:rPr>
          <w:color w:val="auto"/>
          <w:kern w:val="0"/>
          <w:szCs w:val="21"/>
          <w:highlight w:val="none"/>
          <w:lang w:bidi="ar"/>
        </w:rPr>
        <w:t>；</w:t>
      </w:r>
    </w:p>
    <w:p w14:paraId="61B0015D">
      <w:pPr>
        <w:widowControl/>
        <w:spacing w:line="430" w:lineRule="exact"/>
        <w:ind w:firstLine="420" w:firstLineChars="200"/>
        <w:rPr>
          <w:color w:val="auto"/>
          <w:szCs w:val="21"/>
          <w:highlight w:val="none"/>
        </w:rPr>
      </w:pPr>
      <w:r>
        <w:rPr>
          <w:rFonts w:hint="eastAsia" w:ascii="宋体" w:hAnsi="宋体" w:cs="宋体"/>
          <w:color w:val="auto"/>
          <w:kern w:val="0"/>
          <w:szCs w:val="21"/>
          <w:highlight w:val="none"/>
          <w:lang w:bidi="ar"/>
        </w:rPr>
        <w:t>⑤</w:t>
      </w:r>
      <w:r>
        <w:rPr>
          <w:color w:val="auto"/>
          <w:kern w:val="0"/>
          <w:szCs w:val="21"/>
          <w:highlight w:val="none"/>
          <w:lang w:bidi="ar"/>
        </w:rPr>
        <w:t xml:space="preserve"> 提供虚假的信用状况；</w:t>
      </w:r>
    </w:p>
    <w:p w14:paraId="447B2629">
      <w:pPr>
        <w:widowControl/>
        <w:spacing w:line="430" w:lineRule="exact"/>
        <w:ind w:firstLine="420" w:firstLineChars="200"/>
        <w:rPr>
          <w:color w:val="auto"/>
          <w:szCs w:val="21"/>
          <w:highlight w:val="none"/>
        </w:rPr>
      </w:pPr>
      <w:r>
        <w:rPr>
          <w:rFonts w:hint="eastAsia" w:ascii="宋体" w:hAnsi="宋体" w:cs="宋体"/>
          <w:color w:val="auto"/>
          <w:kern w:val="0"/>
          <w:szCs w:val="21"/>
          <w:highlight w:val="none"/>
          <w:lang w:bidi="ar"/>
        </w:rPr>
        <w:t>⑥</w:t>
      </w:r>
      <w:r>
        <w:rPr>
          <w:color w:val="auto"/>
          <w:kern w:val="0"/>
          <w:szCs w:val="21"/>
          <w:highlight w:val="none"/>
          <w:lang w:bidi="ar"/>
        </w:rPr>
        <w:t xml:space="preserve"> 其他弄虚作假的行为。</w:t>
      </w:r>
    </w:p>
    <w:p w14:paraId="5CE26435">
      <w:pPr>
        <w:widowControl/>
        <w:spacing w:line="430" w:lineRule="exact"/>
        <w:ind w:firstLine="420" w:firstLineChars="200"/>
        <w:rPr>
          <w:color w:val="auto"/>
          <w:szCs w:val="21"/>
          <w:highlight w:val="none"/>
        </w:rPr>
      </w:pPr>
      <w:r>
        <w:rPr>
          <w:rFonts w:hint="eastAsia"/>
          <w:color w:val="auto"/>
          <w:kern w:val="0"/>
          <w:szCs w:val="21"/>
          <w:highlight w:val="none"/>
          <w:lang w:bidi="ar"/>
        </w:rPr>
        <w:t>B1</w:t>
      </w:r>
      <w:r>
        <w:rPr>
          <w:color w:val="auto"/>
          <w:kern w:val="0"/>
          <w:szCs w:val="21"/>
          <w:highlight w:val="none"/>
          <w:lang w:bidi="ar"/>
        </w:rPr>
        <w:t>.4有第二章“投标人须知”第1.4.3项规定的任何一种情形。包括以下内容：</w:t>
      </w:r>
    </w:p>
    <w:p w14:paraId="77146A28">
      <w:pPr>
        <w:spacing w:line="400" w:lineRule="exact"/>
        <w:ind w:firstLine="315" w:firstLineChars="150"/>
        <w:rPr>
          <w:color w:val="auto"/>
          <w:highlight w:val="none"/>
        </w:rPr>
      </w:pPr>
      <w:r>
        <w:rPr>
          <w:color w:val="auto"/>
          <w:highlight w:val="none"/>
        </w:rPr>
        <w:t>（1）为招标人不具有独立法人资格的附属机构（单位）；</w:t>
      </w:r>
    </w:p>
    <w:p w14:paraId="3D95A4D2">
      <w:pPr>
        <w:spacing w:line="400" w:lineRule="exact"/>
        <w:ind w:firstLine="315" w:firstLineChars="150"/>
        <w:rPr>
          <w:color w:val="auto"/>
          <w:highlight w:val="none"/>
        </w:rPr>
      </w:pPr>
      <w:r>
        <w:rPr>
          <w:rFonts w:hint="eastAsia"/>
          <w:color w:val="auto"/>
          <w:highlight w:val="none"/>
        </w:rPr>
        <w:t>（2）为本招标项目前期准备提供设计或咨询服务的（招标文件另有规定的情形除外）；</w:t>
      </w:r>
    </w:p>
    <w:p w14:paraId="113E2A12">
      <w:pPr>
        <w:spacing w:line="400" w:lineRule="exact"/>
        <w:ind w:firstLine="315" w:firstLineChars="150"/>
        <w:rPr>
          <w:color w:val="auto"/>
          <w:highlight w:val="none"/>
        </w:rPr>
      </w:pPr>
      <w:r>
        <w:rPr>
          <w:rFonts w:hint="eastAsia"/>
          <w:color w:val="auto"/>
          <w:highlight w:val="none"/>
        </w:rPr>
        <w:t>（3）为本招标项目的监理人；</w:t>
      </w:r>
    </w:p>
    <w:p w14:paraId="2E9193CD">
      <w:pPr>
        <w:spacing w:line="400" w:lineRule="exact"/>
        <w:ind w:firstLine="315" w:firstLineChars="150"/>
        <w:rPr>
          <w:color w:val="auto"/>
          <w:highlight w:val="none"/>
        </w:rPr>
      </w:pPr>
      <w:r>
        <w:rPr>
          <w:rFonts w:hint="eastAsia"/>
          <w:color w:val="auto"/>
          <w:highlight w:val="none"/>
        </w:rPr>
        <w:t xml:space="preserve">（4）为本招标项目的代建人； </w:t>
      </w:r>
    </w:p>
    <w:p w14:paraId="7FD008D6">
      <w:pPr>
        <w:spacing w:line="400" w:lineRule="exact"/>
        <w:ind w:firstLine="315" w:firstLineChars="150"/>
        <w:rPr>
          <w:color w:val="auto"/>
          <w:highlight w:val="none"/>
        </w:rPr>
      </w:pPr>
      <w:r>
        <w:rPr>
          <w:rFonts w:hint="eastAsia"/>
          <w:color w:val="auto"/>
          <w:highlight w:val="none"/>
        </w:rPr>
        <w:t>（5）为本招标项目提供招标代理服务的；</w:t>
      </w:r>
    </w:p>
    <w:p w14:paraId="1F8F5299">
      <w:pPr>
        <w:spacing w:line="400" w:lineRule="exact"/>
        <w:ind w:firstLine="315" w:firstLineChars="150"/>
        <w:rPr>
          <w:color w:val="auto"/>
          <w:highlight w:val="none"/>
        </w:rPr>
      </w:pPr>
      <w:r>
        <w:rPr>
          <w:rFonts w:hint="eastAsia"/>
          <w:color w:val="auto"/>
          <w:highlight w:val="none"/>
        </w:rPr>
        <w:t>（6）与本招标项目的监理人或代建人或招标代理机构同为一个法定代表人或单位负责人；</w:t>
      </w:r>
      <w:r>
        <w:rPr>
          <w:color w:val="auto"/>
          <w:highlight w:val="none"/>
        </w:rPr>
        <w:t xml:space="preserve"> </w:t>
      </w:r>
    </w:p>
    <w:p w14:paraId="1BE1C457">
      <w:pPr>
        <w:spacing w:line="400" w:lineRule="exact"/>
        <w:ind w:firstLine="315" w:firstLineChars="150"/>
        <w:rPr>
          <w:color w:val="auto"/>
          <w:highlight w:val="none"/>
        </w:rPr>
      </w:pPr>
      <w:r>
        <w:rPr>
          <w:rFonts w:hint="eastAsia"/>
          <w:color w:val="auto"/>
          <w:highlight w:val="none"/>
        </w:rPr>
        <w:t>（7）与本招标项目的监理人或代建人或招标代理机构相互控股或参股的；</w:t>
      </w:r>
    </w:p>
    <w:p w14:paraId="4E06A3E0">
      <w:pPr>
        <w:spacing w:line="400" w:lineRule="exact"/>
        <w:ind w:firstLine="315" w:firstLineChars="150"/>
        <w:rPr>
          <w:color w:val="auto"/>
          <w:highlight w:val="none"/>
        </w:rPr>
      </w:pPr>
      <w:r>
        <w:rPr>
          <w:rFonts w:hint="eastAsia"/>
          <w:color w:val="auto"/>
          <w:highlight w:val="none"/>
        </w:rPr>
        <w:t>（8）与本招标项目的监理人或代建人或招标代理机构法定代表人或单位负责人相互任职或工作；</w:t>
      </w:r>
    </w:p>
    <w:p w14:paraId="78DAEB3B">
      <w:pPr>
        <w:spacing w:line="400" w:lineRule="exact"/>
        <w:ind w:firstLine="315" w:firstLineChars="150"/>
        <w:rPr>
          <w:color w:val="auto"/>
          <w:highlight w:val="none"/>
        </w:rPr>
      </w:pPr>
      <w:r>
        <w:rPr>
          <w:rFonts w:hint="eastAsia"/>
          <w:color w:val="auto"/>
          <w:highlight w:val="none"/>
        </w:rPr>
        <w:t>（9）单位负责人为同一人或者存在控股、管理关系的不同单位，同时参加本标段投标的；</w:t>
      </w:r>
    </w:p>
    <w:p w14:paraId="59E225E1">
      <w:pPr>
        <w:spacing w:line="400" w:lineRule="exact"/>
        <w:ind w:firstLine="315" w:firstLineChars="150"/>
        <w:rPr>
          <w:color w:val="auto"/>
          <w:highlight w:val="none"/>
        </w:rPr>
      </w:pPr>
      <w:r>
        <w:rPr>
          <w:rFonts w:hint="eastAsia"/>
          <w:color w:val="auto"/>
          <w:highlight w:val="none"/>
        </w:rPr>
        <w:t>（10）被依法暂停或取消投标资格（指被本招标项目所在地县级及以上住房城乡建设主管部门或其他行政主管部门暂停或取消投标资格或禁止进入该区域建设市场且处于有效期内）；</w:t>
      </w:r>
      <w:r>
        <w:rPr>
          <w:color w:val="auto"/>
          <w:highlight w:val="none"/>
        </w:rPr>
        <w:t xml:space="preserve"> </w:t>
      </w:r>
      <w:r>
        <w:rPr>
          <w:rFonts w:hint="eastAsia"/>
          <w:color w:val="auto"/>
          <w:highlight w:val="none"/>
        </w:rPr>
        <w:t xml:space="preserve"> </w:t>
      </w:r>
    </w:p>
    <w:p w14:paraId="0C270A36">
      <w:pPr>
        <w:spacing w:line="400" w:lineRule="exact"/>
        <w:ind w:firstLine="315" w:firstLineChars="150"/>
        <w:rPr>
          <w:color w:val="auto"/>
          <w:highlight w:val="none"/>
        </w:rPr>
      </w:pPr>
      <w:r>
        <w:rPr>
          <w:rFonts w:hint="eastAsia"/>
          <w:color w:val="auto"/>
          <w:highlight w:val="none"/>
        </w:rPr>
        <w:t>（11）被责令停产停业、暂扣或者吊销许可证、暂扣或者吊销执照；</w:t>
      </w:r>
    </w:p>
    <w:p w14:paraId="00D16516">
      <w:pPr>
        <w:spacing w:line="400" w:lineRule="exact"/>
        <w:ind w:firstLine="315" w:firstLineChars="150"/>
        <w:rPr>
          <w:color w:val="auto"/>
          <w:highlight w:val="none"/>
        </w:rPr>
      </w:pPr>
      <w:r>
        <w:rPr>
          <w:rFonts w:hint="eastAsia"/>
          <w:color w:val="auto"/>
          <w:highlight w:val="none"/>
        </w:rPr>
        <w:t>（12）进入清算程序，或被宣告破产，或其他丧失履约能力的情形；</w:t>
      </w:r>
    </w:p>
    <w:p w14:paraId="13182059">
      <w:pPr>
        <w:spacing w:line="400" w:lineRule="exact"/>
        <w:ind w:firstLine="315" w:firstLineChars="150"/>
        <w:rPr>
          <w:color w:val="auto"/>
          <w:highlight w:val="none"/>
        </w:rPr>
      </w:pPr>
      <w:r>
        <w:rPr>
          <w:rFonts w:hint="eastAsia"/>
          <w:color w:val="auto"/>
          <w:highlight w:val="none"/>
        </w:rPr>
        <w:t>（13）在最近三年内有骗取中标或严重违约或重大工程质量问题的</w:t>
      </w:r>
      <w:r>
        <w:rPr>
          <w:color w:val="auto"/>
          <w:highlight w:val="none"/>
        </w:rPr>
        <w:t xml:space="preserve"> </w:t>
      </w:r>
      <w:r>
        <w:rPr>
          <w:rFonts w:hint="eastAsia"/>
          <w:color w:val="auto"/>
          <w:highlight w:val="none"/>
        </w:rPr>
        <w:t>（以相关行业主管部门的行政处罚决定或司法机关出具的有关法律文书为准）；</w:t>
      </w:r>
    </w:p>
    <w:p w14:paraId="4467702B">
      <w:pPr>
        <w:spacing w:line="400" w:lineRule="exact"/>
        <w:ind w:firstLine="315" w:firstLineChars="150"/>
        <w:rPr>
          <w:color w:val="auto"/>
          <w:highlight w:val="none"/>
        </w:rPr>
      </w:pPr>
      <w:r>
        <w:rPr>
          <w:rFonts w:hint="eastAsia"/>
          <w:color w:val="auto"/>
          <w:highlight w:val="none"/>
        </w:rPr>
        <w:t>（14）在“国家企业信用信息公示系统”（www.gsxt.gov.cn）中被列入严重违法失信企业名单；</w:t>
      </w:r>
    </w:p>
    <w:p w14:paraId="3A779DEF">
      <w:pPr>
        <w:spacing w:line="400" w:lineRule="exact"/>
        <w:ind w:firstLine="315" w:firstLineChars="150"/>
        <w:rPr>
          <w:color w:val="auto"/>
          <w:highlight w:val="none"/>
        </w:rPr>
      </w:pPr>
      <w:r>
        <w:rPr>
          <w:rFonts w:hint="eastAsia"/>
          <w:color w:val="auto"/>
          <w:highlight w:val="none"/>
        </w:rPr>
        <w:t>（15）在“信用中国”网站（www.creditchina.gov.cn）或“中国执行信息公开网”（http://zxgk.court.gov.cn/shixin/）被列入失信被执行人名单；</w:t>
      </w:r>
    </w:p>
    <w:p w14:paraId="15F01075">
      <w:pPr>
        <w:spacing w:line="400" w:lineRule="exact"/>
        <w:ind w:firstLine="315" w:firstLineChars="150"/>
        <w:rPr>
          <w:color w:val="auto"/>
          <w:highlight w:val="none"/>
        </w:rPr>
      </w:pPr>
      <w:r>
        <w:rPr>
          <w:rFonts w:hint="eastAsia"/>
          <w:color w:val="auto"/>
          <w:highlight w:val="none"/>
        </w:rPr>
        <w:t>（16）在辽宁省建设工程招投标监督平台-辽宁建设工程信息网上被列入不良行为记录且在公布期内的；</w:t>
      </w:r>
    </w:p>
    <w:p w14:paraId="3FEFF72B">
      <w:pPr>
        <w:spacing w:line="400" w:lineRule="exact"/>
        <w:ind w:firstLine="315" w:firstLineChars="150"/>
        <w:rPr>
          <w:color w:val="auto"/>
          <w:highlight w:val="none"/>
        </w:rPr>
      </w:pPr>
      <w:r>
        <w:rPr>
          <w:rFonts w:hint="eastAsia"/>
          <w:color w:val="auto"/>
          <w:highlight w:val="none"/>
        </w:rPr>
        <w:t>（17）法律法规规定的其他情形。</w:t>
      </w:r>
    </w:p>
    <w:p w14:paraId="3D263597">
      <w:pPr>
        <w:spacing w:line="360" w:lineRule="exact"/>
        <w:ind w:firstLine="420" w:firstLineChars="200"/>
        <w:rPr>
          <w:rFonts w:hint="eastAsia" w:ascii="宋体" w:hAnsi="宋体"/>
          <w:color w:val="auto"/>
          <w:highlight w:val="none"/>
        </w:rPr>
      </w:pPr>
      <w:r>
        <w:rPr>
          <w:rFonts w:hint="eastAsia" w:ascii="宋体" w:hAnsi="宋体"/>
          <w:color w:val="auto"/>
          <w:highlight w:val="none"/>
        </w:rPr>
        <w:t>B1.5</w:t>
      </w:r>
      <w:r>
        <w:rPr>
          <w:rFonts w:hint="eastAsia"/>
          <w:color w:val="auto"/>
          <w:highlight w:val="none"/>
        </w:rPr>
        <w:t>未如实填写近年发生的诉讼及仲裁情况，隐瞒真实情况的。</w:t>
      </w:r>
    </w:p>
    <w:p w14:paraId="67E21873">
      <w:pPr>
        <w:widowControl/>
        <w:spacing w:line="430" w:lineRule="exact"/>
        <w:ind w:firstLine="420" w:firstLineChars="200"/>
        <w:rPr>
          <w:color w:val="auto"/>
          <w:szCs w:val="21"/>
          <w:highlight w:val="none"/>
        </w:rPr>
      </w:pPr>
      <w:r>
        <w:rPr>
          <w:rFonts w:hint="eastAsia"/>
          <w:color w:val="auto"/>
          <w:kern w:val="0"/>
          <w:szCs w:val="21"/>
          <w:highlight w:val="none"/>
          <w:lang w:bidi="ar"/>
        </w:rPr>
        <w:t>B1</w:t>
      </w:r>
      <w:r>
        <w:rPr>
          <w:color w:val="auto"/>
          <w:kern w:val="0"/>
          <w:szCs w:val="21"/>
          <w:highlight w:val="none"/>
          <w:lang w:bidi="ar"/>
        </w:rPr>
        <w:t>.</w:t>
      </w:r>
      <w:r>
        <w:rPr>
          <w:rFonts w:hint="eastAsia"/>
          <w:color w:val="auto"/>
          <w:kern w:val="0"/>
          <w:szCs w:val="21"/>
          <w:highlight w:val="none"/>
          <w:lang w:bidi="ar"/>
        </w:rPr>
        <w:t>6</w:t>
      </w:r>
      <w:r>
        <w:rPr>
          <w:color w:val="auto"/>
          <w:kern w:val="0"/>
          <w:szCs w:val="21"/>
          <w:highlight w:val="none"/>
          <w:lang w:bidi="ar"/>
        </w:rPr>
        <w:t>未按招标文件要求进行实名身份认证的或同一标段实名身份认证中存在不同投标人之间身份证识别器码一致的。</w:t>
      </w:r>
    </w:p>
    <w:p w14:paraId="50B8CA09">
      <w:pPr>
        <w:widowControl/>
        <w:spacing w:line="430" w:lineRule="exact"/>
        <w:ind w:firstLine="420" w:firstLineChars="200"/>
        <w:rPr>
          <w:color w:val="auto"/>
          <w:kern w:val="0"/>
          <w:szCs w:val="21"/>
          <w:highlight w:val="none"/>
          <w:lang w:bidi="ar"/>
        </w:rPr>
      </w:pPr>
      <w:r>
        <w:rPr>
          <w:rFonts w:hint="eastAsia"/>
          <w:color w:val="auto"/>
          <w:kern w:val="0"/>
          <w:szCs w:val="21"/>
          <w:highlight w:val="none"/>
          <w:lang w:bidi="ar"/>
        </w:rPr>
        <w:t>B1</w:t>
      </w:r>
      <w:r>
        <w:rPr>
          <w:color w:val="auto"/>
          <w:kern w:val="0"/>
          <w:szCs w:val="21"/>
          <w:highlight w:val="none"/>
          <w:lang w:bidi="ar"/>
        </w:rPr>
        <w:t>.</w:t>
      </w:r>
      <w:r>
        <w:rPr>
          <w:rFonts w:hint="eastAsia"/>
          <w:color w:val="auto"/>
          <w:kern w:val="0"/>
          <w:szCs w:val="21"/>
          <w:highlight w:val="none"/>
          <w:lang w:bidi="ar"/>
        </w:rPr>
        <w:t>7</w:t>
      </w:r>
      <w:r>
        <w:rPr>
          <w:color w:val="auto"/>
          <w:kern w:val="0"/>
          <w:szCs w:val="21"/>
          <w:highlight w:val="none"/>
          <w:lang w:bidi="ar"/>
        </w:rPr>
        <w:t>投标报价明显低于企业成本可能影响履约的。</w:t>
      </w:r>
    </w:p>
    <w:p w14:paraId="48C7775F">
      <w:pPr>
        <w:spacing w:line="430" w:lineRule="exact"/>
        <w:ind w:firstLine="420" w:firstLineChars="200"/>
        <w:rPr>
          <w:color w:val="auto"/>
          <w:highlight w:val="none"/>
        </w:rPr>
      </w:pPr>
      <w:r>
        <w:rPr>
          <w:rFonts w:hint="eastAsia"/>
          <w:color w:val="auto"/>
          <w:kern w:val="0"/>
          <w:szCs w:val="21"/>
          <w:highlight w:val="none"/>
          <w:lang w:bidi="ar"/>
        </w:rPr>
        <w:t>B1</w:t>
      </w:r>
      <w:r>
        <w:rPr>
          <w:color w:val="auto"/>
          <w:highlight w:val="none"/>
        </w:rPr>
        <w:t>.</w:t>
      </w:r>
      <w:r>
        <w:rPr>
          <w:rFonts w:hint="eastAsia"/>
          <w:color w:val="auto"/>
          <w:highlight w:val="none"/>
        </w:rPr>
        <w:t>8</w:t>
      </w:r>
      <w:r>
        <w:rPr>
          <w:color w:val="auto"/>
          <w:highlight w:val="none"/>
        </w:rPr>
        <w:t>未按招标文件要求采用建筑信息模型技术的（如有）。</w:t>
      </w:r>
    </w:p>
    <w:p w14:paraId="5D06E4C9">
      <w:pPr>
        <w:spacing w:line="430" w:lineRule="exact"/>
        <w:ind w:firstLine="420" w:firstLineChars="200"/>
        <w:rPr>
          <w:color w:val="auto"/>
          <w:highlight w:val="none"/>
        </w:rPr>
      </w:pPr>
      <w:r>
        <w:rPr>
          <w:rFonts w:hint="eastAsia"/>
          <w:color w:val="auto"/>
          <w:highlight w:val="none"/>
        </w:rPr>
        <w:t>B1.9技术标不同模块赋分点之间多个模块固定位置存在内容表述非必要性雷同的。</w:t>
      </w:r>
    </w:p>
    <w:p w14:paraId="268E0DD1">
      <w:pPr>
        <w:widowControl/>
        <w:spacing w:line="430" w:lineRule="exact"/>
        <w:ind w:firstLine="420" w:firstLineChars="200"/>
        <w:jc w:val="left"/>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w:t>
      </w:r>
    </w:p>
    <w:bookmarkEnd w:id="719"/>
    <w:p w14:paraId="6909CA39">
      <w:pPr>
        <w:spacing w:line="430" w:lineRule="exact"/>
        <w:ind w:firstLine="420" w:firstLineChars="200"/>
        <w:rPr>
          <w:rFonts w:hint="eastAsia"/>
          <w:color w:val="auto"/>
          <w:highlight w:val="none"/>
        </w:rPr>
        <w:sectPr>
          <w:headerReference r:id="rId12" w:type="default"/>
          <w:footerReference r:id="rId13" w:type="default"/>
          <w:pgSz w:w="11906" w:h="16838"/>
          <w:pgMar w:top="1440" w:right="1797" w:bottom="1440" w:left="1797" w:header="851" w:footer="851" w:gutter="0"/>
          <w:pgBorders>
            <w:top w:val="none" w:sz="0" w:space="0"/>
            <w:left w:val="none" w:sz="0" w:space="0"/>
            <w:bottom w:val="none" w:sz="0" w:space="0"/>
            <w:right w:val="none" w:sz="0" w:space="0"/>
          </w:pgBorders>
          <w:pgNumType w:fmt="decimal"/>
          <w:cols w:space="720" w:num="1"/>
          <w:docGrid w:linePitch="312" w:charSpace="0"/>
        </w:sectPr>
      </w:pPr>
    </w:p>
    <w:p w14:paraId="468150F9">
      <w:pPr>
        <w:pStyle w:val="37"/>
        <w:ind w:firstLine="118"/>
        <w:rPr>
          <w:color w:val="auto"/>
          <w:highlight w:val="none"/>
        </w:rPr>
      </w:pPr>
      <w:bookmarkStart w:id="983" w:name="_Toc148860657"/>
      <w:bookmarkStart w:id="984" w:name="_Toc164716303"/>
      <w:bookmarkStart w:id="985" w:name="_Toc256000133"/>
      <w:bookmarkStart w:id="986" w:name="_Toc19270"/>
      <w:bookmarkStart w:id="987" w:name="_Toc11089"/>
      <w:r>
        <w:rPr>
          <w:rFonts w:hint="eastAsia"/>
          <w:color w:val="auto"/>
          <w:highlight w:val="none"/>
        </w:rPr>
        <w:t>附表A-1：评标委员会签到表</w:t>
      </w:r>
      <w:bookmarkEnd w:id="983"/>
      <w:bookmarkEnd w:id="984"/>
      <w:bookmarkEnd w:id="985"/>
      <w:bookmarkEnd w:id="986"/>
      <w:bookmarkEnd w:id="987"/>
    </w:p>
    <w:p w14:paraId="57BCEEA3">
      <w:pPr>
        <w:adjustRightInd w:val="0"/>
        <w:snapToGrid w:val="0"/>
        <w:spacing w:before="240" w:beforeLines="100" w:after="240" w:afterLines="100" w:line="440" w:lineRule="exact"/>
        <w:jc w:val="center"/>
        <w:rPr>
          <w:rFonts w:ascii="黑体" w:hAnsi="宋体" w:eastAsia="黑体"/>
          <w:color w:val="auto"/>
          <w:sz w:val="36"/>
          <w:szCs w:val="36"/>
          <w:highlight w:val="none"/>
        </w:rPr>
      </w:pPr>
      <w:r>
        <w:rPr>
          <w:rFonts w:hint="eastAsia" w:ascii="黑体" w:hAnsi="宋体" w:eastAsia="黑体"/>
          <w:color w:val="auto"/>
          <w:sz w:val="36"/>
          <w:szCs w:val="36"/>
          <w:highlight w:val="none"/>
        </w:rPr>
        <w:t>评标委员会签到表</w:t>
      </w:r>
    </w:p>
    <w:p w14:paraId="122B7D82">
      <w:pPr>
        <w:ind w:firstLine="210" w:firstLineChars="100"/>
        <w:rPr>
          <w:color w:val="auto"/>
          <w:szCs w:val="44"/>
          <w:highlight w:val="none"/>
        </w:rPr>
      </w:pPr>
      <w:r>
        <w:rPr>
          <w:rFonts w:hint="eastAsia"/>
          <w:color w:val="auto"/>
          <w:szCs w:val="44"/>
          <w:highlight w:val="none"/>
        </w:rPr>
        <w:t>标段名称：</w:t>
      </w:r>
    </w:p>
    <w:p w14:paraId="5D2291D2">
      <w:pPr>
        <w:ind w:firstLine="210" w:firstLineChars="100"/>
        <w:rPr>
          <w:color w:val="auto"/>
          <w:szCs w:val="44"/>
          <w:highlight w:val="none"/>
        </w:rPr>
      </w:pPr>
      <w:r>
        <w:rPr>
          <w:rFonts w:hint="eastAsia"/>
          <w:color w:val="auto"/>
          <w:szCs w:val="44"/>
          <w:highlight w:val="none"/>
        </w:rPr>
        <w:t>标段唯一标识码：</w:t>
      </w:r>
      <w:r>
        <w:rPr>
          <w:color w:val="auto"/>
          <w:szCs w:val="44"/>
          <w:highlight w:val="none"/>
        </w:rPr>
        <w:t xml:space="preserve">                                                                          </w:t>
      </w:r>
      <w:r>
        <w:rPr>
          <w:rFonts w:hint="eastAsia"/>
          <w:color w:val="auto"/>
          <w:szCs w:val="44"/>
          <w:highlight w:val="none"/>
        </w:rPr>
        <w:t>评标时间：         年    月    日</w:t>
      </w:r>
    </w:p>
    <w:tbl>
      <w:tblPr>
        <w:tblStyle w:val="25"/>
        <w:tblW w:w="13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169"/>
        <w:gridCol w:w="1797"/>
        <w:gridCol w:w="1930"/>
        <w:gridCol w:w="1793"/>
        <w:gridCol w:w="1431"/>
        <w:gridCol w:w="1520"/>
        <w:gridCol w:w="1706"/>
        <w:gridCol w:w="1697"/>
      </w:tblGrid>
      <w:tr w14:paraId="04EE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40D7B31B">
            <w:pPr>
              <w:spacing w:line="420" w:lineRule="exact"/>
              <w:jc w:val="center"/>
              <w:rPr>
                <w:rFonts w:ascii="宋体" w:hAnsi="宋体"/>
                <w:b/>
                <w:bCs/>
                <w:color w:val="auto"/>
                <w:szCs w:val="21"/>
                <w:highlight w:val="none"/>
              </w:rPr>
            </w:pPr>
            <w:bookmarkStart w:id="988" w:name="_Hlk165802750"/>
            <w:r>
              <w:rPr>
                <w:rFonts w:hint="eastAsia" w:ascii="宋体" w:hAnsi="宋体"/>
                <w:b/>
                <w:bCs/>
                <w:color w:val="auto"/>
                <w:szCs w:val="21"/>
                <w:highlight w:val="none"/>
              </w:rPr>
              <w:t>序号</w:t>
            </w:r>
          </w:p>
        </w:tc>
        <w:tc>
          <w:tcPr>
            <w:tcW w:w="1169" w:type="dxa"/>
            <w:vAlign w:val="center"/>
          </w:tcPr>
          <w:p w14:paraId="5BB1B240">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姓名</w:t>
            </w:r>
          </w:p>
        </w:tc>
        <w:tc>
          <w:tcPr>
            <w:tcW w:w="1797" w:type="dxa"/>
            <w:vAlign w:val="center"/>
          </w:tcPr>
          <w:p w14:paraId="091F585D">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所在单位</w:t>
            </w:r>
          </w:p>
        </w:tc>
        <w:tc>
          <w:tcPr>
            <w:tcW w:w="1930" w:type="dxa"/>
            <w:vAlign w:val="center"/>
          </w:tcPr>
          <w:p w14:paraId="0FD32CE2">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身份证号</w:t>
            </w:r>
          </w:p>
        </w:tc>
        <w:tc>
          <w:tcPr>
            <w:tcW w:w="1793" w:type="dxa"/>
            <w:vAlign w:val="center"/>
          </w:tcPr>
          <w:p w14:paraId="4D962B9A">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联系方式</w:t>
            </w:r>
          </w:p>
        </w:tc>
        <w:tc>
          <w:tcPr>
            <w:tcW w:w="1431" w:type="dxa"/>
            <w:vAlign w:val="center"/>
          </w:tcPr>
          <w:p w14:paraId="5CB0D608">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评审内容</w:t>
            </w:r>
          </w:p>
        </w:tc>
        <w:tc>
          <w:tcPr>
            <w:tcW w:w="1520" w:type="dxa"/>
            <w:vAlign w:val="center"/>
          </w:tcPr>
          <w:p w14:paraId="07A137F1">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评审角色</w:t>
            </w:r>
          </w:p>
        </w:tc>
        <w:tc>
          <w:tcPr>
            <w:tcW w:w="1706" w:type="dxa"/>
            <w:vAlign w:val="center"/>
          </w:tcPr>
          <w:p w14:paraId="39EEC2E7">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评标签到时间</w:t>
            </w:r>
          </w:p>
        </w:tc>
        <w:tc>
          <w:tcPr>
            <w:tcW w:w="1697" w:type="dxa"/>
            <w:vAlign w:val="center"/>
          </w:tcPr>
          <w:p w14:paraId="7A22FCE0">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签名</w:t>
            </w:r>
          </w:p>
        </w:tc>
      </w:tr>
      <w:tr w14:paraId="4C9E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6D4CAFA5">
            <w:pPr>
              <w:spacing w:line="420" w:lineRule="exact"/>
              <w:jc w:val="center"/>
              <w:rPr>
                <w:rFonts w:ascii="宋体" w:hAnsi="宋体"/>
                <w:color w:val="auto"/>
                <w:szCs w:val="21"/>
                <w:highlight w:val="none"/>
              </w:rPr>
            </w:pPr>
            <w:r>
              <w:rPr>
                <w:rFonts w:hint="eastAsia" w:ascii="宋体" w:hAnsi="宋体"/>
                <w:color w:val="auto"/>
                <w:szCs w:val="21"/>
                <w:highlight w:val="none"/>
              </w:rPr>
              <w:t>1</w:t>
            </w:r>
          </w:p>
        </w:tc>
        <w:tc>
          <w:tcPr>
            <w:tcW w:w="1169" w:type="dxa"/>
            <w:vAlign w:val="center"/>
          </w:tcPr>
          <w:p w14:paraId="00CB466B">
            <w:pPr>
              <w:spacing w:line="420" w:lineRule="exact"/>
              <w:jc w:val="center"/>
              <w:rPr>
                <w:rFonts w:ascii="宋体" w:hAnsi="宋体"/>
                <w:color w:val="auto"/>
                <w:szCs w:val="21"/>
                <w:highlight w:val="none"/>
              </w:rPr>
            </w:pPr>
          </w:p>
        </w:tc>
        <w:tc>
          <w:tcPr>
            <w:tcW w:w="1797" w:type="dxa"/>
            <w:vAlign w:val="center"/>
          </w:tcPr>
          <w:p w14:paraId="172ABCAC">
            <w:pPr>
              <w:spacing w:line="420" w:lineRule="exact"/>
              <w:jc w:val="center"/>
              <w:rPr>
                <w:rFonts w:ascii="宋体" w:hAnsi="宋体"/>
                <w:color w:val="auto"/>
                <w:szCs w:val="21"/>
                <w:highlight w:val="none"/>
              </w:rPr>
            </w:pPr>
          </w:p>
        </w:tc>
        <w:tc>
          <w:tcPr>
            <w:tcW w:w="1930" w:type="dxa"/>
            <w:vAlign w:val="center"/>
          </w:tcPr>
          <w:p w14:paraId="2AEF631E">
            <w:pPr>
              <w:spacing w:line="420" w:lineRule="exact"/>
              <w:jc w:val="center"/>
              <w:rPr>
                <w:rFonts w:ascii="宋体" w:hAnsi="宋体"/>
                <w:color w:val="auto"/>
                <w:szCs w:val="21"/>
                <w:highlight w:val="none"/>
              </w:rPr>
            </w:pPr>
          </w:p>
        </w:tc>
        <w:tc>
          <w:tcPr>
            <w:tcW w:w="1793" w:type="dxa"/>
            <w:vAlign w:val="center"/>
          </w:tcPr>
          <w:p w14:paraId="4F5FBAA2">
            <w:pPr>
              <w:spacing w:line="420" w:lineRule="exact"/>
              <w:jc w:val="center"/>
              <w:rPr>
                <w:rFonts w:ascii="宋体" w:hAnsi="宋体"/>
                <w:color w:val="auto"/>
                <w:szCs w:val="21"/>
                <w:highlight w:val="none"/>
              </w:rPr>
            </w:pPr>
          </w:p>
        </w:tc>
        <w:tc>
          <w:tcPr>
            <w:tcW w:w="1431" w:type="dxa"/>
            <w:vAlign w:val="center"/>
          </w:tcPr>
          <w:p w14:paraId="6CE28F6B">
            <w:pPr>
              <w:spacing w:line="420" w:lineRule="exact"/>
              <w:jc w:val="center"/>
              <w:rPr>
                <w:rFonts w:ascii="宋体" w:hAnsi="宋体"/>
                <w:color w:val="auto"/>
                <w:szCs w:val="21"/>
                <w:highlight w:val="none"/>
              </w:rPr>
            </w:pPr>
          </w:p>
        </w:tc>
        <w:tc>
          <w:tcPr>
            <w:tcW w:w="1520" w:type="dxa"/>
            <w:vAlign w:val="center"/>
          </w:tcPr>
          <w:p w14:paraId="61F4697C">
            <w:pPr>
              <w:spacing w:line="420" w:lineRule="exact"/>
              <w:jc w:val="center"/>
              <w:rPr>
                <w:rFonts w:ascii="宋体" w:hAnsi="宋体"/>
                <w:color w:val="auto"/>
                <w:szCs w:val="21"/>
                <w:highlight w:val="none"/>
              </w:rPr>
            </w:pPr>
          </w:p>
        </w:tc>
        <w:tc>
          <w:tcPr>
            <w:tcW w:w="1706" w:type="dxa"/>
            <w:vAlign w:val="center"/>
          </w:tcPr>
          <w:p w14:paraId="26731A9A">
            <w:pPr>
              <w:spacing w:line="420" w:lineRule="exact"/>
              <w:jc w:val="center"/>
              <w:rPr>
                <w:rFonts w:ascii="宋体" w:hAnsi="宋体"/>
                <w:color w:val="auto"/>
                <w:szCs w:val="21"/>
                <w:highlight w:val="none"/>
              </w:rPr>
            </w:pPr>
          </w:p>
        </w:tc>
        <w:tc>
          <w:tcPr>
            <w:tcW w:w="1697" w:type="dxa"/>
          </w:tcPr>
          <w:p w14:paraId="7B26F024">
            <w:pPr>
              <w:spacing w:line="420" w:lineRule="exact"/>
              <w:jc w:val="center"/>
              <w:rPr>
                <w:rFonts w:ascii="宋体" w:hAnsi="宋体"/>
                <w:color w:val="auto"/>
                <w:szCs w:val="21"/>
                <w:highlight w:val="none"/>
              </w:rPr>
            </w:pPr>
          </w:p>
        </w:tc>
      </w:tr>
      <w:tr w14:paraId="12AF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44F0DFF9">
            <w:pPr>
              <w:spacing w:line="420" w:lineRule="exact"/>
              <w:jc w:val="center"/>
              <w:rPr>
                <w:rFonts w:ascii="宋体" w:hAnsi="宋体"/>
                <w:color w:val="auto"/>
                <w:szCs w:val="21"/>
                <w:highlight w:val="none"/>
              </w:rPr>
            </w:pPr>
            <w:r>
              <w:rPr>
                <w:rFonts w:hint="eastAsia" w:ascii="宋体" w:hAnsi="宋体"/>
                <w:color w:val="auto"/>
                <w:szCs w:val="21"/>
                <w:highlight w:val="none"/>
              </w:rPr>
              <w:t>2</w:t>
            </w:r>
          </w:p>
        </w:tc>
        <w:tc>
          <w:tcPr>
            <w:tcW w:w="1169" w:type="dxa"/>
            <w:vAlign w:val="center"/>
          </w:tcPr>
          <w:p w14:paraId="53E29AEF">
            <w:pPr>
              <w:spacing w:line="420" w:lineRule="exact"/>
              <w:jc w:val="center"/>
              <w:rPr>
                <w:rFonts w:ascii="宋体" w:hAnsi="宋体"/>
                <w:color w:val="auto"/>
                <w:szCs w:val="21"/>
                <w:highlight w:val="none"/>
              </w:rPr>
            </w:pPr>
          </w:p>
        </w:tc>
        <w:tc>
          <w:tcPr>
            <w:tcW w:w="1797" w:type="dxa"/>
            <w:vAlign w:val="center"/>
          </w:tcPr>
          <w:p w14:paraId="78FF1742">
            <w:pPr>
              <w:spacing w:line="420" w:lineRule="exact"/>
              <w:jc w:val="center"/>
              <w:rPr>
                <w:rFonts w:ascii="宋体" w:hAnsi="宋体"/>
                <w:color w:val="auto"/>
                <w:szCs w:val="21"/>
                <w:highlight w:val="none"/>
              </w:rPr>
            </w:pPr>
          </w:p>
        </w:tc>
        <w:tc>
          <w:tcPr>
            <w:tcW w:w="1930" w:type="dxa"/>
            <w:vAlign w:val="center"/>
          </w:tcPr>
          <w:p w14:paraId="17DB8082">
            <w:pPr>
              <w:spacing w:line="420" w:lineRule="exact"/>
              <w:jc w:val="center"/>
              <w:rPr>
                <w:rFonts w:ascii="宋体" w:hAnsi="宋体"/>
                <w:color w:val="auto"/>
                <w:szCs w:val="21"/>
                <w:highlight w:val="none"/>
              </w:rPr>
            </w:pPr>
          </w:p>
        </w:tc>
        <w:tc>
          <w:tcPr>
            <w:tcW w:w="1793" w:type="dxa"/>
            <w:vAlign w:val="center"/>
          </w:tcPr>
          <w:p w14:paraId="235C65FE">
            <w:pPr>
              <w:spacing w:line="420" w:lineRule="exact"/>
              <w:jc w:val="center"/>
              <w:rPr>
                <w:rFonts w:ascii="宋体" w:hAnsi="宋体"/>
                <w:color w:val="auto"/>
                <w:szCs w:val="21"/>
                <w:highlight w:val="none"/>
              </w:rPr>
            </w:pPr>
          </w:p>
        </w:tc>
        <w:tc>
          <w:tcPr>
            <w:tcW w:w="1431" w:type="dxa"/>
            <w:vAlign w:val="center"/>
          </w:tcPr>
          <w:p w14:paraId="353A6634">
            <w:pPr>
              <w:spacing w:line="420" w:lineRule="exact"/>
              <w:jc w:val="center"/>
              <w:rPr>
                <w:rFonts w:ascii="宋体" w:hAnsi="宋体"/>
                <w:color w:val="auto"/>
                <w:szCs w:val="21"/>
                <w:highlight w:val="none"/>
              </w:rPr>
            </w:pPr>
          </w:p>
        </w:tc>
        <w:tc>
          <w:tcPr>
            <w:tcW w:w="1520" w:type="dxa"/>
            <w:vAlign w:val="center"/>
          </w:tcPr>
          <w:p w14:paraId="15CFCEE8">
            <w:pPr>
              <w:spacing w:line="420" w:lineRule="exact"/>
              <w:jc w:val="center"/>
              <w:rPr>
                <w:rFonts w:ascii="宋体" w:hAnsi="宋体"/>
                <w:color w:val="auto"/>
                <w:szCs w:val="21"/>
                <w:highlight w:val="none"/>
              </w:rPr>
            </w:pPr>
          </w:p>
        </w:tc>
        <w:tc>
          <w:tcPr>
            <w:tcW w:w="1706" w:type="dxa"/>
            <w:vAlign w:val="center"/>
          </w:tcPr>
          <w:p w14:paraId="3499A18F">
            <w:pPr>
              <w:spacing w:line="420" w:lineRule="exact"/>
              <w:jc w:val="center"/>
              <w:rPr>
                <w:rFonts w:ascii="宋体" w:hAnsi="宋体"/>
                <w:color w:val="auto"/>
                <w:szCs w:val="21"/>
                <w:highlight w:val="none"/>
              </w:rPr>
            </w:pPr>
          </w:p>
        </w:tc>
        <w:tc>
          <w:tcPr>
            <w:tcW w:w="1697" w:type="dxa"/>
          </w:tcPr>
          <w:p w14:paraId="787BB981">
            <w:pPr>
              <w:spacing w:line="420" w:lineRule="exact"/>
              <w:jc w:val="center"/>
              <w:rPr>
                <w:rFonts w:ascii="宋体" w:hAnsi="宋体"/>
                <w:color w:val="auto"/>
                <w:szCs w:val="21"/>
                <w:highlight w:val="none"/>
              </w:rPr>
            </w:pPr>
          </w:p>
        </w:tc>
      </w:tr>
      <w:tr w14:paraId="7261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4A143A89">
            <w:pPr>
              <w:spacing w:line="420" w:lineRule="exact"/>
              <w:jc w:val="center"/>
              <w:rPr>
                <w:rFonts w:ascii="宋体" w:hAnsi="宋体"/>
                <w:color w:val="auto"/>
                <w:szCs w:val="21"/>
                <w:highlight w:val="none"/>
              </w:rPr>
            </w:pPr>
            <w:r>
              <w:rPr>
                <w:rFonts w:hint="eastAsia" w:ascii="宋体" w:hAnsi="宋体"/>
                <w:color w:val="auto"/>
                <w:szCs w:val="21"/>
                <w:highlight w:val="none"/>
              </w:rPr>
              <w:t>3</w:t>
            </w:r>
          </w:p>
        </w:tc>
        <w:tc>
          <w:tcPr>
            <w:tcW w:w="1169" w:type="dxa"/>
            <w:vAlign w:val="center"/>
          </w:tcPr>
          <w:p w14:paraId="22F11A02">
            <w:pPr>
              <w:spacing w:line="420" w:lineRule="exact"/>
              <w:jc w:val="center"/>
              <w:rPr>
                <w:rFonts w:ascii="宋体" w:hAnsi="宋体"/>
                <w:color w:val="auto"/>
                <w:szCs w:val="21"/>
                <w:highlight w:val="none"/>
              </w:rPr>
            </w:pPr>
          </w:p>
        </w:tc>
        <w:tc>
          <w:tcPr>
            <w:tcW w:w="1797" w:type="dxa"/>
            <w:vAlign w:val="center"/>
          </w:tcPr>
          <w:p w14:paraId="15013177">
            <w:pPr>
              <w:spacing w:line="420" w:lineRule="exact"/>
              <w:jc w:val="center"/>
              <w:rPr>
                <w:rFonts w:ascii="宋体" w:hAnsi="宋体"/>
                <w:color w:val="auto"/>
                <w:szCs w:val="21"/>
                <w:highlight w:val="none"/>
              </w:rPr>
            </w:pPr>
          </w:p>
        </w:tc>
        <w:tc>
          <w:tcPr>
            <w:tcW w:w="1930" w:type="dxa"/>
            <w:vAlign w:val="center"/>
          </w:tcPr>
          <w:p w14:paraId="66C61248">
            <w:pPr>
              <w:spacing w:line="420" w:lineRule="exact"/>
              <w:jc w:val="center"/>
              <w:rPr>
                <w:rFonts w:ascii="宋体" w:hAnsi="宋体"/>
                <w:color w:val="auto"/>
                <w:szCs w:val="21"/>
                <w:highlight w:val="none"/>
              </w:rPr>
            </w:pPr>
          </w:p>
        </w:tc>
        <w:tc>
          <w:tcPr>
            <w:tcW w:w="1793" w:type="dxa"/>
            <w:vAlign w:val="center"/>
          </w:tcPr>
          <w:p w14:paraId="54ABE42D">
            <w:pPr>
              <w:spacing w:line="420" w:lineRule="exact"/>
              <w:jc w:val="center"/>
              <w:rPr>
                <w:rFonts w:ascii="宋体" w:hAnsi="宋体"/>
                <w:color w:val="auto"/>
                <w:szCs w:val="21"/>
                <w:highlight w:val="none"/>
              </w:rPr>
            </w:pPr>
          </w:p>
        </w:tc>
        <w:tc>
          <w:tcPr>
            <w:tcW w:w="1431" w:type="dxa"/>
            <w:vAlign w:val="center"/>
          </w:tcPr>
          <w:p w14:paraId="7E7F02B3">
            <w:pPr>
              <w:spacing w:line="420" w:lineRule="exact"/>
              <w:jc w:val="center"/>
              <w:rPr>
                <w:rFonts w:ascii="宋体" w:hAnsi="宋体"/>
                <w:color w:val="auto"/>
                <w:szCs w:val="21"/>
                <w:highlight w:val="none"/>
              </w:rPr>
            </w:pPr>
          </w:p>
        </w:tc>
        <w:tc>
          <w:tcPr>
            <w:tcW w:w="1520" w:type="dxa"/>
            <w:vAlign w:val="center"/>
          </w:tcPr>
          <w:p w14:paraId="58F3032B">
            <w:pPr>
              <w:spacing w:line="420" w:lineRule="exact"/>
              <w:jc w:val="center"/>
              <w:rPr>
                <w:rFonts w:ascii="宋体" w:hAnsi="宋体"/>
                <w:color w:val="auto"/>
                <w:szCs w:val="21"/>
                <w:highlight w:val="none"/>
              </w:rPr>
            </w:pPr>
          </w:p>
        </w:tc>
        <w:tc>
          <w:tcPr>
            <w:tcW w:w="1706" w:type="dxa"/>
            <w:vAlign w:val="center"/>
          </w:tcPr>
          <w:p w14:paraId="4C4566EB">
            <w:pPr>
              <w:spacing w:line="420" w:lineRule="exact"/>
              <w:jc w:val="center"/>
              <w:rPr>
                <w:rFonts w:ascii="宋体" w:hAnsi="宋体"/>
                <w:color w:val="auto"/>
                <w:szCs w:val="21"/>
                <w:highlight w:val="none"/>
              </w:rPr>
            </w:pPr>
          </w:p>
        </w:tc>
        <w:tc>
          <w:tcPr>
            <w:tcW w:w="1697" w:type="dxa"/>
          </w:tcPr>
          <w:p w14:paraId="59CB7B82">
            <w:pPr>
              <w:spacing w:line="420" w:lineRule="exact"/>
              <w:jc w:val="center"/>
              <w:rPr>
                <w:rFonts w:ascii="宋体" w:hAnsi="宋体"/>
                <w:color w:val="auto"/>
                <w:szCs w:val="21"/>
                <w:highlight w:val="none"/>
              </w:rPr>
            </w:pPr>
          </w:p>
        </w:tc>
      </w:tr>
      <w:tr w14:paraId="43BD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6896F5FC">
            <w:pPr>
              <w:spacing w:line="420" w:lineRule="exact"/>
              <w:jc w:val="center"/>
              <w:rPr>
                <w:rFonts w:ascii="宋体" w:hAnsi="宋体"/>
                <w:color w:val="auto"/>
                <w:szCs w:val="21"/>
                <w:highlight w:val="none"/>
              </w:rPr>
            </w:pPr>
            <w:r>
              <w:rPr>
                <w:rFonts w:hint="eastAsia" w:ascii="宋体" w:hAnsi="宋体"/>
                <w:color w:val="auto"/>
                <w:szCs w:val="21"/>
                <w:highlight w:val="none"/>
              </w:rPr>
              <w:t>4</w:t>
            </w:r>
          </w:p>
        </w:tc>
        <w:tc>
          <w:tcPr>
            <w:tcW w:w="1169" w:type="dxa"/>
            <w:vAlign w:val="center"/>
          </w:tcPr>
          <w:p w14:paraId="7F1B3938">
            <w:pPr>
              <w:spacing w:line="420" w:lineRule="exact"/>
              <w:jc w:val="center"/>
              <w:rPr>
                <w:rFonts w:ascii="宋体" w:hAnsi="宋体"/>
                <w:color w:val="auto"/>
                <w:szCs w:val="21"/>
                <w:highlight w:val="none"/>
              </w:rPr>
            </w:pPr>
          </w:p>
        </w:tc>
        <w:tc>
          <w:tcPr>
            <w:tcW w:w="1797" w:type="dxa"/>
            <w:vAlign w:val="center"/>
          </w:tcPr>
          <w:p w14:paraId="2056AF33">
            <w:pPr>
              <w:spacing w:line="420" w:lineRule="exact"/>
              <w:jc w:val="center"/>
              <w:rPr>
                <w:rFonts w:ascii="宋体" w:hAnsi="宋体"/>
                <w:color w:val="auto"/>
                <w:szCs w:val="21"/>
                <w:highlight w:val="none"/>
              </w:rPr>
            </w:pPr>
          </w:p>
        </w:tc>
        <w:tc>
          <w:tcPr>
            <w:tcW w:w="1930" w:type="dxa"/>
            <w:vAlign w:val="center"/>
          </w:tcPr>
          <w:p w14:paraId="12EF0790">
            <w:pPr>
              <w:spacing w:line="420" w:lineRule="exact"/>
              <w:jc w:val="center"/>
              <w:rPr>
                <w:rFonts w:ascii="宋体" w:hAnsi="宋体"/>
                <w:color w:val="auto"/>
                <w:szCs w:val="21"/>
                <w:highlight w:val="none"/>
              </w:rPr>
            </w:pPr>
          </w:p>
        </w:tc>
        <w:tc>
          <w:tcPr>
            <w:tcW w:w="1793" w:type="dxa"/>
            <w:vAlign w:val="center"/>
          </w:tcPr>
          <w:p w14:paraId="47479310">
            <w:pPr>
              <w:spacing w:line="420" w:lineRule="exact"/>
              <w:jc w:val="center"/>
              <w:rPr>
                <w:rFonts w:ascii="宋体" w:hAnsi="宋体"/>
                <w:color w:val="auto"/>
                <w:szCs w:val="21"/>
                <w:highlight w:val="none"/>
              </w:rPr>
            </w:pPr>
          </w:p>
        </w:tc>
        <w:tc>
          <w:tcPr>
            <w:tcW w:w="1431" w:type="dxa"/>
            <w:vAlign w:val="center"/>
          </w:tcPr>
          <w:p w14:paraId="6731EA4F">
            <w:pPr>
              <w:spacing w:line="420" w:lineRule="exact"/>
              <w:jc w:val="center"/>
              <w:rPr>
                <w:rFonts w:ascii="宋体" w:hAnsi="宋体"/>
                <w:color w:val="auto"/>
                <w:szCs w:val="21"/>
                <w:highlight w:val="none"/>
              </w:rPr>
            </w:pPr>
          </w:p>
        </w:tc>
        <w:tc>
          <w:tcPr>
            <w:tcW w:w="1520" w:type="dxa"/>
            <w:vAlign w:val="center"/>
          </w:tcPr>
          <w:p w14:paraId="4954C1B0">
            <w:pPr>
              <w:spacing w:line="420" w:lineRule="exact"/>
              <w:jc w:val="center"/>
              <w:rPr>
                <w:rFonts w:ascii="宋体" w:hAnsi="宋体"/>
                <w:color w:val="auto"/>
                <w:szCs w:val="21"/>
                <w:highlight w:val="none"/>
              </w:rPr>
            </w:pPr>
          </w:p>
        </w:tc>
        <w:tc>
          <w:tcPr>
            <w:tcW w:w="1706" w:type="dxa"/>
            <w:vAlign w:val="center"/>
          </w:tcPr>
          <w:p w14:paraId="1CCE5377">
            <w:pPr>
              <w:spacing w:line="420" w:lineRule="exact"/>
              <w:jc w:val="center"/>
              <w:rPr>
                <w:rFonts w:ascii="宋体" w:hAnsi="宋体"/>
                <w:color w:val="auto"/>
                <w:szCs w:val="21"/>
                <w:highlight w:val="none"/>
              </w:rPr>
            </w:pPr>
          </w:p>
        </w:tc>
        <w:tc>
          <w:tcPr>
            <w:tcW w:w="1697" w:type="dxa"/>
          </w:tcPr>
          <w:p w14:paraId="74777D18">
            <w:pPr>
              <w:spacing w:line="420" w:lineRule="exact"/>
              <w:jc w:val="center"/>
              <w:rPr>
                <w:rFonts w:ascii="宋体" w:hAnsi="宋体"/>
                <w:color w:val="auto"/>
                <w:szCs w:val="21"/>
                <w:highlight w:val="none"/>
              </w:rPr>
            </w:pPr>
          </w:p>
        </w:tc>
      </w:tr>
      <w:tr w14:paraId="54A7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16D6A6FD">
            <w:pPr>
              <w:spacing w:line="420" w:lineRule="exact"/>
              <w:jc w:val="center"/>
              <w:rPr>
                <w:rFonts w:ascii="宋体" w:hAnsi="宋体"/>
                <w:color w:val="auto"/>
                <w:szCs w:val="21"/>
                <w:highlight w:val="none"/>
              </w:rPr>
            </w:pPr>
            <w:r>
              <w:rPr>
                <w:rFonts w:hint="eastAsia" w:ascii="宋体" w:hAnsi="宋体"/>
                <w:color w:val="auto"/>
                <w:szCs w:val="21"/>
                <w:highlight w:val="none"/>
              </w:rPr>
              <w:t>5</w:t>
            </w:r>
          </w:p>
        </w:tc>
        <w:tc>
          <w:tcPr>
            <w:tcW w:w="1169" w:type="dxa"/>
            <w:vAlign w:val="center"/>
          </w:tcPr>
          <w:p w14:paraId="363EB0EA">
            <w:pPr>
              <w:spacing w:line="420" w:lineRule="exact"/>
              <w:jc w:val="center"/>
              <w:rPr>
                <w:rFonts w:ascii="宋体" w:hAnsi="宋体"/>
                <w:color w:val="auto"/>
                <w:szCs w:val="21"/>
                <w:highlight w:val="none"/>
              </w:rPr>
            </w:pPr>
          </w:p>
        </w:tc>
        <w:tc>
          <w:tcPr>
            <w:tcW w:w="1797" w:type="dxa"/>
            <w:vAlign w:val="center"/>
          </w:tcPr>
          <w:p w14:paraId="74D22B16">
            <w:pPr>
              <w:spacing w:line="420" w:lineRule="exact"/>
              <w:jc w:val="center"/>
              <w:rPr>
                <w:rFonts w:ascii="宋体" w:hAnsi="宋体"/>
                <w:color w:val="auto"/>
                <w:szCs w:val="21"/>
                <w:highlight w:val="none"/>
              </w:rPr>
            </w:pPr>
          </w:p>
        </w:tc>
        <w:tc>
          <w:tcPr>
            <w:tcW w:w="1930" w:type="dxa"/>
            <w:vAlign w:val="center"/>
          </w:tcPr>
          <w:p w14:paraId="200EBD3B">
            <w:pPr>
              <w:spacing w:line="420" w:lineRule="exact"/>
              <w:jc w:val="center"/>
              <w:rPr>
                <w:rFonts w:ascii="宋体" w:hAnsi="宋体"/>
                <w:color w:val="auto"/>
                <w:szCs w:val="21"/>
                <w:highlight w:val="none"/>
              </w:rPr>
            </w:pPr>
          </w:p>
        </w:tc>
        <w:tc>
          <w:tcPr>
            <w:tcW w:w="1793" w:type="dxa"/>
            <w:vAlign w:val="center"/>
          </w:tcPr>
          <w:p w14:paraId="1BAC490E">
            <w:pPr>
              <w:spacing w:line="420" w:lineRule="exact"/>
              <w:jc w:val="center"/>
              <w:rPr>
                <w:rFonts w:ascii="宋体" w:hAnsi="宋体"/>
                <w:color w:val="auto"/>
                <w:szCs w:val="21"/>
                <w:highlight w:val="none"/>
              </w:rPr>
            </w:pPr>
          </w:p>
        </w:tc>
        <w:tc>
          <w:tcPr>
            <w:tcW w:w="1431" w:type="dxa"/>
            <w:vAlign w:val="center"/>
          </w:tcPr>
          <w:p w14:paraId="0FB8CB74">
            <w:pPr>
              <w:spacing w:line="420" w:lineRule="exact"/>
              <w:jc w:val="center"/>
              <w:rPr>
                <w:rFonts w:ascii="宋体" w:hAnsi="宋体"/>
                <w:color w:val="auto"/>
                <w:szCs w:val="21"/>
                <w:highlight w:val="none"/>
              </w:rPr>
            </w:pPr>
          </w:p>
        </w:tc>
        <w:tc>
          <w:tcPr>
            <w:tcW w:w="1520" w:type="dxa"/>
            <w:vAlign w:val="center"/>
          </w:tcPr>
          <w:p w14:paraId="797F71E9">
            <w:pPr>
              <w:spacing w:line="420" w:lineRule="exact"/>
              <w:jc w:val="center"/>
              <w:rPr>
                <w:rFonts w:ascii="宋体" w:hAnsi="宋体"/>
                <w:color w:val="auto"/>
                <w:szCs w:val="21"/>
                <w:highlight w:val="none"/>
              </w:rPr>
            </w:pPr>
          </w:p>
        </w:tc>
        <w:tc>
          <w:tcPr>
            <w:tcW w:w="1706" w:type="dxa"/>
            <w:vAlign w:val="center"/>
          </w:tcPr>
          <w:p w14:paraId="6B82C0B2">
            <w:pPr>
              <w:spacing w:line="420" w:lineRule="exact"/>
              <w:jc w:val="center"/>
              <w:rPr>
                <w:rFonts w:ascii="宋体" w:hAnsi="宋体"/>
                <w:color w:val="auto"/>
                <w:szCs w:val="21"/>
                <w:highlight w:val="none"/>
              </w:rPr>
            </w:pPr>
          </w:p>
        </w:tc>
        <w:tc>
          <w:tcPr>
            <w:tcW w:w="1697" w:type="dxa"/>
          </w:tcPr>
          <w:p w14:paraId="2FC572A5">
            <w:pPr>
              <w:spacing w:line="420" w:lineRule="exact"/>
              <w:jc w:val="center"/>
              <w:rPr>
                <w:rFonts w:ascii="宋体" w:hAnsi="宋体"/>
                <w:color w:val="auto"/>
                <w:szCs w:val="21"/>
                <w:highlight w:val="none"/>
              </w:rPr>
            </w:pPr>
          </w:p>
        </w:tc>
      </w:tr>
      <w:tr w14:paraId="5F55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08451FE1">
            <w:pPr>
              <w:spacing w:line="420" w:lineRule="exact"/>
              <w:jc w:val="center"/>
              <w:rPr>
                <w:rFonts w:ascii="宋体" w:hAnsi="宋体"/>
                <w:color w:val="auto"/>
                <w:szCs w:val="21"/>
                <w:highlight w:val="none"/>
              </w:rPr>
            </w:pPr>
            <w:r>
              <w:rPr>
                <w:rFonts w:hint="eastAsia" w:ascii="宋体" w:hAnsi="宋体"/>
                <w:color w:val="auto"/>
                <w:szCs w:val="21"/>
                <w:highlight w:val="none"/>
              </w:rPr>
              <w:t>6</w:t>
            </w:r>
          </w:p>
        </w:tc>
        <w:tc>
          <w:tcPr>
            <w:tcW w:w="1169" w:type="dxa"/>
            <w:vAlign w:val="center"/>
          </w:tcPr>
          <w:p w14:paraId="172CD46D">
            <w:pPr>
              <w:spacing w:line="420" w:lineRule="exact"/>
              <w:jc w:val="center"/>
              <w:rPr>
                <w:rFonts w:ascii="宋体" w:hAnsi="宋体"/>
                <w:color w:val="auto"/>
                <w:szCs w:val="21"/>
                <w:highlight w:val="none"/>
              </w:rPr>
            </w:pPr>
          </w:p>
        </w:tc>
        <w:tc>
          <w:tcPr>
            <w:tcW w:w="1797" w:type="dxa"/>
            <w:vAlign w:val="center"/>
          </w:tcPr>
          <w:p w14:paraId="4A2CF1BB">
            <w:pPr>
              <w:spacing w:line="420" w:lineRule="exact"/>
              <w:jc w:val="center"/>
              <w:rPr>
                <w:rFonts w:ascii="宋体" w:hAnsi="宋体"/>
                <w:color w:val="auto"/>
                <w:szCs w:val="21"/>
                <w:highlight w:val="none"/>
              </w:rPr>
            </w:pPr>
          </w:p>
        </w:tc>
        <w:tc>
          <w:tcPr>
            <w:tcW w:w="1930" w:type="dxa"/>
            <w:vAlign w:val="center"/>
          </w:tcPr>
          <w:p w14:paraId="2F5D28BF">
            <w:pPr>
              <w:spacing w:line="420" w:lineRule="exact"/>
              <w:jc w:val="center"/>
              <w:rPr>
                <w:rFonts w:ascii="宋体" w:hAnsi="宋体"/>
                <w:color w:val="auto"/>
                <w:szCs w:val="21"/>
                <w:highlight w:val="none"/>
              </w:rPr>
            </w:pPr>
          </w:p>
        </w:tc>
        <w:tc>
          <w:tcPr>
            <w:tcW w:w="1793" w:type="dxa"/>
            <w:vAlign w:val="center"/>
          </w:tcPr>
          <w:p w14:paraId="12A0D79B">
            <w:pPr>
              <w:spacing w:line="420" w:lineRule="exact"/>
              <w:jc w:val="center"/>
              <w:rPr>
                <w:rFonts w:ascii="宋体" w:hAnsi="宋体"/>
                <w:color w:val="auto"/>
                <w:szCs w:val="21"/>
                <w:highlight w:val="none"/>
              </w:rPr>
            </w:pPr>
          </w:p>
        </w:tc>
        <w:tc>
          <w:tcPr>
            <w:tcW w:w="1431" w:type="dxa"/>
            <w:vAlign w:val="center"/>
          </w:tcPr>
          <w:p w14:paraId="260EEEF2">
            <w:pPr>
              <w:spacing w:line="420" w:lineRule="exact"/>
              <w:jc w:val="center"/>
              <w:rPr>
                <w:rFonts w:ascii="宋体" w:hAnsi="宋体"/>
                <w:color w:val="auto"/>
                <w:szCs w:val="21"/>
                <w:highlight w:val="none"/>
              </w:rPr>
            </w:pPr>
          </w:p>
        </w:tc>
        <w:tc>
          <w:tcPr>
            <w:tcW w:w="1520" w:type="dxa"/>
            <w:vAlign w:val="center"/>
          </w:tcPr>
          <w:p w14:paraId="5138144A">
            <w:pPr>
              <w:spacing w:line="420" w:lineRule="exact"/>
              <w:jc w:val="center"/>
              <w:rPr>
                <w:rFonts w:ascii="宋体" w:hAnsi="宋体"/>
                <w:color w:val="auto"/>
                <w:szCs w:val="21"/>
                <w:highlight w:val="none"/>
              </w:rPr>
            </w:pPr>
          </w:p>
        </w:tc>
        <w:tc>
          <w:tcPr>
            <w:tcW w:w="1706" w:type="dxa"/>
            <w:vAlign w:val="center"/>
          </w:tcPr>
          <w:p w14:paraId="35C0BB03">
            <w:pPr>
              <w:spacing w:line="420" w:lineRule="exact"/>
              <w:jc w:val="center"/>
              <w:rPr>
                <w:rFonts w:ascii="宋体" w:hAnsi="宋体"/>
                <w:color w:val="auto"/>
                <w:szCs w:val="21"/>
                <w:highlight w:val="none"/>
              </w:rPr>
            </w:pPr>
          </w:p>
        </w:tc>
        <w:tc>
          <w:tcPr>
            <w:tcW w:w="1697" w:type="dxa"/>
          </w:tcPr>
          <w:p w14:paraId="2E742AF0">
            <w:pPr>
              <w:spacing w:line="420" w:lineRule="exact"/>
              <w:jc w:val="center"/>
              <w:rPr>
                <w:rFonts w:ascii="宋体" w:hAnsi="宋体"/>
                <w:color w:val="auto"/>
                <w:szCs w:val="21"/>
                <w:highlight w:val="none"/>
              </w:rPr>
            </w:pPr>
          </w:p>
        </w:tc>
      </w:tr>
      <w:tr w14:paraId="2BB7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04" w:type="dxa"/>
            <w:vAlign w:val="center"/>
          </w:tcPr>
          <w:p w14:paraId="0BB97982">
            <w:pPr>
              <w:spacing w:line="420" w:lineRule="exact"/>
              <w:jc w:val="center"/>
              <w:rPr>
                <w:rFonts w:ascii="宋体" w:hAnsi="宋体"/>
                <w:color w:val="auto"/>
                <w:szCs w:val="21"/>
                <w:highlight w:val="none"/>
              </w:rPr>
            </w:pPr>
            <w:r>
              <w:rPr>
                <w:rFonts w:hint="eastAsia" w:ascii="宋体" w:hAnsi="宋体"/>
                <w:color w:val="auto"/>
                <w:szCs w:val="21"/>
                <w:highlight w:val="none"/>
              </w:rPr>
              <w:t>7</w:t>
            </w:r>
          </w:p>
        </w:tc>
        <w:tc>
          <w:tcPr>
            <w:tcW w:w="1169" w:type="dxa"/>
            <w:vAlign w:val="center"/>
          </w:tcPr>
          <w:p w14:paraId="3BF636FD">
            <w:pPr>
              <w:spacing w:line="420" w:lineRule="exact"/>
              <w:jc w:val="center"/>
              <w:rPr>
                <w:rFonts w:ascii="宋体" w:hAnsi="宋体"/>
                <w:color w:val="auto"/>
                <w:szCs w:val="21"/>
                <w:highlight w:val="none"/>
              </w:rPr>
            </w:pPr>
          </w:p>
        </w:tc>
        <w:tc>
          <w:tcPr>
            <w:tcW w:w="1797" w:type="dxa"/>
            <w:vAlign w:val="center"/>
          </w:tcPr>
          <w:p w14:paraId="1210ECBC">
            <w:pPr>
              <w:spacing w:line="420" w:lineRule="exact"/>
              <w:jc w:val="center"/>
              <w:rPr>
                <w:rFonts w:ascii="宋体" w:hAnsi="宋体"/>
                <w:color w:val="auto"/>
                <w:szCs w:val="21"/>
                <w:highlight w:val="none"/>
              </w:rPr>
            </w:pPr>
          </w:p>
        </w:tc>
        <w:tc>
          <w:tcPr>
            <w:tcW w:w="1930" w:type="dxa"/>
            <w:vAlign w:val="center"/>
          </w:tcPr>
          <w:p w14:paraId="4CC6B65F">
            <w:pPr>
              <w:spacing w:line="420" w:lineRule="exact"/>
              <w:jc w:val="center"/>
              <w:rPr>
                <w:rFonts w:ascii="宋体" w:hAnsi="宋体"/>
                <w:color w:val="auto"/>
                <w:szCs w:val="21"/>
                <w:highlight w:val="none"/>
              </w:rPr>
            </w:pPr>
          </w:p>
        </w:tc>
        <w:tc>
          <w:tcPr>
            <w:tcW w:w="1793" w:type="dxa"/>
            <w:vAlign w:val="center"/>
          </w:tcPr>
          <w:p w14:paraId="4D6DF9B0">
            <w:pPr>
              <w:spacing w:line="420" w:lineRule="exact"/>
              <w:jc w:val="center"/>
              <w:rPr>
                <w:rFonts w:ascii="宋体" w:hAnsi="宋体"/>
                <w:color w:val="auto"/>
                <w:szCs w:val="21"/>
                <w:highlight w:val="none"/>
              </w:rPr>
            </w:pPr>
          </w:p>
        </w:tc>
        <w:tc>
          <w:tcPr>
            <w:tcW w:w="1431" w:type="dxa"/>
            <w:vAlign w:val="center"/>
          </w:tcPr>
          <w:p w14:paraId="1E528140">
            <w:pPr>
              <w:spacing w:line="420" w:lineRule="exact"/>
              <w:jc w:val="center"/>
              <w:rPr>
                <w:rFonts w:ascii="宋体" w:hAnsi="宋体"/>
                <w:color w:val="auto"/>
                <w:szCs w:val="21"/>
                <w:highlight w:val="none"/>
              </w:rPr>
            </w:pPr>
          </w:p>
        </w:tc>
        <w:tc>
          <w:tcPr>
            <w:tcW w:w="1520" w:type="dxa"/>
            <w:vAlign w:val="center"/>
          </w:tcPr>
          <w:p w14:paraId="3C362B88">
            <w:pPr>
              <w:spacing w:line="420" w:lineRule="exact"/>
              <w:jc w:val="center"/>
              <w:rPr>
                <w:rFonts w:ascii="宋体" w:hAnsi="宋体"/>
                <w:color w:val="auto"/>
                <w:szCs w:val="21"/>
                <w:highlight w:val="none"/>
              </w:rPr>
            </w:pPr>
          </w:p>
        </w:tc>
        <w:tc>
          <w:tcPr>
            <w:tcW w:w="1706" w:type="dxa"/>
            <w:vAlign w:val="center"/>
          </w:tcPr>
          <w:p w14:paraId="232F9C9B">
            <w:pPr>
              <w:spacing w:line="420" w:lineRule="exact"/>
              <w:jc w:val="center"/>
              <w:rPr>
                <w:rFonts w:ascii="宋体" w:hAnsi="宋体"/>
                <w:color w:val="auto"/>
                <w:szCs w:val="21"/>
                <w:highlight w:val="none"/>
              </w:rPr>
            </w:pPr>
          </w:p>
        </w:tc>
        <w:tc>
          <w:tcPr>
            <w:tcW w:w="1697" w:type="dxa"/>
          </w:tcPr>
          <w:p w14:paraId="604ADCC6">
            <w:pPr>
              <w:spacing w:line="420" w:lineRule="exact"/>
              <w:jc w:val="center"/>
              <w:rPr>
                <w:rFonts w:ascii="宋体" w:hAnsi="宋体"/>
                <w:color w:val="auto"/>
                <w:szCs w:val="21"/>
                <w:highlight w:val="none"/>
              </w:rPr>
            </w:pPr>
          </w:p>
        </w:tc>
      </w:tr>
      <w:bookmarkEnd w:id="988"/>
    </w:tbl>
    <w:p w14:paraId="36CC0484">
      <w:pPr>
        <w:spacing w:after="240" w:afterLines="100"/>
        <w:rPr>
          <w:color w:val="auto"/>
          <w:szCs w:val="44"/>
          <w:highlight w:val="none"/>
        </w:rPr>
      </w:pPr>
    </w:p>
    <w:p w14:paraId="15838D9A">
      <w:pPr>
        <w:adjustRightInd w:val="0"/>
        <w:snapToGrid w:val="0"/>
        <w:spacing w:line="440" w:lineRule="exact"/>
        <w:rPr>
          <w:rFonts w:ascii="黑体" w:eastAsia="黑体"/>
          <w:color w:val="auto"/>
          <w:sz w:val="24"/>
          <w:highlight w:val="none"/>
        </w:rPr>
      </w:pPr>
    </w:p>
    <w:p w14:paraId="0C2855CD">
      <w:pPr>
        <w:adjustRightInd w:val="0"/>
        <w:snapToGrid w:val="0"/>
        <w:spacing w:line="440" w:lineRule="exact"/>
        <w:rPr>
          <w:rFonts w:ascii="黑体" w:eastAsia="黑体"/>
          <w:color w:val="auto"/>
          <w:sz w:val="24"/>
          <w:highlight w:val="none"/>
        </w:rPr>
        <w:sectPr>
          <w:footerReference r:id="rId14" w:type="default"/>
          <w:footerReference r:id="rId15" w:type="even"/>
          <w:pgSz w:w="16838" w:h="11906" w:orient="landscape"/>
          <w:pgMar w:top="1797" w:right="1440" w:bottom="1797" w:left="1440" w:header="851" w:footer="851" w:gutter="0"/>
          <w:pgBorders>
            <w:top w:val="none" w:sz="0" w:space="0"/>
            <w:left w:val="none" w:sz="0" w:space="0"/>
            <w:bottom w:val="none" w:sz="0" w:space="0"/>
            <w:right w:val="none" w:sz="0" w:space="0"/>
          </w:pgBorders>
          <w:cols w:space="720" w:num="1"/>
          <w:docGrid w:linePitch="312" w:charSpace="0"/>
        </w:sectPr>
      </w:pPr>
    </w:p>
    <w:p w14:paraId="1C70CAC6">
      <w:pPr>
        <w:adjustRightInd w:val="0"/>
        <w:snapToGrid w:val="0"/>
        <w:spacing w:line="440" w:lineRule="exact"/>
        <w:rPr>
          <w:rFonts w:ascii="黑体" w:eastAsia="黑体"/>
          <w:color w:val="auto"/>
          <w:sz w:val="24"/>
          <w:highlight w:val="none"/>
        </w:rPr>
        <w:sectPr>
          <w:pgSz w:w="11906" w:h="16838"/>
          <w:pgMar w:top="1440" w:right="1797" w:bottom="1440" w:left="1797" w:header="851" w:footer="851" w:gutter="0"/>
          <w:pgBorders>
            <w:top w:val="none" w:sz="0" w:space="0"/>
            <w:left w:val="none" w:sz="0" w:space="0"/>
            <w:bottom w:val="none" w:sz="0" w:space="0"/>
            <w:right w:val="none" w:sz="0" w:space="0"/>
          </w:pgBorders>
          <w:cols w:space="720" w:num="1"/>
          <w:docGrid w:linePitch="312" w:charSpace="0"/>
        </w:sectPr>
      </w:pPr>
    </w:p>
    <w:p w14:paraId="457B9DBF">
      <w:pPr>
        <w:pStyle w:val="37"/>
        <w:ind w:firstLine="118"/>
        <w:rPr>
          <w:color w:val="auto"/>
          <w:highlight w:val="none"/>
        </w:rPr>
      </w:pPr>
      <w:bookmarkStart w:id="989" w:name="_Toc164716304"/>
      <w:bookmarkStart w:id="990" w:name="_Toc148860658"/>
      <w:bookmarkStart w:id="991" w:name="_Toc21203"/>
      <w:bookmarkStart w:id="992" w:name="_Toc256000134"/>
      <w:bookmarkStart w:id="993" w:name="_Toc27460"/>
      <w:r>
        <w:rPr>
          <w:color w:val="auto"/>
          <w:highlight w:val="none"/>
        </w:rPr>
        <w:t>附表A-2：评标专家</w:t>
      </w:r>
      <w:r>
        <w:rPr>
          <w:rFonts w:hint="eastAsia"/>
          <w:color w:val="auto"/>
          <w:highlight w:val="none"/>
        </w:rPr>
        <w:t>告知承诺函</w:t>
      </w:r>
      <w:bookmarkEnd w:id="989"/>
      <w:bookmarkEnd w:id="990"/>
      <w:bookmarkEnd w:id="991"/>
      <w:bookmarkEnd w:id="992"/>
      <w:bookmarkEnd w:id="993"/>
    </w:p>
    <w:p w14:paraId="5AD6D088">
      <w:pPr>
        <w:adjustRightInd w:val="0"/>
        <w:snapToGrid w:val="0"/>
        <w:spacing w:line="440" w:lineRule="exact"/>
        <w:rPr>
          <w:rFonts w:ascii="黑体" w:eastAsia="黑体"/>
          <w:color w:val="auto"/>
          <w:sz w:val="24"/>
          <w:highlight w:val="none"/>
        </w:rPr>
      </w:pPr>
    </w:p>
    <w:p w14:paraId="39645D58">
      <w:pPr>
        <w:adjustRightInd w:val="0"/>
        <w:snapToGrid w:val="0"/>
        <w:spacing w:before="240" w:beforeLines="100" w:after="240" w:afterLines="100" w:line="440" w:lineRule="exact"/>
        <w:jc w:val="center"/>
        <w:rPr>
          <w:rFonts w:ascii="黑体" w:hAnsi="宋体" w:eastAsia="黑体"/>
          <w:color w:val="auto"/>
          <w:sz w:val="36"/>
          <w:szCs w:val="36"/>
          <w:highlight w:val="none"/>
        </w:rPr>
      </w:pPr>
      <w:r>
        <w:rPr>
          <w:rFonts w:hint="eastAsia" w:ascii="黑体" w:hAnsi="宋体" w:eastAsia="黑体"/>
          <w:color w:val="auto"/>
          <w:sz w:val="36"/>
          <w:szCs w:val="36"/>
          <w:highlight w:val="none"/>
        </w:rPr>
        <w:t>评标专家告知承诺函</w:t>
      </w:r>
    </w:p>
    <w:p w14:paraId="5A31909F">
      <w:pPr>
        <w:spacing w:line="360" w:lineRule="auto"/>
        <w:ind w:firstLine="420" w:firstLineChars="200"/>
        <w:rPr>
          <w:color w:val="auto"/>
          <w:highlight w:val="none"/>
        </w:rPr>
      </w:pPr>
    </w:p>
    <w:p w14:paraId="6BCE304F">
      <w:pPr>
        <w:spacing w:line="360" w:lineRule="auto"/>
        <w:ind w:firstLine="420" w:firstLineChars="200"/>
        <w:rPr>
          <w:color w:val="auto"/>
          <w:highlight w:val="none"/>
        </w:rPr>
      </w:pPr>
      <w:r>
        <w:rPr>
          <w:color w:val="auto"/>
          <w:highlight w:val="none"/>
        </w:rPr>
        <w:t>本人接受招标人邀请，担任</w:t>
      </w:r>
      <w:r>
        <w:rPr>
          <w:rFonts w:hint="eastAsia"/>
          <w:color w:val="auto"/>
          <w:highlight w:val="non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（标段名称）项目</w:t>
      </w:r>
      <w:r>
        <w:rPr>
          <w:color w:val="auto"/>
          <w:highlight w:val="none"/>
        </w:rPr>
        <w:t>招标的评标专家。</w:t>
      </w:r>
    </w:p>
    <w:p w14:paraId="53BD009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本人作为辽宁省评标专家库评标专家，已知悉相关权利义务，已熟知告知承诺函内容，并在此郑重承诺:</w:t>
      </w:r>
    </w:p>
    <w:p w14:paraId="46D7756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一、尽职承诺</w:t>
      </w:r>
    </w:p>
    <w:p w14:paraId="5E6E2A3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（一）客观、公正地履行职务，严格按照法律法规规定、评标办法独立完成该项目的评标工作。</w:t>
      </w:r>
    </w:p>
    <w:p w14:paraId="0F8C5D3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（二）严格遵守评标纪律，保证评标过程中不发表任何涉及实质性内容的倾向性、引导性言论，不擅离职守。</w:t>
      </w:r>
    </w:p>
    <w:p w14:paraId="7FD5C38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严格遵守《中华人民共和国招标投标法》《中华人民共和国保守国家秘密法》《中华人民共和国招标投标法实施条例》相关规定，遵守职业道德，对所提出的评审意见承担个人责任，自觉维护国家利益、社会公共利益。</w:t>
      </w:r>
    </w:p>
    <w:p w14:paraId="1798CA3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（四）对依法应当否决的投标提出否决意见。</w:t>
      </w:r>
    </w:p>
    <w:p w14:paraId="2553FD5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二、回避承诺</w:t>
      </w:r>
    </w:p>
    <w:p w14:paraId="65F4B07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（一）与招标人或投标人的主要负责人不存在近亲属关系。</w:t>
      </w:r>
    </w:p>
    <w:p w14:paraId="372ABA8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（二）非项目主管部门或者行政监督部门的人员。</w:t>
      </w:r>
    </w:p>
    <w:p w14:paraId="3C11035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（三）近</w:t>
      </w:r>
      <w:r>
        <w:rPr>
          <w:rFonts w:ascii="宋体" w:hAnsi="宋体"/>
          <w:color w:val="auto"/>
          <w:szCs w:val="21"/>
          <w:highlight w:val="none"/>
        </w:rPr>
        <w:t>5</w:t>
      </w:r>
      <w:r>
        <w:rPr>
          <w:rFonts w:hint="eastAsia" w:ascii="宋体" w:hAnsi="宋体"/>
          <w:color w:val="auto"/>
          <w:szCs w:val="21"/>
          <w:highlight w:val="none"/>
        </w:rPr>
        <w:t>年未与投标人或者投标人主要负责人有其他社会关系或者经济利益关系。</w:t>
      </w:r>
    </w:p>
    <w:p w14:paraId="0067A0A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（四）未曾因在招标、评标以及其他与招标投标有关活动中从事违法行为而受过行政处罚或刑事处罚的。</w:t>
      </w:r>
    </w:p>
    <w:p w14:paraId="2202812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三、保密承诺</w:t>
      </w:r>
    </w:p>
    <w:p w14:paraId="7EABB61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（一）不在公共社交网站、媒体、平台，如微信群、QQ群、朋友圈、个人微博等，通过视频、图片、暗语等方式泄露评标任务。</w:t>
      </w:r>
    </w:p>
    <w:p w14:paraId="6B9DF88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（二）评审结束时，全部清退不应由个人持有的评审项目所有文件和资料，不向任何人透露投标文件的评审和比较情况、中标候选人推荐情况以及与评审有关的其他情况。</w:t>
      </w:r>
    </w:p>
    <w:p w14:paraId="24D2CCE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四、廉洁承诺</w:t>
      </w:r>
    </w:p>
    <w:p w14:paraId="2BC7480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（一）严格履行廉政自律责任，遵守评标廉政纪律，没有私下接触招标人、招标代理机构、投标人，没有收受利益相关人或企业的财物、好处。</w:t>
      </w:r>
    </w:p>
    <w:p w14:paraId="1A3F152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（二）不向招标人征询确定中标人的意向或者接受任何单位、个人明示暗示特定投标人的要求。</w:t>
      </w:r>
    </w:p>
    <w:p w14:paraId="4708207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（三）不暗示或者诱导投标人作出澄清、说明或者接受投标人主动提出的澄清、说明。</w:t>
      </w:r>
    </w:p>
    <w:p w14:paraId="60A904B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（四）自觉抵制招标投标活动中的违法违规行为，积极配合协助行政监督部门、纪检监察部门、公安部门、检察机关等依法进行监督。</w:t>
      </w:r>
    </w:p>
    <w:p w14:paraId="1B55C77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五、不参与串通投标承诺</w:t>
      </w:r>
    </w:p>
    <w:p w14:paraId="34F2EA2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（一）依法依规参加本招标项目的评标工作，不参与串通投标。</w:t>
      </w:r>
    </w:p>
    <w:p w14:paraId="7F8259C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（二）清楚并知晓《中华人民共和国刑法》第一百六十三条“公司、</w:t>
      </w:r>
      <w:r>
        <w:rPr>
          <w:rFonts w:ascii="宋体" w:hAnsi="宋体"/>
          <w:color w:val="auto"/>
          <w:szCs w:val="21"/>
          <w:highlight w:val="none"/>
        </w:rPr>
        <w:t>企业</w:t>
      </w:r>
      <w:r>
        <w:rPr>
          <w:rFonts w:hint="eastAsia" w:ascii="宋体" w:hAnsi="宋体"/>
          <w:color w:val="auto"/>
          <w:szCs w:val="21"/>
          <w:highlight w:val="none"/>
        </w:rPr>
        <w:t>或者其他单位</w:t>
      </w:r>
      <w:r>
        <w:rPr>
          <w:rFonts w:ascii="宋体" w:hAnsi="宋体"/>
          <w:color w:val="auto"/>
          <w:szCs w:val="21"/>
          <w:highlight w:val="none"/>
        </w:rPr>
        <w:t>的</w:t>
      </w:r>
      <w:r>
        <w:rPr>
          <w:rFonts w:hint="eastAsia" w:ascii="宋体" w:hAnsi="宋体"/>
          <w:color w:val="auto"/>
          <w:szCs w:val="21"/>
          <w:highlight w:val="none"/>
        </w:rPr>
        <w:t>工作人员，利用职务上的便利，</w:t>
      </w:r>
      <w:r>
        <w:rPr>
          <w:rFonts w:ascii="宋体" w:hAnsi="宋体"/>
          <w:color w:val="auto"/>
          <w:szCs w:val="21"/>
          <w:highlight w:val="none"/>
        </w:rPr>
        <w:t>索取他人财物或者非法收受他</w:t>
      </w:r>
      <w:r>
        <w:rPr>
          <w:rFonts w:hint="eastAsia" w:ascii="宋体" w:hAnsi="宋体"/>
          <w:color w:val="auto"/>
          <w:szCs w:val="21"/>
          <w:highlight w:val="none"/>
        </w:rPr>
        <w:t>人财物，</w:t>
      </w:r>
      <w:r>
        <w:rPr>
          <w:rFonts w:ascii="宋体" w:hAnsi="宋体"/>
          <w:color w:val="auto"/>
          <w:szCs w:val="21"/>
          <w:highlight w:val="none"/>
        </w:rPr>
        <w:t>为他人谋取利益</w:t>
      </w:r>
      <w:r>
        <w:rPr>
          <w:rFonts w:hint="eastAsia" w:ascii="宋体" w:hAnsi="宋体"/>
          <w:color w:val="auto"/>
          <w:szCs w:val="21"/>
          <w:highlight w:val="none"/>
        </w:rPr>
        <w:t>，</w:t>
      </w:r>
      <w:r>
        <w:rPr>
          <w:rFonts w:ascii="宋体" w:hAnsi="宋体"/>
          <w:color w:val="auto"/>
          <w:szCs w:val="21"/>
          <w:highlight w:val="none"/>
        </w:rPr>
        <w:t>数额较大的</w:t>
      </w:r>
      <w:r>
        <w:rPr>
          <w:rFonts w:hint="eastAsia" w:ascii="宋体" w:hAnsi="宋体"/>
          <w:color w:val="auto"/>
          <w:szCs w:val="21"/>
          <w:highlight w:val="none"/>
        </w:rPr>
        <w:t>，处三年以下有期徒刑或者拘役，并处罚金；数额巨大或者有其他严重情节的，处三年以上十年以下有期徒刑，并处罚金；数额特别巨大或者有其他特别严重情节的，处十年以上有期徒刑或者无期</w:t>
      </w:r>
      <w:r>
        <w:rPr>
          <w:rFonts w:ascii="宋体" w:hAnsi="宋体"/>
          <w:color w:val="auto"/>
          <w:szCs w:val="21"/>
          <w:highlight w:val="none"/>
        </w:rPr>
        <w:t>徒刑</w:t>
      </w:r>
      <w:r>
        <w:rPr>
          <w:rFonts w:hint="eastAsia" w:ascii="宋体" w:hAnsi="宋体"/>
          <w:color w:val="auto"/>
          <w:szCs w:val="21"/>
          <w:highlight w:val="none"/>
        </w:rPr>
        <w:t>，</w:t>
      </w:r>
      <w:r>
        <w:rPr>
          <w:rFonts w:ascii="宋体" w:hAnsi="宋体"/>
          <w:color w:val="auto"/>
          <w:szCs w:val="21"/>
          <w:highlight w:val="none"/>
        </w:rPr>
        <w:t>并处</w:t>
      </w:r>
      <w:r>
        <w:rPr>
          <w:rFonts w:hint="eastAsia" w:ascii="宋体" w:hAnsi="宋体"/>
          <w:color w:val="auto"/>
          <w:szCs w:val="21"/>
          <w:highlight w:val="none"/>
        </w:rPr>
        <w:t>罚金”的规定。</w:t>
      </w:r>
    </w:p>
    <w:p w14:paraId="31ABB3B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（三）本人如被查实在本招标项目评标工作中参与串通投标的，自愿承担相应法律责任，接受相应刑事和纪律、行政处罚以及失信惩戒。</w:t>
      </w:r>
    </w:p>
    <w:p w14:paraId="25632E5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六、本承诺函由我本人亲自签字确认。</w:t>
      </w:r>
    </w:p>
    <w:p w14:paraId="7CAE7ECE">
      <w:pPr>
        <w:spacing w:line="360" w:lineRule="auto"/>
        <w:ind w:firstLine="420" w:firstLineChars="200"/>
        <w:rPr>
          <w:rFonts w:ascii="宋体" w:hAnsi="宋体"/>
          <w:color w:val="auto"/>
          <w:szCs w:val="21"/>
          <w:highlight w:val="none"/>
        </w:rPr>
      </w:pPr>
    </w:p>
    <w:p w14:paraId="5A62607F">
      <w:pPr>
        <w:spacing w:line="360" w:lineRule="auto"/>
        <w:ind w:firstLine="420" w:firstLineChars="200"/>
        <w:rPr>
          <w:rFonts w:ascii="宋体" w:hAnsi="宋体"/>
          <w:color w:val="auto"/>
          <w:szCs w:val="21"/>
          <w:highlight w:val="none"/>
        </w:rPr>
      </w:pPr>
    </w:p>
    <w:p w14:paraId="58E9EE1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本人是□ 否□ 为中共党员 </w:t>
      </w:r>
    </w:p>
    <w:p w14:paraId="1E0DD623">
      <w:pPr>
        <w:spacing w:line="360" w:lineRule="auto"/>
        <w:ind w:firstLine="1680" w:firstLineChars="800"/>
        <w:rPr>
          <w:rFonts w:ascii="宋体" w:hAnsi="宋体"/>
          <w:color w:val="auto"/>
          <w:szCs w:val="21"/>
          <w:highlight w:val="none"/>
        </w:rPr>
      </w:pPr>
      <w:r>
        <w:rPr>
          <w:rFonts w:hint="eastAsia" w:ascii="宋体" w:hAnsi="宋体"/>
          <w:color w:val="auto"/>
          <w:szCs w:val="21"/>
          <w:highlight w:val="none"/>
        </w:rPr>
        <w:t>（应单选，</w:t>
      </w:r>
      <w:r>
        <w:rPr>
          <w:rFonts w:hint="eastAsia" w:ascii="宋体" w:hAnsi="宋体"/>
          <w:b/>
          <w:bCs/>
          <w:color w:val="auto"/>
          <w:szCs w:val="21"/>
          <w:highlight w:val="none"/>
          <w:shd w:val="clear" w:color="auto" w:fill="FFFFFF"/>
        </w:rPr>
        <w:t>并在方框内打“√”</w:t>
      </w:r>
      <w:r>
        <w:rPr>
          <w:rFonts w:hint="eastAsia" w:ascii="宋体" w:hAnsi="宋体"/>
          <w:color w:val="auto"/>
          <w:szCs w:val="21"/>
          <w:highlight w:val="none"/>
        </w:rPr>
        <w:t>）</w:t>
      </w:r>
    </w:p>
    <w:p w14:paraId="6DDEC9ED">
      <w:pPr>
        <w:spacing w:line="360" w:lineRule="auto"/>
        <w:ind w:firstLine="1260" w:firstLineChars="600"/>
        <w:rPr>
          <w:rFonts w:ascii="宋体" w:hAnsi="宋体"/>
          <w:color w:val="auto"/>
          <w:szCs w:val="21"/>
          <w:highlight w:val="none"/>
        </w:rPr>
      </w:pPr>
    </w:p>
    <w:p w14:paraId="79755695">
      <w:pPr>
        <w:spacing w:line="360" w:lineRule="auto"/>
        <w:ind w:firstLine="1260" w:firstLineChars="600"/>
        <w:rPr>
          <w:rFonts w:ascii="宋体" w:hAnsi="宋体"/>
          <w:color w:val="auto"/>
          <w:szCs w:val="21"/>
          <w:highlight w:val="none"/>
        </w:rPr>
      </w:pPr>
    </w:p>
    <w:p w14:paraId="05D19B42">
      <w:pPr>
        <w:spacing w:line="360" w:lineRule="auto"/>
        <w:ind w:firstLine="1260" w:firstLineChars="600"/>
        <w:rPr>
          <w:rFonts w:ascii="宋体" w:hAnsi="宋体"/>
          <w:color w:val="auto"/>
          <w:szCs w:val="21"/>
          <w:highlight w:val="none"/>
        </w:rPr>
      </w:pPr>
    </w:p>
    <w:p w14:paraId="2666F8A5">
      <w:pPr>
        <w:spacing w:line="360" w:lineRule="auto"/>
        <w:ind w:firstLine="420" w:firstLineChars="200"/>
        <w:jc w:val="center"/>
        <w:rPr>
          <w:rFonts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承 诺 人：             （签字）</w:t>
      </w:r>
    </w:p>
    <w:p w14:paraId="3E4C781B">
      <w:pPr>
        <w:spacing w:line="360" w:lineRule="auto"/>
        <w:ind w:firstLine="1260" w:firstLineChars="600"/>
        <w:rPr>
          <w:rFonts w:ascii="宋体" w:hAnsi="宋体"/>
          <w:color w:val="auto"/>
          <w:szCs w:val="21"/>
          <w:highlight w:val="none"/>
        </w:rPr>
      </w:pPr>
    </w:p>
    <w:p w14:paraId="525A3B8F">
      <w:pPr>
        <w:spacing w:line="360" w:lineRule="auto"/>
        <w:ind w:right="840" w:firstLine="420" w:firstLineChars="200"/>
        <w:jc w:val="center"/>
        <w:rPr>
          <w:rFonts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 xml:space="preserve">承诺时间： </w:t>
      </w:r>
      <w:r>
        <w:rPr>
          <w:rFonts w:ascii="宋体" w:hAnsi="宋体"/>
          <w:color w:val="auto"/>
          <w:szCs w:val="21"/>
          <w:highlight w:val="none"/>
        </w:rPr>
        <w:t xml:space="preserve">   </w:t>
      </w:r>
      <w:r>
        <w:rPr>
          <w:rFonts w:hint="eastAsia" w:ascii="宋体" w:hAnsi="宋体"/>
          <w:color w:val="auto"/>
          <w:szCs w:val="21"/>
          <w:highlight w:val="none"/>
        </w:rPr>
        <w:t xml:space="preserve">年  </w:t>
      </w:r>
      <w:r>
        <w:rPr>
          <w:rFonts w:ascii="宋体" w:hAnsi="宋体"/>
          <w:color w:val="auto"/>
          <w:szCs w:val="21"/>
          <w:highlight w:val="none"/>
        </w:rPr>
        <w:t xml:space="preserve"> </w:t>
      </w:r>
      <w:r>
        <w:rPr>
          <w:rFonts w:hint="eastAsia" w:ascii="宋体" w:hAnsi="宋体"/>
          <w:color w:val="auto"/>
          <w:szCs w:val="21"/>
          <w:highlight w:val="none"/>
        </w:rPr>
        <w:t>月  日</w:t>
      </w:r>
    </w:p>
    <w:p w14:paraId="7E5347FB">
      <w:pPr>
        <w:widowControl/>
        <w:jc w:val="left"/>
        <w:rPr>
          <w:rFonts w:ascii="宋体" w:hAnsi="宋体"/>
          <w:color w:val="auto"/>
          <w:szCs w:val="21"/>
          <w:highlight w:val="none"/>
        </w:rPr>
      </w:pPr>
      <w:r>
        <w:rPr>
          <w:rFonts w:ascii="宋体" w:hAnsi="宋体"/>
          <w:color w:val="auto"/>
          <w:szCs w:val="21"/>
          <w:highlight w:val="none"/>
        </w:rPr>
        <w:br w:type="page"/>
      </w:r>
    </w:p>
    <w:p w14:paraId="5F41FF9F">
      <w:pPr>
        <w:spacing w:line="360" w:lineRule="auto"/>
        <w:ind w:right="840" w:firstLine="420" w:firstLineChars="200"/>
        <w:jc w:val="center"/>
        <w:rPr>
          <w:rFonts w:ascii="宋体" w:hAnsi="宋体"/>
          <w:color w:val="auto"/>
          <w:szCs w:val="21"/>
          <w:highlight w:val="none"/>
        </w:rPr>
      </w:pPr>
    </w:p>
    <w:p w14:paraId="7E93C886">
      <w:pPr>
        <w:pStyle w:val="37"/>
        <w:ind w:firstLine="118"/>
        <w:rPr>
          <w:color w:val="auto"/>
          <w:highlight w:val="none"/>
        </w:rPr>
      </w:pPr>
      <w:bookmarkStart w:id="994" w:name="_Toc16627"/>
      <w:bookmarkStart w:id="995" w:name="_Toc256000135"/>
      <w:bookmarkStart w:id="996" w:name="_Toc14254"/>
      <w:bookmarkStart w:id="997" w:name="_Toc164716305"/>
      <w:bookmarkStart w:id="998" w:name="_Toc148860659"/>
      <w:bookmarkStart w:id="999" w:name="_Toc145516052"/>
      <w:r>
        <w:rPr>
          <w:color w:val="auto"/>
          <w:highlight w:val="none"/>
        </w:rPr>
        <w:t>附表A-3：技术暗标编号确认表</w:t>
      </w:r>
      <w:bookmarkEnd w:id="994"/>
      <w:bookmarkEnd w:id="995"/>
      <w:bookmarkEnd w:id="996"/>
      <w:bookmarkEnd w:id="997"/>
      <w:bookmarkEnd w:id="998"/>
    </w:p>
    <w:p w14:paraId="5922792D">
      <w:pPr>
        <w:rPr>
          <w:color w:val="auto"/>
          <w:highlight w:val="none"/>
        </w:rPr>
      </w:pPr>
    </w:p>
    <w:p w14:paraId="1A274B7E">
      <w:pPr>
        <w:adjustRightInd w:val="0"/>
        <w:snapToGrid w:val="0"/>
        <w:spacing w:before="240" w:beforeLines="100" w:after="240" w:afterLines="100" w:line="440" w:lineRule="exact"/>
        <w:jc w:val="center"/>
        <w:rPr>
          <w:rFonts w:ascii="黑体" w:hAnsi="黑体" w:eastAsia="黑体"/>
          <w:b/>
          <w:bCs/>
          <w:color w:val="auto"/>
          <w:sz w:val="36"/>
          <w:szCs w:val="36"/>
          <w:highlight w:val="none"/>
        </w:rPr>
      </w:pPr>
      <w:bookmarkStart w:id="1000" w:name="_Toc1156"/>
      <w:bookmarkStart w:id="1001" w:name="_Toc149054700"/>
      <w:bookmarkStart w:id="1002" w:name="_Toc149060933"/>
      <w:bookmarkStart w:id="1003" w:name="_Toc148860660"/>
      <w:r>
        <w:rPr>
          <w:rFonts w:hint="eastAsia" w:ascii="黑体" w:hAnsi="黑体" w:eastAsia="黑体"/>
          <w:bCs/>
          <w:color w:val="auto"/>
          <w:sz w:val="36"/>
          <w:szCs w:val="36"/>
          <w:highlight w:val="none"/>
        </w:rPr>
        <w:t>技术暗标</w:t>
      </w:r>
      <w:r>
        <w:rPr>
          <w:rFonts w:hint="eastAsia" w:ascii="黑体" w:hAnsi="宋体" w:eastAsia="黑体"/>
          <w:color w:val="auto"/>
          <w:sz w:val="36"/>
          <w:szCs w:val="36"/>
          <w:highlight w:val="none"/>
        </w:rPr>
        <w:t>编号</w:t>
      </w:r>
      <w:r>
        <w:rPr>
          <w:rFonts w:hint="eastAsia" w:ascii="黑体" w:hAnsi="黑体" w:eastAsia="黑体"/>
          <w:bCs/>
          <w:color w:val="auto"/>
          <w:sz w:val="36"/>
          <w:szCs w:val="36"/>
          <w:highlight w:val="none"/>
        </w:rPr>
        <w:t>确认表</w:t>
      </w:r>
      <w:bookmarkEnd w:id="999"/>
      <w:bookmarkEnd w:id="1000"/>
      <w:bookmarkEnd w:id="1001"/>
      <w:bookmarkEnd w:id="1002"/>
      <w:bookmarkEnd w:id="1003"/>
    </w:p>
    <w:p w14:paraId="1D2CA03D">
      <w:pPr>
        <w:rPr>
          <w:rFonts w:ascii="宋体" w:hAnsi="宋体"/>
          <w:color w:val="auto"/>
          <w:szCs w:val="44"/>
          <w:highlight w:val="none"/>
        </w:rPr>
      </w:pPr>
      <w:r>
        <w:rPr>
          <w:rFonts w:hint="eastAsia" w:ascii="宋体" w:hAnsi="宋体"/>
          <w:color w:val="auto"/>
          <w:szCs w:val="44"/>
          <w:highlight w:val="none"/>
        </w:rPr>
        <w:t>标段名称：</w:t>
      </w:r>
    </w:p>
    <w:p w14:paraId="770055BD">
      <w:pPr>
        <w:rPr>
          <w:color w:val="auto"/>
          <w:szCs w:val="44"/>
          <w:highlight w:val="none"/>
        </w:rPr>
      </w:pPr>
      <w:r>
        <w:rPr>
          <w:rFonts w:hint="eastAsia"/>
          <w:color w:val="auto"/>
          <w:szCs w:val="44"/>
          <w:highlight w:val="none"/>
        </w:rPr>
        <w:t>标段唯一标识码：</w:t>
      </w:r>
    </w:p>
    <w:tbl>
      <w:tblPr>
        <w:tblStyle w:val="25"/>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1993"/>
        <w:gridCol w:w="771"/>
        <w:gridCol w:w="772"/>
        <w:gridCol w:w="772"/>
        <w:gridCol w:w="772"/>
        <w:gridCol w:w="771"/>
        <w:gridCol w:w="772"/>
        <w:gridCol w:w="772"/>
        <w:gridCol w:w="772"/>
        <w:gridCol w:w="772"/>
      </w:tblGrid>
      <w:tr w14:paraId="4FF6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521" w:type="dxa"/>
            <w:vMerge w:val="restart"/>
            <w:vAlign w:val="center"/>
          </w:tcPr>
          <w:p w14:paraId="55517CC3">
            <w:pPr>
              <w:jc w:val="center"/>
              <w:rPr>
                <w:rFonts w:ascii="宋体" w:hAnsi="宋体"/>
                <w:b/>
                <w:bCs/>
                <w:color w:val="auto"/>
                <w:szCs w:val="21"/>
                <w:highlight w:val="none"/>
              </w:rPr>
            </w:pPr>
            <w:r>
              <w:rPr>
                <w:rFonts w:hint="eastAsia" w:ascii="宋体" w:hAnsi="宋体"/>
                <w:b/>
                <w:bCs/>
                <w:color w:val="auto"/>
                <w:szCs w:val="21"/>
                <w:highlight w:val="none"/>
              </w:rPr>
              <w:t>序号</w:t>
            </w:r>
          </w:p>
        </w:tc>
        <w:tc>
          <w:tcPr>
            <w:tcW w:w="1993" w:type="dxa"/>
            <w:vMerge w:val="restart"/>
            <w:vAlign w:val="center"/>
          </w:tcPr>
          <w:p w14:paraId="6D685FA3">
            <w:pPr>
              <w:jc w:val="center"/>
              <w:rPr>
                <w:rFonts w:ascii="宋体" w:hAnsi="宋体"/>
                <w:b/>
                <w:bCs/>
                <w:color w:val="auto"/>
                <w:szCs w:val="21"/>
                <w:highlight w:val="none"/>
              </w:rPr>
            </w:pPr>
            <w:r>
              <w:rPr>
                <w:rFonts w:hint="eastAsia" w:ascii="宋体" w:hAnsi="宋体"/>
                <w:b/>
                <w:bCs/>
                <w:color w:val="auto"/>
                <w:szCs w:val="21"/>
                <w:highlight w:val="none"/>
              </w:rPr>
              <w:t>投标人名称</w:t>
            </w:r>
          </w:p>
        </w:tc>
        <w:tc>
          <w:tcPr>
            <w:tcW w:w="6946" w:type="dxa"/>
            <w:gridSpan w:val="9"/>
          </w:tcPr>
          <w:p w14:paraId="4E596331">
            <w:pPr>
              <w:jc w:val="center"/>
              <w:rPr>
                <w:rFonts w:ascii="宋体" w:hAnsi="宋体"/>
                <w:b/>
                <w:bCs/>
                <w:color w:val="auto"/>
                <w:szCs w:val="21"/>
                <w:highlight w:val="none"/>
              </w:rPr>
            </w:pPr>
            <w:r>
              <w:rPr>
                <w:rFonts w:hint="eastAsia" w:ascii="宋体" w:hAnsi="宋体"/>
                <w:b/>
                <w:bCs/>
                <w:color w:val="auto"/>
                <w:szCs w:val="21"/>
                <w:highlight w:val="none"/>
              </w:rPr>
              <w:t>评审因素及暗标编号</w:t>
            </w:r>
          </w:p>
        </w:tc>
      </w:tr>
      <w:tr w14:paraId="63A9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21" w:type="dxa"/>
            <w:vMerge w:val="continue"/>
            <w:vAlign w:val="center"/>
          </w:tcPr>
          <w:p w14:paraId="5AC80268">
            <w:pPr>
              <w:jc w:val="center"/>
              <w:rPr>
                <w:rFonts w:ascii="宋体" w:hAnsi="宋体"/>
                <w:b/>
                <w:bCs/>
                <w:color w:val="auto"/>
                <w:szCs w:val="21"/>
                <w:highlight w:val="none"/>
              </w:rPr>
            </w:pPr>
          </w:p>
        </w:tc>
        <w:tc>
          <w:tcPr>
            <w:tcW w:w="1993" w:type="dxa"/>
            <w:vMerge w:val="continue"/>
          </w:tcPr>
          <w:p w14:paraId="2D99C8DA">
            <w:pPr>
              <w:jc w:val="center"/>
              <w:rPr>
                <w:rFonts w:ascii="宋体" w:hAnsi="宋体"/>
                <w:b/>
                <w:bCs/>
                <w:color w:val="auto"/>
                <w:szCs w:val="21"/>
                <w:highlight w:val="none"/>
              </w:rPr>
            </w:pPr>
          </w:p>
        </w:tc>
        <w:tc>
          <w:tcPr>
            <w:tcW w:w="771" w:type="dxa"/>
            <w:vAlign w:val="center"/>
          </w:tcPr>
          <w:p w14:paraId="26D9D29B">
            <w:pPr>
              <w:jc w:val="center"/>
              <w:rPr>
                <w:rFonts w:ascii="宋体" w:hAnsi="宋体"/>
                <w:b/>
                <w:bCs/>
                <w:color w:val="auto"/>
                <w:szCs w:val="21"/>
                <w:highlight w:val="none"/>
              </w:rPr>
            </w:pPr>
          </w:p>
        </w:tc>
        <w:tc>
          <w:tcPr>
            <w:tcW w:w="772" w:type="dxa"/>
            <w:vAlign w:val="center"/>
          </w:tcPr>
          <w:p w14:paraId="540D0A83">
            <w:pPr>
              <w:jc w:val="center"/>
              <w:rPr>
                <w:rFonts w:ascii="宋体" w:hAnsi="宋体"/>
                <w:b/>
                <w:bCs/>
                <w:color w:val="auto"/>
                <w:szCs w:val="21"/>
                <w:highlight w:val="none"/>
              </w:rPr>
            </w:pPr>
          </w:p>
        </w:tc>
        <w:tc>
          <w:tcPr>
            <w:tcW w:w="772" w:type="dxa"/>
            <w:vAlign w:val="center"/>
          </w:tcPr>
          <w:p w14:paraId="2F06531B">
            <w:pPr>
              <w:jc w:val="center"/>
              <w:rPr>
                <w:rFonts w:ascii="宋体" w:hAnsi="宋体"/>
                <w:b/>
                <w:bCs/>
                <w:color w:val="auto"/>
                <w:szCs w:val="21"/>
                <w:highlight w:val="none"/>
              </w:rPr>
            </w:pPr>
          </w:p>
        </w:tc>
        <w:tc>
          <w:tcPr>
            <w:tcW w:w="772" w:type="dxa"/>
            <w:vAlign w:val="center"/>
          </w:tcPr>
          <w:p w14:paraId="500C0D54">
            <w:pPr>
              <w:jc w:val="center"/>
              <w:rPr>
                <w:rFonts w:ascii="宋体" w:hAnsi="宋体"/>
                <w:b/>
                <w:bCs/>
                <w:color w:val="auto"/>
                <w:szCs w:val="21"/>
                <w:highlight w:val="none"/>
              </w:rPr>
            </w:pPr>
          </w:p>
        </w:tc>
        <w:tc>
          <w:tcPr>
            <w:tcW w:w="771" w:type="dxa"/>
            <w:vAlign w:val="center"/>
          </w:tcPr>
          <w:p w14:paraId="404B6678">
            <w:pPr>
              <w:jc w:val="center"/>
              <w:rPr>
                <w:rFonts w:ascii="宋体" w:hAnsi="宋体"/>
                <w:b/>
                <w:bCs/>
                <w:color w:val="auto"/>
                <w:szCs w:val="21"/>
                <w:highlight w:val="none"/>
              </w:rPr>
            </w:pPr>
          </w:p>
        </w:tc>
        <w:tc>
          <w:tcPr>
            <w:tcW w:w="772" w:type="dxa"/>
            <w:vAlign w:val="center"/>
          </w:tcPr>
          <w:p w14:paraId="3F803AE5">
            <w:pPr>
              <w:jc w:val="center"/>
              <w:rPr>
                <w:rFonts w:ascii="宋体" w:hAnsi="宋体"/>
                <w:b/>
                <w:bCs/>
                <w:color w:val="auto"/>
                <w:szCs w:val="21"/>
                <w:highlight w:val="none"/>
              </w:rPr>
            </w:pPr>
          </w:p>
        </w:tc>
        <w:tc>
          <w:tcPr>
            <w:tcW w:w="772" w:type="dxa"/>
            <w:vAlign w:val="center"/>
          </w:tcPr>
          <w:p w14:paraId="715D2243">
            <w:pPr>
              <w:jc w:val="center"/>
              <w:rPr>
                <w:rFonts w:ascii="宋体" w:hAnsi="宋体"/>
                <w:b/>
                <w:bCs/>
                <w:color w:val="auto"/>
                <w:szCs w:val="21"/>
                <w:highlight w:val="none"/>
              </w:rPr>
            </w:pPr>
          </w:p>
        </w:tc>
        <w:tc>
          <w:tcPr>
            <w:tcW w:w="772" w:type="dxa"/>
            <w:vAlign w:val="center"/>
          </w:tcPr>
          <w:p w14:paraId="770656B7">
            <w:pPr>
              <w:jc w:val="center"/>
              <w:rPr>
                <w:rFonts w:ascii="宋体" w:hAnsi="宋体"/>
                <w:b/>
                <w:bCs/>
                <w:color w:val="auto"/>
                <w:szCs w:val="21"/>
                <w:highlight w:val="none"/>
              </w:rPr>
            </w:pPr>
          </w:p>
        </w:tc>
        <w:tc>
          <w:tcPr>
            <w:tcW w:w="772" w:type="dxa"/>
            <w:vAlign w:val="center"/>
          </w:tcPr>
          <w:p w14:paraId="7CC3FF56">
            <w:pPr>
              <w:jc w:val="center"/>
              <w:rPr>
                <w:rFonts w:ascii="宋体" w:hAnsi="宋体"/>
                <w:b/>
                <w:bCs/>
                <w:color w:val="auto"/>
                <w:szCs w:val="21"/>
                <w:highlight w:val="none"/>
              </w:rPr>
            </w:pPr>
          </w:p>
        </w:tc>
      </w:tr>
      <w:tr w14:paraId="5018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21" w:type="dxa"/>
            <w:vAlign w:val="center"/>
          </w:tcPr>
          <w:p w14:paraId="3CFBB855">
            <w:pPr>
              <w:jc w:val="center"/>
              <w:rPr>
                <w:rFonts w:ascii="宋体" w:hAnsi="宋体"/>
                <w:color w:val="auto"/>
                <w:szCs w:val="21"/>
                <w:highlight w:val="none"/>
              </w:rPr>
            </w:pPr>
            <w:r>
              <w:rPr>
                <w:rFonts w:hint="eastAsia" w:ascii="宋体" w:hAnsi="宋体"/>
                <w:color w:val="auto"/>
                <w:szCs w:val="21"/>
                <w:highlight w:val="none"/>
              </w:rPr>
              <w:t>1</w:t>
            </w:r>
          </w:p>
        </w:tc>
        <w:tc>
          <w:tcPr>
            <w:tcW w:w="1993" w:type="dxa"/>
            <w:vAlign w:val="center"/>
          </w:tcPr>
          <w:p w14:paraId="273EE9B1">
            <w:pPr>
              <w:jc w:val="center"/>
              <w:rPr>
                <w:rFonts w:ascii="宋体" w:hAnsi="宋体"/>
                <w:color w:val="auto"/>
                <w:szCs w:val="21"/>
                <w:highlight w:val="none"/>
              </w:rPr>
            </w:pPr>
          </w:p>
        </w:tc>
        <w:tc>
          <w:tcPr>
            <w:tcW w:w="771" w:type="dxa"/>
            <w:vAlign w:val="center"/>
          </w:tcPr>
          <w:p w14:paraId="23096EFE">
            <w:pPr>
              <w:jc w:val="center"/>
              <w:rPr>
                <w:rFonts w:ascii="宋体" w:hAnsi="宋体"/>
                <w:color w:val="auto"/>
                <w:szCs w:val="21"/>
                <w:highlight w:val="none"/>
              </w:rPr>
            </w:pPr>
          </w:p>
        </w:tc>
        <w:tc>
          <w:tcPr>
            <w:tcW w:w="772" w:type="dxa"/>
            <w:vAlign w:val="center"/>
          </w:tcPr>
          <w:p w14:paraId="548790CB">
            <w:pPr>
              <w:jc w:val="center"/>
              <w:rPr>
                <w:rFonts w:ascii="宋体" w:hAnsi="宋体"/>
                <w:color w:val="auto"/>
                <w:szCs w:val="21"/>
                <w:highlight w:val="none"/>
              </w:rPr>
            </w:pPr>
          </w:p>
        </w:tc>
        <w:tc>
          <w:tcPr>
            <w:tcW w:w="772" w:type="dxa"/>
            <w:vAlign w:val="center"/>
          </w:tcPr>
          <w:p w14:paraId="382668EE">
            <w:pPr>
              <w:jc w:val="center"/>
              <w:rPr>
                <w:rFonts w:ascii="宋体" w:hAnsi="宋体"/>
                <w:color w:val="auto"/>
                <w:szCs w:val="21"/>
                <w:highlight w:val="none"/>
              </w:rPr>
            </w:pPr>
          </w:p>
        </w:tc>
        <w:tc>
          <w:tcPr>
            <w:tcW w:w="772" w:type="dxa"/>
            <w:vAlign w:val="center"/>
          </w:tcPr>
          <w:p w14:paraId="032929DE">
            <w:pPr>
              <w:jc w:val="center"/>
              <w:rPr>
                <w:rFonts w:ascii="宋体" w:hAnsi="宋体"/>
                <w:color w:val="auto"/>
                <w:szCs w:val="21"/>
                <w:highlight w:val="none"/>
              </w:rPr>
            </w:pPr>
          </w:p>
        </w:tc>
        <w:tc>
          <w:tcPr>
            <w:tcW w:w="771" w:type="dxa"/>
            <w:vAlign w:val="center"/>
          </w:tcPr>
          <w:p w14:paraId="5B5EA7AA">
            <w:pPr>
              <w:jc w:val="center"/>
              <w:rPr>
                <w:rFonts w:ascii="宋体" w:hAnsi="宋体"/>
                <w:color w:val="auto"/>
                <w:szCs w:val="21"/>
                <w:highlight w:val="none"/>
              </w:rPr>
            </w:pPr>
          </w:p>
        </w:tc>
        <w:tc>
          <w:tcPr>
            <w:tcW w:w="772" w:type="dxa"/>
            <w:vAlign w:val="center"/>
          </w:tcPr>
          <w:p w14:paraId="4FAF2D7B">
            <w:pPr>
              <w:jc w:val="center"/>
              <w:rPr>
                <w:rFonts w:ascii="宋体" w:hAnsi="宋体"/>
                <w:color w:val="auto"/>
                <w:szCs w:val="21"/>
                <w:highlight w:val="none"/>
              </w:rPr>
            </w:pPr>
          </w:p>
        </w:tc>
        <w:tc>
          <w:tcPr>
            <w:tcW w:w="772" w:type="dxa"/>
            <w:vAlign w:val="center"/>
          </w:tcPr>
          <w:p w14:paraId="5088BA1F">
            <w:pPr>
              <w:jc w:val="center"/>
              <w:rPr>
                <w:rFonts w:ascii="宋体" w:hAnsi="宋体"/>
                <w:color w:val="auto"/>
                <w:szCs w:val="21"/>
                <w:highlight w:val="none"/>
              </w:rPr>
            </w:pPr>
          </w:p>
        </w:tc>
        <w:tc>
          <w:tcPr>
            <w:tcW w:w="772" w:type="dxa"/>
          </w:tcPr>
          <w:p w14:paraId="79C96DF6">
            <w:pPr>
              <w:jc w:val="center"/>
              <w:rPr>
                <w:rFonts w:ascii="宋体" w:hAnsi="宋体"/>
                <w:color w:val="auto"/>
                <w:szCs w:val="21"/>
                <w:highlight w:val="none"/>
              </w:rPr>
            </w:pPr>
          </w:p>
        </w:tc>
        <w:tc>
          <w:tcPr>
            <w:tcW w:w="772" w:type="dxa"/>
            <w:vAlign w:val="center"/>
          </w:tcPr>
          <w:p w14:paraId="41241248">
            <w:pPr>
              <w:jc w:val="center"/>
              <w:rPr>
                <w:rFonts w:ascii="宋体" w:hAnsi="宋体"/>
                <w:color w:val="auto"/>
                <w:szCs w:val="21"/>
                <w:highlight w:val="none"/>
              </w:rPr>
            </w:pPr>
          </w:p>
        </w:tc>
      </w:tr>
      <w:tr w14:paraId="6F4F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21" w:type="dxa"/>
            <w:vAlign w:val="center"/>
          </w:tcPr>
          <w:p w14:paraId="2E964393">
            <w:pPr>
              <w:jc w:val="center"/>
              <w:rPr>
                <w:rFonts w:ascii="宋体" w:hAnsi="宋体"/>
                <w:color w:val="auto"/>
                <w:szCs w:val="21"/>
                <w:highlight w:val="none"/>
              </w:rPr>
            </w:pPr>
            <w:r>
              <w:rPr>
                <w:rFonts w:hint="eastAsia" w:ascii="宋体" w:hAnsi="宋体"/>
                <w:color w:val="auto"/>
                <w:szCs w:val="21"/>
                <w:highlight w:val="none"/>
              </w:rPr>
              <w:t>2</w:t>
            </w:r>
          </w:p>
        </w:tc>
        <w:tc>
          <w:tcPr>
            <w:tcW w:w="1993" w:type="dxa"/>
            <w:vAlign w:val="center"/>
          </w:tcPr>
          <w:p w14:paraId="5DD09947">
            <w:pPr>
              <w:jc w:val="center"/>
              <w:rPr>
                <w:rFonts w:ascii="宋体" w:hAnsi="宋体"/>
                <w:color w:val="auto"/>
                <w:szCs w:val="21"/>
                <w:highlight w:val="none"/>
              </w:rPr>
            </w:pPr>
          </w:p>
        </w:tc>
        <w:tc>
          <w:tcPr>
            <w:tcW w:w="771" w:type="dxa"/>
            <w:vAlign w:val="center"/>
          </w:tcPr>
          <w:p w14:paraId="7EF94EB7">
            <w:pPr>
              <w:jc w:val="center"/>
              <w:rPr>
                <w:rFonts w:ascii="宋体" w:hAnsi="宋体"/>
                <w:color w:val="auto"/>
                <w:szCs w:val="21"/>
                <w:highlight w:val="none"/>
              </w:rPr>
            </w:pPr>
          </w:p>
        </w:tc>
        <w:tc>
          <w:tcPr>
            <w:tcW w:w="772" w:type="dxa"/>
            <w:vAlign w:val="center"/>
          </w:tcPr>
          <w:p w14:paraId="4FCF5804">
            <w:pPr>
              <w:jc w:val="center"/>
              <w:rPr>
                <w:rFonts w:ascii="宋体" w:hAnsi="宋体"/>
                <w:color w:val="auto"/>
                <w:szCs w:val="21"/>
                <w:highlight w:val="none"/>
              </w:rPr>
            </w:pPr>
          </w:p>
        </w:tc>
        <w:tc>
          <w:tcPr>
            <w:tcW w:w="772" w:type="dxa"/>
            <w:vAlign w:val="center"/>
          </w:tcPr>
          <w:p w14:paraId="4BA839D9">
            <w:pPr>
              <w:jc w:val="center"/>
              <w:rPr>
                <w:rFonts w:ascii="宋体" w:hAnsi="宋体"/>
                <w:color w:val="auto"/>
                <w:szCs w:val="21"/>
                <w:highlight w:val="none"/>
              </w:rPr>
            </w:pPr>
          </w:p>
        </w:tc>
        <w:tc>
          <w:tcPr>
            <w:tcW w:w="772" w:type="dxa"/>
            <w:vAlign w:val="center"/>
          </w:tcPr>
          <w:p w14:paraId="77865BCC">
            <w:pPr>
              <w:jc w:val="center"/>
              <w:rPr>
                <w:rFonts w:ascii="宋体" w:hAnsi="宋体"/>
                <w:color w:val="auto"/>
                <w:szCs w:val="21"/>
                <w:highlight w:val="none"/>
              </w:rPr>
            </w:pPr>
          </w:p>
        </w:tc>
        <w:tc>
          <w:tcPr>
            <w:tcW w:w="771" w:type="dxa"/>
            <w:vAlign w:val="center"/>
          </w:tcPr>
          <w:p w14:paraId="42AFAA69">
            <w:pPr>
              <w:jc w:val="center"/>
              <w:rPr>
                <w:rFonts w:ascii="宋体" w:hAnsi="宋体"/>
                <w:color w:val="auto"/>
                <w:szCs w:val="21"/>
                <w:highlight w:val="none"/>
              </w:rPr>
            </w:pPr>
          </w:p>
        </w:tc>
        <w:tc>
          <w:tcPr>
            <w:tcW w:w="772" w:type="dxa"/>
            <w:vAlign w:val="center"/>
          </w:tcPr>
          <w:p w14:paraId="4EBF60DC">
            <w:pPr>
              <w:jc w:val="center"/>
              <w:rPr>
                <w:rFonts w:ascii="宋体" w:hAnsi="宋体"/>
                <w:color w:val="auto"/>
                <w:szCs w:val="21"/>
                <w:highlight w:val="none"/>
              </w:rPr>
            </w:pPr>
          </w:p>
        </w:tc>
        <w:tc>
          <w:tcPr>
            <w:tcW w:w="772" w:type="dxa"/>
            <w:vAlign w:val="center"/>
          </w:tcPr>
          <w:p w14:paraId="78518E58">
            <w:pPr>
              <w:jc w:val="center"/>
              <w:rPr>
                <w:rFonts w:ascii="宋体" w:hAnsi="宋体"/>
                <w:color w:val="auto"/>
                <w:szCs w:val="21"/>
                <w:highlight w:val="none"/>
              </w:rPr>
            </w:pPr>
          </w:p>
        </w:tc>
        <w:tc>
          <w:tcPr>
            <w:tcW w:w="772" w:type="dxa"/>
          </w:tcPr>
          <w:p w14:paraId="1E1D5B28">
            <w:pPr>
              <w:jc w:val="center"/>
              <w:rPr>
                <w:rFonts w:ascii="宋体" w:hAnsi="宋体"/>
                <w:color w:val="auto"/>
                <w:szCs w:val="21"/>
                <w:highlight w:val="none"/>
              </w:rPr>
            </w:pPr>
          </w:p>
        </w:tc>
        <w:tc>
          <w:tcPr>
            <w:tcW w:w="772" w:type="dxa"/>
            <w:vAlign w:val="center"/>
          </w:tcPr>
          <w:p w14:paraId="35434025">
            <w:pPr>
              <w:jc w:val="center"/>
              <w:rPr>
                <w:rFonts w:ascii="宋体" w:hAnsi="宋体"/>
                <w:color w:val="auto"/>
                <w:szCs w:val="21"/>
                <w:highlight w:val="none"/>
              </w:rPr>
            </w:pPr>
          </w:p>
        </w:tc>
      </w:tr>
      <w:tr w14:paraId="0736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21" w:type="dxa"/>
            <w:vAlign w:val="center"/>
          </w:tcPr>
          <w:p w14:paraId="35C0046E">
            <w:pPr>
              <w:jc w:val="center"/>
              <w:rPr>
                <w:rFonts w:ascii="宋体" w:hAnsi="宋体"/>
                <w:color w:val="auto"/>
                <w:szCs w:val="21"/>
                <w:highlight w:val="none"/>
              </w:rPr>
            </w:pPr>
            <w:r>
              <w:rPr>
                <w:rFonts w:hint="eastAsia" w:ascii="宋体" w:hAnsi="宋体"/>
                <w:color w:val="auto"/>
                <w:szCs w:val="21"/>
                <w:highlight w:val="none"/>
              </w:rPr>
              <w:t>3</w:t>
            </w:r>
          </w:p>
        </w:tc>
        <w:tc>
          <w:tcPr>
            <w:tcW w:w="1993" w:type="dxa"/>
            <w:vAlign w:val="center"/>
          </w:tcPr>
          <w:p w14:paraId="227BD1E1">
            <w:pPr>
              <w:jc w:val="center"/>
              <w:rPr>
                <w:rFonts w:ascii="宋体" w:hAnsi="宋体"/>
                <w:color w:val="auto"/>
                <w:szCs w:val="21"/>
                <w:highlight w:val="none"/>
              </w:rPr>
            </w:pPr>
          </w:p>
        </w:tc>
        <w:tc>
          <w:tcPr>
            <w:tcW w:w="771" w:type="dxa"/>
            <w:vAlign w:val="center"/>
          </w:tcPr>
          <w:p w14:paraId="66597316">
            <w:pPr>
              <w:jc w:val="center"/>
              <w:rPr>
                <w:rFonts w:ascii="宋体" w:hAnsi="宋体"/>
                <w:color w:val="auto"/>
                <w:szCs w:val="21"/>
                <w:highlight w:val="none"/>
              </w:rPr>
            </w:pPr>
          </w:p>
        </w:tc>
        <w:tc>
          <w:tcPr>
            <w:tcW w:w="772" w:type="dxa"/>
            <w:vAlign w:val="center"/>
          </w:tcPr>
          <w:p w14:paraId="2B3C9949">
            <w:pPr>
              <w:jc w:val="center"/>
              <w:rPr>
                <w:rFonts w:ascii="宋体" w:hAnsi="宋体"/>
                <w:color w:val="auto"/>
                <w:szCs w:val="21"/>
                <w:highlight w:val="none"/>
              </w:rPr>
            </w:pPr>
          </w:p>
        </w:tc>
        <w:tc>
          <w:tcPr>
            <w:tcW w:w="772" w:type="dxa"/>
            <w:vAlign w:val="center"/>
          </w:tcPr>
          <w:p w14:paraId="33C6EB57">
            <w:pPr>
              <w:jc w:val="center"/>
              <w:rPr>
                <w:rFonts w:ascii="宋体" w:hAnsi="宋体"/>
                <w:color w:val="auto"/>
                <w:szCs w:val="21"/>
                <w:highlight w:val="none"/>
              </w:rPr>
            </w:pPr>
          </w:p>
        </w:tc>
        <w:tc>
          <w:tcPr>
            <w:tcW w:w="772" w:type="dxa"/>
            <w:vAlign w:val="center"/>
          </w:tcPr>
          <w:p w14:paraId="1941FD91">
            <w:pPr>
              <w:jc w:val="center"/>
              <w:rPr>
                <w:rFonts w:ascii="宋体" w:hAnsi="宋体"/>
                <w:color w:val="auto"/>
                <w:szCs w:val="21"/>
                <w:highlight w:val="none"/>
              </w:rPr>
            </w:pPr>
          </w:p>
        </w:tc>
        <w:tc>
          <w:tcPr>
            <w:tcW w:w="771" w:type="dxa"/>
            <w:vAlign w:val="center"/>
          </w:tcPr>
          <w:p w14:paraId="4BE9C2F3">
            <w:pPr>
              <w:jc w:val="center"/>
              <w:rPr>
                <w:rFonts w:ascii="宋体" w:hAnsi="宋体"/>
                <w:color w:val="auto"/>
                <w:szCs w:val="21"/>
                <w:highlight w:val="none"/>
              </w:rPr>
            </w:pPr>
          </w:p>
        </w:tc>
        <w:tc>
          <w:tcPr>
            <w:tcW w:w="772" w:type="dxa"/>
            <w:vAlign w:val="center"/>
          </w:tcPr>
          <w:p w14:paraId="19977AC9">
            <w:pPr>
              <w:jc w:val="center"/>
              <w:rPr>
                <w:rFonts w:ascii="宋体" w:hAnsi="宋体"/>
                <w:color w:val="auto"/>
                <w:szCs w:val="21"/>
                <w:highlight w:val="none"/>
              </w:rPr>
            </w:pPr>
          </w:p>
        </w:tc>
        <w:tc>
          <w:tcPr>
            <w:tcW w:w="772" w:type="dxa"/>
            <w:vAlign w:val="center"/>
          </w:tcPr>
          <w:p w14:paraId="382103CE">
            <w:pPr>
              <w:jc w:val="center"/>
              <w:rPr>
                <w:rFonts w:ascii="宋体" w:hAnsi="宋体"/>
                <w:color w:val="auto"/>
                <w:szCs w:val="21"/>
                <w:highlight w:val="none"/>
              </w:rPr>
            </w:pPr>
          </w:p>
        </w:tc>
        <w:tc>
          <w:tcPr>
            <w:tcW w:w="772" w:type="dxa"/>
          </w:tcPr>
          <w:p w14:paraId="3AA331C1">
            <w:pPr>
              <w:jc w:val="center"/>
              <w:rPr>
                <w:rFonts w:ascii="宋体" w:hAnsi="宋体"/>
                <w:color w:val="auto"/>
                <w:szCs w:val="21"/>
                <w:highlight w:val="none"/>
              </w:rPr>
            </w:pPr>
          </w:p>
        </w:tc>
        <w:tc>
          <w:tcPr>
            <w:tcW w:w="772" w:type="dxa"/>
            <w:vAlign w:val="center"/>
          </w:tcPr>
          <w:p w14:paraId="614F6E5A">
            <w:pPr>
              <w:jc w:val="center"/>
              <w:rPr>
                <w:rFonts w:ascii="宋体" w:hAnsi="宋体"/>
                <w:color w:val="auto"/>
                <w:szCs w:val="21"/>
                <w:highlight w:val="none"/>
              </w:rPr>
            </w:pPr>
          </w:p>
        </w:tc>
      </w:tr>
      <w:tr w14:paraId="4B91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21" w:type="dxa"/>
            <w:vAlign w:val="center"/>
          </w:tcPr>
          <w:p w14:paraId="26EDCF31">
            <w:pPr>
              <w:jc w:val="center"/>
              <w:rPr>
                <w:rFonts w:ascii="宋体" w:hAnsi="宋体"/>
                <w:color w:val="auto"/>
                <w:szCs w:val="21"/>
                <w:highlight w:val="none"/>
              </w:rPr>
            </w:pPr>
            <w:r>
              <w:rPr>
                <w:rFonts w:hint="eastAsia" w:ascii="宋体" w:hAnsi="宋体"/>
                <w:color w:val="auto"/>
                <w:szCs w:val="21"/>
                <w:highlight w:val="none"/>
              </w:rPr>
              <w:t>4</w:t>
            </w:r>
          </w:p>
        </w:tc>
        <w:tc>
          <w:tcPr>
            <w:tcW w:w="1993" w:type="dxa"/>
            <w:vAlign w:val="center"/>
          </w:tcPr>
          <w:p w14:paraId="3FB394D0">
            <w:pPr>
              <w:jc w:val="center"/>
              <w:rPr>
                <w:rFonts w:ascii="宋体" w:hAnsi="宋体"/>
                <w:color w:val="auto"/>
                <w:szCs w:val="21"/>
                <w:highlight w:val="none"/>
              </w:rPr>
            </w:pPr>
          </w:p>
        </w:tc>
        <w:tc>
          <w:tcPr>
            <w:tcW w:w="771" w:type="dxa"/>
            <w:vAlign w:val="center"/>
          </w:tcPr>
          <w:p w14:paraId="029F4EC7">
            <w:pPr>
              <w:jc w:val="center"/>
              <w:rPr>
                <w:rFonts w:ascii="宋体" w:hAnsi="宋体"/>
                <w:color w:val="auto"/>
                <w:szCs w:val="21"/>
                <w:highlight w:val="none"/>
              </w:rPr>
            </w:pPr>
          </w:p>
        </w:tc>
        <w:tc>
          <w:tcPr>
            <w:tcW w:w="772" w:type="dxa"/>
            <w:vAlign w:val="center"/>
          </w:tcPr>
          <w:p w14:paraId="57F97048">
            <w:pPr>
              <w:jc w:val="center"/>
              <w:rPr>
                <w:rFonts w:ascii="宋体" w:hAnsi="宋体"/>
                <w:color w:val="auto"/>
                <w:szCs w:val="21"/>
                <w:highlight w:val="none"/>
              </w:rPr>
            </w:pPr>
          </w:p>
        </w:tc>
        <w:tc>
          <w:tcPr>
            <w:tcW w:w="772" w:type="dxa"/>
            <w:vAlign w:val="center"/>
          </w:tcPr>
          <w:p w14:paraId="79D6B80F">
            <w:pPr>
              <w:jc w:val="center"/>
              <w:rPr>
                <w:rFonts w:ascii="宋体" w:hAnsi="宋体"/>
                <w:color w:val="auto"/>
                <w:szCs w:val="21"/>
                <w:highlight w:val="none"/>
              </w:rPr>
            </w:pPr>
          </w:p>
        </w:tc>
        <w:tc>
          <w:tcPr>
            <w:tcW w:w="772" w:type="dxa"/>
            <w:vAlign w:val="center"/>
          </w:tcPr>
          <w:p w14:paraId="0BF314AF">
            <w:pPr>
              <w:jc w:val="center"/>
              <w:rPr>
                <w:rFonts w:ascii="宋体" w:hAnsi="宋体"/>
                <w:color w:val="auto"/>
                <w:szCs w:val="21"/>
                <w:highlight w:val="none"/>
              </w:rPr>
            </w:pPr>
          </w:p>
        </w:tc>
        <w:tc>
          <w:tcPr>
            <w:tcW w:w="771" w:type="dxa"/>
            <w:vAlign w:val="center"/>
          </w:tcPr>
          <w:p w14:paraId="00235155">
            <w:pPr>
              <w:jc w:val="center"/>
              <w:rPr>
                <w:rFonts w:ascii="宋体" w:hAnsi="宋体"/>
                <w:color w:val="auto"/>
                <w:szCs w:val="21"/>
                <w:highlight w:val="none"/>
              </w:rPr>
            </w:pPr>
          </w:p>
        </w:tc>
        <w:tc>
          <w:tcPr>
            <w:tcW w:w="772" w:type="dxa"/>
            <w:vAlign w:val="center"/>
          </w:tcPr>
          <w:p w14:paraId="2BBEE6AB">
            <w:pPr>
              <w:jc w:val="center"/>
              <w:rPr>
                <w:rFonts w:ascii="宋体" w:hAnsi="宋体"/>
                <w:color w:val="auto"/>
                <w:szCs w:val="21"/>
                <w:highlight w:val="none"/>
              </w:rPr>
            </w:pPr>
          </w:p>
        </w:tc>
        <w:tc>
          <w:tcPr>
            <w:tcW w:w="772" w:type="dxa"/>
            <w:vAlign w:val="center"/>
          </w:tcPr>
          <w:p w14:paraId="25C6EE2F">
            <w:pPr>
              <w:jc w:val="center"/>
              <w:rPr>
                <w:rFonts w:ascii="宋体" w:hAnsi="宋体"/>
                <w:color w:val="auto"/>
                <w:szCs w:val="21"/>
                <w:highlight w:val="none"/>
              </w:rPr>
            </w:pPr>
          </w:p>
        </w:tc>
        <w:tc>
          <w:tcPr>
            <w:tcW w:w="772" w:type="dxa"/>
          </w:tcPr>
          <w:p w14:paraId="790DE1DE">
            <w:pPr>
              <w:jc w:val="center"/>
              <w:rPr>
                <w:rFonts w:ascii="宋体" w:hAnsi="宋体"/>
                <w:color w:val="auto"/>
                <w:szCs w:val="21"/>
                <w:highlight w:val="none"/>
              </w:rPr>
            </w:pPr>
          </w:p>
        </w:tc>
        <w:tc>
          <w:tcPr>
            <w:tcW w:w="772" w:type="dxa"/>
            <w:vAlign w:val="center"/>
          </w:tcPr>
          <w:p w14:paraId="18BCFADE">
            <w:pPr>
              <w:jc w:val="center"/>
              <w:rPr>
                <w:rFonts w:ascii="宋体" w:hAnsi="宋体"/>
                <w:color w:val="auto"/>
                <w:szCs w:val="21"/>
                <w:highlight w:val="none"/>
              </w:rPr>
            </w:pPr>
          </w:p>
        </w:tc>
      </w:tr>
      <w:tr w14:paraId="6016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21" w:type="dxa"/>
            <w:vAlign w:val="center"/>
          </w:tcPr>
          <w:p w14:paraId="3E239BE5">
            <w:pPr>
              <w:jc w:val="center"/>
              <w:rPr>
                <w:rFonts w:ascii="宋体" w:hAnsi="宋体"/>
                <w:color w:val="auto"/>
                <w:szCs w:val="21"/>
                <w:highlight w:val="none"/>
              </w:rPr>
            </w:pPr>
            <w:r>
              <w:rPr>
                <w:rFonts w:hint="eastAsia" w:ascii="宋体" w:hAnsi="宋体"/>
                <w:color w:val="auto"/>
                <w:szCs w:val="21"/>
                <w:highlight w:val="none"/>
              </w:rPr>
              <w:t>5</w:t>
            </w:r>
          </w:p>
        </w:tc>
        <w:tc>
          <w:tcPr>
            <w:tcW w:w="1993" w:type="dxa"/>
            <w:vAlign w:val="center"/>
          </w:tcPr>
          <w:p w14:paraId="6494940A">
            <w:pPr>
              <w:jc w:val="center"/>
              <w:rPr>
                <w:rFonts w:ascii="宋体" w:hAnsi="宋体"/>
                <w:color w:val="auto"/>
                <w:szCs w:val="21"/>
                <w:highlight w:val="none"/>
              </w:rPr>
            </w:pPr>
          </w:p>
        </w:tc>
        <w:tc>
          <w:tcPr>
            <w:tcW w:w="771" w:type="dxa"/>
            <w:vAlign w:val="center"/>
          </w:tcPr>
          <w:p w14:paraId="09A224BC">
            <w:pPr>
              <w:jc w:val="center"/>
              <w:rPr>
                <w:rFonts w:ascii="宋体" w:hAnsi="宋体"/>
                <w:color w:val="auto"/>
                <w:szCs w:val="21"/>
                <w:highlight w:val="none"/>
              </w:rPr>
            </w:pPr>
          </w:p>
        </w:tc>
        <w:tc>
          <w:tcPr>
            <w:tcW w:w="772" w:type="dxa"/>
            <w:vAlign w:val="center"/>
          </w:tcPr>
          <w:p w14:paraId="7CB8C206">
            <w:pPr>
              <w:jc w:val="center"/>
              <w:rPr>
                <w:rFonts w:ascii="宋体" w:hAnsi="宋体"/>
                <w:color w:val="auto"/>
                <w:szCs w:val="21"/>
                <w:highlight w:val="none"/>
              </w:rPr>
            </w:pPr>
          </w:p>
        </w:tc>
        <w:tc>
          <w:tcPr>
            <w:tcW w:w="772" w:type="dxa"/>
            <w:vAlign w:val="center"/>
          </w:tcPr>
          <w:p w14:paraId="34C521DB">
            <w:pPr>
              <w:jc w:val="center"/>
              <w:rPr>
                <w:rFonts w:ascii="宋体" w:hAnsi="宋体"/>
                <w:color w:val="auto"/>
                <w:szCs w:val="21"/>
                <w:highlight w:val="none"/>
              </w:rPr>
            </w:pPr>
          </w:p>
        </w:tc>
        <w:tc>
          <w:tcPr>
            <w:tcW w:w="772" w:type="dxa"/>
            <w:vAlign w:val="center"/>
          </w:tcPr>
          <w:p w14:paraId="1553B4AF">
            <w:pPr>
              <w:jc w:val="center"/>
              <w:rPr>
                <w:rFonts w:ascii="宋体" w:hAnsi="宋体"/>
                <w:color w:val="auto"/>
                <w:szCs w:val="21"/>
                <w:highlight w:val="none"/>
              </w:rPr>
            </w:pPr>
          </w:p>
        </w:tc>
        <w:tc>
          <w:tcPr>
            <w:tcW w:w="771" w:type="dxa"/>
            <w:vAlign w:val="center"/>
          </w:tcPr>
          <w:p w14:paraId="386C0A48">
            <w:pPr>
              <w:jc w:val="center"/>
              <w:rPr>
                <w:rFonts w:ascii="宋体" w:hAnsi="宋体"/>
                <w:color w:val="auto"/>
                <w:szCs w:val="21"/>
                <w:highlight w:val="none"/>
              </w:rPr>
            </w:pPr>
          </w:p>
        </w:tc>
        <w:tc>
          <w:tcPr>
            <w:tcW w:w="772" w:type="dxa"/>
            <w:vAlign w:val="center"/>
          </w:tcPr>
          <w:p w14:paraId="101A7E54">
            <w:pPr>
              <w:jc w:val="center"/>
              <w:rPr>
                <w:rFonts w:ascii="宋体" w:hAnsi="宋体"/>
                <w:color w:val="auto"/>
                <w:szCs w:val="21"/>
                <w:highlight w:val="none"/>
              </w:rPr>
            </w:pPr>
          </w:p>
        </w:tc>
        <w:tc>
          <w:tcPr>
            <w:tcW w:w="772" w:type="dxa"/>
            <w:vAlign w:val="center"/>
          </w:tcPr>
          <w:p w14:paraId="495E2E32">
            <w:pPr>
              <w:jc w:val="center"/>
              <w:rPr>
                <w:rFonts w:ascii="宋体" w:hAnsi="宋体"/>
                <w:color w:val="auto"/>
                <w:szCs w:val="21"/>
                <w:highlight w:val="none"/>
              </w:rPr>
            </w:pPr>
          </w:p>
        </w:tc>
        <w:tc>
          <w:tcPr>
            <w:tcW w:w="772" w:type="dxa"/>
          </w:tcPr>
          <w:p w14:paraId="40A2261F">
            <w:pPr>
              <w:jc w:val="center"/>
              <w:rPr>
                <w:rFonts w:ascii="宋体" w:hAnsi="宋体"/>
                <w:color w:val="auto"/>
                <w:szCs w:val="21"/>
                <w:highlight w:val="none"/>
              </w:rPr>
            </w:pPr>
          </w:p>
        </w:tc>
        <w:tc>
          <w:tcPr>
            <w:tcW w:w="772" w:type="dxa"/>
            <w:vAlign w:val="center"/>
          </w:tcPr>
          <w:p w14:paraId="03ACDA1E">
            <w:pPr>
              <w:jc w:val="center"/>
              <w:rPr>
                <w:rFonts w:ascii="宋体" w:hAnsi="宋体"/>
                <w:color w:val="auto"/>
                <w:szCs w:val="21"/>
                <w:highlight w:val="none"/>
              </w:rPr>
            </w:pPr>
          </w:p>
        </w:tc>
      </w:tr>
      <w:tr w14:paraId="26D93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21" w:type="dxa"/>
            <w:vAlign w:val="center"/>
          </w:tcPr>
          <w:p w14:paraId="7B5C7CCA">
            <w:pPr>
              <w:jc w:val="center"/>
              <w:rPr>
                <w:rFonts w:ascii="宋体" w:hAnsi="宋体"/>
                <w:color w:val="auto"/>
                <w:szCs w:val="21"/>
                <w:highlight w:val="none"/>
              </w:rPr>
            </w:pPr>
            <w:r>
              <w:rPr>
                <w:rFonts w:hint="eastAsia" w:ascii="黑体" w:hAnsi="黑体" w:eastAsia="黑体"/>
                <w:color w:val="auto"/>
                <w:szCs w:val="44"/>
                <w:highlight w:val="none"/>
              </w:rPr>
              <w:t>…</w:t>
            </w:r>
          </w:p>
        </w:tc>
        <w:tc>
          <w:tcPr>
            <w:tcW w:w="1993" w:type="dxa"/>
            <w:vAlign w:val="center"/>
          </w:tcPr>
          <w:p w14:paraId="72395873">
            <w:pPr>
              <w:jc w:val="center"/>
              <w:rPr>
                <w:rFonts w:ascii="宋体" w:hAnsi="宋体"/>
                <w:color w:val="auto"/>
                <w:szCs w:val="21"/>
                <w:highlight w:val="none"/>
              </w:rPr>
            </w:pPr>
          </w:p>
        </w:tc>
        <w:tc>
          <w:tcPr>
            <w:tcW w:w="771" w:type="dxa"/>
            <w:vAlign w:val="center"/>
          </w:tcPr>
          <w:p w14:paraId="471BE4CF">
            <w:pPr>
              <w:jc w:val="center"/>
              <w:rPr>
                <w:rFonts w:ascii="宋体" w:hAnsi="宋体"/>
                <w:color w:val="auto"/>
                <w:szCs w:val="21"/>
                <w:highlight w:val="none"/>
              </w:rPr>
            </w:pPr>
          </w:p>
        </w:tc>
        <w:tc>
          <w:tcPr>
            <w:tcW w:w="772" w:type="dxa"/>
            <w:vAlign w:val="center"/>
          </w:tcPr>
          <w:p w14:paraId="5D372464">
            <w:pPr>
              <w:jc w:val="center"/>
              <w:rPr>
                <w:rFonts w:ascii="宋体" w:hAnsi="宋体"/>
                <w:color w:val="auto"/>
                <w:szCs w:val="21"/>
                <w:highlight w:val="none"/>
              </w:rPr>
            </w:pPr>
          </w:p>
        </w:tc>
        <w:tc>
          <w:tcPr>
            <w:tcW w:w="772" w:type="dxa"/>
            <w:vAlign w:val="center"/>
          </w:tcPr>
          <w:p w14:paraId="4556BF74">
            <w:pPr>
              <w:jc w:val="center"/>
              <w:rPr>
                <w:rFonts w:ascii="宋体" w:hAnsi="宋体"/>
                <w:color w:val="auto"/>
                <w:szCs w:val="21"/>
                <w:highlight w:val="none"/>
              </w:rPr>
            </w:pPr>
          </w:p>
        </w:tc>
        <w:tc>
          <w:tcPr>
            <w:tcW w:w="772" w:type="dxa"/>
            <w:vAlign w:val="center"/>
          </w:tcPr>
          <w:p w14:paraId="2931CB3E">
            <w:pPr>
              <w:jc w:val="center"/>
              <w:rPr>
                <w:rFonts w:ascii="宋体" w:hAnsi="宋体"/>
                <w:color w:val="auto"/>
                <w:szCs w:val="21"/>
                <w:highlight w:val="none"/>
              </w:rPr>
            </w:pPr>
          </w:p>
        </w:tc>
        <w:tc>
          <w:tcPr>
            <w:tcW w:w="771" w:type="dxa"/>
            <w:vAlign w:val="center"/>
          </w:tcPr>
          <w:p w14:paraId="54F94979">
            <w:pPr>
              <w:jc w:val="center"/>
              <w:rPr>
                <w:rFonts w:ascii="宋体" w:hAnsi="宋体"/>
                <w:color w:val="auto"/>
                <w:szCs w:val="21"/>
                <w:highlight w:val="none"/>
              </w:rPr>
            </w:pPr>
          </w:p>
        </w:tc>
        <w:tc>
          <w:tcPr>
            <w:tcW w:w="772" w:type="dxa"/>
            <w:vAlign w:val="center"/>
          </w:tcPr>
          <w:p w14:paraId="05CB54C8">
            <w:pPr>
              <w:jc w:val="center"/>
              <w:rPr>
                <w:rFonts w:ascii="宋体" w:hAnsi="宋体"/>
                <w:color w:val="auto"/>
                <w:szCs w:val="21"/>
                <w:highlight w:val="none"/>
              </w:rPr>
            </w:pPr>
          </w:p>
        </w:tc>
        <w:tc>
          <w:tcPr>
            <w:tcW w:w="772" w:type="dxa"/>
            <w:vAlign w:val="center"/>
          </w:tcPr>
          <w:p w14:paraId="0AE0BF45">
            <w:pPr>
              <w:jc w:val="center"/>
              <w:rPr>
                <w:rFonts w:ascii="宋体" w:hAnsi="宋体"/>
                <w:color w:val="auto"/>
                <w:szCs w:val="21"/>
                <w:highlight w:val="none"/>
              </w:rPr>
            </w:pPr>
          </w:p>
        </w:tc>
        <w:tc>
          <w:tcPr>
            <w:tcW w:w="772" w:type="dxa"/>
          </w:tcPr>
          <w:p w14:paraId="18952328">
            <w:pPr>
              <w:jc w:val="center"/>
              <w:rPr>
                <w:rFonts w:ascii="宋体" w:hAnsi="宋体"/>
                <w:color w:val="auto"/>
                <w:szCs w:val="21"/>
                <w:highlight w:val="none"/>
              </w:rPr>
            </w:pPr>
          </w:p>
        </w:tc>
        <w:tc>
          <w:tcPr>
            <w:tcW w:w="772" w:type="dxa"/>
            <w:vAlign w:val="center"/>
          </w:tcPr>
          <w:p w14:paraId="3809459D">
            <w:pPr>
              <w:jc w:val="center"/>
              <w:rPr>
                <w:rFonts w:ascii="宋体" w:hAnsi="宋体"/>
                <w:color w:val="auto"/>
                <w:szCs w:val="21"/>
                <w:highlight w:val="none"/>
              </w:rPr>
            </w:pPr>
          </w:p>
        </w:tc>
      </w:tr>
    </w:tbl>
    <w:p w14:paraId="43CE3E27">
      <w:pPr>
        <w:rPr>
          <w:color w:val="auto"/>
          <w:highlight w:val="none"/>
        </w:rPr>
      </w:pPr>
    </w:p>
    <w:p w14:paraId="63B6D21F">
      <w:pPr>
        <w:jc w:val="right"/>
        <w:rPr>
          <w:color w:val="auto"/>
          <w:highlight w:val="none"/>
        </w:rPr>
      </w:pPr>
      <w:r>
        <w:rPr>
          <w:rFonts w:hint="eastAsia"/>
          <w:color w:val="auto"/>
          <w:highlight w:val="none"/>
        </w:rPr>
        <w:t>日期：   　　 年    月　  日</w:t>
      </w:r>
    </w:p>
    <w:p w14:paraId="633D56B7">
      <w:pPr>
        <w:widowControl/>
        <w:jc w:val="left"/>
        <w:rPr>
          <w:color w:val="auto"/>
          <w:highlight w:val="none"/>
        </w:rPr>
      </w:pPr>
      <w:r>
        <w:rPr>
          <w:color w:val="auto"/>
          <w:highlight w:val="none"/>
        </w:rPr>
        <w:br w:type="page"/>
      </w:r>
    </w:p>
    <w:p w14:paraId="398F2BE2">
      <w:pPr>
        <w:jc w:val="right"/>
        <w:rPr>
          <w:color w:val="auto"/>
          <w:highlight w:val="none"/>
        </w:rPr>
      </w:pPr>
    </w:p>
    <w:p w14:paraId="167C9DFE">
      <w:pPr>
        <w:pStyle w:val="37"/>
        <w:ind w:firstLine="118"/>
        <w:rPr>
          <w:color w:val="auto"/>
          <w:highlight w:val="none"/>
        </w:rPr>
      </w:pPr>
      <w:bookmarkStart w:id="1004" w:name="_Toc148860661"/>
      <w:bookmarkStart w:id="1005" w:name="_Toc256000136"/>
      <w:bookmarkStart w:id="1006" w:name="_Toc8699"/>
      <w:bookmarkStart w:id="1007" w:name="_Toc15361"/>
      <w:bookmarkStart w:id="1008" w:name="_Toc164716306"/>
      <w:r>
        <w:rPr>
          <w:rFonts w:hint="eastAsia"/>
          <w:color w:val="auto"/>
          <w:highlight w:val="none"/>
        </w:rPr>
        <w:t>附表A-4：形式评审记录表</w:t>
      </w:r>
      <w:bookmarkEnd w:id="1004"/>
      <w:bookmarkEnd w:id="1005"/>
      <w:bookmarkEnd w:id="1006"/>
      <w:bookmarkEnd w:id="1007"/>
      <w:bookmarkEnd w:id="1008"/>
    </w:p>
    <w:p w14:paraId="1BF90E26">
      <w:pPr>
        <w:rPr>
          <w:color w:val="auto"/>
          <w:highlight w:val="none"/>
        </w:rPr>
      </w:pPr>
      <w:bookmarkStart w:id="1009" w:name="_Hlk145501909"/>
      <w:bookmarkStart w:id="1010" w:name="_Toc145516055"/>
    </w:p>
    <w:p w14:paraId="00483512">
      <w:pPr>
        <w:adjustRightInd w:val="0"/>
        <w:snapToGrid w:val="0"/>
        <w:spacing w:before="240" w:beforeLines="100" w:after="240" w:afterLines="100" w:line="440" w:lineRule="exact"/>
        <w:jc w:val="center"/>
        <w:rPr>
          <w:rFonts w:ascii="黑体" w:hAnsi="黑体" w:eastAsia="黑体"/>
          <w:b/>
          <w:bCs/>
          <w:color w:val="auto"/>
          <w:sz w:val="36"/>
          <w:szCs w:val="36"/>
          <w:highlight w:val="none"/>
        </w:rPr>
      </w:pPr>
      <w:bookmarkStart w:id="1011" w:name="_Toc149060935"/>
      <w:bookmarkStart w:id="1012" w:name="_Toc148860662"/>
      <w:bookmarkStart w:id="1013" w:name="_Toc6942"/>
      <w:bookmarkStart w:id="1014" w:name="_Toc149054702"/>
      <w:r>
        <w:rPr>
          <w:rFonts w:hint="eastAsia" w:ascii="黑体" w:hAnsi="黑体" w:eastAsia="黑体"/>
          <w:bCs/>
          <w:color w:val="auto"/>
          <w:sz w:val="36"/>
          <w:szCs w:val="36"/>
          <w:highlight w:val="none"/>
        </w:rPr>
        <w:t>形式评审</w:t>
      </w:r>
      <w:bookmarkEnd w:id="1009"/>
      <w:r>
        <w:rPr>
          <w:rFonts w:hint="eastAsia" w:ascii="黑体" w:hAnsi="黑体" w:eastAsia="黑体"/>
          <w:bCs/>
          <w:color w:val="auto"/>
          <w:sz w:val="36"/>
          <w:szCs w:val="36"/>
          <w:highlight w:val="none"/>
        </w:rPr>
        <w:t>记录表</w:t>
      </w:r>
      <w:bookmarkEnd w:id="1010"/>
      <w:bookmarkEnd w:id="1011"/>
      <w:bookmarkEnd w:id="1012"/>
      <w:bookmarkEnd w:id="1013"/>
      <w:bookmarkEnd w:id="1014"/>
    </w:p>
    <w:p w14:paraId="2A370438">
      <w:pPr>
        <w:rPr>
          <w:rFonts w:ascii="宋体" w:hAnsi="宋体"/>
          <w:color w:val="auto"/>
          <w:szCs w:val="44"/>
          <w:highlight w:val="none"/>
        </w:rPr>
      </w:pPr>
      <w:r>
        <w:rPr>
          <w:rFonts w:hint="eastAsia" w:ascii="宋体" w:hAnsi="宋体"/>
          <w:color w:val="auto"/>
          <w:szCs w:val="44"/>
          <w:highlight w:val="none"/>
        </w:rPr>
        <w:t>标段名称：</w:t>
      </w:r>
    </w:p>
    <w:p w14:paraId="7B7BA591">
      <w:pPr>
        <w:rPr>
          <w:rFonts w:ascii="宋体" w:hAnsi="宋体"/>
          <w:color w:val="auto"/>
          <w:szCs w:val="44"/>
          <w:highlight w:val="none"/>
        </w:rPr>
      </w:pPr>
      <w:r>
        <w:rPr>
          <w:rFonts w:hint="eastAsia"/>
          <w:color w:val="auto"/>
          <w:szCs w:val="44"/>
          <w:highlight w:val="none"/>
        </w:rPr>
        <w:t>标段唯一标识码：</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365"/>
        <w:gridCol w:w="596"/>
        <w:gridCol w:w="595"/>
        <w:gridCol w:w="595"/>
        <w:gridCol w:w="595"/>
        <w:gridCol w:w="595"/>
        <w:gridCol w:w="595"/>
        <w:gridCol w:w="595"/>
        <w:gridCol w:w="595"/>
        <w:gridCol w:w="596"/>
        <w:gridCol w:w="734"/>
      </w:tblGrid>
      <w:tr w14:paraId="691D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6" w:type="dxa"/>
            <w:vMerge w:val="restart"/>
            <w:vAlign w:val="center"/>
          </w:tcPr>
          <w:p w14:paraId="2E8EB273">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365" w:type="dxa"/>
            <w:vMerge w:val="restart"/>
            <w:vAlign w:val="center"/>
          </w:tcPr>
          <w:p w14:paraId="643F32A4">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5357" w:type="dxa"/>
            <w:gridSpan w:val="9"/>
            <w:vAlign w:val="center"/>
          </w:tcPr>
          <w:p w14:paraId="58716DAC">
            <w:pPr>
              <w:jc w:val="center"/>
              <w:rPr>
                <w:rFonts w:ascii="宋体" w:hAnsi="宋体"/>
                <w:b/>
                <w:bCs/>
                <w:color w:val="auto"/>
                <w:szCs w:val="44"/>
                <w:highlight w:val="none"/>
              </w:rPr>
            </w:pPr>
            <w:r>
              <w:rPr>
                <w:rFonts w:hint="eastAsia" w:ascii="宋体" w:hAnsi="宋体"/>
                <w:b/>
                <w:bCs/>
                <w:color w:val="auto"/>
                <w:szCs w:val="44"/>
                <w:highlight w:val="none"/>
              </w:rPr>
              <w:t>评审标准及评审意见</w:t>
            </w:r>
          </w:p>
        </w:tc>
        <w:tc>
          <w:tcPr>
            <w:tcW w:w="734" w:type="dxa"/>
            <w:vMerge w:val="restart"/>
            <w:vAlign w:val="center"/>
          </w:tcPr>
          <w:p w14:paraId="58189F15">
            <w:pPr>
              <w:jc w:val="center"/>
              <w:rPr>
                <w:rFonts w:ascii="宋体" w:hAnsi="宋体"/>
                <w:b/>
                <w:bCs/>
                <w:color w:val="auto"/>
                <w:szCs w:val="44"/>
                <w:highlight w:val="none"/>
              </w:rPr>
            </w:pPr>
            <w:r>
              <w:rPr>
                <w:rFonts w:ascii="宋体" w:hAnsi="宋体"/>
                <w:b/>
                <w:bCs/>
                <w:color w:val="auto"/>
                <w:szCs w:val="21"/>
                <w:highlight w:val="none"/>
              </w:rPr>
              <w:t>评审结论</w:t>
            </w:r>
          </w:p>
        </w:tc>
      </w:tr>
      <w:tr w14:paraId="08DA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6" w:type="dxa"/>
            <w:vMerge w:val="continue"/>
            <w:vAlign w:val="center"/>
          </w:tcPr>
          <w:p w14:paraId="7E79A9D5">
            <w:pPr>
              <w:jc w:val="center"/>
              <w:rPr>
                <w:rFonts w:ascii="宋体" w:hAnsi="宋体"/>
                <w:color w:val="auto"/>
                <w:szCs w:val="44"/>
                <w:highlight w:val="none"/>
              </w:rPr>
            </w:pPr>
          </w:p>
        </w:tc>
        <w:tc>
          <w:tcPr>
            <w:tcW w:w="1365" w:type="dxa"/>
            <w:vMerge w:val="continue"/>
          </w:tcPr>
          <w:p w14:paraId="5EE7EF91">
            <w:pPr>
              <w:jc w:val="center"/>
              <w:rPr>
                <w:rFonts w:ascii="宋体" w:hAnsi="宋体"/>
                <w:color w:val="auto"/>
                <w:szCs w:val="44"/>
                <w:highlight w:val="none"/>
              </w:rPr>
            </w:pPr>
          </w:p>
        </w:tc>
        <w:tc>
          <w:tcPr>
            <w:tcW w:w="596" w:type="dxa"/>
            <w:vAlign w:val="center"/>
          </w:tcPr>
          <w:p w14:paraId="2465E208">
            <w:pPr>
              <w:jc w:val="center"/>
              <w:rPr>
                <w:rFonts w:ascii="宋体" w:hAnsi="宋体"/>
                <w:color w:val="auto"/>
                <w:szCs w:val="44"/>
                <w:highlight w:val="none"/>
              </w:rPr>
            </w:pPr>
          </w:p>
        </w:tc>
        <w:tc>
          <w:tcPr>
            <w:tcW w:w="595" w:type="dxa"/>
            <w:vAlign w:val="center"/>
          </w:tcPr>
          <w:p w14:paraId="675EDCDA">
            <w:pPr>
              <w:jc w:val="center"/>
              <w:rPr>
                <w:rFonts w:ascii="宋体" w:hAnsi="宋体"/>
                <w:color w:val="auto"/>
                <w:szCs w:val="44"/>
                <w:highlight w:val="none"/>
              </w:rPr>
            </w:pPr>
          </w:p>
        </w:tc>
        <w:tc>
          <w:tcPr>
            <w:tcW w:w="595" w:type="dxa"/>
            <w:vAlign w:val="center"/>
          </w:tcPr>
          <w:p w14:paraId="2F04A3DB">
            <w:pPr>
              <w:jc w:val="center"/>
              <w:rPr>
                <w:rFonts w:ascii="宋体" w:hAnsi="宋体"/>
                <w:color w:val="auto"/>
                <w:szCs w:val="44"/>
                <w:highlight w:val="none"/>
              </w:rPr>
            </w:pPr>
          </w:p>
        </w:tc>
        <w:tc>
          <w:tcPr>
            <w:tcW w:w="595" w:type="dxa"/>
            <w:vAlign w:val="center"/>
          </w:tcPr>
          <w:p w14:paraId="78E98A6C">
            <w:pPr>
              <w:jc w:val="center"/>
              <w:rPr>
                <w:rFonts w:ascii="宋体" w:hAnsi="宋体"/>
                <w:color w:val="auto"/>
                <w:szCs w:val="44"/>
                <w:highlight w:val="none"/>
              </w:rPr>
            </w:pPr>
          </w:p>
        </w:tc>
        <w:tc>
          <w:tcPr>
            <w:tcW w:w="595" w:type="dxa"/>
            <w:vAlign w:val="center"/>
          </w:tcPr>
          <w:p w14:paraId="39492C32">
            <w:pPr>
              <w:jc w:val="center"/>
              <w:rPr>
                <w:rFonts w:ascii="宋体" w:hAnsi="宋体"/>
                <w:color w:val="auto"/>
                <w:szCs w:val="44"/>
                <w:highlight w:val="none"/>
              </w:rPr>
            </w:pPr>
          </w:p>
        </w:tc>
        <w:tc>
          <w:tcPr>
            <w:tcW w:w="595" w:type="dxa"/>
            <w:vAlign w:val="center"/>
          </w:tcPr>
          <w:p w14:paraId="1C458A8C">
            <w:pPr>
              <w:jc w:val="center"/>
              <w:rPr>
                <w:rFonts w:ascii="宋体" w:hAnsi="宋体"/>
                <w:color w:val="auto"/>
                <w:szCs w:val="44"/>
                <w:highlight w:val="none"/>
              </w:rPr>
            </w:pPr>
          </w:p>
        </w:tc>
        <w:tc>
          <w:tcPr>
            <w:tcW w:w="595" w:type="dxa"/>
            <w:vAlign w:val="center"/>
          </w:tcPr>
          <w:p w14:paraId="2066E72B">
            <w:pPr>
              <w:jc w:val="center"/>
              <w:rPr>
                <w:rFonts w:ascii="宋体" w:hAnsi="宋体"/>
                <w:color w:val="auto"/>
                <w:szCs w:val="44"/>
                <w:highlight w:val="none"/>
              </w:rPr>
            </w:pPr>
          </w:p>
        </w:tc>
        <w:tc>
          <w:tcPr>
            <w:tcW w:w="595" w:type="dxa"/>
            <w:vAlign w:val="center"/>
          </w:tcPr>
          <w:p w14:paraId="5523BA0E">
            <w:pPr>
              <w:jc w:val="center"/>
              <w:rPr>
                <w:rFonts w:ascii="宋体" w:hAnsi="宋体"/>
                <w:color w:val="auto"/>
                <w:szCs w:val="44"/>
                <w:highlight w:val="none"/>
              </w:rPr>
            </w:pPr>
          </w:p>
        </w:tc>
        <w:tc>
          <w:tcPr>
            <w:tcW w:w="596" w:type="dxa"/>
            <w:vAlign w:val="center"/>
          </w:tcPr>
          <w:p w14:paraId="7FDC06FF">
            <w:pPr>
              <w:jc w:val="center"/>
              <w:rPr>
                <w:rFonts w:ascii="宋体" w:hAnsi="宋体"/>
                <w:color w:val="auto"/>
                <w:szCs w:val="44"/>
                <w:highlight w:val="none"/>
              </w:rPr>
            </w:pPr>
          </w:p>
        </w:tc>
        <w:tc>
          <w:tcPr>
            <w:tcW w:w="734" w:type="dxa"/>
            <w:vMerge w:val="continue"/>
            <w:vAlign w:val="center"/>
          </w:tcPr>
          <w:p w14:paraId="30207AE9">
            <w:pPr>
              <w:jc w:val="center"/>
              <w:rPr>
                <w:rFonts w:ascii="宋体" w:hAnsi="宋体"/>
                <w:color w:val="auto"/>
                <w:szCs w:val="44"/>
                <w:highlight w:val="none"/>
              </w:rPr>
            </w:pPr>
          </w:p>
        </w:tc>
      </w:tr>
      <w:tr w14:paraId="097D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6F21F314">
            <w:pPr>
              <w:jc w:val="center"/>
              <w:rPr>
                <w:rFonts w:ascii="宋体" w:hAnsi="宋体"/>
                <w:color w:val="auto"/>
                <w:szCs w:val="44"/>
                <w:highlight w:val="none"/>
              </w:rPr>
            </w:pPr>
            <w:r>
              <w:rPr>
                <w:rFonts w:hint="eastAsia" w:ascii="宋体" w:hAnsi="宋体"/>
                <w:color w:val="auto"/>
                <w:szCs w:val="44"/>
                <w:highlight w:val="none"/>
              </w:rPr>
              <w:t>1</w:t>
            </w:r>
          </w:p>
        </w:tc>
        <w:tc>
          <w:tcPr>
            <w:tcW w:w="1365" w:type="dxa"/>
            <w:vAlign w:val="center"/>
          </w:tcPr>
          <w:p w14:paraId="47BB6D30">
            <w:pPr>
              <w:jc w:val="center"/>
              <w:rPr>
                <w:rFonts w:ascii="宋体" w:hAnsi="宋体"/>
                <w:color w:val="auto"/>
                <w:szCs w:val="21"/>
                <w:highlight w:val="none"/>
              </w:rPr>
            </w:pPr>
          </w:p>
        </w:tc>
        <w:tc>
          <w:tcPr>
            <w:tcW w:w="596" w:type="dxa"/>
            <w:vAlign w:val="center"/>
          </w:tcPr>
          <w:p w14:paraId="617DC787">
            <w:pPr>
              <w:jc w:val="center"/>
              <w:rPr>
                <w:rFonts w:ascii="宋体" w:hAnsi="宋体"/>
                <w:color w:val="auto"/>
                <w:szCs w:val="21"/>
                <w:highlight w:val="none"/>
              </w:rPr>
            </w:pPr>
          </w:p>
        </w:tc>
        <w:tc>
          <w:tcPr>
            <w:tcW w:w="595" w:type="dxa"/>
            <w:vAlign w:val="center"/>
          </w:tcPr>
          <w:p w14:paraId="356981BB">
            <w:pPr>
              <w:jc w:val="center"/>
              <w:rPr>
                <w:rFonts w:ascii="宋体" w:hAnsi="宋体"/>
                <w:color w:val="auto"/>
                <w:szCs w:val="44"/>
                <w:highlight w:val="none"/>
              </w:rPr>
            </w:pPr>
          </w:p>
        </w:tc>
        <w:tc>
          <w:tcPr>
            <w:tcW w:w="595" w:type="dxa"/>
            <w:vAlign w:val="center"/>
          </w:tcPr>
          <w:p w14:paraId="6702CB71">
            <w:pPr>
              <w:jc w:val="center"/>
              <w:rPr>
                <w:rFonts w:ascii="宋体" w:hAnsi="宋体"/>
                <w:color w:val="auto"/>
                <w:szCs w:val="44"/>
                <w:highlight w:val="none"/>
              </w:rPr>
            </w:pPr>
          </w:p>
        </w:tc>
        <w:tc>
          <w:tcPr>
            <w:tcW w:w="595" w:type="dxa"/>
            <w:vAlign w:val="center"/>
          </w:tcPr>
          <w:p w14:paraId="3AC99A88">
            <w:pPr>
              <w:jc w:val="center"/>
              <w:rPr>
                <w:rFonts w:ascii="宋体" w:hAnsi="宋体"/>
                <w:color w:val="auto"/>
                <w:szCs w:val="44"/>
                <w:highlight w:val="none"/>
              </w:rPr>
            </w:pPr>
          </w:p>
        </w:tc>
        <w:tc>
          <w:tcPr>
            <w:tcW w:w="595" w:type="dxa"/>
            <w:vAlign w:val="center"/>
          </w:tcPr>
          <w:p w14:paraId="15A7A8F7">
            <w:pPr>
              <w:jc w:val="center"/>
              <w:rPr>
                <w:rFonts w:ascii="宋体" w:hAnsi="宋体"/>
                <w:color w:val="auto"/>
                <w:szCs w:val="44"/>
                <w:highlight w:val="none"/>
              </w:rPr>
            </w:pPr>
          </w:p>
        </w:tc>
        <w:tc>
          <w:tcPr>
            <w:tcW w:w="595" w:type="dxa"/>
            <w:vAlign w:val="center"/>
          </w:tcPr>
          <w:p w14:paraId="5CD20BAA">
            <w:pPr>
              <w:jc w:val="center"/>
              <w:rPr>
                <w:rFonts w:ascii="宋体" w:hAnsi="宋体"/>
                <w:color w:val="auto"/>
                <w:szCs w:val="44"/>
                <w:highlight w:val="none"/>
              </w:rPr>
            </w:pPr>
          </w:p>
        </w:tc>
        <w:tc>
          <w:tcPr>
            <w:tcW w:w="595" w:type="dxa"/>
            <w:vAlign w:val="center"/>
          </w:tcPr>
          <w:p w14:paraId="16FD3660">
            <w:pPr>
              <w:jc w:val="center"/>
              <w:rPr>
                <w:rFonts w:ascii="宋体" w:hAnsi="宋体"/>
                <w:color w:val="auto"/>
                <w:szCs w:val="44"/>
                <w:highlight w:val="none"/>
              </w:rPr>
            </w:pPr>
          </w:p>
        </w:tc>
        <w:tc>
          <w:tcPr>
            <w:tcW w:w="595" w:type="dxa"/>
            <w:vAlign w:val="center"/>
          </w:tcPr>
          <w:p w14:paraId="1359742C">
            <w:pPr>
              <w:jc w:val="center"/>
              <w:rPr>
                <w:rFonts w:ascii="宋体" w:hAnsi="宋体"/>
                <w:color w:val="auto"/>
                <w:szCs w:val="44"/>
                <w:highlight w:val="none"/>
              </w:rPr>
            </w:pPr>
          </w:p>
        </w:tc>
        <w:tc>
          <w:tcPr>
            <w:tcW w:w="596" w:type="dxa"/>
            <w:vAlign w:val="center"/>
          </w:tcPr>
          <w:p w14:paraId="43E4A29D">
            <w:pPr>
              <w:jc w:val="center"/>
              <w:rPr>
                <w:rFonts w:ascii="宋体" w:hAnsi="宋体"/>
                <w:color w:val="auto"/>
                <w:szCs w:val="44"/>
                <w:highlight w:val="none"/>
              </w:rPr>
            </w:pPr>
          </w:p>
        </w:tc>
        <w:tc>
          <w:tcPr>
            <w:tcW w:w="734" w:type="dxa"/>
            <w:vAlign w:val="center"/>
          </w:tcPr>
          <w:p w14:paraId="3922A5A6">
            <w:pPr>
              <w:jc w:val="center"/>
              <w:rPr>
                <w:rFonts w:ascii="宋体" w:hAnsi="宋体"/>
                <w:color w:val="auto"/>
                <w:szCs w:val="44"/>
                <w:highlight w:val="none"/>
              </w:rPr>
            </w:pPr>
          </w:p>
        </w:tc>
      </w:tr>
      <w:tr w14:paraId="4553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0D231033">
            <w:pPr>
              <w:jc w:val="center"/>
              <w:rPr>
                <w:rFonts w:ascii="宋体" w:hAnsi="宋体"/>
                <w:color w:val="auto"/>
                <w:szCs w:val="44"/>
                <w:highlight w:val="none"/>
              </w:rPr>
            </w:pPr>
            <w:r>
              <w:rPr>
                <w:rFonts w:hint="eastAsia" w:ascii="宋体" w:hAnsi="宋体"/>
                <w:color w:val="auto"/>
                <w:szCs w:val="44"/>
                <w:highlight w:val="none"/>
              </w:rPr>
              <w:t>2</w:t>
            </w:r>
          </w:p>
        </w:tc>
        <w:tc>
          <w:tcPr>
            <w:tcW w:w="1365" w:type="dxa"/>
            <w:vAlign w:val="center"/>
          </w:tcPr>
          <w:p w14:paraId="786FA208">
            <w:pPr>
              <w:jc w:val="center"/>
              <w:rPr>
                <w:rFonts w:ascii="宋体" w:hAnsi="宋体"/>
                <w:color w:val="auto"/>
                <w:szCs w:val="44"/>
                <w:highlight w:val="none"/>
              </w:rPr>
            </w:pPr>
          </w:p>
        </w:tc>
        <w:tc>
          <w:tcPr>
            <w:tcW w:w="596" w:type="dxa"/>
            <w:vAlign w:val="center"/>
          </w:tcPr>
          <w:p w14:paraId="5B57C08E">
            <w:pPr>
              <w:jc w:val="center"/>
              <w:rPr>
                <w:color w:val="auto"/>
                <w:highlight w:val="none"/>
              </w:rPr>
            </w:pPr>
          </w:p>
        </w:tc>
        <w:tc>
          <w:tcPr>
            <w:tcW w:w="595" w:type="dxa"/>
            <w:vAlign w:val="center"/>
          </w:tcPr>
          <w:p w14:paraId="5FA516CD">
            <w:pPr>
              <w:jc w:val="center"/>
              <w:rPr>
                <w:rFonts w:ascii="宋体" w:hAnsi="宋体"/>
                <w:color w:val="auto"/>
                <w:szCs w:val="44"/>
                <w:highlight w:val="none"/>
              </w:rPr>
            </w:pPr>
          </w:p>
        </w:tc>
        <w:tc>
          <w:tcPr>
            <w:tcW w:w="595" w:type="dxa"/>
            <w:vAlign w:val="center"/>
          </w:tcPr>
          <w:p w14:paraId="20687A14">
            <w:pPr>
              <w:jc w:val="center"/>
              <w:rPr>
                <w:rFonts w:ascii="宋体" w:hAnsi="宋体"/>
                <w:color w:val="auto"/>
                <w:szCs w:val="44"/>
                <w:highlight w:val="none"/>
              </w:rPr>
            </w:pPr>
          </w:p>
        </w:tc>
        <w:tc>
          <w:tcPr>
            <w:tcW w:w="595" w:type="dxa"/>
            <w:vAlign w:val="center"/>
          </w:tcPr>
          <w:p w14:paraId="187F4234">
            <w:pPr>
              <w:jc w:val="center"/>
              <w:rPr>
                <w:rFonts w:ascii="宋体" w:hAnsi="宋体"/>
                <w:color w:val="auto"/>
                <w:szCs w:val="44"/>
                <w:highlight w:val="none"/>
              </w:rPr>
            </w:pPr>
          </w:p>
        </w:tc>
        <w:tc>
          <w:tcPr>
            <w:tcW w:w="595" w:type="dxa"/>
            <w:vAlign w:val="center"/>
          </w:tcPr>
          <w:p w14:paraId="0B60D914">
            <w:pPr>
              <w:jc w:val="center"/>
              <w:rPr>
                <w:rFonts w:ascii="宋体" w:hAnsi="宋体"/>
                <w:color w:val="auto"/>
                <w:szCs w:val="44"/>
                <w:highlight w:val="none"/>
              </w:rPr>
            </w:pPr>
          </w:p>
        </w:tc>
        <w:tc>
          <w:tcPr>
            <w:tcW w:w="595" w:type="dxa"/>
            <w:vAlign w:val="center"/>
          </w:tcPr>
          <w:p w14:paraId="27CE5FBB">
            <w:pPr>
              <w:jc w:val="center"/>
              <w:rPr>
                <w:rFonts w:ascii="宋体" w:hAnsi="宋体"/>
                <w:color w:val="auto"/>
                <w:szCs w:val="44"/>
                <w:highlight w:val="none"/>
              </w:rPr>
            </w:pPr>
          </w:p>
        </w:tc>
        <w:tc>
          <w:tcPr>
            <w:tcW w:w="595" w:type="dxa"/>
            <w:vAlign w:val="center"/>
          </w:tcPr>
          <w:p w14:paraId="0B8552EA">
            <w:pPr>
              <w:jc w:val="center"/>
              <w:rPr>
                <w:rFonts w:ascii="宋体" w:hAnsi="宋体"/>
                <w:color w:val="auto"/>
                <w:szCs w:val="44"/>
                <w:highlight w:val="none"/>
              </w:rPr>
            </w:pPr>
          </w:p>
        </w:tc>
        <w:tc>
          <w:tcPr>
            <w:tcW w:w="595" w:type="dxa"/>
            <w:vAlign w:val="center"/>
          </w:tcPr>
          <w:p w14:paraId="0A759D79">
            <w:pPr>
              <w:jc w:val="center"/>
              <w:rPr>
                <w:rFonts w:ascii="宋体" w:hAnsi="宋体"/>
                <w:color w:val="auto"/>
                <w:szCs w:val="44"/>
                <w:highlight w:val="none"/>
              </w:rPr>
            </w:pPr>
          </w:p>
        </w:tc>
        <w:tc>
          <w:tcPr>
            <w:tcW w:w="596" w:type="dxa"/>
            <w:vAlign w:val="center"/>
          </w:tcPr>
          <w:p w14:paraId="1827B2CF">
            <w:pPr>
              <w:jc w:val="center"/>
              <w:rPr>
                <w:rFonts w:ascii="宋体" w:hAnsi="宋体"/>
                <w:color w:val="auto"/>
                <w:szCs w:val="44"/>
                <w:highlight w:val="none"/>
              </w:rPr>
            </w:pPr>
          </w:p>
        </w:tc>
        <w:tc>
          <w:tcPr>
            <w:tcW w:w="734" w:type="dxa"/>
            <w:vAlign w:val="center"/>
          </w:tcPr>
          <w:p w14:paraId="063EF124">
            <w:pPr>
              <w:jc w:val="center"/>
              <w:rPr>
                <w:rFonts w:ascii="宋体" w:hAnsi="宋体"/>
                <w:color w:val="auto"/>
                <w:szCs w:val="44"/>
                <w:highlight w:val="none"/>
              </w:rPr>
            </w:pPr>
          </w:p>
        </w:tc>
      </w:tr>
      <w:tr w14:paraId="793F8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51A9BDC0">
            <w:pPr>
              <w:jc w:val="center"/>
              <w:rPr>
                <w:rFonts w:ascii="宋体" w:hAnsi="宋体"/>
                <w:color w:val="auto"/>
                <w:szCs w:val="44"/>
                <w:highlight w:val="none"/>
              </w:rPr>
            </w:pPr>
            <w:r>
              <w:rPr>
                <w:rFonts w:hint="eastAsia" w:ascii="宋体" w:hAnsi="宋体"/>
                <w:color w:val="auto"/>
                <w:szCs w:val="44"/>
                <w:highlight w:val="none"/>
              </w:rPr>
              <w:t>3</w:t>
            </w:r>
          </w:p>
        </w:tc>
        <w:tc>
          <w:tcPr>
            <w:tcW w:w="1365" w:type="dxa"/>
            <w:vAlign w:val="center"/>
          </w:tcPr>
          <w:p w14:paraId="2290812D">
            <w:pPr>
              <w:jc w:val="center"/>
              <w:rPr>
                <w:rFonts w:ascii="宋体" w:hAnsi="宋体"/>
                <w:color w:val="auto"/>
                <w:szCs w:val="44"/>
                <w:highlight w:val="none"/>
              </w:rPr>
            </w:pPr>
          </w:p>
        </w:tc>
        <w:tc>
          <w:tcPr>
            <w:tcW w:w="596" w:type="dxa"/>
            <w:vAlign w:val="center"/>
          </w:tcPr>
          <w:p w14:paraId="7D83EFBC">
            <w:pPr>
              <w:jc w:val="center"/>
              <w:rPr>
                <w:color w:val="auto"/>
                <w:highlight w:val="none"/>
              </w:rPr>
            </w:pPr>
          </w:p>
        </w:tc>
        <w:tc>
          <w:tcPr>
            <w:tcW w:w="595" w:type="dxa"/>
            <w:vAlign w:val="center"/>
          </w:tcPr>
          <w:p w14:paraId="0E8886A6">
            <w:pPr>
              <w:jc w:val="center"/>
              <w:rPr>
                <w:rFonts w:ascii="宋体" w:hAnsi="宋体"/>
                <w:color w:val="auto"/>
                <w:szCs w:val="44"/>
                <w:highlight w:val="none"/>
              </w:rPr>
            </w:pPr>
          </w:p>
        </w:tc>
        <w:tc>
          <w:tcPr>
            <w:tcW w:w="595" w:type="dxa"/>
            <w:vAlign w:val="center"/>
          </w:tcPr>
          <w:p w14:paraId="7CB18C77">
            <w:pPr>
              <w:jc w:val="center"/>
              <w:rPr>
                <w:rFonts w:ascii="宋体" w:hAnsi="宋体"/>
                <w:color w:val="auto"/>
                <w:szCs w:val="44"/>
                <w:highlight w:val="none"/>
              </w:rPr>
            </w:pPr>
          </w:p>
        </w:tc>
        <w:tc>
          <w:tcPr>
            <w:tcW w:w="595" w:type="dxa"/>
            <w:vAlign w:val="center"/>
          </w:tcPr>
          <w:p w14:paraId="37687A89">
            <w:pPr>
              <w:jc w:val="center"/>
              <w:rPr>
                <w:rFonts w:ascii="宋体" w:hAnsi="宋体"/>
                <w:color w:val="auto"/>
                <w:szCs w:val="44"/>
                <w:highlight w:val="none"/>
              </w:rPr>
            </w:pPr>
          </w:p>
        </w:tc>
        <w:tc>
          <w:tcPr>
            <w:tcW w:w="595" w:type="dxa"/>
            <w:vAlign w:val="center"/>
          </w:tcPr>
          <w:p w14:paraId="1DE3EF20">
            <w:pPr>
              <w:jc w:val="center"/>
              <w:rPr>
                <w:rFonts w:ascii="宋体" w:hAnsi="宋体"/>
                <w:color w:val="auto"/>
                <w:szCs w:val="44"/>
                <w:highlight w:val="none"/>
              </w:rPr>
            </w:pPr>
          </w:p>
        </w:tc>
        <w:tc>
          <w:tcPr>
            <w:tcW w:w="595" w:type="dxa"/>
            <w:vAlign w:val="center"/>
          </w:tcPr>
          <w:p w14:paraId="21651FFA">
            <w:pPr>
              <w:jc w:val="center"/>
              <w:rPr>
                <w:rFonts w:ascii="宋体" w:hAnsi="宋体"/>
                <w:color w:val="auto"/>
                <w:szCs w:val="44"/>
                <w:highlight w:val="none"/>
              </w:rPr>
            </w:pPr>
          </w:p>
        </w:tc>
        <w:tc>
          <w:tcPr>
            <w:tcW w:w="595" w:type="dxa"/>
            <w:vAlign w:val="center"/>
          </w:tcPr>
          <w:p w14:paraId="2850693E">
            <w:pPr>
              <w:jc w:val="center"/>
              <w:rPr>
                <w:rFonts w:ascii="宋体" w:hAnsi="宋体"/>
                <w:color w:val="auto"/>
                <w:szCs w:val="44"/>
                <w:highlight w:val="none"/>
              </w:rPr>
            </w:pPr>
          </w:p>
        </w:tc>
        <w:tc>
          <w:tcPr>
            <w:tcW w:w="595" w:type="dxa"/>
            <w:vAlign w:val="center"/>
          </w:tcPr>
          <w:p w14:paraId="6A2DCEA4">
            <w:pPr>
              <w:jc w:val="center"/>
              <w:rPr>
                <w:rFonts w:ascii="宋体" w:hAnsi="宋体"/>
                <w:color w:val="auto"/>
                <w:szCs w:val="44"/>
                <w:highlight w:val="none"/>
              </w:rPr>
            </w:pPr>
          </w:p>
        </w:tc>
        <w:tc>
          <w:tcPr>
            <w:tcW w:w="596" w:type="dxa"/>
            <w:vAlign w:val="center"/>
          </w:tcPr>
          <w:p w14:paraId="44892039">
            <w:pPr>
              <w:jc w:val="center"/>
              <w:rPr>
                <w:rFonts w:ascii="宋体" w:hAnsi="宋体"/>
                <w:color w:val="auto"/>
                <w:szCs w:val="44"/>
                <w:highlight w:val="none"/>
              </w:rPr>
            </w:pPr>
          </w:p>
        </w:tc>
        <w:tc>
          <w:tcPr>
            <w:tcW w:w="734" w:type="dxa"/>
            <w:vAlign w:val="center"/>
          </w:tcPr>
          <w:p w14:paraId="306DE09A">
            <w:pPr>
              <w:jc w:val="center"/>
              <w:rPr>
                <w:rFonts w:ascii="宋体" w:hAnsi="宋体"/>
                <w:color w:val="auto"/>
                <w:szCs w:val="44"/>
                <w:highlight w:val="none"/>
              </w:rPr>
            </w:pPr>
          </w:p>
        </w:tc>
      </w:tr>
      <w:tr w14:paraId="4A2D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3F728011">
            <w:pPr>
              <w:jc w:val="center"/>
              <w:rPr>
                <w:rFonts w:ascii="宋体" w:hAnsi="宋体"/>
                <w:color w:val="auto"/>
                <w:szCs w:val="44"/>
                <w:highlight w:val="none"/>
              </w:rPr>
            </w:pPr>
            <w:r>
              <w:rPr>
                <w:rFonts w:hint="eastAsia" w:ascii="宋体" w:hAnsi="宋体"/>
                <w:color w:val="auto"/>
                <w:szCs w:val="44"/>
                <w:highlight w:val="none"/>
              </w:rPr>
              <w:t>4</w:t>
            </w:r>
          </w:p>
        </w:tc>
        <w:tc>
          <w:tcPr>
            <w:tcW w:w="1365" w:type="dxa"/>
            <w:vAlign w:val="center"/>
          </w:tcPr>
          <w:p w14:paraId="1E7A0D50">
            <w:pPr>
              <w:jc w:val="center"/>
              <w:rPr>
                <w:rFonts w:ascii="宋体" w:hAnsi="宋体"/>
                <w:color w:val="auto"/>
                <w:szCs w:val="44"/>
                <w:highlight w:val="none"/>
              </w:rPr>
            </w:pPr>
          </w:p>
        </w:tc>
        <w:tc>
          <w:tcPr>
            <w:tcW w:w="596" w:type="dxa"/>
            <w:vAlign w:val="center"/>
          </w:tcPr>
          <w:p w14:paraId="0D8366AD">
            <w:pPr>
              <w:jc w:val="center"/>
              <w:rPr>
                <w:color w:val="auto"/>
                <w:highlight w:val="none"/>
              </w:rPr>
            </w:pPr>
          </w:p>
        </w:tc>
        <w:tc>
          <w:tcPr>
            <w:tcW w:w="595" w:type="dxa"/>
            <w:vAlign w:val="center"/>
          </w:tcPr>
          <w:p w14:paraId="1DEAAD2E">
            <w:pPr>
              <w:jc w:val="center"/>
              <w:rPr>
                <w:rFonts w:ascii="宋体" w:hAnsi="宋体"/>
                <w:color w:val="auto"/>
                <w:szCs w:val="44"/>
                <w:highlight w:val="none"/>
              </w:rPr>
            </w:pPr>
          </w:p>
        </w:tc>
        <w:tc>
          <w:tcPr>
            <w:tcW w:w="595" w:type="dxa"/>
            <w:vAlign w:val="center"/>
          </w:tcPr>
          <w:p w14:paraId="02884010">
            <w:pPr>
              <w:jc w:val="center"/>
              <w:rPr>
                <w:rFonts w:ascii="宋体" w:hAnsi="宋体"/>
                <w:color w:val="auto"/>
                <w:szCs w:val="44"/>
                <w:highlight w:val="none"/>
              </w:rPr>
            </w:pPr>
          </w:p>
        </w:tc>
        <w:tc>
          <w:tcPr>
            <w:tcW w:w="595" w:type="dxa"/>
            <w:vAlign w:val="center"/>
          </w:tcPr>
          <w:p w14:paraId="4B7F9ED3">
            <w:pPr>
              <w:jc w:val="center"/>
              <w:rPr>
                <w:rFonts w:ascii="宋体" w:hAnsi="宋体"/>
                <w:color w:val="auto"/>
                <w:szCs w:val="44"/>
                <w:highlight w:val="none"/>
              </w:rPr>
            </w:pPr>
          </w:p>
        </w:tc>
        <w:tc>
          <w:tcPr>
            <w:tcW w:w="595" w:type="dxa"/>
            <w:vAlign w:val="center"/>
          </w:tcPr>
          <w:p w14:paraId="62907376">
            <w:pPr>
              <w:jc w:val="center"/>
              <w:rPr>
                <w:rFonts w:ascii="宋体" w:hAnsi="宋体"/>
                <w:color w:val="auto"/>
                <w:szCs w:val="44"/>
                <w:highlight w:val="none"/>
              </w:rPr>
            </w:pPr>
          </w:p>
        </w:tc>
        <w:tc>
          <w:tcPr>
            <w:tcW w:w="595" w:type="dxa"/>
            <w:vAlign w:val="center"/>
          </w:tcPr>
          <w:p w14:paraId="19F3F1C0">
            <w:pPr>
              <w:jc w:val="center"/>
              <w:rPr>
                <w:rFonts w:ascii="宋体" w:hAnsi="宋体"/>
                <w:color w:val="auto"/>
                <w:szCs w:val="44"/>
                <w:highlight w:val="none"/>
              </w:rPr>
            </w:pPr>
          </w:p>
        </w:tc>
        <w:tc>
          <w:tcPr>
            <w:tcW w:w="595" w:type="dxa"/>
            <w:vAlign w:val="center"/>
          </w:tcPr>
          <w:p w14:paraId="389E4A14">
            <w:pPr>
              <w:jc w:val="center"/>
              <w:rPr>
                <w:rFonts w:ascii="宋体" w:hAnsi="宋体"/>
                <w:color w:val="auto"/>
                <w:szCs w:val="44"/>
                <w:highlight w:val="none"/>
              </w:rPr>
            </w:pPr>
          </w:p>
        </w:tc>
        <w:tc>
          <w:tcPr>
            <w:tcW w:w="595" w:type="dxa"/>
            <w:vAlign w:val="center"/>
          </w:tcPr>
          <w:p w14:paraId="5CE569E2">
            <w:pPr>
              <w:jc w:val="center"/>
              <w:rPr>
                <w:rFonts w:ascii="宋体" w:hAnsi="宋体"/>
                <w:color w:val="auto"/>
                <w:szCs w:val="44"/>
                <w:highlight w:val="none"/>
              </w:rPr>
            </w:pPr>
          </w:p>
        </w:tc>
        <w:tc>
          <w:tcPr>
            <w:tcW w:w="596" w:type="dxa"/>
            <w:vAlign w:val="center"/>
          </w:tcPr>
          <w:p w14:paraId="7CD94A84">
            <w:pPr>
              <w:jc w:val="center"/>
              <w:rPr>
                <w:rFonts w:ascii="宋体" w:hAnsi="宋体"/>
                <w:color w:val="auto"/>
                <w:szCs w:val="44"/>
                <w:highlight w:val="none"/>
              </w:rPr>
            </w:pPr>
          </w:p>
        </w:tc>
        <w:tc>
          <w:tcPr>
            <w:tcW w:w="734" w:type="dxa"/>
            <w:vAlign w:val="center"/>
          </w:tcPr>
          <w:p w14:paraId="1EF7AF18">
            <w:pPr>
              <w:jc w:val="center"/>
              <w:rPr>
                <w:rFonts w:ascii="宋体" w:hAnsi="宋体"/>
                <w:color w:val="auto"/>
                <w:szCs w:val="44"/>
                <w:highlight w:val="none"/>
              </w:rPr>
            </w:pPr>
          </w:p>
        </w:tc>
      </w:tr>
      <w:tr w14:paraId="6785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2AD8F262">
            <w:pPr>
              <w:jc w:val="center"/>
              <w:rPr>
                <w:rFonts w:ascii="宋体" w:hAnsi="宋体"/>
                <w:color w:val="auto"/>
                <w:szCs w:val="44"/>
                <w:highlight w:val="none"/>
              </w:rPr>
            </w:pPr>
            <w:r>
              <w:rPr>
                <w:rFonts w:hint="eastAsia" w:ascii="宋体" w:hAnsi="宋体"/>
                <w:color w:val="auto"/>
                <w:szCs w:val="44"/>
                <w:highlight w:val="none"/>
              </w:rPr>
              <w:t>5</w:t>
            </w:r>
          </w:p>
        </w:tc>
        <w:tc>
          <w:tcPr>
            <w:tcW w:w="1365" w:type="dxa"/>
            <w:vAlign w:val="center"/>
          </w:tcPr>
          <w:p w14:paraId="041C8EE9">
            <w:pPr>
              <w:jc w:val="center"/>
              <w:rPr>
                <w:rFonts w:ascii="宋体" w:hAnsi="宋体"/>
                <w:color w:val="auto"/>
                <w:szCs w:val="44"/>
                <w:highlight w:val="none"/>
              </w:rPr>
            </w:pPr>
          </w:p>
        </w:tc>
        <w:tc>
          <w:tcPr>
            <w:tcW w:w="596" w:type="dxa"/>
            <w:vAlign w:val="center"/>
          </w:tcPr>
          <w:p w14:paraId="786EBCD6">
            <w:pPr>
              <w:jc w:val="center"/>
              <w:rPr>
                <w:color w:val="auto"/>
                <w:highlight w:val="none"/>
              </w:rPr>
            </w:pPr>
          </w:p>
        </w:tc>
        <w:tc>
          <w:tcPr>
            <w:tcW w:w="595" w:type="dxa"/>
            <w:vAlign w:val="center"/>
          </w:tcPr>
          <w:p w14:paraId="2D8F8D3D">
            <w:pPr>
              <w:jc w:val="center"/>
              <w:rPr>
                <w:rFonts w:ascii="宋体" w:hAnsi="宋体"/>
                <w:color w:val="auto"/>
                <w:szCs w:val="44"/>
                <w:highlight w:val="none"/>
              </w:rPr>
            </w:pPr>
          </w:p>
        </w:tc>
        <w:tc>
          <w:tcPr>
            <w:tcW w:w="595" w:type="dxa"/>
            <w:vAlign w:val="center"/>
          </w:tcPr>
          <w:p w14:paraId="654E1A46">
            <w:pPr>
              <w:jc w:val="center"/>
              <w:rPr>
                <w:rFonts w:ascii="宋体" w:hAnsi="宋体"/>
                <w:color w:val="auto"/>
                <w:szCs w:val="44"/>
                <w:highlight w:val="none"/>
              </w:rPr>
            </w:pPr>
          </w:p>
        </w:tc>
        <w:tc>
          <w:tcPr>
            <w:tcW w:w="595" w:type="dxa"/>
            <w:vAlign w:val="center"/>
          </w:tcPr>
          <w:p w14:paraId="68148442">
            <w:pPr>
              <w:jc w:val="center"/>
              <w:rPr>
                <w:rFonts w:ascii="宋体" w:hAnsi="宋体"/>
                <w:color w:val="auto"/>
                <w:szCs w:val="44"/>
                <w:highlight w:val="none"/>
              </w:rPr>
            </w:pPr>
          </w:p>
        </w:tc>
        <w:tc>
          <w:tcPr>
            <w:tcW w:w="595" w:type="dxa"/>
            <w:vAlign w:val="center"/>
          </w:tcPr>
          <w:p w14:paraId="22B8D712">
            <w:pPr>
              <w:jc w:val="center"/>
              <w:rPr>
                <w:rFonts w:ascii="宋体" w:hAnsi="宋体"/>
                <w:color w:val="auto"/>
                <w:szCs w:val="44"/>
                <w:highlight w:val="none"/>
              </w:rPr>
            </w:pPr>
          </w:p>
        </w:tc>
        <w:tc>
          <w:tcPr>
            <w:tcW w:w="595" w:type="dxa"/>
            <w:vAlign w:val="center"/>
          </w:tcPr>
          <w:p w14:paraId="4362C829">
            <w:pPr>
              <w:jc w:val="center"/>
              <w:rPr>
                <w:rFonts w:ascii="宋体" w:hAnsi="宋体"/>
                <w:color w:val="auto"/>
                <w:szCs w:val="44"/>
                <w:highlight w:val="none"/>
              </w:rPr>
            </w:pPr>
          </w:p>
        </w:tc>
        <w:tc>
          <w:tcPr>
            <w:tcW w:w="595" w:type="dxa"/>
            <w:vAlign w:val="center"/>
          </w:tcPr>
          <w:p w14:paraId="3AF002C9">
            <w:pPr>
              <w:jc w:val="center"/>
              <w:rPr>
                <w:rFonts w:ascii="宋体" w:hAnsi="宋体"/>
                <w:color w:val="auto"/>
                <w:szCs w:val="44"/>
                <w:highlight w:val="none"/>
              </w:rPr>
            </w:pPr>
          </w:p>
        </w:tc>
        <w:tc>
          <w:tcPr>
            <w:tcW w:w="595" w:type="dxa"/>
            <w:vAlign w:val="center"/>
          </w:tcPr>
          <w:p w14:paraId="7B0AE193">
            <w:pPr>
              <w:jc w:val="center"/>
              <w:rPr>
                <w:rFonts w:ascii="宋体" w:hAnsi="宋体"/>
                <w:color w:val="auto"/>
                <w:szCs w:val="44"/>
                <w:highlight w:val="none"/>
              </w:rPr>
            </w:pPr>
          </w:p>
        </w:tc>
        <w:tc>
          <w:tcPr>
            <w:tcW w:w="596" w:type="dxa"/>
            <w:vAlign w:val="center"/>
          </w:tcPr>
          <w:p w14:paraId="30332539">
            <w:pPr>
              <w:jc w:val="center"/>
              <w:rPr>
                <w:rFonts w:ascii="宋体" w:hAnsi="宋体"/>
                <w:color w:val="auto"/>
                <w:szCs w:val="44"/>
                <w:highlight w:val="none"/>
              </w:rPr>
            </w:pPr>
          </w:p>
        </w:tc>
        <w:tc>
          <w:tcPr>
            <w:tcW w:w="734" w:type="dxa"/>
            <w:vAlign w:val="center"/>
          </w:tcPr>
          <w:p w14:paraId="19530BFE">
            <w:pPr>
              <w:jc w:val="center"/>
              <w:rPr>
                <w:rFonts w:ascii="宋体" w:hAnsi="宋体"/>
                <w:color w:val="auto"/>
                <w:szCs w:val="44"/>
                <w:highlight w:val="none"/>
              </w:rPr>
            </w:pPr>
          </w:p>
        </w:tc>
      </w:tr>
      <w:tr w14:paraId="5436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7D0185E0">
            <w:pPr>
              <w:jc w:val="center"/>
              <w:rPr>
                <w:rFonts w:ascii="宋体" w:hAnsi="宋体"/>
                <w:color w:val="auto"/>
                <w:szCs w:val="44"/>
                <w:highlight w:val="none"/>
              </w:rPr>
            </w:pPr>
            <w:r>
              <w:rPr>
                <w:rFonts w:hint="eastAsia" w:ascii="宋体" w:hAnsi="宋体"/>
                <w:color w:val="auto"/>
                <w:szCs w:val="44"/>
                <w:highlight w:val="none"/>
              </w:rPr>
              <w:t>6</w:t>
            </w:r>
          </w:p>
        </w:tc>
        <w:tc>
          <w:tcPr>
            <w:tcW w:w="1365" w:type="dxa"/>
            <w:vAlign w:val="center"/>
          </w:tcPr>
          <w:p w14:paraId="29D5A99F">
            <w:pPr>
              <w:jc w:val="center"/>
              <w:rPr>
                <w:rFonts w:ascii="宋体" w:hAnsi="宋体"/>
                <w:color w:val="auto"/>
                <w:szCs w:val="44"/>
                <w:highlight w:val="none"/>
              </w:rPr>
            </w:pPr>
          </w:p>
        </w:tc>
        <w:tc>
          <w:tcPr>
            <w:tcW w:w="596" w:type="dxa"/>
            <w:vAlign w:val="center"/>
          </w:tcPr>
          <w:p w14:paraId="2730314C">
            <w:pPr>
              <w:jc w:val="center"/>
              <w:rPr>
                <w:color w:val="auto"/>
                <w:highlight w:val="none"/>
              </w:rPr>
            </w:pPr>
          </w:p>
        </w:tc>
        <w:tc>
          <w:tcPr>
            <w:tcW w:w="595" w:type="dxa"/>
            <w:vAlign w:val="center"/>
          </w:tcPr>
          <w:p w14:paraId="1E1D4901">
            <w:pPr>
              <w:jc w:val="center"/>
              <w:rPr>
                <w:rFonts w:ascii="宋体" w:hAnsi="宋体"/>
                <w:color w:val="auto"/>
                <w:szCs w:val="44"/>
                <w:highlight w:val="none"/>
              </w:rPr>
            </w:pPr>
          </w:p>
        </w:tc>
        <w:tc>
          <w:tcPr>
            <w:tcW w:w="595" w:type="dxa"/>
            <w:vAlign w:val="center"/>
          </w:tcPr>
          <w:p w14:paraId="319ABD33">
            <w:pPr>
              <w:jc w:val="center"/>
              <w:rPr>
                <w:rFonts w:ascii="宋体" w:hAnsi="宋体"/>
                <w:color w:val="auto"/>
                <w:szCs w:val="44"/>
                <w:highlight w:val="none"/>
              </w:rPr>
            </w:pPr>
          </w:p>
        </w:tc>
        <w:tc>
          <w:tcPr>
            <w:tcW w:w="595" w:type="dxa"/>
            <w:vAlign w:val="center"/>
          </w:tcPr>
          <w:p w14:paraId="7B592320">
            <w:pPr>
              <w:jc w:val="center"/>
              <w:rPr>
                <w:rFonts w:ascii="宋体" w:hAnsi="宋体"/>
                <w:color w:val="auto"/>
                <w:szCs w:val="44"/>
                <w:highlight w:val="none"/>
              </w:rPr>
            </w:pPr>
          </w:p>
        </w:tc>
        <w:tc>
          <w:tcPr>
            <w:tcW w:w="595" w:type="dxa"/>
            <w:vAlign w:val="center"/>
          </w:tcPr>
          <w:p w14:paraId="59CCE8F4">
            <w:pPr>
              <w:jc w:val="center"/>
              <w:rPr>
                <w:rFonts w:ascii="宋体" w:hAnsi="宋体"/>
                <w:color w:val="auto"/>
                <w:szCs w:val="44"/>
                <w:highlight w:val="none"/>
              </w:rPr>
            </w:pPr>
          </w:p>
        </w:tc>
        <w:tc>
          <w:tcPr>
            <w:tcW w:w="595" w:type="dxa"/>
            <w:vAlign w:val="center"/>
          </w:tcPr>
          <w:p w14:paraId="129A8C14">
            <w:pPr>
              <w:jc w:val="center"/>
              <w:rPr>
                <w:rFonts w:ascii="宋体" w:hAnsi="宋体"/>
                <w:color w:val="auto"/>
                <w:szCs w:val="44"/>
                <w:highlight w:val="none"/>
              </w:rPr>
            </w:pPr>
          </w:p>
        </w:tc>
        <w:tc>
          <w:tcPr>
            <w:tcW w:w="595" w:type="dxa"/>
            <w:vAlign w:val="center"/>
          </w:tcPr>
          <w:p w14:paraId="6886ED9B">
            <w:pPr>
              <w:jc w:val="center"/>
              <w:rPr>
                <w:rFonts w:ascii="宋体" w:hAnsi="宋体"/>
                <w:color w:val="auto"/>
                <w:szCs w:val="44"/>
                <w:highlight w:val="none"/>
              </w:rPr>
            </w:pPr>
          </w:p>
        </w:tc>
        <w:tc>
          <w:tcPr>
            <w:tcW w:w="595" w:type="dxa"/>
            <w:vAlign w:val="center"/>
          </w:tcPr>
          <w:p w14:paraId="39415BBC">
            <w:pPr>
              <w:jc w:val="center"/>
              <w:rPr>
                <w:rFonts w:ascii="宋体" w:hAnsi="宋体"/>
                <w:color w:val="auto"/>
                <w:szCs w:val="44"/>
                <w:highlight w:val="none"/>
              </w:rPr>
            </w:pPr>
          </w:p>
        </w:tc>
        <w:tc>
          <w:tcPr>
            <w:tcW w:w="596" w:type="dxa"/>
            <w:vAlign w:val="center"/>
          </w:tcPr>
          <w:p w14:paraId="7618A08C">
            <w:pPr>
              <w:jc w:val="center"/>
              <w:rPr>
                <w:rFonts w:ascii="宋体" w:hAnsi="宋体"/>
                <w:color w:val="auto"/>
                <w:szCs w:val="44"/>
                <w:highlight w:val="none"/>
              </w:rPr>
            </w:pPr>
          </w:p>
        </w:tc>
        <w:tc>
          <w:tcPr>
            <w:tcW w:w="734" w:type="dxa"/>
            <w:vAlign w:val="center"/>
          </w:tcPr>
          <w:p w14:paraId="1C6E3DE5">
            <w:pPr>
              <w:jc w:val="center"/>
              <w:rPr>
                <w:rFonts w:ascii="宋体" w:hAnsi="宋体"/>
                <w:color w:val="auto"/>
                <w:szCs w:val="44"/>
                <w:highlight w:val="none"/>
              </w:rPr>
            </w:pPr>
          </w:p>
        </w:tc>
      </w:tr>
      <w:tr w14:paraId="124A9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5D61434D">
            <w:pPr>
              <w:jc w:val="center"/>
              <w:rPr>
                <w:rFonts w:ascii="宋体" w:hAnsi="宋体"/>
                <w:color w:val="auto"/>
                <w:szCs w:val="44"/>
                <w:highlight w:val="none"/>
              </w:rPr>
            </w:pPr>
            <w:r>
              <w:rPr>
                <w:rFonts w:hint="eastAsia" w:ascii="宋体" w:hAnsi="宋体"/>
                <w:color w:val="auto"/>
                <w:szCs w:val="44"/>
                <w:highlight w:val="none"/>
              </w:rPr>
              <w:t>…</w:t>
            </w:r>
          </w:p>
        </w:tc>
        <w:tc>
          <w:tcPr>
            <w:tcW w:w="1365" w:type="dxa"/>
            <w:vAlign w:val="center"/>
          </w:tcPr>
          <w:p w14:paraId="1133928B">
            <w:pPr>
              <w:rPr>
                <w:rFonts w:ascii="宋体" w:hAnsi="宋体"/>
                <w:color w:val="auto"/>
                <w:szCs w:val="21"/>
                <w:highlight w:val="none"/>
              </w:rPr>
            </w:pPr>
          </w:p>
        </w:tc>
        <w:tc>
          <w:tcPr>
            <w:tcW w:w="596" w:type="dxa"/>
            <w:vAlign w:val="center"/>
          </w:tcPr>
          <w:p w14:paraId="22665D5C">
            <w:pPr>
              <w:jc w:val="center"/>
              <w:rPr>
                <w:color w:val="auto"/>
                <w:highlight w:val="none"/>
              </w:rPr>
            </w:pPr>
          </w:p>
        </w:tc>
        <w:tc>
          <w:tcPr>
            <w:tcW w:w="595" w:type="dxa"/>
            <w:vAlign w:val="center"/>
          </w:tcPr>
          <w:p w14:paraId="404CA271">
            <w:pPr>
              <w:jc w:val="center"/>
              <w:rPr>
                <w:rFonts w:ascii="宋体" w:hAnsi="宋体"/>
                <w:color w:val="auto"/>
                <w:szCs w:val="44"/>
                <w:highlight w:val="none"/>
              </w:rPr>
            </w:pPr>
          </w:p>
        </w:tc>
        <w:tc>
          <w:tcPr>
            <w:tcW w:w="595" w:type="dxa"/>
            <w:vAlign w:val="center"/>
          </w:tcPr>
          <w:p w14:paraId="13F049E2">
            <w:pPr>
              <w:jc w:val="center"/>
              <w:rPr>
                <w:rFonts w:ascii="宋体" w:hAnsi="宋体"/>
                <w:color w:val="auto"/>
                <w:szCs w:val="44"/>
                <w:highlight w:val="none"/>
              </w:rPr>
            </w:pPr>
          </w:p>
        </w:tc>
        <w:tc>
          <w:tcPr>
            <w:tcW w:w="595" w:type="dxa"/>
            <w:vAlign w:val="center"/>
          </w:tcPr>
          <w:p w14:paraId="1303B720">
            <w:pPr>
              <w:jc w:val="center"/>
              <w:rPr>
                <w:rFonts w:ascii="宋体" w:hAnsi="宋体"/>
                <w:color w:val="auto"/>
                <w:szCs w:val="44"/>
                <w:highlight w:val="none"/>
              </w:rPr>
            </w:pPr>
          </w:p>
        </w:tc>
        <w:tc>
          <w:tcPr>
            <w:tcW w:w="595" w:type="dxa"/>
            <w:vAlign w:val="center"/>
          </w:tcPr>
          <w:p w14:paraId="025A3846">
            <w:pPr>
              <w:jc w:val="center"/>
              <w:rPr>
                <w:rFonts w:ascii="宋体" w:hAnsi="宋体"/>
                <w:color w:val="auto"/>
                <w:szCs w:val="44"/>
                <w:highlight w:val="none"/>
              </w:rPr>
            </w:pPr>
          </w:p>
        </w:tc>
        <w:tc>
          <w:tcPr>
            <w:tcW w:w="595" w:type="dxa"/>
            <w:vAlign w:val="center"/>
          </w:tcPr>
          <w:p w14:paraId="16653E43">
            <w:pPr>
              <w:jc w:val="center"/>
              <w:rPr>
                <w:rFonts w:ascii="宋体" w:hAnsi="宋体"/>
                <w:color w:val="auto"/>
                <w:szCs w:val="44"/>
                <w:highlight w:val="none"/>
              </w:rPr>
            </w:pPr>
          </w:p>
        </w:tc>
        <w:tc>
          <w:tcPr>
            <w:tcW w:w="595" w:type="dxa"/>
            <w:vAlign w:val="center"/>
          </w:tcPr>
          <w:p w14:paraId="665712A5">
            <w:pPr>
              <w:jc w:val="center"/>
              <w:rPr>
                <w:rFonts w:ascii="宋体" w:hAnsi="宋体"/>
                <w:color w:val="auto"/>
                <w:szCs w:val="44"/>
                <w:highlight w:val="none"/>
              </w:rPr>
            </w:pPr>
          </w:p>
        </w:tc>
        <w:tc>
          <w:tcPr>
            <w:tcW w:w="595" w:type="dxa"/>
            <w:vAlign w:val="center"/>
          </w:tcPr>
          <w:p w14:paraId="4DFEC335">
            <w:pPr>
              <w:jc w:val="center"/>
              <w:rPr>
                <w:rFonts w:ascii="宋体" w:hAnsi="宋体"/>
                <w:color w:val="auto"/>
                <w:szCs w:val="44"/>
                <w:highlight w:val="none"/>
              </w:rPr>
            </w:pPr>
          </w:p>
        </w:tc>
        <w:tc>
          <w:tcPr>
            <w:tcW w:w="596" w:type="dxa"/>
            <w:vAlign w:val="center"/>
          </w:tcPr>
          <w:p w14:paraId="01128124">
            <w:pPr>
              <w:jc w:val="center"/>
              <w:rPr>
                <w:rFonts w:ascii="宋体" w:hAnsi="宋体"/>
                <w:color w:val="auto"/>
                <w:szCs w:val="44"/>
                <w:highlight w:val="none"/>
              </w:rPr>
            </w:pPr>
          </w:p>
        </w:tc>
        <w:tc>
          <w:tcPr>
            <w:tcW w:w="734" w:type="dxa"/>
            <w:vAlign w:val="center"/>
          </w:tcPr>
          <w:p w14:paraId="3F7F11D1">
            <w:pPr>
              <w:jc w:val="center"/>
              <w:rPr>
                <w:rFonts w:ascii="宋体" w:hAnsi="宋体"/>
                <w:color w:val="auto"/>
                <w:szCs w:val="44"/>
                <w:highlight w:val="none"/>
              </w:rPr>
            </w:pPr>
          </w:p>
        </w:tc>
      </w:tr>
      <w:tr w14:paraId="7752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jc w:val="center"/>
        </w:trPr>
        <w:tc>
          <w:tcPr>
            <w:tcW w:w="8302" w:type="dxa"/>
            <w:gridSpan w:val="12"/>
            <w:vAlign w:val="center"/>
          </w:tcPr>
          <w:p w14:paraId="2594D0A9">
            <w:pPr>
              <w:jc w:val="left"/>
              <w:rPr>
                <w:rFonts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52A7E87C">
            <w:pPr>
              <w:jc w:val="left"/>
              <w:rPr>
                <w:rFonts w:ascii="宋体" w:hAnsi="宋体"/>
                <w:color w:val="auto"/>
                <w:szCs w:val="44"/>
                <w:highlight w:val="none"/>
              </w:rPr>
            </w:pPr>
          </w:p>
          <w:p w14:paraId="628DAFF8">
            <w:pPr>
              <w:jc w:val="left"/>
              <w:rPr>
                <w:rFonts w:ascii="宋体" w:hAnsi="宋体"/>
                <w:color w:val="auto"/>
                <w:szCs w:val="44"/>
                <w:highlight w:val="none"/>
              </w:rPr>
            </w:pPr>
          </w:p>
          <w:p w14:paraId="0717357F">
            <w:pPr>
              <w:jc w:val="left"/>
              <w:rPr>
                <w:rFonts w:ascii="宋体" w:hAnsi="宋体"/>
                <w:color w:val="auto"/>
                <w:szCs w:val="44"/>
                <w:highlight w:val="none"/>
              </w:rPr>
            </w:pPr>
          </w:p>
          <w:p w14:paraId="133E7656">
            <w:pPr>
              <w:jc w:val="left"/>
              <w:rPr>
                <w:rFonts w:ascii="宋体" w:hAnsi="宋体"/>
                <w:color w:val="auto"/>
                <w:szCs w:val="44"/>
                <w:highlight w:val="none"/>
              </w:rPr>
            </w:pPr>
          </w:p>
          <w:p w14:paraId="45F9C27E">
            <w:pPr>
              <w:jc w:val="left"/>
              <w:rPr>
                <w:rFonts w:ascii="宋体" w:hAnsi="宋体"/>
                <w:color w:val="auto"/>
                <w:szCs w:val="44"/>
                <w:highlight w:val="none"/>
              </w:rPr>
            </w:pPr>
          </w:p>
          <w:p w14:paraId="459261B1">
            <w:pPr>
              <w:jc w:val="center"/>
              <w:rPr>
                <w:rFonts w:ascii="宋体" w:hAnsi="宋体"/>
                <w:color w:val="auto"/>
                <w:szCs w:val="44"/>
                <w:highlight w:val="none"/>
              </w:rPr>
            </w:pPr>
          </w:p>
        </w:tc>
      </w:tr>
    </w:tbl>
    <w:p w14:paraId="3D55B37D">
      <w:pPr>
        <w:spacing w:line="400" w:lineRule="exact"/>
        <w:ind w:left="840" w:leftChars="400" w:firstLine="3780" w:firstLineChars="1800"/>
        <w:rPr>
          <w:rFonts w:ascii="宋体" w:hAnsi="宋体"/>
          <w:color w:val="auto"/>
          <w:szCs w:val="44"/>
          <w:highlight w:val="none"/>
        </w:rPr>
      </w:pPr>
      <w:r>
        <w:rPr>
          <w:rFonts w:hint="eastAsia" w:ascii="宋体" w:hAnsi="宋体"/>
          <w:color w:val="auto"/>
          <w:szCs w:val="44"/>
          <w:highlight w:val="none"/>
        </w:rPr>
        <w:t xml:space="preserve">          日期：    年    月    日</w:t>
      </w:r>
    </w:p>
    <w:p w14:paraId="4A563AD5">
      <w:pPr>
        <w:widowControl/>
        <w:jc w:val="left"/>
        <w:rPr>
          <w:rFonts w:ascii="宋体" w:hAnsi="宋体"/>
          <w:color w:val="auto"/>
          <w:szCs w:val="44"/>
          <w:highlight w:val="none"/>
        </w:rPr>
      </w:pPr>
      <w:r>
        <w:rPr>
          <w:rFonts w:ascii="宋体" w:hAnsi="宋体"/>
          <w:color w:val="auto"/>
          <w:szCs w:val="44"/>
          <w:highlight w:val="none"/>
        </w:rPr>
        <w:br w:type="page"/>
      </w:r>
    </w:p>
    <w:p w14:paraId="5EE5D572">
      <w:pPr>
        <w:pStyle w:val="37"/>
        <w:ind w:firstLine="118"/>
        <w:rPr>
          <w:color w:val="auto"/>
          <w:highlight w:val="none"/>
        </w:rPr>
      </w:pPr>
      <w:bookmarkStart w:id="1015" w:name="_Toc148860663"/>
      <w:bookmarkStart w:id="1016" w:name="_Toc164716307"/>
      <w:bookmarkStart w:id="1017" w:name="_Toc24696"/>
      <w:bookmarkStart w:id="1018" w:name="_Toc25299"/>
      <w:bookmarkStart w:id="1019" w:name="_Toc256000137"/>
      <w:r>
        <w:rPr>
          <w:rFonts w:hint="eastAsia"/>
          <w:color w:val="auto"/>
          <w:highlight w:val="none"/>
        </w:rPr>
        <w:t>附表A-5：资格评审记录表</w:t>
      </w:r>
      <w:bookmarkEnd w:id="1015"/>
      <w:bookmarkEnd w:id="1016"/>
      <w:bookmarkEnd w:id="1017"/>
      <w:bookmarkEnd w:id="1018"/>
      <w:bookmarkEnd w:id="1019"/>
    </w:p>
    <w:p w14:paraId="1420C5C4">
      <w:pPr>
        <w:rPr>
          <w:color w:val="auto"/>
          <w:highlight w:val="none"/>
        </w:rPr>
      </w:pPr>
      <w:bookmarkStart w:id="1020" w:name="_Hlk145502887"/>
      <w:bookmarkStart w:id="1021" w:name="_Toc145516058"/>
    </w:p>
    <w:p w14:paraId="31DD0046">
      <w:pPr>
        <w:adjustRightInd w:val="0"/>
        <w:snapToGrid w:val="0"/>
        <w:spacing w:before="240" w:beforeLines="100" w:after="240" w:afterLines="100" w:line="440" w:lineRule="exact"/>
        <w:jc w:val="center"/>
        <w:rPr>
          <w:rFonts w:ascii="黑体" w:hAnsi="黑体" w:eastAsia="黑体"/>
          <w:b/>
          <w:bCs/>
          <w:color w:val="auto"/>
          <w:sz w:val="36"/>
          <w:szCs w:val="36"/>
          <w:highlight w:val="none"/>
        </w:rPr>
      </w:pPr>
      <w:bookmarkStart w:id="1022" w:name="_Toc15179"/>
      <w:bookmarkStart w:id="1023" w:name="_Toc149060937"/>
      <w:bookmarkStart w:id="1024" w:name="_Toc149054704"/>
      <w:bookmarkStart w:id="1025" w:name="_Toc148860664"/>
      <w:r>
        <w:rPr>
          <w:rFonts w:hint="eastAsia" w:ascii="黑体" w:hAnsi="黑体" w:eastAsia="黑体"/>
          <w:bCs/>
          <w:color w:val="auto"/>
          <w:sz w:val="36"/>
          <w:szCs w:val="36"/>
          <w:highlight w:val="none"/>
        </w:rPr>
        <w:t>资格评审</w:t>
      </w:r>
      <w:bookmarkEnd w:id="1020"/>
      <w:r>
        <w:rPr>
          <w:rFonts w:hint="eastAsia" w:ascii="黑体" w:hAnsi="黑体" w:eastAsia="黑体"/>
          <w:bCs/>
          <w:color w:val="auto"/>
          <w:sz w:val="36"/>
          <w:szCs w:val="36"/>
          <w:highlight w:val="none"/>
        </w:rPr>
        <w:t>记录表</w:t>
      </w:r>
      <w:bookmarkEnd w:id="1021"/>
      <w:bookmarkEnd w:id="1022"/>
      <w:bookmarkEnd w:id="1023"/>
      <w:bookmarkEnd w:id="1024"/>
      <w:bookmarkEnd w:id="1025"/>
    </w:p>
    <w:p w14:paraId="1E4D0D94">
      <w:pPr>
        <w:rPr>
          <w:rFonts w:ascii="宋体" w:hAnsi="宋体"/>
          <w:color w:val="auto"/>
          <w:szCs w:val="44"/>
          <w:highlight w:val="none"/>
        </w:rPr>
      </w:pPr>
      <w:r>
        <w:rPr>
          <w:rFonts w:hint="eastAsia" w:ascii="宋体" w:hAnsi="宋体"/>
          <w:color w:val="auto"/>
          <w:szCs w:val="44"/>
          <w:highlight w:val="none"/>
        </w:rPr>
        <w:t>标段名称：</w:t>
      </w:r>
    </w:p>
    <w:p w14:paraId="1F2185B1">
      <w:pPr>
        <w:rPr>
          <w:rFonts w:ascii="宋体" w:hAnsi="宋体"/>
          <w:color w:val="auto"/>
          <w:szCs w:val="44"/>
          <w:highlight w:val="none"/>
        </w:rPr>
      </w:pPr>
      <w:r>
        <w:rPr>
          <w:rFonts w:hint="eastAsia"/>
          <w:color w:val="auto"/>
          <w:szCs w:val="44"/>
          <w:highlight w:val="none"/>
        </w:rPr>
        <w:t>标段唯一标识码：</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342"/>
        <w:gridCol w:w="627"/>
        <w:gridCol w:w="627"/>
        <w:gridCol w:w="627"/>
        <w:gridCol w:w="626"/>
        <w:gridCol w:w="626"/>
        <w:gridCol w:w="626"/>
        <w:gridCol w:w="626"/>
        <w:gridCol w:w="626"/>
        <w:gridCol w:w="627"/>
        <w:gridCol w:w="760"/>
      </w:tblGrid>
      <w:tr w14:paraId="153C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9" w:type="dxa"/>
            <w:vMerge w:val="restart"/>
            <w:vAlign w:val="center"/>
          </w:tcPr>
          <w:p w14:paraId="795E74D5">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342" w:type="dxa"/>
            <w:vMerge w:val="restart"/>
            <w:vAlign w:val="center"/>
          </w:tcPr>
          <w:p w14:paraId="542B2B5A">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5638" w:type="dxa"/>
            <w:gridSpan w:val="9"/>
            <w:vAlign w:val="center"/>
          </w:tcPr>
          <w:p w14:paraId="5E7AA71C">
            <w:pPr>
              <w:jc w:val="center"/>
              <w:rPr>
                <w:rFonts w:ascii="宋体" w:hAnsi="宋体"/>
                <w:b/>
                <w:bCs/>
                <w:color w:val="auto"/>
                <w:szCs w:val="44"/>
                <w:highlight w:val="none"/>
              </w:rPr>
            </w:pPr>
            <w:r>
              <w:rPr>
                <w:rFonts w:hint="eastAsia" w:ascii="宋体" w:hAnsi="宋体"/>
                <w:b/>
                <w:bCs/>
                <w:color w:val="auto"/>
                <w:szCs w:val="44"/>
                <w:highlight w:val="none"/>
              </w:rPr>
              <w:t>评审标准及评审意见</w:t>
            </w:r>
          </w:p>
        </w:tc>
        <w:tc>
          <w:tcPr>
            <w:tcW w:w="760" w:type="dxa"/>
            <w:vMerge w:val="restart"/>
            <w:vAlign w:val="center"/>
          </w:tcPr>
          <w:p w14:paraId="550117B6">
            <w:pPr>
              <w:jc w:val="center"/>
              <w:rPr>
                <w:rFonts w:ascii="宋体" w:hAnsi="宋体"/>
                <w:b/>
                <w:bCs/>
                <w:color w:val="auto"/>
                <w:szCs w:val="44"/>
                <w:highlight w:val="none"/>
              </w:rPr>
            </w:pPr>
            <w:r>
              <w:rPr>
                <w:rFonts w:ascii="宋体" w:hAnsi="宋体"/>
                <w:b/>
                <w:bCs/>
                <w:color w:val="auto"/>
                <w:szCs w:val="21"/>
                <w:highlight w:val="none"/>
              </w:rPr>
              <w:t>评审结论</w:t>
            </w:r>
          </w:p>
        </w:tc>
      </w:tr>
      <w:tr w14:paraId="611F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9" w:type="dxa"/>
            <w:vMerge w:val="continue"/>
            <w:vAlign w:val="center"/>
          </w:tcPr>
          <w:p w14:paraId="5560A43C">
            <w:pPr>
              <w:jc w:val="center"/>
              <w:rPr>
                <w:rFonts w:ascii="宋体" w:hAnsi="宋体"/>
                <w:color w:val="auto"/>
                <w:szCs w:val="44"/>
                <w:highlight w:val="none"/>
              </w:rPr>
            </w:pPr>
          </w:p>
        </w:tc>
        <w:tc>
          <w:tcPr>
            <w:tcW w:w="1342" w:type="dxa"/>
            <w:vMerge w:val="continue"/>
          </w:tcPr>
          <w:p w14:paraId="329D90C4">
            <w:pPr>
              <w:jc w:val="center"/>
              <w:rPr>
                <w:rFonts w:ascii="宋体" w:hAnsi="宋体"/>
                <w:color w:val="auto"/>
                <w:szCs w:val="44"/>
                <w:highlight w:val="none"/>
              </w:rPr>
            </w:pPr>
          </w:p>
        </w:tc>
        <w:tc>
          <w:tcPr>
            <w:tcW w:w="627" w:type="dxa"/>
            <w:vAlign w:val="center"/>
          </w:tcPr>
          <w:p w14:paraId="6AFF8904">
            <w:pPr>
              <w:jc w:val="center"/>
              <w:rPr>
                <w:rFonts w:ascii="宋体" w:hAnsi="宋体"/>
                <w:color w:val="auto"/>
                <w:szCs w:val="44"/>
                <w:highlight w:val="none"/>
              </w:rPr>
            </w:pPr>
          </w:p>
        </w:tc>
        <w:tc>
          <w:tcPr>
            <w:tcW w:w="627" w:type="dxa"/>
            <w:vAlign w:val="center"/>
          </w:tcPr>
          <w:p w14:paraId="3CB6F0F5">
            <w:pPr>
              <w:jc w:val="center"/>
              <w:rPr>
                <w:rFonts w:ascii="宋体" w:hAnsi="宋体"/>
                <w:color w:val="auto"/>
                <w:szCs w:val="44"/>
                <w:highlight w:val="none"/>
              </w:rPr>
            </w:pPr>
          </w:p>
        </w:tc>
        <w:tc>
          <w:tcPr>
            <w:tcW w:w="627" w:type="dxa"/>
            <w:vAlign w:val="center"/>
          </w:tcPr>
          <w:p w14:paraId="352A7CB3">
            <w:pPr>
              <w:jc w:val="center"/>
              <w:rPr>
                <w:rFonts w:ascii="宋体" w:hAnsi="宋体"/>
                <w:color w:val="auto"/>
                <w:szCs w:val="44"/>
                <w:highlight w:val="none"/>
              </w:rPr>
            </w:pPr>
          </w:p>
        </w:tc>
        <w:tc>
          <w:tcPr>
            <w:tcW w:w="626" w:type="dxa"/>
            <w:vAlign w:val="center"/>
          </w:tcPr>
          <w:p w14:paraId="711F6043">
            <w:pPr>
              <w:jc w:val="center"/>
              <w:rPr>
                <w:rFonts w:ascii="宋体" w:hAnsi="宋体"/>
                <w:color w:val="auto"/>
                <w:szCs w:val="44"/>
                <w:highlight w:val="none"/>
              </w:rPr>
            </w:pPr>
          </w:p>
        </w:tc>
        <w:tc>
          <w:tcPr>
            <w:tcW w:w="626" w:type="dxa"/>
            <w:vAlign w:val="center"/>
          </w:tcPr>
          <w:p w14:paraId="245FF64E">
            <w:pPr>
              <w:jc w:val="center"/>
              <w:rPr>
                <w:rFonts w:ascii="宋体" w:hAnsi="宋体"/>
                <w:color w:val="auto"/>
                <w:szCs w:val="44"/>
                <w:highlight w:val="none"/>
              </w:rPr>
            </w:pPr>
          </w:p>
        </w:tc>
        <w:tc>
          <w:tcPr>
            <w:tcW w:w="626" w:type="dxa"/>
            <w:vAlign w:val="center"/>
          </w:tcPr>
          <w:p w14:paraId="533C0DF7">
            <w:pPr>
              <w:jc w:val="center"/>
              <w:rPr>
                <w:rFonts w:ascii="宋体" w:hAnsi="宋体"/>
                <w:color w:val="auto"/>
                <w:szCs w:val="44"/>
                <w:highlight w:val="none"/>
              </w:rPr>
            </w:pPr>
          </w:p>
        </w:tc>
        <w:tc>
          <w:tcPr>
            <w:tcW w:w="626" w:type="dxa"/>
            <w:vAlign w:val="center"/>
          </w:tcPr>
          <w:p w14:paraId="5931E194">
            <w:pPr>
              <w:jc w:val="center"/>
              <w:rPr>
                <w:rFonts w:ascii="宋体" w:hAnsi="宋体"/>
                <w:color w:val="auto"/>
                <w:szCs w:val="44"/>
                <w:highlight w:val="none"/>
              </w:rPr>
            </w:pPr>
          </w:p>
        </w:tc>
        <w:tc>
          <w:tcPr>
            <w:tcW w:w="626" w:type="dxa"/>
            <w:vAlign w:val="center"/>
          </w:tcPr>
          <w:p w14:paraId="41B5E537">
            <w:pPr>
              <w:jc w:val="center"/>
              <w:rPr>
                <w:rFonts w:ascii="宋体" w:hAnsi="宋体"/>
                <w:color w:val="auto"/>
                <w:szCs w:val="44"/>
                <w:highlight w:val="none"/>
              </w:rPr>
            </w:pPr>
          </w:p>
        </w:tc>
        <w:tc>
          <w:tcPr>
            <w:tcW w:w="627" w:type="dxa"/>
            <w:vAlign w:val="center"/>
          </w:tcPr>
          <w:p w14:paraId="2F3EFDD1">
            <w:pPr>
              <w:jc w:val="center"/>
              <w:rPr>
                <w:rFonts w:ascii="宋体" w:hAnsi="宋体"/>
                <w:color w:val="auto"/>
                <w:szCs w:val="44"/>
                <w:highlight w:val="none"/>
              </w:rPr>
            </w:pPr>
          </w:p>
        </w:tc>
        <w:tc>
          <w:tcPr>
            <w:tcW w:w="760" w:type="dxa"/>
            <w:vMerge w:val="continue"/>
            <w:vAlign w:val="center"/>
          </w:tcPr>
          <w:p w14:paraId="25F2973E">
            <w:pPr>
              <w:jc w:val="center"/>
              <w:rPr>
                <w:rFonts w:ascii="宋体" w:hAnsi="宋体"/>
                <w:color w:val="auto"/>
                <w:szCs w:val="44"/>
                <w:highlight w:val="none"/>
              </w:rPr>
            </w:pPr>
          </w:p>
        </w:tc>
      </w:tr>
      <w:tr w14:paraId="7E99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35608973">
            <w:pPr>
              <w:jc w:val="center"/>
              <w:rPr>
                <w:rFonts w:ascii="宋体" w:hAnsi="宋体"/>
                <w:color w:val="auto"/>
                <w:szCs w:val="44"/>
                <w:highlight w:val="none"/>
              </w:rPr>
            </w:pPr>
            <w:r>
              <w:rPr>
                <w:rFonts w:hint="eastAsia" w:ascii="宋体" w:hAnsi="宋体"/>
                <w:color w:val="auto"/>
                <w:szCs w:val="44"/>
                <w:highlight w:val="none"/>
              </w:rPr>
              <w:t>1</w:t>
            </w:r>
          </w:p>
        </w:tc>
        <w:tc>
          <w:tcPr>
            <w:tcW w:w="1342" w:type="dxa"/>
            <w:vAlign w:val="center"/>
          </w:tcPr>
          <w:p w14:paraId="31AC7EEB">
            <w:pPr>
              <w:jc w:val="center"/>
              <w:rPr>
                <w:rFonts w:ascii="宋体" w:hAnsi="宋体"/>
                <w:color w:val="auto"/>
                <w:szCs w:val="21"/>
                <w:highlight w:val="none"/>
              </w:rPr>
            </w:pPr>
          </w:p>
        </w:tc>
        <w:tc>
          <w:tcPr>
            <w:tcW w:w="627" w:type="dxa"/>
            <w:vAlign w:val="center"/>
          </w:tcPr>
          <w:p w14:paraId="3C88240F">
            <w:pPr>
              <w:jc w:val="center"/>
              <w:rPr>
                <w:rFonts w:ascii="宋体" w:hAnsi="宋体"/>
                <w:color w:val="auto"/>
                <w:szCs w:val="21"/>
                <w:highlight w:val="none"/>
              </w:rPr>
            </w:pPr>
          </w:p>
        </w:tc>
        <w:tc>
          <w:tcPr>
            <w:tcW w:w="627" w:type="dxa"/>
            <w:vAlign w:val="center"/>
          </w:tcPr>
          <w:p w14:paraId="733DB7BB">
            <w:pPr>
              <w:jc w:val="center"/>
              <w:rPr>
                <w:rFonts w:ascii="宋体" w:hAnsi="宋体"/>
                <w:color w:val="auto"/>
                <w:szCs w:val="44"/>
                <w:highlight w:val="none"/>
              </w:rPr>
            </w:pPr>
          </w:p>
        </w:tc>
        <w:tc>
          <w:tcPr>
            <w:tcW w:w="627" w:type="dxa"/>
            <w:vAlign w:val="center"/>
          </w:tcPr>
          <w:p w14:paraId="7E242633">
            <w:pPr>
              <w:jc w:val="center"/>
              <w:rPr>
                <w:rFonts w:ascii="宋体" w:hAnsi="宋体"/>
                <w:color w:val="auto"/>
                <w:szCs w:val="44"/>
                <w:highlight w:val="none"/>
              </w:rPr>
            </w:pPr>
          </w:p>
        </w:tc>
        <w:tc>
          <w:tcPr>
            <w:tcW w:w="626" w:type="dxa"/>
            <w:vAlign w:val="center"/>
          </w:tcPr>
          <w:p w14:paraId="70811A08">
            <w:pPr>
              <w:jc w:val="center"/>
              <w:rPr>
                <w:rFonts w:ascii="宋体" w:hAnsi="宋体"/>
                <w:color w:val="auto"/>
                <w:szCs w:val="44"/>
                <w:highlight w:val="none"/>
              </w:rPr>
            </w:pPr>
          </w:p>
        </w:tc>
        <w:tc>
          <w:tcPr>
            <w:tcW w:w="626" w:type="dxa"/>
            <w:vAlign w:val="center"/>
          </w:tcPr>
          <w:p w14:paraId="75277DA3">
            <w:pPr>
              <w:jc w:val="center"/>
              <w:rPr>
                <w:rFonts w:ascii="宋体" w:hAnsi="宋体"/>
                <w:color w:val="auto"/>
                <w:szCs w:val="44"/>
                <w:highlight w:val="none"/>
              </w:rPr>
            </w:pPr>
          </w:p>
        </w:tc>
        <w:tc>
          <w:tcPr>
            <w:tcW w:w="626" w:type="dxa"/>
            <w:vAlign w:val="center"/>
          </w:tcPr>
          <w:p w14:paraId="373FA844">
            <w:pPr>
              <w:jc w:val="center"/>
              <w:rPr>
                <w:rFonts w:ascii="宋体" w:hAnsi="宋体"/>
                <w:color w:val="auto"/>
                <w:szCs w:val="44"/>
                <w:highlight w:val="none"/>
              </w:rPr>
            </w:pPr>
          </w:p>
        </w:tc>
        <w:tc>
          <w:tcPr>
            <w:tcW w:w="626" w:type="dxa"/>
            <w:vAlign w:val="center"/>
          </w:tcPr>
          <w:p w14:paraId="1857BE1A">
            <w:pPr>
              <w:jc w:val="center"/>
              <w:rPr>
                <w:rFonts w:ascii="宋体" w:hAnsi="宋体"/>
                <w:color w:val="auto"/>
                <w:szCs w:val="44"/>
                <w:highlight w:val="none"/>
              </w:rPr>
            </w:pPr>
          </w:p>
        </w:tc>
        <w:tc>
          <w:tcPr>
            <w:tcW w:w="626" w:type="dxa"/>
            <w:vAlign w:val="center"/>
          </w:tcPr>
          <w:p w14:paraId="4D95337A">
            <w:pPr>
              <w:jc w:val="center"/>
              <w:rPr>
                <w:rFonts w:ascii="宋体" w:hAnsi="宋体"/>
                <w:color w:val="auto"/>
                <w:szCs w:val="44"/>
                <w:highlight w:val="none"/>
              </w:rPr>
            </w:pPr>
          </w:p>
        </w:tc>
        <w:tc>
          <w:tcPr>
            <w:tcW w:w="627" w:type="dxa"/>
            <w:vAlign w:val="center"/>
          </w:tcPr>
          <w:p w14:paraId="4033DFF5">
            <w:pPr>
              <w:jc w:val="center"/>
              <w:rPr>
                <w:rFonts w:ascii="宋体" w:hAnsi="宋体"/>
                <w:color w:val="auto"/>
                <w:szCs w:val="44"/>
                <w:highlight w:val="none"/>
              </w:rPr>
            </w:pPr>
          </w:p>
        </w:tc>
        <w:tc>
          <w:tcPr>
            <w:tcW w:w="760" w:type="dxa"/>
            <w:vAlign w:val="center"/>
          </w:tcPr>
          <w:p w14:paraId="29DECEB3">
            <w:pPr>
              <w:jc w:val="center"/>
              <w:rPr>
                <w:rFonts w:ascii="宋体" w:hAnsi="宋体"/>
                <w:color w:val="auto"/>
                <w:szCs w:val="44"/>
                <w:highlight w:val="none"/>
              </w:rPr>
            </w:pPr>
          </w:p>
        </w:tc>
      </w:tr>
      <w:tr w14:paraId="47CA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1FA986D1">
            <w:pPr>
              <w:jc w:val="center"/>
              <w:rPr>
                <w:rFonts w:ascii="宋体" w:hAnsi="宋体"/>
                <w:color w:val="auto"/>
                <w:szCs w:val="44"/>
                <w:highlight w:val="none"/>
              </w:rPr>
            </w:pPr>
            <w:r>
              <w:rPr>
                <w:rFonts w:hint="eastAsia" w:ascii="宋体" w:hAnsi="宋体"/>
                <w:color w:val="auto"/>
                <w:szCs w:val="44"/>
                <w:highlight w:val="none"/>
              </w:rPr>
              <w:t>2</w:t>
            </w:r>
          </w:p>
        </w:tc>
        <w:tc>
          <w:tcPr>
            <w:tcW w:w="1342" w:type="dxa"/>
            <w:vAlign w:val="center"/>
          </w:tcPr>
          <w:p w14:paraId="24C988A9">
            <w:pPr>
              <w:jc w:val="center"/>
              <w:rPr>
                <w:rFonts w:ascii="宋体" w:hAnsi="宋体"/>
                <w:color w:val="auto"/>
                <w:szCs w:val="44"/>
                <w:highlight w:val="none"/>
              </w:rPr>
            </w:pPr>
          </w:p>
        </w:tc>
        <w:tc>
          <w:tcPr>
            <w:tcW w:w="627" w:type="dxa"/>
            <w:vAlign w:val="center"/>
          </w:tcPr>
          <w:p w14:paraId="3291FB0A">
            <w:pPr>
              <w:jc w:val="center"/>
              <w:rPr>
                <w:color w:val="auto"/>
                <w:highlight w:val="none"/>
              </w:rPr>
            </w:pPr>
          </w:p>
        </w:tc>
        <w:tc>
          <w:tcPr>
            <w:tcW w:w="627" w:type="dxa"/>
            <w:vAlign w:val="center"/>
          </w:tcPr>
          <w:p w14:paraId="6F79C2E6">
            <w:pPr>
              <w:jc w:val="center"/>
              <w:rPr>
                <w:rFonts w:ascii="宋体" w:hAnsi="宋体"/>
                <w:color w:val="auto"/>
                <w:szCs w:val="44"/>
                <w:highlight w:val="none"/>
              </w:rPr>
            </w:pPr>
          </w:p>
        </w:tc>
        <w:tc>
          <w:tcPr>
            <w:tcW w:w="627" w:type="dxa"/>
            <w:vAlign w:val="center"/>
          </w:tcPr>
          <w:p w14:paraId="42A20022">
            <w:pPr>
              <w:jc w:val="center"/>
              <w:rPr>
                <w:rFonts w:ascii="宋体" w:hAnsi="宋体"/>
                <w:color w:val="auto"/>
                <w:szCs w:val="44"/>
                <w:highlight w:val="none"/>
              </w:rPr>
            </w:pPr>
          </w:p>
        </w:tc>
        <w:tc>
          <w:tcPr>
            <w:tcW w:w="626" w:type="dxa"/>
            <w:vAlign w:val="center"/>
          </w:tcPr>
          <w:p w14:paraId="0F802DD5">
            <w:pPr>
              <w:jc w:val="center"/>
              <w:rPr>
                <w:rFonts w:ascii="宋体" w:hAnsi="宋体"/>
                <w:color w:val="auto"/>
                <w:szCs w:val="44"/>
                <w:highlight w:val="none"/>
              </w:rPr>
            </w:pPr>
          </w:p>
        </w:tc>
        <w:tc>
          <w:tcPr>
            <w:tcW w:w="626" w:type="dxa"/>
            <w:vAlign w:val="center"/>
          </w:tcPr>
          <w:p w14:paraId="0A88C690">
            <w:pPr>
              <w:jc w:val="center"/>
              <w:rPr>
                <w:rFonts w:ascii="宋体" w:hAnsi="宋体"/>
                <w:color w:val="auto"/>
                <w:szCs w:val="44"/>
                <w:highlight w:val="none"/>
              </w:rPr>
            </w:pPr>
          </w:p>
        </w:tc>
        <w:tc>
          <w:tcPr>
            <w:tcW w:w="626" w:type="dxa"/>
            <w:vAlign w:val="center"/>
          </w:tcPr>
          <w:p w14:paraId="08AD7F75">
            <w:pPr>
              <w:jc w:val="center"/>
              <w:rPr>
                <w:rFonts w:ascii="宋体" w:hAnsi="宋体"/>
                <w:color w:val="auto"/>
                <w:szCs w:val="44"/>
                <w:highlight w:val="none"/>
              </w:rPr>
            </w:pPr>
          </w:p>
        </w:tc>
        <w:tc>
          <w:tcPr>
            <w:tcW w:w="626" w:type="dxa"/>
            <w:vAlign w:val="center"/>
          </w:tcPr>
          <w:p w14:paraId="5FC7F8A5">
            <w:pPr>
              <w:jc w:val="center"/>
              <w:rPr>
                <w:rFonts w:ascii="宋体" w:hAnsi="宋体"/>
                <w:color w:val="auto"/>
                <w:szCs w:val="44"/>
                <w:highlight w:val="none"/>
              </w:rPr>
            </w:pPr>
          </w:p>
        </w:tc>
        <w:tc>
          <w:tcPr>
            <w:tcW w:w="626" w:type="dxa"/>
            <w:vAlign w:val="center"/>
          </w:tcPr>
          <w:p w14:paraId="6780DE04">
            <w:pPr>
              <w:jc w:val="center"/>
              <w:rPr>
                <w:rFonts w:ascii="宋体" w:hAnsi="宋体"/>
                <w:color w:val="auto"/>
                <w:szCs w:val="44"/>
                <w:highlight w:val="none"/>
              </w:rPr>
            </w:pPr>
          </w:p>
        </w:tc>
        <w:tc>
          <w:tcPr>
            <w:tcW w:w="627" w:type="dxa"/>
            <w:vAlign w:val="center"/>
          </w:tcPr>
          <w:p w14:paraId="3335B07D">
            <w:pPr>
              <w:jc w:val="center"/>
              <w:rPr>
                <w:rFonts w:ascii="宋体" w:hAnsi="宋体"/>
                <w:color w:val="auto"/>
                <w:szCs w:val="44"/>
                <w:highlight w:val="none"/>
              </w:rPr>
            </w:pPr>
          </w:p>
        </w:tc>
        <w:tc>
          <w:tcPr>
            <w:tcW w:w="760" w:type="dxa"/>
            <w:vAlign w:val="center"/>
          </w:tcPr>
          <w:p w14:paraId="24C6FEE8">
            <w:pPr>
              <w:jc w:val="center"/>
              <w:rPr>
                <w:rFonts w:ascii="宋体" w:hAnsi="宋体"/>
                <w:color w:val="auto"/>
                <w:szCs w:val="44"/>
                <w:highlight w:val="none"/>
              </w:rPr>
            </w:pPr>
          </w:p>
        </w:tc>
      </w:tr>
      <w:tr w14:paraId="263A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0643429B">
            <w:pPr>
              <w:jc w:val="center"/>
              <w:rPr>
                <w:rFonts w:ascii="宋体" w:hAnsi="宋体"/>
                <w:color w:val="auto"/>
                <w:szCs w:val="44"/>
                <w:highlight w:val="none"/>
              </w:rPr>
            </w:pPr>
            <w:r>
              <w:rPr>
                <w:rFonts w:hint="eastAsia" w:ascii="宋体" w:hAnsi="宋体"/>
                <w:color w:val="auto"/>
                <w:szCs w:val="44"/>
                <w:highlight w:val="none"/>
              </w:rPr>
              <w:t>3</w:t>
            </w:r>
          </w:p>
        </w:tc>
        <w:tc>
          <w:tcPr>
            <w:tcW w:w="1342" w:type="dxa"/>
            <w:vAlign w:val="center"/>
          </w:tcPr>
          <w:p w14:paraId="618EBE6F">
            <w:pPr>
              <w:jc w:val="center"/>
              <w:rPr>
                <w:rFonts w:ascii="宋体" w:hAnsi="宋体"/>
                <w:color w:val="auto"/>
                <w:szCs w:val="44"/>
                <w:highlight w:val="none"/>
              </w:rPr>
            </w:pPr>
          </w:p>
        </w:tc>
        <w:tc>
          <w:tcPr>
            <w:tcW w:w="627" w:type="dxa"/>
            <w:vAlign w:val="center"/>
          </w:tcPr>
          <w:p w14:paraId="2EA34422">
            <w:pPr>
              <w:jc w:val="center"/>
              <w:rPr>
                <w:color w:val="auto"/>
                <w:highlight w:val="none"/>
              </w:rPr>
            </w:pPr>
          </w:p>
        </w:tc>
        <w:tc>
          <w:tcPr>
            <w:tcW w:w="627" w:type="dxa"/>
            <w:vAlign w:val="center"/>
          </w:tcPr>
          <w:p w14:paraId="21347D69">
            <w:pPr>
              <w:jc w:val="center"/>
              <w:rPr>
                <w:rFonts w:ascii="宋体" w:hAnsi="宋体"/>
                <w:color w:val="auto"/>
                <w:szCs w:val="44"/>
                <w:highlight w:val="none"/>
              </w:rPr>
            </w:pPr>
          </w:p>
        </w:tc>
        <w:tc>
          <w:tcPr>
            <w:tcW w:w="627" w:type="dxa"/>
            <w:vAlign w:val="center"/>
          </w:tcPr>
          <w:p w14:paraId="2CF05D52">
            <w:pPr>
              <w:jc w:val="center"/>
              <w:rPr>
                <w:rFonts w:ascii="宋体" w:hAnsi="宋体"/>
                <w:color w:val="auto"/>
                <w:szCs w:val="44"/>
                <w:highlight w:val="none"/>
              </w:rPr>
            </w:pPr>
          </w:p>
        </w:tc>
        <w:tc>
          <w:tcPr>
            <w:tcW w:w="626" w:type="dxa"/>
            <w:vAlign w:val="center"/>
          </w:tcPr>
          <w:p w14:paraId="51F3932B">
            <w:pPr>
              <w:jc w:val="center"/>
              <w:rPr>
                <w:rFonts w:ascii="宋体" w:hAnsi="宋体"/>
                <w:color w:val="auto"/>
                <w:szCs w:val="44"/>
                <w:highlight w:val="none"/>
              </w:rPr>
            </w:pPr>
          </w:p>
        </w:tc>
        <w:tc>
          <w:tcPr>
            <w:tcW w:w="626" w:type="dxa"/>
            <w:vAlign w:val="center"/>
          </w:tcPr>
          <w:p w14:paraId="4425CE82">
            <w:pPr>
              <w:jc w:val="center"/>
              <w:rPr>
                <w:rFonts w:ascii="宋体" w:hAnsi="宋体"/>
                <w:color w:val="auto"/>
                <w:szCs w:val="44"/>
                <w:highlight w:val="none"/>
              </w:rPr>
            </w:pPr>
          </w:p>
        </w:tc>
        <w:tc>
          <w:tcPr>
            <w:tcW w:w="626" w:type="dxa"/>
            <w:vAlign w:val="center"/>
          </w:tcPr>
          <w:p w14:paraId="3BF32087">
            <w:pPr>
              <w:jc w:val="center"/>
              <w:rPr>
                <w:rFonts w:ascii="宋体" w:hAnsi="宋体"/>
                <w:color w:val="auto"/>
                <w:szCs w:val="44"/>
                <w:highlight w:val="none"/>
              </w:rPr>
            </w:pPr>
          </w:p>
        </w:tc>
        <w:tc>
          <w:tcPr>
            <w:tcW w:w="626" w:type="dxa"/>
            <w:vAlign w:val="center"/>
          </w:tcPr>
          <w:p w14:paraId="175544D6">
            <w:pPr>
              <w:jc w:val="center"/>
              <w:rPr>
                <w:rFonts w:ascii="宋体" w:hAnsi="宋体"/>
                <w:color w:val="auto"/>
                <w:szCs w:val="44"/>
                <w:highlight w:val="none"/>
              </w:rPr>
            </w:pPr>
          </w:p>
        </w:tc>
        <w:tc>
          <w:tcPr>
            <w:tcW w:w="626" w:type="dxa"/>
            <w:vAlign w:val="center"/>
          </w:tcPr>
          <w:p w14:paraId="4DF8F98A">
            <w:pPr>
              <w:jc w:val="center"/>
              <w:rPr>
                <w:rFonts w:ascii="宋体" w:hAnsi="宋体"/>
                <w:color w:val="auto"/>
                <w:szCs w:val="44"/>
                <w:highlight w:val="none"/>
              </w:rPr>
            </w:pPr>
          </w:p>
        </w:tc>
        <w:tc>
          <w:tcPr>
            <w:tcW w:w="627" w:type="dxa"/>
            <w:vAlign w:val="center"/>
          </w:tcPr>
          <w:p w14:paraId="29F9CB76">
            <w:pPr>
              <w:jc w:val="center"/>
              <w:rPr>
                <w:rFonts w:ascii="宋体" w:hAnsi="宋体"/>
                <w:color w:val="auto"/>
                <w:szCs w:val="44"/>
                <w:highlight w:val="none"/>
              </w:rPr>
            </w:pPr>
          </w:p>
        </w:tc>
        <w:tc>
          <w:tcPr>
            <w:tcW w:w="760" w:type="dxa"/>
            <w:vAlign w:val="center"/>
          </w:tcPr>
          <w:p w14:paraId="09360D9F">
            <w:pPr>
              <w:jc w:val="center"/>
              <w:rPr>
                <w:rFonts w:ascii="宋体" w:hAnsi="宋体"/>
                <w:color w:val="auto"/>
                <w:szCs w:val="44"/>
                <w:highlight w:val="none"/>
              </w:rPr>
            </w:pPr>
          </w:p>
        </w:tc>
      </w:tr>
      <w:tr w14:paraId="3BED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7FC65AD5">
            <w:pPr>
              <w:jc w:val="center"/>
              <w:rPr>
                <w:rFonts w:ascii="宋体" w:hAnsi="宋体"/>
                <w:color w:val="auto"/>
                <w:szCs w:val="44"/>
                <w:highlight w:val="none"/>
              </w:rPr>
            </w:pPr>
            <w:r>
              <w:rPr>
                <w:rFonts w:hint="eastAsia" w:ascii="宋体" w:hAnsi="宋体"/>
                <w:color w:val="auto"/>
                <w:szCs w:val="44"/>
                <w:highlight w:val="none"/>
              </w:rPr>
              <w:t>4</w:t>
            </w:r>
          </w:p>
        </w:tc>
        <w:tc>
          <w:tcPr>
            <w:tcW w:w="1342" w:type="dxa"/>
            <w:vAlign w:val="center"/>
          </w:tcPr>
          <w:p w14:paraId="084B2CF8">
            <w:pPr>
              <w:jc w:val="center"/>
              <w:rPr>
                <w:rFonts w:ascii="宋体" w:hAnsi="宋体"/>
                <w:color w:val="auto"/>
                <w:szCs w:val="44"/>
                <w:highlight w:val="none"/>
              </w:rPr>
            </w:pPr>
          </w:p>
        </w:tc>
        <w:tc>
          <w:tcPr>
            <w:tcW w:w="627" w:type="dxa"/>
            <w:vAlign w:val="center"/>
          </w:tcPr>
          <w:p w14:paraId="55023313">
            <w:pPr>
              <w:jc w:val="center"/>
              <w:rPr>
                <w:color w:val="auto"/>
                <w:highlight w:val="none"/>
              </w:rPr>
            </w:pPr>
          </w:p>
        </w:tc>
        <w:tc>
          <w:tcPr>
            <w:tcW w:w="627" w:type="dxa"/>
            <w:vAlign w:val="center"/>
          </w:tcPr>
          <w:p w14:paraId="460CF68D">
            <w:pPr>
              <w:jc w:val="center"/>
              <w:rPr>
                <w:rFonts w:ascii="宋体" w:hAnsi="宋体"/>
                <w:color w:val="auto"/>
                <w:szCs w:val="44"/>
                <w:highlight w:val="none"/>
              </w:rPr>
            </w:pPr>
          </w:p>
        </w:tc>
        <w:tc>
          <w:tcPr>
            <w:tcW w:w="627" w:type="dxa"/>
            <w:vAlign w:val="center"/>
          </w:tcPr>
          <w:p w14:paraId="023C2253">
            <w:pPr>
              <w:jc w:val="center"/>
              <w:rPr>
                <w:rFonts w:ascii="宋体" w:hAnsi="宋体"/>
                <w:color w:val="auto"/>
                <w:szCs w:val="44"/>
                <w:highlight w:val="none"/>
              </w:rPr>
            </w:pPr>
          </w:p>
        </w:tc>
        <w:tc>
          <w:tcPr>
            <w:tcW w:w="626" w:type="dxa"/>
            <w:vAlign w:val="center"/>
          </w:tcPr>
          <w:p w14:paraId="757A5E37">
            <w:pPr>
              <w:jc w:val="center"/>
              <w:rPr>
                <w:rFonts w:ascii="宋体" w:hAnsi="宋体"/>
                <w:color w:val="auto"/>
                <w:szCs w:val="44"/>
                <w:highlight w:val="none"/>
              </w:rPr>
            </w:pPr>
          </w:p>
        </w:tc>
        <w:tc>
          <w:tcPr>
            <w:tcW w:w="626" w:type="dxa"/>
            <w:vAlign w:val="center"/>
          </w:tcPr>
          <w:p w14:paraId="61FC4264">
            <w:pPr>
              <w:jc w:val="center"/>
              <w:rPr>
                <w:rFonts w:ascii="宋体" w:hAnsi="宋体"/>
                <w:color w:val="auto"/>
                <w:szCs w:val="44"/>
                <w:highlight w:val="none"/>
              </w:rPr>
            </w:pPr>
          </w:p>
        </w:tc>
        <w:tc>
          <w:tcPr>
            <w:tcW w:w="626" w:type="dxa"/>
            <w:vAlign w:val="center"/>
          </w:tcPr>
          <w:p w14:paraId="71A9AB20">
            <w:pPr>
              <w:jc w:val="center"/>
              <w:rPr>
                <w:rFonts w:ascii="宋体" w:hAnsi="宋体"/>
                <w:color w:val="auto"/>
                <w:szCs w:val="44"/>
                <w:highlight w:val="none"/>
              </w:rPr>
            </w:pPr>
          </w:p>
        </w:tc>
        <w:tc>
          <w:tcPr>
            <w:tcW w:w="626" w:type="dxa"/>
            <w:vAlign w:val="center"/>
          </w:tcPr>
          <w:p w14:paraId="4C67334A">
            <w:pPr>
              <w:jc w:val="center"/>
              <w:rPr>
                <w:rFonts w:ascii="宋体" w:hAnsi="宋体"/>
                <w:color w:val="auto"/>
                <w:szCs w:val="44"/>
                <w:highlight w:val="none"/>
              </w:rPr>
            </w:pPr>
          </w:p>
        </w:tc>
        <w:tc>
          <w:tcPr>
            <w:tcW w:w="626" w:type="dxa"/>
            <w:vAlign w:val="center"/>
          </w:tcPr>
          <w:p w14:paraId="662473C3">
            <w:pPr>
              <w:jc w:val="center"/>
              <w:rPr>
                <w:rFonts w:ascii="宋体" w:hAnsi="宋体"/>
                <w:color w:val="auto"/>
                <w:szCs w:val="44"/>
                <w:highlight w:val="none"/>
              </w:rPr>
            </w:pPr>
          </w:p>
        </w:tc>
        <w:tc>
          <w:tcPr>
            <w:tcW w:w="627" w:type="dxa"/>
            <w:vAlign w:val="center"/>
          </w:tcPr>
          <w:p w14:paraId="5FEA7845">
            <w:pPr>
              <w:jc w:val="center"/>
              <w:rPr>
                <w:rFonts w:ascii="宋体" w:hAnsi="宋体"/>
                <w:color w:val="auto"/>
                <w:szCs w:val="44"/>
                <w:highlight w:val="none"/>
              </w:rPr>
            </w:pPr>
          </w:p>
        </w:tc>
        <w:tc>
          <w:tcPr>
            <w:tcW w:w="760" w:type="dxa"/>
            <w:vAlign w:val="center"/>
          </w:tcPr>
          <w:p w14:paraId="4FF5BF24">
            <w:pPr>
              <w:jc w:val="center"/>
              <w:rPr>
                <w:rFonts w:ascii="宋体" w:hAnsi="宋体"/>
                <w:color w:val="auto"/>
                <w:szCs w:val="44"/>
                <w:highlight w:val="none"/>
              </w:rPr>
            </w:pPr>
          </w:p>
        </w:tc>
      </w:tr>
      <w:tr w14:paraId="6ED6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7EFB563C">
            <w:pPr>
              <w:jc w:val="center"/>
              <w:rPr>
                <w:rFonts w:ascii="宋体" w:hAnsi="宋体"/>
                <w:color w:val="auto"/>
                <w:szCs w:val="44"/>
                <w:highlight w:val="none"/>
              </w:rPr>
            </w:pPr>
            <w:r>
              <w:rPr>
                <w:rFonts w:hint="eastAsia" w:ascii="宋体" w:hAnsi="宋体"/>
                <w:color w:val="auto"/>
                <w:szCs w:val="44"/>
                <w:highlight w:val="none"/>
              </w:rPr>
              <w:t>5</w:t>
            </w:r>
          </w:p>
        </w:tc>
        <w:tc>
          <w:tcPr>
            <w:tcW w:w="1342" w:type="dxa"/>
            <w:vAlign w:val="center"/>
          </w:tcPr>
          <w:p w14:paraId="43225822">
            <w:pPr>
              <w:jc w:val="center"/>
              <w:rPr>
                <w:rFonts w:ascii="宋体" w:hAnsi="宋体"/>
                <w:color w:val="auto"/>
                <w:szCs w:val="44"/>
                <w:highlight w:val="none"/>
              </w:rPr>
            </w:pPr>
          </w:p>
        </w:tc>
        <w:tc>
          <w:tcPr>
            <w:tcW w:w="627" w:type="dxa"/>
            <w:vAlign w:val="center"/>
          </w:tcPr>
          <w:p w14:paraId="4BE6E2DD">
            <w:pPr>
              <w:jc w:val="center"/>
              <w:rPr>
                <w:color w:val="auto"/>
                <w:highlight w:val="none"/>
              </w:rPr>
            </w:pPr>
          </w:p>
        </w:tc>
        <w:tc>
          <w:tcPr>
            <w:tcW w:w="627" w:type="dxa"/>
            <w:vAlign w:val="center"/>
          </w:tcPr>
          <w:p w14:paraId="4E71F154">
            <w:pPr>
              <w:jc w:val="center"/>
              <w:rPr>
                <w:rFonts w:ascii="宋体" w:hAnsi="宋体"/>
                <w:color w:val="auto"/>
                <w:szCs w:val="44"/>
                <w:highlight w:val="none"/>
              </w:rPr>
            </w:pPr>
          </w:p>
        </w:tc>
        <w:tc>
          <w:tcPr>
            <w:tcW w:w="627" w:type="dxa"/>
            <w:vAlign w:val="center"/>
          </w:tcPr>
          <w:p w14:paraId="4BB20324">
            <w:pPr>
              <w:jc w:val="center"/>
              <w:rPr>
                <w:rFonts w:ascii="宋体" w:hAnsi="宋体"/>
                <w:color w:val="auto"/>
                <w:szCs w:val="44"/>
                <w:highlight w:val="none"/>
              </w:rPr>
            </w:pPr>
          </w:p>
        </w:tc>
        <w:tc>
          <w:tcPr>
            <w:tcW w:w="626" w:type="dxa"/>
            <w:vAlign w:val="center"/>
          </w:tcPr>
          <w:p w14:paraId="0F2F223A">
            <w:pPr>
              <w:jc w:val="center"/>
              <w:rPr>
                <w:rFonts w:ascii="宋体" w:hAnsi="宋体"/>
                <w:color w:val="auto"/>
                <w:szCs w:val="44"/>
                <w:highlight w:val="none"/>
              </w:rPr>
            </w:pPr>
          </w:p>
        </w:tc>
        <w:tc>
          <w:tcPr>
            <w:tcW w:w="626" w:type="dxa"/>
            <w:vAlign w:val="center"/>
          </w:tcPr>
          <w:p w14:paraId="03360268">
            <w:pPr>
              <w:jc w:val="center"/>
              <w:rPr>
                <w:rFonts w:ascii="宋体" w:hAnsi="宋体"/>
                <w:color w:val="auto"/>
                <w:szCs w:val="44"/>
                <w:highlight w:val="none"/>
              </w:rPr>
            </w:pPr>
          </w:p>
        </w:tc>
        <w:tc>
          <w:tcPr>
            <w:tcW w:w="626" w:type="dxa"/>
            <w:vAlign w:val="center"/>
          </w:tcPr>
          <w:p w14:paraId="177A03B2">
            <w:pPr>
              <w:jc w:val="center"/>
              <w:rPr>
                <w:rFonts w:ascii="宋体" w:hAnsi="宋体"/>
                <w:color w:val="auto"/>
                <w:szCs w:val="44"/>
                <w:highlight w:val="none"/>
              </w:rPr>
            </w:pPr>
          </w:p>
        </w:tc>
        <w:tc>
          <w:tcPr>
            <w:tcW w:w="626" w:type="dxa"/>
            <w:vAlign w:val="center"/>
          </w:tcPr>
          <w:p w14:paraId="7315826D">
            <w:pPr>
              <w:jc w:val="center"/>
              <w:rPr>
                <w:rFonts w:ascii="宋体" w:hAnsi="宋体"/>
                <w:color w:val="auto"/>
                <w:szCs w:val="44"/>
                <w:highlight w:val="none"/>
              </w:rPr>
            </w:pPr>
          </w:p>
        </w:tc>
        <w:tc>
          <w:tcPr>
            <w:tcW w:w="626" w:type="dxa"/>
            <w:vAlign w:val="center"/>
          </w:tcPr>
          <w:p w14:paraId="14B14972">
            <w:pPr>
              <w:jc w:val="center"/>
              <w:rPr>
                <w:rFonts w:ascii="宋体" w:hAnsi="宋体"/>
                <w:color w:val="auto"/>
                <w:szCs w:val="44"/>
                <w:highlight w:val="none"/>
              </w:rPr>
            </w:pPr>
          </w:p>
        </w:tc>
        <w:tc>
          <w:tcPr>
            <w:tcW w:w="627" w:type="dxa"/>
            <w:vAlign w:val="center"/>
          </w:tcPr>
          <w:p w14:paraId="6350098F">
            <w:pPr>
              <w:jc w:val="center"/>
              <w:rPr>
                <w:rFonts w:ascii="宋体" w:hAnsi="宋体"/>
                <w:color w:val="auto"/>
                <w:szCs w:val="44"/>
                <w:highlight w:val="none"/>
              </w:rPr>
            </w:pPr>
          </w:p>
        </w:tc>
        <w:tc>
          <w:tcPr>
            <w:tcW w:w="760" w:type="dxa"/>
            <w:vAlign w:val="center"/>
          </w:tcPr>
          <w:p w14:paraId="283A29E3">
            <w:pPr>
              <w:jc w:val="center"/>
              <w:rPr>
                <w:rFonts w:ascii="宋体" w:hAnsi="宋体"/>
                <w:color w:val="auto"/>
                <w:szCs w:val="44"/>
                <w:highlight w:val="none"/>
              </w:rPr>
            </w:pPr>
          </w:p>
        </w:tc>
      </w:tr>
      <w:tr w14:paraId="0C6A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0F112B37">
            <w:pPr>
              <w:jc w:val="center"/>
              <w:rPr>
                <w:rFonts w:ascii="宋体" w:hAnsi="宋体"/>
                <w:color w:val="auto"/>
                <w:szCs w:val="44"/>
                <w:highlight w:val="none"/>
              </w:rPr>
            </w:pPr>
            <w:r>
              <w:rPr>
                <w:rFonts w:hint="eastAsia" w:ascii="宋体" w:hAnsi="宋体"/>
                <w:color w:val="auto"/>
                <w:szCs w:val="44"/>
                <w:highlight w:val="none"/>
              </w:rPr>
              <w:t>6</w:t>
            </w:r>
          </w:p>
        </w:tc>
        <w:tc>
          <w:tcPr>
            <w:tcW w:w="1342" w:type="dxa"/>
            <w:vAlign w:val="center"/>
          </w:tcPr>
          <w:p w14:paraId="0836ECF0">
            <w:pPr>
              <w:jc w:val="center"/>
              <w:rPr>
                <w:rFonts w:ascii="宋体" w:hAnsi="宋体"/>
                <w:color w:val="auto"/>
                <w:szCs w:val="44"/>
                <w:highlight w:val="none"/>
              </w:rPr>
            </w:pPr>
          </w:p>
        </w:tc>
        <w:tc>
          <w:tcPr>
            <w:tcW w:w="627" w:type="dxa"/>
            <w:vAlign w:val="center"/>
          </w:tcPr>
          <w:p w14:paraId="5E58DA12">
            <w:pPr>
              <w:jc w:val="center"/>
              <w:rPr>
                <w:color w:val="auto"/>
                <w:highlight w:val="none"/>
              </w:rPr>
            </w:pPr>
          </w:p>
        </w:tc>
        <w:tc>
          <w:tcPr>
            <w:tcW w:w="627" w:type="dxa"/>
            <w:vAlign w:val="center"/>
          </w:tcPr>
          <w:p w14:paraId="0168D15E">
            <w:pPr>
              <w:jc w:val="center"/>
              <w:rPr>
                <w:rFonts w:ascii="宋体" w:hAnsi="宋体"/>
                <w:color w:val="auto"/>
                <w:szCs w:val="44"/>
                <w:highlight w:val="none"/>
              </w:rPr>
            </w:pPr>
          </w:p>
        </w:tc>
        <w:tc>
          <w:tcPr>
            <w:tcW w:w="627" w:type="dxa"/>
            <w:vAlign w:val="center"/>
          </w:tcPr>
          <w:p w14:paraId="67870F68">
            <w:pPr>
              <w:jc w:val="center"/>
              <w:rPr>
                <w:rFonts w:ascii="宋体" w:hAnsi="宋体"/>
                <w:color w:val="auto"/>
                <w:szCs w:val="44"/>
                <w:highlight w:val="none"/>
              </w:rPr>
            </w:pPr>
          </w:p>
        </w:tc>
        <w:tc>
          <w:tcPr>
            <w:tcW w:w="626" w:type="dxa"/>
            <w:vAlign w:val="center"/>
          </w:tcPr>
          <w:p w14:paraId="5C9386E0">
            <w:pPr>
              <w:jc w:val="center"/>
              <w:rPr>
                <w:rFonts w:ascii="宋体" w:hAnsi="宋体"/>
                <w:color w:val="auto"/>
                <w:szCs w:val="44"/>
                <w:highlight w:val="none"/>
              </w:rPr>
            </w:pPr>
          </w:p>
        </w:tc>
        <w:tc>
          <w:tcPr>
            <w:tcW w:w="626" w:type="dxa"/>
            <w:vAlign w:val="center"/>
          </w:tcPr>
          <w:p w14:paraId="70390458">
            <w:pPr>
              <w:jc w:val="center"/>
              <w:rPr>
                <w:rFonts w:ascii="宋体" w:hAnsi="宋体"/>
                <w:color w:val="auto"/>
                <w:szCs w:val="44"/>
                <w:highlight w:val="none"/>
              </w:rPr>
            </w:pPr>
          </w:p>
        </w:tc>
        <w:tc>
          <w:tcPr>
            <w:tcW w:w="626" w:type="dxa"/>
            <w:vAlign w:val="center"/>
          </w:tcPr>
          <w:p w14:paraId="52AB54A8">
            <w:pPr>
              <w:jc w:val="center"/>
              <w:rPr>
                <w:rFonts w:ascii="宋体" w:hAnsi="宋体"/>
                <w:color w:val="auto"/>
                <w:szCs w:val="44"/>
                <w:highlight w:val="none"/>
              </w:rPr>
            </w:pPr>
          </w:p>
        </w:tc>
        <w:tc>
          <w:tcPr>
            <w:tcW w:w="626" w:type="dxa"/>
            <w:vAlign w:val="center"/>
          </w:tcPr>
          <w:p w14:paraId="0680DB57">
            <w:pPr>
              <w:jc w:val="center"/>
              <w:rPr>
                <w:rFonts w:ascii="宋体" w:hAnsi="宋体"/>
                <w:color w:val="auto"/>
                <w:szCs w:val="44"/>
                <w:highlight w:val="none"/>
              </w:rPr>
            </w:pPr>
          </w:p>
        </w:tc>
        <w:tc>
          <w:tcPr>
            <w:tcW w:w="626" w:type="dxa"/>
            <w:vAlign w:val="center"/>
          </w:tcPr>
          <w:p w14:paraId="04173EA0">
            <w:pPr>
              <w:jc w:val="center"/>
              <w:rPr>
                <w:rFonts w:ascii="宋体" w:hAnsi="宋体"/>
                <w:color w:val="auto"/>
                <w:szCs w:val="44"/>
                <w:highlight w:val="none"/>
              </w:rPr>
            </w:pPr>
          </w:p>
        </w:tc>
        <w:tc>
          <w:tcPr>
            <w:tcW w:w="627" w:type="dxa"/>
            <w:vAlign w:val="center"/>
          </w:tcPr>
          <w:p w14:paraId="0B31E4E7">
            <w:pPr>
              <w:jc w:val="center"/>
              <w:rPr>
                <w:rFonts w:ascii="宋体" w:hAnsi="宋体"/>
                <w:color w:val="auto"/>
                <w:szCs w:val="44"/>
                <w:highlight w:val="none"/>
              </w:rPr>
            </w:pPr>
          </w:p>
        </w:tc>
        <w:tc>
          <w:tcPr>
            <w:tcW w:w="760" w:type="dxa"/>
            <w:vAlign w:val="center"/>
          </w:tcPr>
          <w:p w14:paraId="1F51464C">
            <w:pPr>
              <w:jc w:val="center"/>
              <w:rPr>
                <w:rFonts w:ascii="宋体" w:hAnsi="宋体"/>
                <w:color w:val="auto"/>
                <w:szCs w:val="44"/>
                <w:highlight w:val="none"/>
              </w:rPr>
            </w:pPr>
          </w:p>
        </w:tc>
      </w:tr>
      <w:tr w14:paraId="48C27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7477CDA3">
            <w:pPr>
              <w:jc w:val="center"/>
              <w:rPr>
                <w:rFonts w:ascii="宋体" w:hAnsi="宋体"/>
                <w:color w:val="auto"/>
                <w:szCs w:val="44"/>
                <w:highlight w:val="none"/>
              </w:rPr>
            </w:pPr>
            <w:r>
              <w:rPr>
                <w:rFonts w:hint="eastAsia" w:ascii="宋体" w:hAnsi="宋体"/>
                <w:color w:val="auto"/>
                <w:szCs w:val="44"/>
                <w:highlight w:val="none"/>
              </w:rPr>
              <w:t>…</w:t>
            </w:r>
          </w:p>
        </w:tc>
        <w:tc>
          <w:tcPr>
            <w:tcW w:w="1342" w:type="dxa"/>
            <w:vAlign w:val="center"/>
          </w:tcPr>
          <w:p w14:paraId="082FC042">
            <w:pPr>
              <w:rPr>
                <w:rFonts w:ascii="宋体" w:hAnsi="宋体"/>
                <w:color w:val="auto"/>
                <w:szCs w:val="21"/>
                <w:highlight w:val="none"/>
              </w:rPr>
            </w:pPr>
          </w:p>
        </w:tc>
        <w:tc>
          <w:tcPr>
            <w:tcW w:w="627" w:type="dxa"/>
            <w:vAlign w:val="center"/>
          </w:tcPr>
          <w:p w14:paraId="34448D49">
            <w:pPr>
              <w:jc w:val="center"/>
              <w:rPr>
                <w:color w:val="auto"/>
                <w:highlight w:val="none"/>
              </w:rPr>
            </w:pPr>
          </w:p>
        </w:tc>
        <w:tc>
          <w:tcPr>
            <w:tcW w:w="627" w:type="dxa"/>
            <w:vAlign w:val="center"/>
          </w:tcPr>
          <w:p w14:paraId="60FC6740">
            <w:pPr>
              <w:jc w:val="center"/>
              <w:rPr>
                <w:rFonts w:ascii="宋体" w:hAnsi="宋体"/>
                <w:color w:val="auto"/>
                <w:szCs w:val="44"/>
                <w:highlight w:val="none"/>
              </w:rPr>
            </w:pPr>
          </w:p>
        </w:tc>
        <w:tc>
          <w:tcPr>
            <w:tcW w:w="627" w:type="dxa"/>
            <w:vAlign w:val="center"/>
          </w:tcPr>
          <w:p w14:paraId="7112D31E">
            <w:pPr>
              <w:jc w:val="center"/>
              <w:rPr>
                <w:rFonts w:ascii="宋体" w:hAnsi="宋体"/>
                <w:color w:val="auto"/>
                <w:szCs w:val="44"/>
                <w:highlight w:val="none"/>
              </w:rPr>
            </w:pPr>
          </w:p>
        </w:tc>
        <w:tc>
          <w:tcPr>
            <w:tcW w:w="626" w:type="dxa"/>
            <w:vAlign w:val="center"/>
          </w:tcPr>
          <w:p w14:paraId="67934FAC">
            <w:pPr>
              <w:jc w:val="center"/>
              <w:rPr>
                <w:rFonts w:ascii="宋体" w:hAnsi="宋体"/>
                <w:color w:val="auto"/>
                <w:szCs w:val="44"/>
                <w:highlight w:val="none"/>
              </w:rPr>
            </w:pPr>
          </w:p>
        </w:tc>
        <w:tc>
          <w:tcPr>
            <w:tcW w:w="626" w:type="dxa"/>
            <w:vAlign w:val="center"/>
          </w:tcPr>
          <w:p w14:paraId="0A21510E">
            <w:pPr>
              <w:jc w:val="center"/>
              <w:rPr>
                <w:rFonts w:ascii="宋体" w:hAnsi="宋体"/>
                <w:color w:val="auto"/>
                <w:szCs w:val="44"/>
                <w:highlight w:val="none"/>
              </w:rPr>
            </w:pPr>
          </w:p>
        </w:tc>
        <w:tc>
          <w:tcPr>
            <w:tcW w:w="626" w:type="dxa"/>
            <w:vAlign w:val="center"/>
          </w:tcPr>
          <w:p w14:paraId="68F92BB9">
            <w:pPr>
              <w:jc w:val="center"/>
              <w:rPr>
                <w:rFonts w:ascii="宋体" w:hAnsi="宋体"/>
                <w:color w:val="auto"/>
                <w:szCs w:val="44"/>
                <w:highlight w:val="none"/>
              </w:rPr>
            </w:pPr>
          </w:p>
        </w:tc>
        <w:tc>
          <w:tcPr>
            <w:tcW w:w="626" w:type="dxa"/>
            <w:vAlign w:val="center"/>
          </w:tcPr>
          <w:p w14:paraId="33156A79">
            <w:pPr>
              <w:jc w:val="center"/>
              <w:rPr>
                <w:rFonts w:ascii="宋体" w:hAnsi="宋体"/>
                <w:color w:val="auto"/>
                <w:szCs w:val="44"/>
                <w:highlight w:val="none"/>
              </w:rPr>
            </w:pPr>
          </w:p>
        </w:tc>
        <w:tc>
          <w:tcPr>
            <w:tcW w:w="626" w:type="dxa"/>
            <w:vAlign w:val="center"/>
          </w:tcPr>
          <w:p w14:paraId="0A726E77">
            <w:pPr>
              <w:jc w:val="center"/>
              <w:rPr>
                <w:rFonts w:ascii="宋体" w:hAnsi="宋体"/>
                <w:color w:val="auto"/>
                <w:szCs w:val="44"/>
                <w:highlight w:val="none"/>
              </w:rPr>
            </w:pPr>
          </w:p>
        </w:tc>
        <w:tc>
          <w:tcPr>
            <w:tcW w:w="627" w:type="dxa"/>
            <w:vAlign w:val="center"/>
          </w:tcPr>
          <w:p w14:paraId="679EAE27">
            <w:pPr>
              <w:jc w:val="center"/>
              <w:rPr>
                <w:rFonts w:ascii="宋体" w:hAnsi="宋体"/>
                <w:color w:val="auto"/>
                <w:szCs w:val="44"/>
                <w:highlight w:val="none"/>
              </w:rPr>
            </w:pPr>
          </w:p>
        </w:tc>
        <w:tc>
          <w:tcPr>
            <w:tcW w:w="760" w:type="dxa"/>
            <w:vAlign w:val="center"/>
          </w:tcPr>
          <w:p w14:paraId="7CDFF238">
            <w:pPr>
              <w:jc w:val="center"/>
              <w:rPr>
                <w:rFonts w:ascii="宋体" w:hAnsi="宋体"/>
                <w:color w:val="auto"/>
                <w:szCs w:val="44"/>
                <w:highlight w:val="none"/>
              </w:rPr>
            </w:pPr>
          </w:p>
        </w:tc>
      </w:tr>
      <w:tr w14:paraId="67C2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2" w:hRule="atLeast"/>
          <w:jc w:val="center"/>
        </w:trPr>
        <w:tc>
          <w:tcPr>
            <w:tcW w:w="8449" w:type="dxa"/>
            <w:gridSpan w:val="12"/>
            <w:vAlign w:val="center"/>
          </w:tcPr>
          <w:p w14:paraId="0CB1C8D0">
            <w:pPr>
              <w:jc w:val="left"/>
              <w:rPr>
                <w:rFonts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6B41BA1B">
            <w:pPr>
              <w:jc w:val="left"/>
              <w:rPr>
                <w:rFonts w:ascii="宋体" w:hAnsi="宋体"/>
                <w:color w:val="auto"/>
                <w:szCs w:val="44"/>
                <w:highlight w:val="none"/>
              </w:rPr>
            </w:pPr>
          </w:p>
          <w:p w14:paraId="3D0D79DA">
            <w:pPr>
              <w:jc w:val="left"/>
              <w:rPr>
                <w:rFonts w:ascii="宋体" w:hAnsi="宋体"/>
                <w:color w:val="auto"/>
                <w:szCs w:val="44"/>
                <w:highlight w:val="none"/>
              </w:rPr>
            </w:pPr>
          </w:p>
          <w:p w14:paraId="18D1E436">
            <w:pPr>
              <w:jc w:val="left"/>
              <w:rPr>
                <w:rFonts w:ascii="宋体" w:hAnsi="宋体"/>
                <w:color w:val="auto"/>
                <w:szCs w:val="44"/>
                <w:highlight w:val="none"/>
              </w:rPr>
            </w:pPr>
          </w:p>
          <w:p w14:paraId="54B71EFE">
            <w:pPr>
              <w:jc w:val="left"/>
              <w:rPr>
                <w:rFonts w:ascii="宋体" w:hAnsi="宋体"/>
                <w:color w:val="auto"/>
                <w:szCs w:val="44"/>
                <w:highlight w:val="none"/>
              </w:rPr>
            </w:pPr>
          </w:p>
          <w:p w14:paraId="777EEC3B">
            <w:pPr>
              <w:jc w:val="left"/>
              <w:rPr>
                <w:rFonts w:ascii="宋体" w:hAnsi="宋体"/>
                <w:color w:val="auto"/>
                <w:szCs w:val="44"/>
                <w:highlight w:val="none"/>
              </w:rPr>
            </w:pPr>
          </w:p>
          <w:p w14:paraId="34923DD1">
            <w:pPr>
              <w:jc w:val="center"/>
              <w:rPr>
                <w:rFonts w:ascii="宋体" w:hAnsi="宋体"/>
                <w:color w:val="auto"/>
                <w:szCs w:val="44"/>
                <w:highlight w:val="none"/>
              </w:rPr>
            </w:pPr>
          </w:p>
        </w:tc>
      </w:tr>
    </w:tbl>
    <w:p w14:paraId="3E315C93">
      <w:pPr>
        <w:spacing w:line="400" w:lineRule="exact"/>
        <w:ind w:left="840" w:leftChars="400" w:firstLine="3990" w:firstLineChars="1900"/>
        <w:rPr>
          <w:rFonts w:ascii="宋体" w:hAnsi="宋体"/>
          <w:color w:val="auto"/>
          <w:szCs w:val="44"/>
          <w:highlight w:val="none"/>
        </w:rPr>
      </w:pPr>
      <w:r>
        <w:rPr>
          <w:rFonts w:hint="eastAsia" w:ascii="宋体" w:hAnsi="宋体"/>
          <w:color w:val="auto"/>
          <w:szCs w:val="44"/>
          <w:highlight w:val="none"/>
        </w:rPr>
        <w:t xml:space="preserve">        日期：    年    月    日</w:t>
      </w:r>
    </w:p>
    <w:p w14:paraId="381B99AD">
      <w:pPr>
        <w:widowControl/>
        <w:jc w:val="left"/>
        <w:rPr>
          <w:rFonts w:ascii="宋体" w:hAnsi="宋体"/>
          <w:color w:val="auto"/>
          <w:szCs w:val="44"/>
          <w:highlight w:val="none"/>
        </w:rPr>
      </w:pPr>
      <w:r>
        <w:rPr>
          <w:rFonts w:ascii="宋体" w:hAnsi="宋体"/>
          <w:color w:val="auto"/>
          <w:szCs w:val="44"/>
          <w:highlight w:val="none"/>
        </w:rPr>
        <w:br w:type="page"/>
      </w:r>
    </w:p>
    <w:p w14:paraId="7291D88C">
      <w:pPr>
        <w:pStyle w:val="37"/>
        <w:ind w:firstLine="118"/>
        <w:rPr>
          <w:color w:val="auto"/>
          <w:highlight w:val="none"/>
        </w:rPr>
      </w:pPr>
      <w:bookmarkStart w:id="1026" w:name="_Toc21595"/>
      <w:bookmarkStart w:id="1027" w:name="_Toc148860665"/>
      <w:bookmarkStart w:id="1028" w:name="_Toc164716308"/>
      <w:bookmarkStart w:id="1029" w:name="_Toc2123"/>
      <w:bookmarkStart w:id="1030" w:name="_Toc256000138"/>
      <w:r>
        <w:rPr>
          <w:rFonts w:hint="eastAsia"/>
          <w:color w:val="auto"/>
          <w:highlight w:val="none"/>
        </w:rPr>
        <w:t>附表A-6：响应性评审记录表</w:t>
      </w:r>
      <w:bookmarkEnd w:id="1026"/>
      <w:bookmarkEnd w:id="1027"/>
      <w:bookmarkEnd w:id="1028"/>
      <w:bookmarkEnd w:id="1029"/>
      <w:bookmarkEnd w:id="1030"/>
    </w:p>
    <w:p w14:paraId="17A416D2">
      <w:pPr>
        <w:rPr>
          <w:color w:val="auto"/>
          <w:highlight w:val="none"/>
        </w:rPr>
      </w:pPr>
      <w:bookmarkStart w:id="1031" w:name="_Hlk145503207"/>
      <w:bookmarkStart w:id="1032" w:name="_Toc145516061"/>
    </w:p>
    <w:p w14:paraId="2BB5C01A">
      <w:pPr>
        <w:adjustRightInd w:val="0"/>
        <w:snapToGrid w:val="0"/>
        <w:spacing w:before="240" w:beforeLines="100" w:after="240" w:afterLines="100" w:line="440" w:lineRule="exact"/>
        <w:jc w:val="center"/>
        <w:rPr>
          <w:rFonts w:ascii="黑体" w:hAnsi="黑体" w:eastAsia="黑体"/>
          <w:b/>
          <w:bCs/>
          <w:color w:val="auto"/>
          <w:sz w:val="36"/>
          <w:szCs w:val="36"/>
          <w:highlight w:val="none"/>
        </w:rPr>
      </w:pPr>
      <w:bookmarkStart w:id="1033" w:name="_Toc11903"/>
      <w:bookmarkStart w:id="1034" w:name="_Toc149060939"/>
      <w:bookmarkStart w:id="1035" w:name="_Toc149054706"/>
      <w:bookmarkStart w:id="1036" w:name="_Toc148860666"/>
      <w:r>
        <w:rPr>
          <w:rFonts w:hint="eastAsia" w:ascii="黑体" w:hAnsi="黑体" w:eastAsia="黑体"/>
          <w:bCs/>
          <w:color w:val="auto"/>
          <w:sz w:val="36"/>
          <w:szCs w:val="36"/>
          <w:highlight w:val="none"/>
        </w:rPr>
        <w:t>响应性</w:t>
      </w:r>
      <w:bookmarkEnd w:id="1031"/>
      <w:r>
        <w:rPr>
          <w:rFonts w:hint="eastAsia" w:ascii="黑体" w:hAnsi="黑体" w:eastAsia="黑体"/>
          <w:bCs/>
          <w:color w:val="auto"/>
          <w:sz w:val="36"/>
          <w:szCs w:val="36"/>
          <w:highlight w:val="none"/>
        </w:rPr>
        <w:t>评审记录表</w:t>
      </w:r>
      <w:bookmarkEnd w:id="1032"/>
      <w:bookmarkEnd w:id="1033"/>
      <w:bookmarkEnd w:id="1034"/>
      <w:bookmarkEnd w:id="1035"/>
      <w:bookmarkEnd w:id="1036"/>
    </w:p>
    <w:p w14:paraId="3F2D7258">
      <w:pPr>
        <w:rPr>
          <w:rFonts w:ascii="宋体" w:hAnsi="宋体"/>
          <w:color w:val="auto"/>
          <w:szCs w:val="44"/>
          <w:highlight w:val="none"/>
        </w:rPr>
      </w:pPr>
      <w:r>
        <w:rPr>
          <w:rFonts w:hint="eastAsia" w:ascii="宋体" w:hAnsi="宋体"/>
          <w:color w:val="auto"/>
          <w:szCs w:val="44"/>
          <w:highlight w:val="none"/>
        </w:rPr>
        <w:t>标段名称：</w:t>
      </w:r>
    </w:p>
    <w:p w14:paraId="7B430992">
      <w:pPr>
        <w:rPr>
          <w:rFonts w:ascii="宋体" w:hAnsi="宋体"/>
          <w:color w:val="auto"/>
          <w:szCs w:val="44"/>
          <w:highlight w:val="none"/>
        </w:rPr>
      </w:pPr>
      <w:r>
        <w:rPr>
          <w:rFonts w:hint="eastAsia"/>
          <w:color w:val="auto"/>
          <w:szCs w:val="44"/>
          <w:highlight w:val="none"/>
        </w:rPr>
        <w:t>标段唯一标识码：</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541"/>
        <w:gridCol w:w="595"/>
        <w:gridCol w:w="595"/>
        <w:gridCol w:w="594"/>
        <w:gridCol w:w="593"/>
        <w:gridCol w:w="593"/>
        <w:gridCol w:w="593"/>
        <w:gridCol w:w="593"/>
        <w:gridCol w:w="593"/>
        <w:gridCol w:w="594"/>
        <w:gridCol w:w="714"/>
      </w:tblGrid>
      <w:tr w14:paraId="6CEA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4" w:type="dxa"/>
            <w:vMerge w:val="restart"/>
            <w:vAlign w:val="center"/>
          </w:tcPr>
          <w:p w14:paraId="071D2B5C">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541" w:type="dxa"/>
            <w:vMerge w:val="restart"/>
            <w:vAlign w:val="center"/>
          </w:tcPr>
          <w:p w14:paraId="1E3B2A34">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5343" w:type="dxa"/>
            <w:gridSpan w:val="9"/>
            <w:vAlign w:val="center"/>
          </w:tcPr>
          <w:p w14:paraId="64764D35">
            <w:pPr>
              <w:jc w:val="center"/>
              <w:rPr>
                <w:rFonts w:ascii="宋体" w:hAnsi="宋体"/>
                <w:b/>
                <w:bCs/>
                <w:color w:val="auto"/>
                <w:szCs w:val="44"/>
                <w:highlight w:val="none"/>
              </w:rPr>
            </w:pPr>
            <w:r>
              <w:rPr>
                <w:rFonts w:hint="eastAsia" w:ascii="宋体" w:hAnsi="宋体"/>
                <w:b/>
                <w:bCs/>
                <w:color w:val="auto"/>
                <w:szCs w:val="44"/>
                <w:highlight w:val="none"/>
              </w:rPr>
              <w:t>评审标准及评审意见</w:t>
            </w:r>
          </w:p>
        </w:tc>
        <w:tc>
          <w:tcPr>
            <w:tcW w:w="714" w:type="dxa"/>
            <w:vMerge w:val="restart"/>
            <w:vAlign w:val="center"/>
          </w:tcPr>
          <w:p w14:paraId="5D54096F">
            <w:pPr>
              <w:jc w:val="center"/>
              <w:rPr>
                <w:rFonts w:ascii="宋体" w:hAnsi="宋体"/>
                <w:b/>
                <w:bCs/>
                <w:color w:val="auto"/>
                <w:szCs w:val="44"/>
                <w:highlight w:val="none"/>
              </w:rPr>
            </w:pPr>
            <w:r>
              <w:rPr>
                <w:rFonts w:ascii="宋体" w:hAnsi="宋体"/>
                <w:b/>
                <w:bCs/>
                <w:color w:val="auto"/>
                <w:szCs w:val="21"/>
                <w:highlight w:val="none"/>
              </w:rPr>
              <w:t>评审结论</w:t>
            </w:r>
          </w:p>
        </w:tc>
      </w:tr>
      <w:tr w14:paraId="2E7A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4" w:type="dxa"/>
            <w:vMerge w:val="continue"/>
            <w:vAlign w:val="center"/>
          </w:tcPr>
          <w:p w14:paraId="40C13D22">
            <w:pPr>
              <w:jc w:val="center"/>
              <w:rPr>
                <w:rFonts w:ascii="宋体" w:hAnsi="宋体"/>
                <w:color w:val="auto"/>
                <w:szCs w:val="44"/>
                <w:highlight w:val="none"/>
              </w:rPr>
            </w:pPr>
          </w:p>
        </w:tc>
        <w:tc>
          <w:tcPr>
            <w:tcW w:w="1541" w:type="dxa"/>
            <w:vMerge w:val="continue"/>
          </w:tcPr>
          <w:p w14:paraId="5DCD09F3">
            <w:pPr>
              <w:jc w:val="center"/>
              <w:rPr>
                <w:rFonts w:ascii="宋体" w:hAnsi="宋体"/>
                <w:color w:val="auto"/>
                <w:szCs w:val="44"/>
                <w:highlight w:val="none"/>
              </w:rPr>
            </w:pPr>
          </w:p>
        </w:tc>
        <w:tc>
          <w:tcPr>
            <w:tcW w:w="595" w:type="dxa"/>
            <w:vAlign w:val="center"/>
          </w:tcPr>
          <w:p w14:paraId="43AB6DEC">
            <w:pPr>
              <w:jc w:val="center"/>
              <w:rPr>
                <w:rFonts w:ascii="宋体" w:hAnsi="宋体"/>
                <w:color w:val="auto"/>
                <w:szCs w:val="44"/>
                <w:highlight w:val="none"/>
              </w:rPr>
            </w:pPr>
          </w:p>
        </w:tc>
        <w:tc>
          <w:tcPr>
            <w:tcW w:w="595" w:type="dxa"/>
            <w:vAlign w:val="center"/>
          </w:tcPr>
          <w:p w14:paraId="5B19228B">
            <w:pPr>
              <w:jc w:val="center"/>
              <w:rPr>
                <w:rFonts w:ascii="宋体" w:hAnsi="宋体"/>
                <w:color w:val="auto"/>
                <w:szCs w:val="44"/>
                <w:highlight w:val="none"/>
              </w:rPr>
            </w:pPr>
          </w:p>
        </w:tc>
        <w:tc>
          <w:tcPr>
            <w:tcW w:w="594" w:type="dxa"/>
            <w:vAlign w:val="center"/>
          </w:tcPr>
          <w:p w14:paraId="69CC0AC6">
            <w:pPr>
              <w:jc w:val="center"/>
              <w:rPr>
                <w:rFonts w:ascii="宋体" w:hAnsi="宋体"/>
                <w:color w:val="auto"/>
                <w:szCs w:val="44"/>
                <w:highlight w:val="none"/>
              </w:rPr>
            </w:pPr>
          </w:p>
        </w:tc>
        <w:tc>
          <w:tcPr>
            <w:tcW w:w="593" w:type="dxa"/>
            <w:vAlign w:val="center"/>
          </w:tcPr>
          <w:p w14:paraId="1FDC6F56">
            <w:pPr>
              <w:jc w:val="center"/>
              <w:rPr>
                <w:rFonts w:ascii="宋体" w:hAnsi="宋体"/>
                <w:color w:val="auto"/>
                <w:szCs w:val="44"/>
                <w:highlight w:val="none"/>
              </w:rPr>
            </w:pPr>
          </w:p>
        </w:tc>
        <w:tc>
          <w:tcPr>
            <w:tcW w:w="593" w:type="dxa"/>
            <w:vAlign w:val="center"/>
          </w:tcPr>
          <w:p w14:paraId="1325314A">
            <w:pPr>
              <w:jc w:val="center"/>
              <w:rPr>
                <w:rFonts w:ascii="宋体" w:hAnsi="宋体"/>
                <w:color w:val="auto"/>
                <w:szCs w:val="44"/>
                <w:highlight w:val="none"/>
              </w:rPr>
            </w:pPr>
          </w:p>
        </w:tc>
        <w:tc>
          <w:tcPr>
            <w:tcW w:w="593" w:type="dxa"/>
            <w:vAlign w:val="center"/>
          </w:tcPr>
          <w:p w14:paraId="757A499C">
            <w:pPr>
              <w:jc w:val="center"/>
              <w:rPr>
                <w:rFonts w:ascii="宋体" w:hAnsi="宋体"/>
                <w:color w:val="auto"/>
                <w:szCs w:val="44"/>
                <w:highlight w:val="none"/>
              </w:rPr>
            </w:pPr>
          </w:p>
        </w:tc>
        <w:tc>
          <w:tcPr>
            <w:tcW w:w="593" w:type="dxa"/>
            <w:vAlign w:val="center"/>
          </w:tcPr>
          <w:p w14:paraId="036412D3">
            <w:pPr>
              <w:jc w:val="center"/>
              <w:rPr>
                <w:rFonts w:ascii="宋体" w:hAnsi="宋体"/>
                <w:color w:val="auto"/>
                <w:szCs w:val="44"/>
                <w:highlight w:val="none"/>
              </w:rPr>
            </w:pPr>
          </w:p>
        </w:tc>
        <w:tc>
          <w:tcPr>
            <w:tcW w:w="593" w:type="dxa"/>
            <w:vAlign w:val="center"/>
          </w:tcPr>
          <w:p w14:paraId="0D58DEC3">
            <w:pPr>
              <w:jc w:val="center"/>
              <w:rPr>
                <w:rFonts w:ascii="宋体" w:hAnsi="宋体"/>
                <w:color w:val="auto"/>
                <w:szCs w:val="44"/>
                <w:highlight w:val="none"/>
              </w:rPr>
            </w:pPr>
          </w:p>
        </w:tc>
        <w:tc>
          <w:tcPr>
            <w:tcW w:w="594" w:type="dxa"/>
            <w:vAlign w:val="center"/>
          </w:tcPr>
          <w:p w14:paraId="7D00BD07">
            <w:pPr>
              <w:jc w:val="center"/>
              <w:rPr>
                <w:rFonts w:ascii="宋体" w:hAnsi="宋体"/>
                <w:color w:val="auto"/>
                <w:szCs w:val="44"/>
                <w:highlight w:val="none"/>
              </w:rPr>
            </w:pPr>
          </w:p>
        </w:tc>
        <w:tc>
          <w:tcPr>
            <w:tcW w:w="714" w:type="dxa"/>
            <w:vMerge w:val="continue"/>
            <w:vAlign w:val="center"/>
          </w:tcPr>
          <w:p w14:paraId="6C7210F4">
            <w:pPr>
              <w:jc w:val="center"/>
              <w:rPr>
                <w:rFonts w:ascii="宋体" w:hAnsi="宋体"/>
                <w:color w:val="auto"/>
                <w:szCs w:val="44"/>
                <w:highlight w:val="none"/>
              </w:rPr>
            </w:pPr>
          </w:p>
        </w:tc>
      </w:tr>
      <w:tr w14:paraId="6224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3A43F8E0">
            <w:pPr>
              <w:jc w:val="center"/>
              <w:rPr>
                <w:rFonts w:ascii="宋体" w:hAnsi="宋体"/>
                <w:color w:val="auto"/>
                <w:szCs w:val="44"/>
                <w:highlight w:val="none"/>
              </w:rPr>
            </w:pPr>
            <w:r>
              <w:rPr>
                <w:rFonts w:hint="eastAsia" w:ascii="宋体" w:hAnsi="宋体"/>
                <w:color w:val="auto"/>
                <w:szCs w:val="44"/>
                <w:highlight w:val="none"/>
              </w:rPr>
              <w:t>1</w:t>
            </w:r>
          </w:p>
        </w:tc>
        <w:tc>
          <w:tcPr>
            <w:tcW w:w="1541" w:type="dxa"/>
            <w:vAlign w:val="center"/>
          </w:tcPr>
          <w:p w14:paraId="5D04347B">
            <w:pPr>
              <w:jc w:val="center"/>
              <w:rPr>
                <w:rFonts w:ascii="宋体" w:hAnsi="宋体"/>
                <w:color w:val="auto"/>
                <w:szCs w:val="21"/>
                <w:highlight w:val="none"/>
              </w:rPr>
            </w:pPr>
          </w:p>
        </w:tc>
        <w:tc>
          <w:tcPr>
            <w:tcW w:w="595" w:type="dxa"/>
            <w:vAlign w:val="center"/>
          </w:tcPr>
          <w:p w14:paraId="7CEA972C">
            <w:pPr>
              <w:jc w:val="center"/>
              <w:rPr>
                <w:rFonts w:ascii="宋体" w:hAnsi="宋体"/>
                <w:color w:val="auto"/>
                <w:szCs w:val="21"/>
                <w:highlight w:val="none"/>
              </w:rPr>
            </w:pPr>
          </w:p>
        </w:tc>
        <w:tc>
          <w:tcPr>
            <w:tcW w:w="595" w:type="dxa"/>
            <w:vAlign w:val="center"/>
          </w:tcPr>
          <w:p w14:paraId="71A6A339">
            <w:pPr>
              <w:jc w:val="center"/>
              <w:rPr>
                <w:rFonts w:ascii="宋体" w:hAnsi="宋体"/>
                <w:color w:val="auto"/>
                <w:szCs w:val="44"/>
                <w:highlight w:val="none"/>
              </w:rPr>
            </w:pPr>
          </w:p>
        </w:tc>
        <w:tc>
          <w:tcPr>
            <w:tcW w:w="594" w:type="dxa"/>
            <w:vAlign w:val="center"/>
          </w:tcPr>
          <w:p w14:paraId="38238920">
            <w:pPr>
              <w:jc w:val="center"/>
              <w:rPr>
                <w:rFonts w:ascii="宋体" w:hAnsi="宋体"/>
                <w:color w:val="auto"/>
                <w:szCs w:val="44"/>
                <w:highlight w:val="none"/>
              </w:rPr>
            </w:pPr>
          </w:p>
        </w:tc>
        <w:tc>
          <w:tcPr>
            <w:tcW w:w="593" w:type="dxa"/>
            <w:vAlign w:val="center"/>
          </w:tcPr>
          <w:p w14:paraId="09C30182">
            <w:pPr>
              <w:jc w:val="center"/>
              <w:rPr>
                <w:rFonts w:ascii="宋体" w:hAnsi="宋体"/>
                <w:color w:val="auto"/>
                <w:szCs w:val="44"/>
                <w:highlight w:val="none"/>
              </w:rPr>
            </w:pPr>
          </w:p>
        </w:tc>
        <w:tc>
          <w:tcPr>
            <w:tcW w:w="593" w:type="dxa"/>
            <w:vAlign w:val="center"/>
          </w:tcPr>
          <w:p w14:paraId="3D4A33BF">
            <w:pPr>
              <w:jc w:val="center"/>
              <w:rPr>
                <w:rFonts w:ascii="宋体" w:hAnsi="宋体"/>
                <w:color w:val="auto"/>
                <w:szCs w:val="44"/>
                <w:highlight w:val="none"/>
              </w:rPr>
            </w:pPr>
          </w:p>
        </w:tc>
        <w:tc>
          <w:tcPr>
            <w:tcW w:w="593" w:type="dxa"/>
            <w:vAlign w:val="center"/>
          </w:tcPr>
          <w:p w14:paraId="07799651">
            <w:pPr>
              <w:jc w:val="center"/>
              <w:rPr>
                <w:rFonts w:ascii="宋体" w:hAnsi="宋体"/>
                <w:color w:val="auto"/>
                <w:szCs w:val="44"/>
                <w:highlight w:val="none"/>
              </w:rPr>
            </w:pPr>
          </w:p>
        </w:tc>
        <w:tc>
          <w:tcPr>
            <w:tcW w:w="593" w:type="dxa"/>
            <w:vAlign w:val="center"/>
          </w:tcPr>
          <w:p w14:paraId="2F92DD1F">
            <w:pPr>
              <w:jc w:val="center"/>
              <w:rPr>
                <w:rFonts w:ascii="宋体" w:hAnsi="宋体"/>
                <w:color w:val="auto"/>
                <w:szCs w:val="44"/>
                <w:highlight w:val="none"/>
              </w:rPr>
            </w:pPr>
          </w:p>
        </w:tc>
        <w:tc>
          <w:tcPr>
            <w:tcW w:w="593" w:type="dxa"/>
            <w:vAlign w:val="center"/>
          </w:tcPr>
          <w:p w14:paraId="169C13A2">
            <w:pPr>
              <w:jc w:val="center"/>
              <w:rPr>
                <w:rFonts w:ascii="宋体" w:hAnsi="宋体"/>
                <w:color w:val="auto"/>
                <w:szCs w:val="44"/>
                <w:highlight w:val="none"/>
              </w:rPr>
            </w:pPr>
          </w:p>
        </w:tc>
        <w:tc>
          <w:tcPr>
            <w:tcW w:w="594" w:type="dxa"/>
            <w:vAlign w:val="center"/>
          </w:tcPr>
          <w:p w14:paraId="6D5EA278">
            <w:pPr>
              <w:jc w:val="center"/>
              <w:rPr>
                <w:rFonts w:ascii="宋体" w:hAnsi="宋体"/>
                <w:color w:val="auto"/>
                <w:szCs w:val="44"/>
                <w:highlight w:val="none"/>
              </w:rPr>
            </w:pPr>
          </w:p>
        </w:tc>
        <w:tc>
          <w:tcPr>
            <w:tcW w:w="714" w:type="dxa"/>
            <w:vAlign w:val="center"/>
          </w:tcPr>
          <w:p w14:paraId="2EB811D1">
            <w:pPr>
              <w:jc w:val="center"/>
              <w:rPr>
                <w:rFonts w:ascii="宋体" w:hAnsi="宋体"/>
                <w:color w:val="auto"/>
                <w:szCs w:val="44"/>
                <w:highlight w:val="none"/>
              </w:rPr>
            </w:pPr>
          </w:p>
        </w:tc>
      </w:tr>
      <w:tr w14:paraId="6FE9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1647861F">
            <w:pPr>
              <w:jc w:val="center"/>
              <w:rPr>
                <w:rFonts w:ascii="宋体" w:hAnsi="宋体"/>
                <w:color w:val="auto"/>
                <w:szCs w:val="44"/>
                <w:highlight w:val="none"/>
              </w:rPr>
            </w:pPr>
            <w:r>
              <w:rPr>
                <w:rFonts w:hint="eastAsia" w:ascii="宋体" w:hAnsi="宋体"/>
                <w:color w:val="auto"/>
                <w:szCs w:val="44"/>
                <w:highlight w:val="none"/>
              </w:rPr>
              <w:t>2</w:t>
            </w:r>
          </w:p>
        </w:tc>
        <w:tc>
          <w:tcPr>
            <w:tcW w:w="1541" w:type="dxa"/>
            <w:vAlign w:val="center"/>
          </w:tcPr>
          <w:p w14:paraId="3BA91469">
            <w:pPr>
              <w:jc w:val="center"/>
              <w:rPr>
                <w:rFonts w:ascii="宋体" w:hAnsi="宋体"/>
                <w:color w:val="auto"/>
                <w:szCs w:val="44"/>
                <w:highlight w:val="none"/>
              </w:rPr>
            </w:pPr>
          </w:p>
        </w:tc>
        <w:tc>
          <w:tcPr>
            <w:tcW w:w="595" w:type="dxa"/>
            <w:vAlign w:val="center"/>
          </w:tcPr>
          <w:p w14:paraId="118258DA">
            <w:pPr>
              <w:jc w:val="center"/>
              <w:rPr>
                <w:color w:val="auto"/>
                <w:highlight w:val="none"/>
              </w:rPr>
            </w:pPr>
          </w:p>
        </w:tc>
        <w:tc>
          <w:tcPr>
            <w:tcW w:w="595" w:type="dxa"/>
            <w:vAlign w:val="center"/>
          </w:tcPr>
          <w:p w14:paraId="4FD792EA">
            <w:pPr>
              <w:jc w:val="center"/>
              <w:rPr>
                <w:rFonts w:ascii="宋体" w:hAnsi="宋体"/>
                <w:color w:val="auto"/>
                <w:szCs w:val="44"/>
                <w:highlight w:val="none"/>
              </w:rPr>
            </w:pPr>
          </w:p>
        </w:tc>
        <w:tc>
          <w:tcPr>
            <w:tcW w:w="594" w:type="dxa"/>
            <w:vAlign w:val="center"/>
          </w:tcPr>
          <w:p w14:paraId="28EB9BF3">
            <w:pPr>
              <w:jc w:val="center"/>
              <w:rPr>
                <w:rFonts w:ascii="宋体" w:hAnsi="宋体"/>
                <w:color w:val="auto"/>
                <w:szCs w:val="44"/>
                <w:highlight w:val="none"/>
              </w:rPr>
            </w:pPr>
          </w:p>
        </w:tc>
        <w:tc>
          <w:tcPr>
            <w:tcW w:w="593" w:type="dxa"/>
            <w:vAlign w:val="center"/>
          </w:tcPr>
          <w:p w14:paraId="170DEC63">
            <w:pPr>
              <w:jc w:val="center"/>
              <w:rPr>
                <w:rFonts w:ascii="宋体" w:hAnsi="宋体"/>
                <w:color w:val="auto"/>
                <w:szCs w:val="44"/>
                <w:highlight w:val="none"/>
              </w:rPr>
            </w:pPr>
          </w:p>
        </w:tc>
        <w:tc>
          <w:tcPr>
            <w:tcW w:w="593" w:type="dxa"/>
            <w:vAlign w:val="center"/>
          </w:tcPr>
          <w:p w14:paraId="6A851260">
            <w:pPr>
              <w:jc w:val="center"/>
              <w:rPr>
                <w:rFonts w:ascii="宋体" w:hAnsi="宋体"/>
                <w:color w:val="auto"/>
                <w:szCs w:val="44"/>
                <w:highlight w:val="none"/>
              </w:rPr>
            </w:pPr>
          </w:p>
        </w:tc>
        <w:tc>
          <w:tcPr>
            <w:tcW w:w="593" w:type="dxa"/>
            <w:vAlign w:val="center"/>
          </w:tcPr>
          <w:p w14:paraId="6A1B90CE">
            <w:pPr>
              <w:jc w:val="center"/>
              <w:rPr>
                <w:rFonts w:ascii="宋体" w:hAnsi="宋体"/>
                <w:color w:val="auto"/>
                <w:szCs w:val="44"/>
                <w:highlight w:val="none"/>
              </w:rPr>
            </w:pPr>
          </w:p>
        </w:tc>
        <w:tc>
          <w:tcPr>
            <w:tcW w:w="593" w:type="dxa"/>
            <w:vAlign w:val="center"/>
          </w:tcPr>
          <w:p w14:paraId="4EA267D5">
            <w:pPr>
              <w:jc w:val="center"/>
              <w:rPr>
                <w:rFonts w:ascii="宋体" w:hAnsi="宋体"/>
                <w:color w:val="auto"/>
                <w:szCs w:val="44"/>
                <w:highlight w:val="none"/>
              </w:rPr>
            </w:pPr>
          </w:p>
        </w:tc>
        <w:tc>
          <w:tcPr>
            <w:tcW w:w="593" w:type="dxa"/>
            <w:vAlign w:val="center"/>
          </w:tcPr>
          <w:p w14:paraId="7725E2DE">
            <w:pPr>
              <w:jc w:val="center"/>
              <w:rPr>
                <w:rFonts w:ascii="宋体" w:hAnsi="宋体"/>
                <w:color w:val="auto"/>
                <w:szCs w:val="44"/>
                <w:highlight w:val="none"/>
              </w:rPr>
            </w:pPr>
          </w:p>
        </w:tc>
        <w:tc>
          <w:tcPr>
            <w:tcW w:w="594" w:type="dxa"/>
            <w:vAlign w:val="center"/>
          </w:tcPr>
          <w:p w14:paraId="1FE8AD03">
            <w:pPr>
              <w:jc w:val="center"/>
              <w:rPr>
                <w:rFonts w:ascii="宋体" w:hAnsi="宋体"/>
                <w:color w:val="auto"/>
                <w:szCs w:val="44"/>
                <w:highlight w:val="none"/>
              </w:rPr>
            </w:pPr>
          </w:p>
        </w:tc>
        <w:tc>
          <w:tcPr>
            <w:tcW w:w="714" w:type="dxa"/>
            <w:vAlign w:val="center"/>
          </w:tcPr>
          <w:p w14:paraId="24B530E8">
            <w:pPr>
              <w:jc w:val="center"/>
              <w:rPr>
                <w:rFonts w:ascii="宋体" w:hAnsi="宋体"/>
                <w:color w:val="auto"/>
                <w:szCs w:val="44"/>
                <w:highlight w:val="none"/>
              </w:rPr>
            </w:pPr>
          </w:p>
        </w:tc>
      </w:tr>
      <w:tr w14:paraId="5BC2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78AB6385">
            <w:pPr>
              <w:jc w:val="center"/>
              <w:rPr>
                <w:rFonts w:ascii="宋体" w:hAnsi="宋体"/>
                <w:color w:val="auto"/>
                <w:szCs w:val="44"/>
                <w:highlight w:val="none"/>
              </w:rPr>
            </w:pPr>
            <w:r>
              <w:rPr>
                <w:rFonts w:hint="eastAsia" w:ascii="宋体" w:hAnsi="宋体"/>
                <w:color w:val="auto"/>
                <w:szCs w:val="44"/>
                <w:highlight w:val="none"/>
              </w:rPr>
              <w:t>3</w:t>
            </w:r>
          </w:p>
        </w:tc>
        <w:tc>
          <w:tcPr>
            <w:tcW w:w="1541" w:type="dxa"/>
            <w:vAlign w:val="center"/>
          </w:tcPr>
          <w:p w14:paraId="573A8287">
            <w:pPr>
              <w:jc w:val="center"/>
              <w:rPr>
                <w:rFonts w:ascii="宋体" w:hAnsi="宋体"/>
                <w:color w:val="auto"/>
                <w:szCs w:val="44"/>
                <w:highlight w:val="none"/>
              </w:rPr>
            </w:pPr>
          </w:p>
        </w:tc>
        <w:tc>
          <w:tcPr>
            <w:tcW w:w="595" w:type="dxa"/>
            <w:vAlign w:val="center"/>
          </w:tcPr>
          <w:p w14:paraId="4319C35B">
            <w:pPr>
              <w:jc w:val="center"/>
              <w:rPr>
                <w:color w:val="auto"/>
                <w:highlight w:val="none"/>
              </w:rPr>
            </w:pPr>
          </w:p>
        </w:tc>
        <w:tc>
          <w:tcPr>
            <w:tcW w:w="595" w:type="dxa"/>
            <w:vAlign w:val="center"/>
          </w:tcPr>
          <w:p w14:paraId="5EF2F84B">
            <w:pPr>
              <w:jc w:val="center"/>
              <w:rPr>
                <w:rFonts w:ascii="宋体" w:hAnsi="宋体"/>
                <w:color w:val="auto"/>
                <w:szCs w:val="44"/>
                <w:highlight w:val="none"/>
              </w:rPr>
            </w:pPr>
          </w:p>
        </w:tc>
        <w:tc>
          <w:tcPr>
            <w:tcW w:w="594" w:type="dxa"/>
            <w:vAlign w:val="center"/>
          </w:tcPr>
          <w:p w14:paraId="60DA76BB">
            <w:pPr>
              <w:jc w:val="center"/>
              <w:rPr>
                <w:rFonts w:ascii="宋体" w:hAnsi="宋体"/>
                <w:color w:val="auto"/>
                <w:szCs w:val="44"/>
                <w:highlight w:val="none"/>
              </w:rPr>
            </w:pPr>
          </w:p>
        </w:tc>
        <w:tc>
          <w:tcPr>
            <w:tcW w:w="593" w:type="dxa"/>
            <w:vAlign w:val="center"/>
          </w:tcPr>
          <w:p w14:paraId="4DD7BC48">
            <w:pPr>
              <w:jc w:val="center"/>
              <w:rPr>
                <w:rFonts w:ascii="宋体" w:hAnsi="宋体"/>
                <w:color w:val="auto"/>
                <w:szCs w:val="44"/>
                <w:highlight w:val="none"/>
              </w:rPr>
            </w:pPr>
          </w:p>
        </w:tc>
        <w:tc>
          <w:tcPr>
            <w:tcW w:w="593" w:type="dxa"/>
            <w:vAlign w:val="center"/>
          </w:tcPr>
          <w:p w14:paraId="184C2D99">
            <w:pPr>
              <w:jc w:val="center"/>
              <w:rPr>
                <w:rFonts w:ascii="宋体" w:hAnsi="宋体"/>
                <w:color w:val="auto"/>
                <w:szCs w:val="44"/>
                <w:highlight w:val="none"/>
              </w:rPr>
            </w:pPr>
          </w:p>
        </w:tc>
        <w:tc>
          <w:tcPr>
            <w:tcW w:w="593" w:type="dxa"/>
            <w:vAlign w:val="center"/>
          </w:tcPr>
          <w:p w14:paraId="2A8DBB40">
            <w:pPr>
              <w:jc w:val="center"/>
              <w:rPr>
                <w:rFonts w:ascii="宋体" w:hAnsi="宋体"/>
                <w:color w:val="auto"/>
                <w:szCs w:val="44"/>
                <w:highlight w:val="none"/>
              </w:rPr>
            </w:pPr>
          </w:p>
        </w:tc>
        <w:tc>
          <w:tcPr>
            <w:tcW w:w="593" w:type="dxa"/>
            <w:vAlign w:val="center"/>
          </w:tcPr>
          <w:p w14:paraId="0A16868C">
            <w:pPr>
              <w:jc w:val="center"/>
              <w:rPr>
                <w:rFonts w:ascii="宋体" w:hAnsi="宋体"/>
                <w:color w:val="auto"/>
                <w:szCs w:val="44"/>
                <w:highlight w:val="none"/>
              </w:rPr>
            </w:pPr>
          </w:p>
        </w:tc>
        <w:tc>
          <w:tcPr>
            <w:tcW w:w="593" w:type="dxa"/>
            <w:vAlign w:val="center"/>
          </w:tcPr>
          <w:p w14:paraId="30FBC38C">
            <w:pPr>
              <w:jc w:val="center"/>
              <w:rPr>
                <w:rFonts w:ascii="宋体" w:hAnsi="宋体"/>
                <w:color w:val="auto"/>
                <w:szCs w:val="44"/>
                <w:highlight w:val="none"/>
              </w:rPr>
            </w:pPr>
          </w:p>
        </w:tc>
        <w:tc>
          <w:tcPr>
            <w:tcW w:w="594" w:type="dxa"/>
            <w:vAlign w:val="center"/>
          </w:tcPr>
          <w:p w14:paraId="209DB5FE">
            <w:pPr>
              <w:jc w:val="center"/>
              <w:rPr>
                <w:rFonts w:ascii="宋体" w:hAnsi="宋体"/>
                <w:color w:val="auto"/>
                <w:szCs w:val="44"/>
                <w:highlight w:val="none"/>
              </w:rPr>
            </w:pPr>
          </w:p>
        </w:tc>
        <w:tc>
          <w:tcPr>
            <w:tcW w:w="714" w:type="dxa"/>
            <w:vAlign w:val="center"/>
          </w:tcPr>
          <w:p w14:paraId="4F2E4D43">
            <w:pPr>
              <w:jc w:val="center"/>
              <w:rPr>
                <w:rFonts w:ascii="宋体" w:hAnsi="宋体"/>
                <w:color w:val="auto"/>
                <w:szCs w:val="44"/>
                <w:highlight w:val="none"/>
              </w:rPr>
            </w:pPr>
          </w:p>
        </w:tc>
      </w:tr>
      <w:tr w14:paraId="25E2D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2E7ADC95">
            <w:pPr>
              <w:jc w:val="center"/>
              <w:rPr>
                <w:rFonts w:ascii="宋体" w:hAnsi="宋体"/>
                <w:color w:val="auto"/>
                <w:szCs w:val="44"/>
                <w:highlight w:val="none"/>
              </w:rPr>
            </w:pPr>
            <w:r>
              <w:rPr>
                <w:rFonts w:hint="eastAsia" w:ascii="宋体" w:hAnsi="宋体"/>
                <w:color w:val="auto"/>
                <w:szCs w:val="44"/>
                <w:highlight w:val="none"/>
              </w:rPr>
              <w:t>4</w:t>
            </w:r>
          </w:p>
        </w:tc>
        <w:tc>
          <w:tcPr>
            <w:tcW w:w="1541" w:type="dxa"/>
            <w:vAlign w:val="center"/>
          </w:tcPr>
          <w:p w14:paraId="50F4D3E0">
            <w:pPr>
              <w:jc w:val="center"/>
              <w:rPr>
                <w:rFonts w:ascii="宋体" w:hAnsi="宋体"/>
                <w:color w:val="auto"/>
                <w:szCs w:val="44"/>
                <w:highlight w:val="none"/>
              </w:rPr>
            </w:pPr>
          </w:p>
        </w:tc>
        <w:tc>
          <w:tcPr>
            <w:tcW w:w="595" w:type="dxa"/>
            <w:vAlign w:val="center"/>
          </w:tcPr>
          <w:p w14:paraId="12359E98">
            <w:pPr>
              <w:jc w:val="center"/>
              <w:rPr>
                <w:color w:val="auto"/>
                <w:highlight w:val="none"/>
              </w:rPr>
            </w:pPr>
          </w:p>
        </w:tc>
        <w:tc>
          <w:tcPr>
            <w:tcW w:w="595" w:type="dxa"/>
            <w:vAlign w:val="center"/>
          </w:tcPr>
          <w:p w14:paraId="698189BC">
            <w:pPr>
              <w:jc w:val="center"/>
              <w:rPr>
                <w:rFonts w:ascii="宋体" w:hAnsi="宋体"/>
                <w:color w:val="auto"/>
                <w:szCs w:val="44"/>
                <w:highlight w:val="none"/>
              </w:rPr>
            </w:pPr>
          </w:p>
        </w:tc>
        <w:tc>
          <w:tcPr>
            <w:tcW w:w="594" w:type="dxa"/>
            <w:vAlign w:val="center"/>
          </w:tcPr>
          <w:p w14:paraId="3FBB648B">
            <w:pPr>
              <w:jc w:val="center"/>
              <w:rPr>
                <w:rFonts w:ascii="宋体" w:hAnsi="宋体"/>
                <w:color w:val="auto"/>
                <w:szCs w:val="44"/>
                <w:highlight w:val="none"/>
              </w:rPr>
            </w:pPr>
          </w:p>
        </w:tc>
        <w:tc>
          <w:tcPr>
            <w:tcW w:w="593" w:type="dxa"/>
            <w:vAlign w:val="center"/>
          </w:tcPr>
          <w:p w14:paraId="6762BE59">
            <w:pPr>
              <w:jc w:val="center"/>
              <w:rPr>
                <w:rFonts w:ascii="宋体" w:hAnsi="宋体"/>
                <w:color w:val="auto"/>
                <w:szCs w:val="44"/>
                <w:highlight w:val="none"/>
              </w:rPr>
            </w:pPr>
          </w:p>
        </w:tc>
        <w:tc>
          <w:tcPr>
            <w:tcW w:w="593" w:type="dxa"/>
            <w:vAlign w:val="center"/>
          </w:tcPr>
          <w:p w14:paraId="694DAE4A">
            <w:pPr>
              <w:jc w:val="center"/>
              <w:rPr>
                <w:rFonts w:ascii="宋体" w:hAnsi="宋体"/>
                <w:color w:val="auto"/>
                <w:szCs w:val="44"/>
                <w:highlight w:val="none"/>
              </w:rPr>
            </w:pPr>
          </w:p>
        </w:tc>
        <w:tc>
          <w:tcPr>
            <w:tcW w:w="593" w:type="dxa"/>
            <w:vAlign w:val="center"/>
          </w:tcPr>
          <w:p w14:paraId="04605636">
            <w:pPr>
              <w:jc w:val="center"/>
              <w:rPr>
                <w:rFonts w:ascii="宋体" w:hAnsi="宋体"/>
                <w:color w:val="auto"/>
                <w:szCs w:val="44"/>
                <w:highlight w:val="none"/>
              </w:rPr>
            </w:pPr>
          </w:p>
        </w:tc>
        <w:tc>
          <w:tcPr>
            <w:tcW w:w="593" w:type="dxa"/>
            <w:vAlign w:val="center"/>
          </w:tcPr>
          <w:p w14:paraId="1BB14273">
            <w:pPr>
              <w:jc w:val="center"/>
              <w:rPr>
                <w:rFonts w:ascii="宋体" w:hAnsi="宋体"/>
                <w:color w:val="auto"/>
                <w:szCs w:val="44"/>
                <w:highlight w:val="none"/>
              </w:rPr>
            </w:pPr>
          </w:p>
        </w:tc>
        <w:tc>
          <w:tcPr>
            <w:tcW w:w="593" w:type="dxa"/>
            <w:vAlign w:val="center"/>
          </w:tcPr>
          <w:p w14:paraId="677A8B4A">
            <w:pPr>
              <w:jc w:val="center"/>
              <w:rPr>
                <w:rFonts w:ascii="宋体" w:hAnsi="宋体"/>
                <w:color w:val="auto"/>
                <w:szCs w:val="44"/>
                <w:highlight w:val="none"/>
              </w:rPr>
            </w:pPr>
          </w:p>
        </w:tc>
        <w:tc>
          <w:tcPr>
            <w:tcW w:w="594" w:type="dxa"/>
            <w:vAlign w:val="center"/>
          </w:tcPr>
          <w:p w14:paraId="2EB58088">
            <w:pPr>
              <w:jc w:val="center"/>
              <w:rPr>
                <w:rFonts w:ascii="宋体" w:hAnsi="宋体"/>
                <w:color w:val="auto"/>
                <w:szCs w:val="44"/>
                <w:highlight w:val="none"/>
              </w:rPr>
            </w:pPr>
          </w:p>
        </w:tc>
        <w:tc>
          <w:tcPr>
            <w:tcW w:w="714" w:type="dxa"/>
            <w:vAlign w:val="center"/>
          </w:tcPr>
          <w:p w14:paraId="08385EEE">
            <w:pPr>
              <w:jc w:val="center"/>
              <w:rPr>
                <w:rFonts w:ascii="宋体" w:hAnsi="宋体"/>
                <w:color w:val="auto"/>
                <w:szCs w:val="44"/>
                <w:highlight w:val="none"/>
              </w:rPr>
            </w:pPr>
          </w:p>
        </w:tc>
      </w:tr>
      <w:tr w14:paraId="1C40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10B3019E">
            <w:pPr>
              <w:jc w:val="center"/>
              <w:rPr>
                <w:rFonts w:ascii="宋体" w:hAnsi="宋体"/>
                <w:color w:val="auto"/>
                <w:szCs w:val="44"/>
                <w:highlight w:val="none"/>
              </w:rPr>
            </w:pPr>
            <w:r>
              <w:rPr>
                <w:rFonts w:hint="eastAsia" w:ascii="宋体" w:hAnsi="宋体"/>
                <w:color w:val="auto"/>
                <w:szCs w:val="44"/>
                <w:highlight w:val="none"/>
              </w:rPr>
              <w:t>5</w:t>
            </w:r>
          </w:p>
        </w:tc>
        <w:tc>
          <w:tcPr>
            <w:tcW w:w="1541" w:type="dxa"/>
            <w:vAlign w:val="center"/>
          </w:tcPr>
          <w:p w14:paraId="08232CF4">
            <w:pPr>
              <w:jc w:val="center"/>
              <w:rPr>
                <w:rFonts w:ascii="宋体" w:hAnsi="宋体"/>
                <w:color w:val="auto"/>
                <w:szCs w:val="44"/>
                <w:highlight w:val="none"/>
              </w:rPr>
            </w:pPr>
          </w:p>
        </w:tc>
        <w:tc>
          <w:tcPr>
            <w:tcW w:w="595" w:type="dxa"/>
            <w:vAlign w:val="center"/>
          </w:tcPr>
          <w:p w14:paraId="6FE40BDD">
            <w:pPr>
              <w:jc w:val="center"/>
              <w:rPr>
                <w:color w:val="auto"/>
                <w:highlight w:val="none"/>
              </w:rPr>
            </w:pPr>
          </w:p>
        </w:tc>
        <w:tc>
          <w:tcPr>
            <w:tcW w:w="595" w:type="dxa"/>
            <w:vAlign w:val="center"/>
          </w:tcPr>
          <w:p w14:paraId="5EE6F453">
            <w:pPr>
              <w:jc w:val="center"/>
              <w:rPr>
                <w:rFonts w:ascii="宋体" w:hAnsi="宋体"/>
                <w:color w:val="auto"/>
                <w:szCs w:val="44"/>
                <w:highlight w:val="none"/>
              </w:rPr>
            </w:pPr>
          </w:p>
        </w:tc>
        <w:tc>
          <w:tcPr>
            <w:tcW w:w="594" w:type="dxa"/>
            <w:vAlign w:val="center"/>
          </w:tcPr>
          <w:p w14:paraId="404929ED">
            <w:pPr>
              <w:jc w:val="center"/>
              <w:rPr>
                <w:rFonts w:ascii="宋体" w:hAnsi="宋体"/>
                <w:color w:val="auto"/>
                <w:szCs w:val="44"/>
                <w:highlight w:val="none"/>
              </w:rPr>
            </w:pPr>
          </w:p>
        </w:tc>
        <w:tc>
          <w:tcPr>
            <w:tcW w:w="593" w:type="dxa"/>
            <w:vAlign w:val="center"/>
          </w:tcPr>
          <w:p w14:paraId="4B654947">
            <w:pPr>
              <w:jc w:val="center"/>
              <w:rPr>
                <w:rFonts w:ascii="宋体" w:hAnsi="宋体"/>
                <w:color w:val="auto"/>
                <w:szCs w:val="44"/>
                <w:highlight w:val="none"/>
              </w:rPr>
            </w:pPr>
          </w:p>
        </w:tc>
        <w:tc>
          <w:tcPr>
            <w:tcW w:w="593" w:type="dxa"/>
            <w:vAlign w:val="center"/>
          </w:tcPr>
          <w:p w14:paraId="2698220D">
            <w:pPr>
              <w:jc w:val="center"/>
              <w:rPr>
                <w:rFonts w:ascii="宋体" w:hAnsi="宋体"/>
                <w:color w:val="auto"/>
                <w:szCs w:val="44"/>
                <w:highlight w:val="none"/>
              </w:rPr>
            </w:pPr>
          </w:p>
        </w:tc>
        <w:tc>
          <w:tcPr>
            <w:tcW w:w="593" w:type="dxa"/>
            <w:vAlign w:val="center"/>
          </w:tcPr>
          <w:p w14:paraId="69659DC8">
            <w:pPr>
              <w:jc w:val="center"/>
              <w:rPr>
                <w:rFonts w:ascii="宋体" w:hAnsi="宋体"/>
                <w:color w:val="auto"/>
                <w:szCs w:val="44"/>
                <w:highlight w:val="none"/>
              </w:rPr>
            </w:pPr>
          </w:p>
        </w:tc>
        <w:tc>
          <w:tcPr>
            <w:tcW w:w="593" w:type="dxa"/>
            <w:vAlign w:val="center"/>
          </w:tcPr>
          <w:p w14:paraId="03EBC06E">
            <w:pPr>
              <w:jc w:val="center"/>
              <w:rPr>
                <w:rFonts w:ascii="宋体" w:hAnsi="宋体"/>
                <w:color w:val="auto"/>
                <w:szCs w:val="44"/>
                <w:highlight w:val="none"/>
              </w:rPr>
            </w:pPr>
          </w:p>
        </w:tc>
        <w:tc>
          <w:tcPr>
            <w:tcW w:w="593" w:type="dxa"/>
            <w:vAlign w:val="center"/>
          </w:tcPr>
          <w:p w14:paraId="59532845">
            <w:pPr>
              <w:jc w:val="center"/>
              <w:rPr>
                <w:rFonts w:ascii="宋体" w:hAnsi="宋体"/>
                <w:color w:val="auto"/>
                <w:szCs w:val="44"/>
                <w:highlight w:val="none"/>
              </w:rPr>
            </w:pPr>
          </w:p>
        </w:tc>
        <w:tc>
          <w:tcPr>
            <w:tcW w:w="594" w:type="dxa"/>
            <w:vAlign w:val="center"/>
          </w:tcPr>
          <w:p w14:paraId="6B8829AF">
            <w:pPr>
              <w:jc w:val="center"/>
              <w:rPr>
                <w:rFonts w:ascii="宋体" w:hAnsi="宋体"/>
                <w:color w:val="auto"/>
                <w:szCs w:val="44"/>
                <w:highlight w:val="none"/>
              </w:rPr>
            </w:pPr>
          </w:p>
        </w:tc>
        <w:tc>
          <w:tcPr>
            <w:tcW w:w="714" w:type="dxa"/>
            <w:vAlign w:val="center"/>
          </w:tcPr>
          <w:p w14:paraId="11D49582">
            <w:pPr>
              <w:jc w:val="center"/>
              <w:rPr>
                <w:rFonts w:ascii="宋体" w:hAnsi="宋体"/>
                <w:color w:val="auto"/>
                <w:szCs w:val="44"/>
                <w:highlight w:val="none"/>
              </w:rPr>
            </w:pPr>
          </w:p>
        </w:tc>
      </w:tr>
      <w:tr w14:paraId="08679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13FE3507">
            <w:pPr>
              <w:jc w:val="center"/>
              <w:rPr>
                <w:rFonts w:ascii="宋体" w:hAnsi="宋体"/>
                <w:color w:val="auto"/>
                <w:szCs w:val="44"/>
                <w:highlight w:val="none"/>
              </w:rPr>
            </w:pPr>
            <w:r>
              <w:rPr>
                <w:rFonts w:hint="eastAsia" w:ascii="宋体" w:hAnsi="宋体"/>
                <w:color w:val="auto"/>
                <w:szCs w:val="44"/>
                <w:highlight w:val="none"/>
              </w:rPr>
              <w:t>6</w:t>
            </w:r>
          </w:p>
        </w:tc>
        <w:tc>
          <w:tcPr>
            <w:tcW w:w="1541" w:type="dxa"/>
            <w:vAlign w:val="center"/>
          </w:tcPr>
          <w:p w14:paraId="7D1BA7DD">
            <w:pPr>
              <w:jc w:val="center"/>
              <w:rPr>
                <w:rFonts w:ascii="宋体" w:hAnsi="宋体"/>
                <w:color w:val="auto"/>
                <w:szCs w:val="44"/>
                <w:highlight w:val="none"/>
              </w:rPr>
            </w:pPr>
          </w:p>
        </w:tc>
        <w:tc>
          <w:tcPr>
            <w:tcW w:w="595" w:type="dxa"/>
            <w:vAlign w:val="center"/>
          </w:tcPr>
          <w:p w14:paraId="66F66E2A">
            <w:pPr>
              <w:jc w:val="center"/>
              <w:rPr>
                <w:color w:val="auto"/>
                <w:highlight w:val="none"/>
              </w:rPr>
            </w:pPr>
          </w:p>
        </w:tc>
        <w:tc>
          <w:tcPr>
            <w:tcW w:w="595" w:type="dxa"/>
            <w:vAlign w:val="center"/>
          </w:tcPr>
          <w:p w14:paraId="098104BF">
            <w:pPr>
              <w:jc w:val="center"/>
              <w:rPr>
                <w:rFonts w:ascii="宋体" w:hAnsi="宋体"/>
                <w:color w:val="auto"/>
                <w:szCs w:val="44"/>
                <w:highlight w:val="none"/>
              </w:rPr>
            </w:pPr>
          </w:p>
        </w:tc>
        <w:tc>
          <w:tcPr>
            <w:tcW w:w="594" w:type="dxa"/>
            <w:vAlign w:val="center"/>
          </w:tcPr>
          <w:p w14:paraId="33B668C6">
            <w:pPr>
              <w:jc w:val="center"/>
              <w:rPr>
                <w:rFonts w:ascii="宋体" w:hAnsi="宋体"/>
                <w:color w:val="auto"/>
                <w:szCs w:val="44"/>
                <w:highlight w:val="none"/>
              </w:rPr>
            </w:pPr>
          </w:p>
        </w:tc>
        <w:tc>
          <w:tcPr>
            <w:tcW w:w="593" w:type="dxa"/>
            <w:vAlign w:val="center"/>
          </w:tcPr>
          <w:p w14:paraId="153ACBAB">
            <w:pPr>
              <w:jc w:val="center"/>
              <w:rPr>
                <w:rFonts w:ascii="宋体" w:hAnsi="宋体"/>
                <w:color w:val="auto"/>
                <w:szCs w:val="44"/>
                <w:highlight w:val="none"/>
              </w:rPr>
            </w:pPr>
          </w:p>
        </w:tc>
        <w:tc>
          <w:tcPr>
            <w:tcW w:w="593" w:type="dxa"/>
            <w:vAlign w:val="center"/>
          </w:tcPr>
          <w:p w14:paraId="4FD178EB">
            <w:pPr>
              <w:jc w:val="center"/>
              <w:rPr>
                <w:rFonts w:ascii="宋体" w:hAnsi="宋体"/>
                <w:color w:val="auto"/>
                <w:szCs w:val="44"/>
                <w:highlight w:val="none"/>
              </w:rPr>
            </w:pPr>
          </w:p>
        </w:tc>
        <w:tc>
          <w:tcPr>
            <w:tcW w:w="593" w:type="dxa"/>
            <w:vAlign w:val="center"/>
          </w:tcPr>
          <w:p w14:paraId="69F9D7DD">
            <w:pPr>
              <w:jc w:val="center"/>
              <w:rPr>
                <w:rFonts w:ascii="宋体" w:hAnsi="宋体"/>
                <w:color w:val="auto"/>
                <w:szCs w:val="44"/>
                <w:highlight w:val="none"/>
              </w:rPr>
            </w:pPr>
          </w:p>
        </w:tc>
        <w:tc>
          <w:tcPr>
            <w:tcW w:w="593" w:type="dxa"/>
            <w:vAlign w:val="center"/>
          </w:tcPr>
          <w:p w14:paraId="01BED62A">
            <w:pPr>
              <w:jc w:val="center"/>
              <w:rPr>
                <w:rFonts w:ascii="宋体" w:hAnsi="宋体"/>
                <w:color w:val="auto"/>
                <w:szCs w:val="44"/>
                <w:highlight w:val="none"/>
              </w:rPr>
            </w:pPr>
          </w:p>
        </w:tc>
        <w:tc>
          <w:tcPr>
            <w:tcW w:w="593" w:type="dxa"/>
            <w:vAlign w:val="center"/>
          </w:tcPr>
          <w:p w14:paraId="6369BC80">
            <w:pPr>
              <w:jc w:val="center"/>
              <w:rPr>
                <w:rFonts w:ascii="宋体" w:hAnsi="宋体"/>
                <w:color w:val="auto"/>
                <w:szCs w:val="44"/>
                <w:highlight w:val="none"/>
              </w:rPr>
            </w:pPr>
          </w:p>
        </w:tc>
        <w:tc>
          <w:tcPr>
            <w:tcW w:w="594" w:type="dxa"/>
            <w:vAlign w:val="center"/>
          </w:tcPr>
          <w:p w14:paraId="64BB8CC1">
            <w:pPr>
              <w:jc w:val="center"/>
              <w:rPr>
                <w:rFonts w:ascii="宋体" w:hAnsi="宋体"/>
                <w:color w:val="auto"/>
                <w:szCs w:val="44"/>
                <w:highlight w:val="none"/>
              </w:rPr>
            </w:pPr>
          </w:p>
        </w:tc>
        <w:tc>
          <w:tcPr>
            <w:tcW w:w="714" w:type="dxa"/>
            <w:vAlign w:val="center"/>
          </w:tcPr>
          <w:p w14:paraId="00927691">
            <w:pPr>
              <w:jc w:val="center"/>
              <w:rPr>
                <w:rFonts w:ascii="宋体" w:hAnsi="宋体"/>
                <w:color w:val="auto"/>
                <w:szCs w:val="44"/>
                <w:highlight w:val="none"/>
              </w:rPr>
            </w:pPr>
          </w:p>
        </w:tc>
      </w:tr>
      <w:tr w14:paraId="23F4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3259D6CD">
            <w:pPr>
              <w:jc w:val="center"/>
              <w:rPr>
                <w:rFonts w:ascii="宋体" w:hAnsi="宋体"/>
                <w:color w:val="auto"/>
                <w:szCs w:val="44"/>
                <w:highlight w:val="none"/>
              </w:rPr>
            </w:pPr>
            <w:r>
              <w:rPr>
                <w:rFonts w:hint="eastAsia" w:ascii="宋体" w:hAnsi="宋体"/>
                <w:color w:val="auto"/>
                <w:szCs w:val="44"/>
                <w:highlight w:val="none"/>
              </w:rPr>
              <w:t>…</w:t>
            </w:r>
          </w:p>
        </w:tc>
        <w:tc>
          <w:tcPr>
            <w:tcW w:w="1541" w:type="dxa"/>
            <w:vAlign w:val="center"/>
          </w:tcPr>
          <w:p w14:paraId="726DFB83">
            <w:pPr>
              <w:rPr>
                <w:rFonts w:ascii="宋体" w:hAnsi="宋体"/>
                <w:color w:val="auto"/>
                <w:szCs w:val="21"/>
                <w:highlight w:val="none"/>
              </w:rPr>
            </w:pPr>
          </w:p>
        </w:tc>
        <w:tc>
          <w:tcPr>
            <w:tcW w:w="595" w:type="dxa"/>
            <w:vAlign w:val="center"/>
          </w:tcPr>
          <w:p w14:paraId="146C8890">
            <w:pPr>
              <w:jc w:val="center"/>
              <w:rPr>
                <w:color w:val="auto"/>
                <w:highlight w:val="none"/>
              </w:rPr>
            </w:pPr>
          </w:p>
        </w:tc>
        <w:tc>
          <w:tcPr>
            <w:tcW w:w="595" w:type="dxa"/>
            <w:vAlign w:val="center"/>
          </w:tcPr>
          <w:p w14:paraId="6249BE95">
            <w:pPr>
              <w:jc w:val="center"/>
              <w:rPr>
                <w:rFonts w:ascii="宋体" w:hAnsi="宋体"/>
                <w:color w:val="auto"/>
                <w:szCs w:val="44"/>
                <w:highlight w:val="none"/>
              </w:rPr>
            </w:pPr>
          </w:p>
        </w:tc>
        <w:tc>
          <w:tcPr>
            <w:tcW w:w="594" w:type="dxa"/>
            <w:vAlign w:val="center"/>
          </w:tcPr>
          <w:p w14:paraId="6127E665">
            <w:pPr>
              <w:jc w:val="center"/>
              <w:rPr>
                <w:rFonts w:ascii="宋体" w:hAnsi="宋体"/>
                <w:color w:val="auto"/>
                <w:szCs w:val="44"/>
                <w:highlight w:val="none"/>
              </w:rPr>
            </w:pPr>
          </w:p>
        </w:tc>
        <w:tc>
          <w:tcPr>
            <w:tcW w:w="593" w:type="dxa"/>
            <w:vAlign w:val="center"/>
          </w:tcPr>
          <w:p w14:paraId="5D32A659">
            <w:pPr>
              <w:jc w:val="center"/>
              <w:rPr>
                <w:rFonts w:ascii="宋体" w:hAnsi="宋体"/>
                <w:color w:val="auto"/>
                <w:szCs w:val="44"/>
                <w:highlight w:val="none"/>
              </w:rPr>
            </w:pPr>
          </w:p>
        </w:tc>
        <w:tc>
          <w:tcPr>
            <w:tcW w:w="593" w:type="dxa"/>
            <w:vAlign w:val="center"/>
          </w:tcPr>
          <w:p w14:paraId="1546F360">
            <w:pPr>
              <w:jc w:val="center"/>
              <w:rPr>
                <w:rFonts w:ascii="宋体" w:hAnsi="宋体"/>
                <w:color w:val="auto"/>
                <w:szCs w:val="44"/>
                <w:highlight w:val="none"/>
              </w:rPr>
            </w:pPr>
          </w:p>
        </w:tc>
        <w:tc>
          <w:tcPr>
            <w:tcW w:w="593" w:type="dxa"/>
            <w:vAlign w:val="center"/>
          </w:tcPr>
          <w:p w14:paraId="55CB82D0">
            <w:pPr>
              <w:jc w:val="center"/>
              <w:rPr>
                <w:rFonts w:ascii="宋体" w:hAnsi="宋体"/>
                <w:color w:val="auto"/>
                <w:szCs w:val="44"/>
                <w:highlight w:val="none"/>
              </w:rPr>
            </w:pPr>
          </w:p>
        </w:tc>
        <w:tc>
          <w:tcPr>
            <w:tcW w:w="593" w:type="dxa"/>
            <w:vAlign w:val="center"/>
          </w:tcPr>
          <w:p w14:paraId="163170D3">
            <w:pPr>
              <w:jc w:val="center"/>
              <w:rPr>
                <w:rFonts w:ascii="宋体" w:hAnsi="宋体"/>
                <w:color w:val="auto"/>
                <w:szCs w:val="44"/>
                <w:highlight w:val="none"/>
              </w:rPr>
            </w:pPr>
          </w:p>
        </w:tc>
        <w:tc>
          <w:tcPr>
            <w:tcW w:w="593" w:type="dxa"/>
            <w:vAlign w:val="center"/>
          </w:tcPr>
          <w:p w14:paraId="6CE02B82">
            <w:pPr>
              <w:jc w:val="center"/>
              <w:rPr>
                <w:rFonts w:ascii="宋体" w:hAnsi="宋体"/>
                <w:color w:val="auto"/>
                <w:szCs w:val="44"/>
                <w:highlight w:val="none"/>
              </w:rPr>
            </w:pPr>
          </w:p>
        </w:tc>
        <w:tc>
          <w:tcPr>
            <w:tcW w:w="594" w:type="dxa"/>
            <w:vAlign w:val="center"/>
          </w:tcPr>
          <w:p w14:paraId="43AAD0C7">
            <w:pPr>
              <w:jc w:val="center"/>
              <w:rPr>
                <w:rFonts w:ascii="宋体" w:hAnsi="宋体"/>
                <w:color w:val="auto"/>
                <w:szCs w:val="44"/>
                <w:highlight w:val="none"/>
              </w:rPr>
            </w:pPr>
          </w:p>
        </w:tc>
        <w:tc>
          <w:tcPr>
            <w:tcW w:w="714" w:type="dxa"/>
            <w:vAlign w:val="center"/>
          </w:tcPr>
          <w:p w14:paraId="6A3477D4">
            <w:pPr>
              <w:jc w:val="center"/>
              <w:rPr>
                <w:rFonts w:ascii="宋体" w:hAnsi="宋体"/>
                <w:color w:val="auto"/>
                <w:szCs w:val="44"/>
                <w:highlight w:val="none"/>
              </w:rPr>
            </w:pPr>
          </w:p>
        </w:tc>
      </w:tr>
      <w:tr w14:paraId="2636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02" w:type="dxa"/>
            <w:gridSpan w:val="12"/>
            <w:vAlign w:val="center"/>
          </w:tcPr>
          <w:p w14:paraId="29F04EA7">
            <w:pPr>
              <w:jc w:val="left"/>
              <w:rPr>
                <w:rFonts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3F6D2923">
            <w:pPr>
              <w:jc w:val="left"/>
              <w:rPr>
                <w:rFonts w:ascii="宋体" w:hAnsi="宋体"/>
                <w:color w:val="auto"/>
                <w:szCs w:val="44"/>
                <w:highlight w:val="none"/>
              </w:rPr>
            </w:pPr>
          </w:p>
          <w:p w14:paraId="4CB5A3DE">
            <w:pPr>
              <w:jc w:val="left"/>
              <w:rPr>
                <w:rFonts w:ascii="宋体" w:hAnsi="宋体"/>
                <w:color w:val="auto"/>
                <w:szCs w:val="44"/>
                <w:highlight w:val="none"/>
              </w:rPr>
            </w:pPr>
          </w:p>
          <w:p w14:paraId="66E121B3">
            <w:pPr>
              <w:jc w:val="left"/>
              <w:rPr>
                <w:rFonts w:ascii="宋体" w:hAnsi="宋体"/>
                <w:color w:val="auto"/>
                <w:szCs w:val="44"/>
                <w:highlight w:val="none"/>
              </w:rPr>
            </w:pPr>
          </w:p>
          <w:p w14:paraId="345B56E9">
            <w:pPr>
              <w:jc w:val="left"/>
              <w:rPr>
                <w:rFonts w:ascii="宋体" w:hAnsi="宋体"/>
                <w:color w:val="auto"/>
                <w:szCs w:val="44"/>
                <w:highlight w:val="none"/>
              </w:rPr>
            </w:pPr>
          </w:p>
          <w:p w14:paraId="419004D1">
            <w:pPr>
              <w:jc w:val="left"/>
              <w:rPr>
                <w:rFonts w:ascii="宋体" w:hAnsi="宋体"/>
                <w:color w:val="auto"/>
                <w:szCs w:val="44"/>
                <w:highlight w:val="none"/>
              </w:rPr>
            </w:pPr>
          </w:p>
          <w:p w14:paraId="025D2457">
            <w:pPr>
              <w:jc w:val="left"/>
              <w:rPr>
                <w:rFonts w:ascii="宋体" w:hAnsi="宋体"/>
                <w:color w:val="auto"/>
                <w:szCs w:val="44"/>
                <w:highlight w:val="none"/>
              </w:rPr>
            </w:pPr>
          </w:p>
          <w:p w14:paraId="7B9D57B2">
            <w:pPr>
              <w:jc w:val="center"/>
              <w:rPr>
                <w:rFonts w:ascii="宋体" w:hAnsi="宋体"/>
                <w:color w:val="auto"/>
                <w:szCs w:val="44"/>
                <w:highlight w:val="none"/>
              </w:rPr>
            </w:pPr>
          </w:p>
        </w:tc>
      </w:tr>
    </w:tbl>
    <w:p w14:paraId="0DC0FA33">
      <w:pPr>
        <w:spacing w:line="400" w:lineRule="exact"/>
        <w:ind w:left="840" w:leftChars="400" w:firstLine="4410" w:firstLineChars="2100"/>
        <w:rPr>
          <w:rFonts w:ascii="宋体" w:hAnsi="宋体"/>
          <w:color w:val="auto"/>
          <w:szCs w:val="44"/>
          <w:highlight w:val="none"/>
        </w:rPr>
      </w:pPr>
      <w:r>
        <w:rPr>
          <w:rFonts w:hint="eastAsia" w:ascii="宋体" w:hAnsi="宋体"/>
          <w:color w:val="auto"/>
          <w:szCs w:val="44"/>
          <w:highlight w:val="none"/>
        </w:rPr>
        <w:t xml:space="preserve">    日期：    年    月    日</w:t>
      </w:r>
    </w:p>
    <w:p w14:paraId="7C8B6FFF">
      <w:pPr>
        <w:widowControl/>
        <w:jc w:val="left"/>
        <w:rPr>
          <w:rFonts w:ascii="宋体" w:hAnsi="宋体"/>
          <w:color w:val="auto"/>
          <w:szCs w:val="44"/>
          <w:highlight w:val="none"/>
        </w:rPr>
      </w:pPr>
      <w:r>
        <w:rPr>
          <w:rFonts w:ascii="宋体" w:hAnsi="宋体"/>
          <w:color w:val="auto"/>
          <w:szCs w:val="44"/>
          <w:highlight w:val="none"/>
        </w:rPr>
        <w:br w:type="page"/>
      </w:r>
    </w:p>
    <w:p w14:paraId="42793BE6">
      <w:pPr>
        <w:pStyle w:val="37"/>
        <w:ind w:firstLine="118"/>
        <w:rPr>
          <w:color w:val="auto"/>
          <w:highlight w:val="none"/>
        </w:rPr>
      </w:pPr>
      <w:bookmarkStart w:id="1037" w:name="_Toc148860667"/>
      <w:bookmarkStart w:id="1038" w:name="_Toc256000139"/>
      <w:bookmarkStart w:id="1039" w:name="_Toc8952"/>
      <w:bookmarkStart w:id="1040" w:name="_Toc11853"/>
      <w:bookmarkStart w:id="1041" w:name="_Toc164716309"/>
      <w:r>
        <w:rPr>
          <w:rFonts w:hint="eastAsia"/>
          <w:color w:val="auto"/>
          <w:highlight w:val="none"/>
        </w:rPr>
        <w:t>附表A-7（1）：</w:t>
      </w:r>
      <w:r>
        <w:rPr>
          <w:rFonts w:hint="eastAsia"/>
          <w:color w:val="auto"/>
          <w:szCs w:val="21"/>
          <w:highlight w:val="none"/>
        </w:rPr>
        <w:t>承包人建议书</w:t>
      </w:r>
      <w:r>
        <w:rPr>
          <w:rFonts w:hint="eastAsia"/>
          <w:color w:val="auto"/>
          <w:highlight w:val="none"/>
        </w:rPr>
        <w:t>评审记录表（合格性）</w:t>
      </w:r>
      <w:bookmarkEnd w:id="1037"/>
      <w:bookmarkEnd w:id="1038"/>
      <w:bookmarkEnd w:id="1039"/>
      <w:bookmarkEnd w:id="1040"/>
      <w:bookmarkEnd w:id="1041"/>
    </w:p>
    <w:p w14:paraId="21DD8AEB">
      <w:pPr>
        <w:pStyle w:val="21"/>
        <w:rPr>
          <w:color w:val="auto"/>
          <w:highlight w:val="none"/>
        </w:rPr>
      </w:pPr>
    </w:p>
    <w:p w14:paraId="40053854">
      <w:pPr>
        <w:adjustRightInd w:val="0"/>
        <w:snapToGrid w:val="0"/>
        <w:spacing w:before="240" w:beforeLines="100" w:after="240" w:afterLines="100" w:line="440" w:lineRule="exact"/>
        <w:jc w:val="center"/>
        <w:rPr>
          <w:rFonts w:ascii="黑体" w:hAnsi="宋体" w:eastAsia="黑体"/>
          <w:color w:val="auto"/>
          <w:sz w:val="36"/>
          <w:szCs w:val="36"/>
          <w:highlight w:val="none"/>
        </w:rPr>
      </w:pPr>
      <w:r>
        <w:rPr>
          <w:rFonts w:hint="eastAsia" w:ascii="黑体" w:hAnsi="宋体" w:eastAsia="黑体"/>
          <w:color w:val="auto"/>
          <w:sz w:val="36"/>
          <w:szCs w:val="36"/>
          <w:highlight w:val="none"/>
        </w:rPr>
        <w:t>承包人建议书</w:t>
      </w:r>
      <w:r>
        <w:rPr>
          <w:rFonts w:hint="eastAsia" w:ascii="黑体" w:hAnsi="黑体" w:eastAsia="黑体"/>
          <w:bCs/>
          <w:color w:val="auto"/>
          <w:sz w:val="36"/>
          <w:szCs w:val="36"/>
          <w:highlight w:val="none"/>
        </w:rPr>
        <w:t>评审</w:t>
      </w:r>
      <w:r>
        <w:rPr>
          <w:rFonts w:hint="eastAsia" w:ascii="黑体" w:hAnsi="宋体" w:eastAsia="黑体"/>
          <w:color w:val="auto"/>
          <w:sz w:val="36"/>
          <w:szCs w:val="36"/>
          <w:highlight w:val="none"/>
        </w:rPr>
        <w:t>记录表</w:t>
      </w:r>
    </w:p>
    <w:p w14:paraId="65606F27">
      <w:pPr>
        <w:spacing w:line="400" w:lineRule="exact"/>
        <w:jc w:val="center"/>
        <w:rPr>
          <w:rFonts w:ascii="宋体" w:hAnsi="宋体"/>
          <w:color w:val="auto"/>
          <w:szCs w:val="44"/>
          <w:highlight w:val="none"/>
        </w:rPr>
      </w:pPr>
      <w:r>
        <w:rPr>
          <w:rFonts w:hint="eastAsia" w:ascii="黑体" w:hAnsi="宋体" w:eastAsia="黑体"/>
          <w:color w:val="auto"/>
          <w:sz w:val="36"/>
          <w:szCs w:val="36"/>
          <w:highlight w:val="none"/>
        </w:rPr>
        <w:t>（适用于经评审的最低投标价法）</w:t>
      </w:r>
    </w:p>
    <w:p w14:paraId="76404A2B">
      <w:pPr>
        <w:rPr>
          <w:rFonts w:ascii="宋体" w:hAnsi="宋体"/>
          <w:color w:val="auto"/>
          <w:szCs w:val="44"/>
          <w:highlight w:val="none"/>
        </w:rPr>
      </w:pPr>
      <w:r>
        <w:rPr>
          <w:rFonts w:hint="eastAsia" w:ascii="宋体" w:hAnsi="宋体"/>
          <w:color w:val="auto"/>
          <w:szCs w:val="44"/>
          <w:highlight w:val="none"/>
        </w:rPr>
        <w:t>标段名称：</w:t>
      </w:r>
    </w:p>
    <w:p w14:paraId="65ADDF25">
      <w:pPr>
        <w:rPr>
          <w:rFonts w:ascii="宋体" w:hAnsi="宋体"/>
          <w:color w:val="auto"/>
          <w:szCs w:val="44"/>
          <w:highlight w:val="none"/>
        </w:rPr>
      </w:pPr>
      <w:r>
        <w:rPr>
          <w:rFonts w:hint="eastAsia"/>
          <w:color w:val="auto"/>
          <w:szCs w:val="44"/>
          <w:highlight w:val="none"/>
        </w:rPr>
        <w:t>标段唯一标识码：</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267"/>
        <w:gridCol w:w="599"/>
        <w:gridCol w:w="599"/>
        <w:gridCol w:w="599"/>
        <w:gridCol w:w="598"/>
        <w:gridCol w:w="598"/>
        <w:gridCol w:w="598"/>
        <w:gridCol w:w="598"/>
        <w:gridCol w:w="598"/>
        <w:gridCol w:w="599"/>
        <w:gridCol w:w="718"/>
      </w:tblGrid>
      <w:tr w14:paraId="6944A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4" w:type="dxa"/>
            <w:vMerge w:val="restart"/>
            <w:vAlign w:val="center"/>
          </w:tcPr>
          <w:p w14:paraId="24E98DF6">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267" w:type="dxa"/>
            <w:vMerge w:val="restart"/>
            <w:vAlign w:val="center"/>
          </w:tcPr>
          <w:p w14:paraId="17802B2A">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5386" w:type="dxa"/>
            <w:gridSpan w:val="9"/>
            <w:vAlign w:val="center"/>
          </w:tcPr>
          <w:p w14:paraId="6BE40441">
            <w:pPr>
              <w:jc w:val="center"/>
              <w:rPr>
                <w:rFonts w:ascii="宋体" w:hAnsi="宋体"/>
                <w:b/>
                <w:bCs/>
                <w:color w:val="auto"/>
                <w:szCs w:val="44"/>
                <w:highlight w:val="none"/>
              </w:rPr>
            </w:pPr>
            <w:r>
              <w:rPr>
                <w:rFonts w:hint="eastAsia" w:ascii="宋体" w:hAnsi="宋体"/>
                <w:b/>
                <w:bCs/>
                <w:color w:val="auto"/>
                <w:szCs w:val="44"/>
                <w:highlight w:val="none"/>
              </w:rPr>
              <w:t>评审标准及评审意见</w:t>
            </w:r>
          </w:p>
        </w:tc>
        <w:tc>
          <w:tcPr>
            <w:tcW w:w="718" w:type="dxa"/>
            <w:vMerge w:val="restart"/>
            <w:vAlign w:val="center"/>
          </w:tcPr>
          <w:p w14:paraId="1F93415F">
            <w:pPr>
              <w:jc w:val="center"/>
              <w:rPr>
                <w:rFonts w:ascii="宋体" w:hAnsi="宋体"/>
                <w:b/>
                <w:bCs/>
                <w:color w:val="auto"/>
                <w:szCs w:val="44"/>
                <w:highlight w:val="none"/>
              </w:rPr>
            </w:pPr>
            <w:r>
              <w:rPr>
                <w:rFonts w:ascii="宋体" w:hAnsi="宋体"/>
                <w:b/>
                <w:bCs/>
                <w:color w:val="auto"/>
                <w:szCs w:val="21"/>
                <w:highlight w:val="none"/>
              </w:rPr>
              <w:t>评审结论</w:t>
            </w:r>
          </w:p>
        </w:tc>
      </w:tr>
      <w:tr w14:paraId="4D658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4" w:type="dxa"/>
            <w:vMerge w:val="continue"/>
            <w:vAlign w:val="center"/>
          </w:tcPr>
          <w:p w14:paraId="529AF9BA">
            <w:pPr>
              <w:jc w:val="center"/>
              <w:rPr>
                <w:rFonts w:ascii="宋体" w:hAnsi="宋体"/>
                <w:color w:val="auto"/>
                <w:szCs w:val="44"/>
                <w:highlight w:val="none"/>
              </w:rPr>
            </w:pPr>
          </w:p>
        </w:tc>
        <w:tc>
          <w:tcPr>
            <w:tcW w:w="1267" w:type="dxa"/>
            <w:vMerge w:val="continue"/>
          </w:tcPr>
          <w:p w14:paraId="5792DB4A">
            <w:pPr>
              <w:jc w:val="center"/>
              <w:rPr>
                <w:rFonts w:ascii="宋体" w:hAnsi="宋体"/>
                <w:color w:val="auto"/>
                <w:szCs w:val="44"/>
                <w:highlight w:val="none"/>
              </w:rPr>
            </w:pPr>
          </w:p>
        </w:tc>
        <w:tc>
          <w:tcPr>
            <w:tcW w:w="599" w:type="dxa"/>
            <w:vAlign w:val="center"/>
          </w:tcPr>
          <w:p w14:paraId="36658543">
            <w:pPr>
              <w:jc w:val="center"/>
              <w:rPr>
                <w:rFonts w:ascii="宋体" w:hAnsi="宋体"/>
                <w:color w:val="auto"/>
                <w:szCs w:val="44"/>
                <w:highlight w:val="none"/>
              </w:rPr>
            </w:pPr>
          </w:p>
        </w:tc>
        <w:tc>
          <w:tcPr>
            <w:tcW w:w="599" w:type="dxa"/>
            <w:vAlign w:val="center"/>
          </w:tcPr>
          <w:p w14:paraId="46A70B17">
            <w:pPr>
              <w:jc w:val="center"/>
              <w:rPr>
                <w:rFonts w:ascii="宋体" w:hAnsi="宋体"/>
                <w:color w:val="auto"/>
                <w:szCs w:val="44"/>
                <w:highlight w:val="none"/>
              </w:rPr>
            </w:pPr>
          </w:p>
        </w:tc>
        <w:tc>
          <w:tcPr>
            <w:tcW w:w="599" w:type="dxa"/>
            <w:vAlign w:val="center"/>
          </w:tcPr>
          <w:p w14:paraId="0319D7CC">
            <w:pPr>
              <w:jc w:val="center"/>
              <w:rPr>
                <w:rFonts w:ascii="宋体" w:hAnsi="宋体"/>
                <w:color w:val="auto"/>
                <w:szCs w:val="44"/>
                <w:highlight w:val="none"/>
              </w:rPr>
            </w:pPr>
          </w:p>
        </w:tc>
        <w:tc>
          <w:tcPr>
            <w:tcW w:w="598" w:type="dxa"/>
            <w:vAlign w:val="center"/>
          </w:tcPr>
          <w:p w14:paraId="08F835BD">
            <w:pPr>
              <w:jc w:val="center"/>
              <w:rPr>
                <w:rFonts w:ascii="宋体" w:hAnsi="宋体"/>
                <w:color w:val="auto"/>
                <w:szCs w:val="44"/>
                <w:highlight w:val="none"/>
              </w:rPr>
            </w:pPr>
          </w:p>
        </w:tc>
        <w:tc>
          <w:tcPr>
            <w:tcW w:w="598" w:type="dxa"/>
            <w:vAlign w:val="center"/>
          </w:tcPr>
          <w:p w14:paraId="6238D786">
            <w:pPr>
              <w:jc w:val="center"/>
              <w:rPr>
                <w:rFonts w:ascii="宋体" w:hAnsi="宋体"/>
                <w:color w:val="auto"/>
                <w:szCs w:val="44"/>
                <w:highlight w:val="none"/>
              </w:rPr>
            </w:pPr>
          </w:p>
        </w:tc>
        <w:tc>
          <w:tcPr>
            <w:tcW w:w="598" w:type="dxa"/>
            <w:vAlign w:val="center"/>
          </w:tcPr>
          <w:p w14:paraId="38AF2C92">
            <w:pPr>
              <w:jc w:val="center"/>
              <w:rPr>
                <w:rFonts w:ascii="宋体" w:hAnsi="宋体"/>
                <w:color w:val="auto"/>
                <w:szCs w:val="44"/>
                <w:highlight w:val="none"/>
              </w:rPr>
            </w:pPr>
          </w:p>
        </w:tc>
        <w:tc>
          <w:tcPr>
            <w:tcW w:w="598" w:type="dxa"/>
            <w:vAlign w:val="center"/>
          </w:tcPr>
          <w:p w14:paraId="756656F6">
            <w:pPr>
              <w:jc w:val="center"/>
              <w:rPr>
                <w:rFonts w:ascii="宋体" w:hAnsi="宋体"/>
                <w:color w:val="auto"/>
                <w:szCs w:val="44"/>
                <w:highlight w:val="none"/>
              </w:rPr>
            </w:pPr>
          </w:p>
        </w:tc>
        <w:tc>
          <w:tcPr>
            <w:tcW w:w="598" w:type="dxa"/>
            <w:vAlign w:val="center"/>
          </w:tcPr>
          <w:p w14:paraId="4D016A80">
            <w:pPr>
              <w:jc w:val="center"/>
              <w:rPr>
                <w:rFonts w:ascii="宋体" w:hAnsi="宋体"/>
                <w:color w:val="auto"/>
                <w:szCs w:val="44"/>
                <w:highlight w:val="none"/>
              </w:rPr>
            </w:pPr>
          </w:p>
        </w:tc>
        <w:tc>
          <w:tcPr>
            <w:tcW w:w="599" w:type="dxa"/>
            <w:vAlign w:val="center"/>
          </w:tcPr>
          <w:p w14:paraId="57CCE157">
            <w:pPr>
              <w:jc w:val="center"/>
              <w:rPr>
                <w:rFonts w:ascii="宋体" w:hAnsi="宋体"/>
                <w:color w:val="auto"/>
                <w:szCs w:val="44"/>
                <w:highlight w:val="none"/>
              </w:rPr>
            </w:pPr>
          </w:p>
        </w:tc>
        <w:tc>
          <w:tcPr>
            <w:tcW w:w="718" w:type="dxa"/>
            <w:vMerge w:val="continue"/>
            <w:vAlign w:val="center"/>
          </w:tcPr>
          <w:p w14:paraId="2E3091F1">
            <w:pPr>
              <w:jc w:val="center"/>
              <w:rPr>
                <w:rFonts w:ascii="宋体" w:hAnsi="宋体"/>
                <w:color w:val="auto"/>
                <w:szCs w:val="44"/>
                <w:highlight w:val="none"/>
              </w:rPr>
            </w:pPr>
          </w:p>
        </w:tc>
      </w:tr>
      <w:tr w14:paraId="78D1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1B58E79F">
            <w:pPr>
              <w:jc w:val="center"/>
              <w:rPr>
                <w:rFonts w:ascii="宋体" w:hAnsi="宋体"/>
                <w:color w:val="auto"/>
                <w:szCs w:val="44"/>
                <w:highlight w:val="none"/>
              </w:rPr>
            </w:pPr>
            <w:r>
              <w:rPr>
                <w:rFonts w:hint="eastAsia" w:ascii="宋体" w:hAnsi="宋体"/>
                <w:color w:val="auto"/>
                <w:szCs w:val="44"/>
                <w:highlight w:val="none"/>
              </w:rPr>
              <w:t>1</w:t>
            </w:r>
          </w:p>
        </w:tc>
        <w:tc>
          <w:tcPr>
            <w:tcW w:w="1267" w:type="dxa"/>
            <w:vAlign w:val="center"/>
          </w:tcPr>
          <w:p w14:paraId="409F0180">
            <w:pPr>
              <w:jc w:val="center"/>
              <w:rPr>
                <w:rFonts w:ascii="宋体" w:hAnsi="宋体"/>
                <w:color w:val="auto"/>
                <w:szCs w:val="21"/>
                <w:highlight w:val="none"/>
              </w:rPr>
            </w:pPr>
          </w:p>
        </w:tc>
        <w:tc>
          <w:tcPr>
            <w:tcW w:w="599" w:type="dxa"/>
            <w:vAlign w:val="center"/>
          </w:tcPr>
          <w:p w14:paraId="4EC8A474">
            <w:pPr>
              <w:jc w:val="center"/>
              <w:rPr>
                <w:rFonts w:ascii="宋体" w:hAnsi="宋体"/>
                <w:color w:val="auto"/>
                <w:szCs w:val="21"/>
                <w:highlight w:val="none"/>
              </w:rPr>
            </w:pPr>
          </w:p>
        </w:tc>
        <w:tc>
          <w:tcPr>
            <w:tcW w:w="599" w:type="dxa"/>
            <w:vAlign w:val="center"/>
          </w:tcPr>
          <w:p w14:paraId="701C1729">
            <w:pPr>
              <w:jc w:val="center"/>
              <w:rPr>
                <w:rFonts w:ascii="宋体" w:hAnsi="宋体"/>
                <w:color w:val="auto"/>
                <w:szCs w:val="44"/>
                <w:highlight w:val="none"/>
              </w:rPr>
            </w:pPr>
          </w:p>
        </w:tc>
        <w:tc>
          <w:tcPr>
            <w:tcW w:w="599" w:type="dxa"/>
            <w:vAlign w:val="center"/>
          </w:tcPr>
          <w:p w14:paraId="5E39FABB">
            <w:pPr>
              <w:jc w:val="center"/>
              <w:rPr>
                <w:rFonts w:ascii="宋体" w:hAnsi="宋体"/>
                <w:color w:val="auto"/>
                <w:szCs w:val="44"/>
                <w:highlight w:val="none"/>
              </w:rPr>
            </w:pPr>
          </w:p>
        </w:tc>
        <w:tc>
          <w:tcPr>
            <w:tcW w:w="598" w:type="dxa"/>
            <w:vAlign w:val="center"/>
          </w:tcPr>
          <w:p w14:paraId="703E71C8">
            <w:pPr>
              <w:jc w:val="center"/>
              <w:rPr>
                <w:rFonts w:ascii="宋体" w:hAnsi="宋体"/>
                <w:color w:val="auto"/>
                <w:szCs w:val="44"/>
                <w:highlight w:val="none"/>
              </w:rPr>
            </w:pPr>
          </w:p>
        </w:tc>
        <w:tc>
          <w:tcPr>
            <w:tcW w:w="598" w:type="dxa"/>
            <w:vAlign w:val="center"/>
          </w:tcPr>
          <w:p w14:paraId="6BD3505B">
            <w:pPr>
              <w:jc w:val="center"/>
              <w:rPr>
                <w:rFonts w:ascii="宋体" w:hAnsi="宋体"/>
                <w:color w:val="auto"/>
                <w:szCs w:val="44"/>
                <w:highlight w:val="none"/>
              </w:rPr>
            </w:pPr>
          </w:p>
        </w:tc>
        <w:tc>
          <w:tcPr>
            <w:tcW w:w="598" w:type="dxa"/>
            <w:vAlign w:val="center"/>
          </w:tcPr>
          <w:p w14:paraId="6705C7DA">
            <w:pPr>
              <w:jc w:val="center"/>
              <w:rPr>
                <w:rFonts w:ascii="宋体" w:hAnsi="宋体"/>
                <w:color w:val="auto"/>
                <w:szCs w:val="44"/>
                <w:highlight w:val="none"/>
              </w:rPr>
            </w:pPr>
          </w:p>
        </w:tc>
        <w:tc>
          <w:tcPr>
            <w:tcW w:w="598" w:type="dxa"/>
            <w:vAlign w:val="center"/>
          </w:tcPr>
          <w:p w14:paraId="512EEEAB">
            <w:pPr>
              <w:jc w:val="center"/>
              <w:rPr>
                <w:rFonts w:ascii="宋体" w:hAnsi="宋体"/>
                <w:color w:val="auto"/>
                <w:szCs w:val="44"/>
                <w:highlight w:val="none"/>
              </w:rPr>
            </w:pPr>
          </w:p>
        </w:tc>
        <w:tc>
          <w:tcPr>
            <w:tcW w:w="598" w:type="dxa"/>
            <w:vAlign w:val="center"/>
          </w:tcPr>
          <w:p w14:paraId="70AA07C1">
            <w:pPr>
              <w:jc w:val="center"/>
              <w:rPr>
                <w:rFonts w:ascii="宋体" w:hAnsi="宋体"/>
                <w:color w:val="auto"/>
                <w:szCs w:val="44"/>
                <w:highlight w:val="none"/>
              </w:rPr>
            </w:pPr>
          </w:p>
        </w:tc>
        <w:tc>
          <w:tcPr>
            <w:tcW w:w="599" w:type="dxa"/>
            <w:vAlign w:val="center"/>
          </w:tcPr>
          <w:p w14:paraId="32DD4124">
            <w:pPr>
              <w:jc w:val="center"/>
              <w:rPr>
                <w:rFonts w:ascii="宋体" w:hAnsi="宋体"/>
                <w:color w:val="auto"/>
                <w:szCs w:val="44"/>
                <w:highlight w:val="none"/>
              </w:rPr>
            </w:pPr>
          </w:p>
        </w:tc>
        <w:tc>
          <w:tcPr>
            <w:tcW w:w="718" w:type="dxa"/>
            <w:vAlign w:val="center"/>
          </w:tcPr>
          <w:p w14:paraId="626F65FE">
            <w:pPr>
              <w:jc w:val="center"/>
              <w:rPr>
                <w:rFonts w:ascii="宋体" w:hAnsi="宋体"/>
                <w:color w:val="auto"/>
                <w:szCs w:val="44"/>
                <w:highlight w:val="none"/>
              </w:rPr>
            </w:pPr>
          </w:p>
        </w:tc>
      </w:tr>
      <w:tr w14:paraId="3E9D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65D45A00">
            <w:pPr>
              <w:jc w:val="center"/>
              <w:rPr>
                <w:rFonts w:ascii="宋体" w:hAnsi="宋体"/>
                <w:color w:val="auto"/>
                <w:szCs w:val="44"/>
                <w:highlight w:val="none"/>
              </w:rPr>
            </w:pPr>
            <w:r>
              <w:rPr>
                <w:rFonts w:hint="eastAsia" w:ascii="宋体" w:hAnsi="宋体"/>
                <w:color w:val="auto"/>
                <w:szCs w:val="44"/>
                <w:highlight w:val="none"/>
              </w:rPr>
              <w:t>2</w:t>
            </w:r>
          </w:p>
        </w:tc>
        <w:tc>
          <w:tcPr>
            <w:tcW w:w="1267" w:type="dxa"/>
            <w:vAlign w:val="center"/>
          </w:tcPr>
          <w:p w14:paraId="069BB8A1">
            <w:pPr>
              <w:jc w:val="center"/>
              <w:rPr>
                <w:rFonts w:ascii="宋体" w:hAnsi="宋体"/>
                <w:color w:val="auto"/>
                <w:szCs w:val="44"/>
                <w:highlight w:val="none"/>
              </w:rPr>
            </w:pPr>
          </w:p>
        </w:tc>
        <w:tc>
          <w:tcPr>
            <w:tcW w:w="599" w:type="dxa"/>
            <w:vAlign w:val="center"/>
          </w:tcPr>
          <w:p w14:paraId="2110DCAE">
            <w:pPr>
              <w:jc w:val="center"/>
              <w:rPr>
                <w:color w:val="auto"/>
                <w:highlight w:val="none"/>
              </w:rPr>
            </w:pPr>
          </w:p>
        </w:tc>
        <w:tc>
          <w:tcPr>
            <w:tcW w:w="599" w:type="dxa"/>
            <w:vAlign w:val="center"/>
          </w:tcPr>
          <w:p w14:paraId="1C69F366">
            <w:pPr>
              <w:jc w:val="center"/>
              <w:rPr>
                <w:rFonts w:ascii="宋体" w:hAnsi="宋体"/>
                <w:color w:val="auto"/>
                <w:szCs w:val="44"/>
                <w:highlight w:val="none"/>
              </w:rPr>
            </w:pPr>
          </w:p>
        </w:tc>
        <w:tc>
          <w:tcPr>
            <w:tcW w:w="599" w:type="dxa"/>
            <w:vAlign w:val="center"/>
          </w:tcPr>
          <w:p w14:paraId="1C686608">
            <w:pPr>
              <w:jc w:val="center"/>
              <w:rPr>
                <w:rFonts w:ascii="宋体" w:hAnsi="宋体"/>
                <w:color w:val="auto"/>
                <w:szCs w:val="44"/>
                <w:highlight w:val="none"/>
              </w:rPr>
            </w:pPr>
          </w:p>
        </w:tc>
        <w:tc>
          <w:tcPr>
            <w:tcW w:w="598" w:type="dxa"/>
            <w:vAlign w:val="center"/>
          </w:tcPr>
          <w:p w14:paraId="75D78232">
            <w:pPr>
              <w:jc w:val="center"/>
              <w:rPr>
                <w:rFonts w:ascii="宋体" w:hAnsi="宋体"/>
                <w:color w:val="auto"/>
                <w:szCs w:val="44"/>
                <w:highlight w:val="none"/>
              </w:rPr>
            </w:pPr>
          </w:p>
        </w:tc>
        <w:tc>
          <w:tcPr>
            <w:tcW w:w="598" w:type="dxa"/>
            <w:vAlign w:val="center"/>
          </w:tcPr>
          <w:p w14:paraId="536B54E4">
            <w:pPr>
              <w:jc w:val="center"/>
              <w:rPr>
                <w:rFonts w:ascii="宋体" w:hAnsi="宋体"/>
                <w:color w:val="auto"/>
                <w:szCs w:val="44"/>
                <w:highlight w:val="none"/>
              </w:rPr>
            </w:pPr>
          </w:p>
        </w:tc>
        <w:tc>
          <w:tcPr>
            <w:tcW w:w="598" w:type="dxa"/>
            <w:vAlign w:val="center"/>
          </w:tcPr>
          <w:p w14:paraId="019781ED">
            <w:pPr>
              <w:jc w:val="center"/>
              <w:rPr>
                <w:rFonts w:ascii="宋体" w:hAnsi="宋体"/>
                <w:color w:val="auto"/>
                <w:szCs w:val="44"/>
                <w:highlight w:val="none"/>
              </w:rPr>
            </w:pPr>
          </w:p>
        </w:tc>
        <w:tc>
          <w:tcPr>
            <w:tcW w:w="598" w:type="dxa"/>
            <w:vAlign w:val="center"/>
          </w:tcPr>
          <w:p w14:paraId="71B2BD35">
            <w:pPr>
              <w:jc w:val="center"/>
              <w:rPr>
                <w:rFonts w:ascii="宋体" w:hAnsi="宋体"/>
                <w:color w:val="auto"/>
                <w:szCs w:val="44"/>
                <w:highlight w:val="none"/>
              </w:rPr>
            </w:pPr>
          </w:p>
        </w:tc>
        <w:tc>
          <w:tcPr>
            <w:tcW w:w="598" w:type="dxa"/>
            <w:vAlign w:val="center"/>
          </w:tcPr>
          <w:p w14:paraId="44C3CD18">
            <w:pPr>
              <w:jc w:val="center"/>
              <w:rPr>
                <w:rFonts w:ascii="宋体" w:hAnsi="宋体"/>
                <w:color w:val="auto"/>
                <w:szCs w:val="44"/>
                <w:highlight w:val="none"/>
              </w:rPr>
            </w:pPr>
          </w:p>
        </w:tc>
        <w:tc>
          <w:tcPr>
            <w:tcW w:w="599" w:type="dxa"/>
            <w:vAlign w:val="center"/>
          </w:tcPr>
          <w:p w14:paraId="2E180A3E">
            <w:pPr>
              <w:jc w:val="center"/>
              <w:rPr>
                <w:rFonts w:ascii="宋体" w:hAnsi="宋体"/>
                <w:color w:val="auto"/>
                <w:szCs w:val="44"/>
                <w:highlight w:val="none"/>
              </w:rPr>
            </w:pPr>
          </w:p>
        </w:tc>
        <w:tc>
          <w:tcPr>
            <w:tcW w:w="718" w:type="dxa"/>
            <w:vAlign w:val="center"/>
          </w:tcPr>
          <w:p w14:paraId="53EA4ADE">
            <w:pPr>
              <w:jc w:val="center"/>
              <w:rPr>
                <w:rFonts w:ascii="宋体" w:hAnsi="宋体"/>
                <w:color w:val="auto"/>
                <w:szCs w:val="44"/>
                <w:highlight w:val="none"/>
              </w:rPr>
            </w:pPr>
          </w:p>
        </w:tc>
      </w:tr>
      <w:tr w14:paraId="7895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1034E233">
            <w:pPr>
              <w:jc w:val="center"/>
              <w:rPr>
                <w:rFonts w:ascii="宋体" w:hAnsi="宋体"/>
                <w:color w:val="auto"/>
                <w:szCs w:val="44"/>
                <w:highlight w:val="none"/>
              </w:rPr>
            </w:pPr>
            <w:r>
              <w:rPr>
                <w:rFonts w:hint="eastAsia" w:ascii="宋体" w:hAnsi="宋体"/>
                <w:color w:val="auto"/>
                <w:szCs w:val="44"/>
                <w:highlight w:val="none"/>
              </w:rPr>
              <w:t>3</w:t>
            </w:r>
          </w:p>
        </w:tc>
        <w:tc>
          <w:tcPr>
            <w:tcW w:w="1267" w:type="dxa"/>
            <w:vAlign w:val="center"/>
          </w:tcPr>
          <w:p w14:paraId="092078F4">
            <w:pPr>
              <w:jc w:val="center"/>
              <w:rPr>
                <w:rFonts w:ascii="宋体" w:hAnsi="宋体"/>
                <w:color w:val="auto"/>
                <w:szCs w:val="44"/>
                <w:highlight w:val="none"/>
              </w:rPr>
            </w:pPr>
          </w:p>
        </w:tc>
        <w:tc>
          <w:tcPr>
            <w:tcW w:w="599" w:type="dxa"/>
            <w:vAlign w:val="center"/>
          </w:tcPr>
          <w:p w14:paraId="2807B1D3">
            <w:pPr>
              <w:jc w:val="center"/>
              <w:rPr>
                <w:color w:val="auto"/>
                <w:highlight w:val="none"/>
              </w:rPr>
            </w:pPr>
          </w:p>
        </w:tc>
        <w:tc>
          <w:tcPr>
            <w:tcW w:w="599" w:type="dxa"/>
            <w:vAlign w:val="center"/>
          </w:tcPr>
          <w:p w14:paraId="5C025D20">
            <w:pPr>
              <w:jc w:val="center"/>
              <w:rPr>
                <w:rFonts w:ascii="宋体" w:hAnsi="宋体"/>
                <w:color w:val="auto"/>
                <w:szCs w:val="44"/>
                <w:highlight w:val="none"/>
              </w:rPr>
            </w:pPr>
          </w:p>
        </w:tc>
        <w:tc>
          <w:tcPr>
            <w:tcW w:w="599" w:type="dxa"/>
            <w:vAlign w:val="center"/>
          </w:tcPr>
          <w:p w14:paraId="28AC802D">
            <w:pPr>
              <w:jc w:val="center"/>
              <w:rPr>
                <w:rFonts w:ascii="宋体" w:hAnsi="宋体"/>
                <w:color w:val="auto"/>
                <w:szCs w:val="44"/>
                <w:highlight w:val="none"/>
              </w:rPr>
            </w:pPr>
          </w:p>
        </w:tc>
        <w:tc>
          <w:tcPr>
            <w:tcW w:w="598" w:type="dxa"/>
            <w:vAlign w:val="center"/>
          </w:tcPr>
          <w:p w14:paraId="62C7043C">
            <w:pPr>
              <w:jc w:val="center"/>
              <w:rPr>
                <w:rFonts w:ascii="宋体" w:hAnsi="宋体"/>
                <w:color w:val="auto"/>
                <w:szCs w:val="44"/>
                <w:highlight w:val="none"/>
              </w:rPr>
            </w:pPr>
          </w:p>
        </w:tc>
        <w:tc>
          <w:tcPr>
            <w:tcW w:w="598" w:type="dxa"/>
            <w:vAlign w:val="center"/>
          </w:tcPr>
          <w:p w14:paraId="3C6B72B3">
            <w:pPr>
              <w:jc w:val="center"/>
              <w:rPr>
                <w:rFonts w:ascii="宋体" w:hAnsi="宋体"/>
                <w:color w:val="auto"/>
                <w:szCs w:val="44"/>
                <w:highlight w:val="none"/>
              </w:rPr>
            </w:pPr>
          </w:p>
        </w:tc>
        <w:tc>
          <w:tcPr>
            <w:tcW w:w="598" w:type="dxa"/>
            <w:vAlign w:val="center"/>
          </w:tcPr>
          <w:p w14:paraId="691B98CB">
            <w:pPr>
              <w:jc w:val="center"/>
              <w:rPr>
                <w:rFonts w:ascii="宋体" w:hAnsi="宋体"/>
                <w:color w:val="auto"/>
                <w:szCs w:val="44"/>
                <w:highlight w:val="none"/>
              </w:rPr>
            </w:pPr>
          </w:p>
        </w:tc>
        <w:tc>
          <w:tcPr>
            <w:tcW w:w="598" w:type="dxa"/>
            <w:vAlign w:val="center"/>
          </w:tcPr>
          <w:p w14:paraId="5BEE1291">
            <w:pPr>
              <w:jc w:val="center"/>
              <w:rPr>
                <w:rFonts w:ascii="宋体" w:hAnsi="宋体"/>
                <w:color w:val="auto"/>
                <w:szCs w:val="44"/>
                <w:highlight w:val="none"/>
              </w:rPr>
            </w:pPr>
          </w:p>
        </w:tc>
        <w:tc>
          <w:tcPr>
            <w:tcW w:w="598" w:type="dxa"/>
            <w:vAlign w:val="center"/>
          </w:tcPr>
          <w:p w14:paraId="27E27003">
            <w:pPr>
              <w:jc w:val="center"/>
              <w:rPr>
                <w:rFonts w:ascii="宋体" w:hAnsi="宋体"/>
                <w:color w:val="auto"/>
                <w:szCs w:val="44"/>
                <w:highlight w:val="none"/>
              </w:rPr>
            </w:pPr>
          </w:p>
        </w:tc>
        <w:tc>
          <w:tcPr>
            <w:tcW w:w="599" w:type="dxa"/>
            <w:vAlign w:val="center"/>
          </w:tcPr>
          <w:p w14:paraId="72F89B24">
            <w:pPr>
              <w:jc w:val="center"/>
              <w:rPr>
                <w:rFonts w:ascii="宋体" w:hAnsi="宋体"/>
                <w:color w:val="auto"/>
                <w:szCs w:val="44"/>
                <w:highlight w:val="none"/>
              </w:rPr>
            </w:pPr>
          </w:p>
        </w:tc>
        <w:tc>
          <w:tcPr>
            <w:tcW w:w="718" w:type="dxa"/>
            <w:vAlign w:val="center"/>
          </w:tcPr>
          <w:p w14:paraId="56DF65E0">
            <w:pPr>
              <w:jc w:val="center"/>
              <w:rPr>
                <w:rFonts w:ascii="宋体" w:hAnsi="宋体"/>
                <w:color w:val="auto"/>
                <w:szCs w:val="44"/>
                <w:highlight w:val="none"/>
              </w:rPr>
            </w:pPr>
          </w:p>
        </w:tc>
      </w:tr>
      <w:tr w14:paraId="54D5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7FA0F978">
            <w:pPr>
              <w:jc w:val="center"/>
              <w:rPr>
                <w:rFonts w:ascii="宋体" w:hAnsi="宋体"/>
                <w:color w:val="auto"/>
                <w:szCs w:val="44"/>
                <w:highlight w:val="none"/>
              </w:rPr>
            </w:pPr>
            <w:r>
              <w:rPr>
                <w:rFonts w:hint="eastAsia" w:ascii="宋体" w:hAnsi="宋体"/>
                <w:color w:val="auto"/>
                <w:szCs w:val="44"/>
                <w:highlight w:val="none"/>
              </w:rPr>
              <w:t>4</w:t>
            </w:r>
          </w:p>
        </w:tc>
        <w:tc>
          <w:tcPr>
            <w:tcW w:w="1267" w:type="dxa"/>
            <w:vAlign w:val="center"/>
          </w:tcPr>
          <w:p w14:paraId="7D978A73">
            <w:pPr>
              <w:jc w:val="center"/>
              <w:rPr>
                <w:rFonts w:ascii="宋体" w:hAnsi="宋体"/>
                <w:color w:val="auto"/>
                <w:szCs w:val="44"/>
                <w:highlight w:val="none"/>
              </w:rPr>
            </w:pPr>
          </w:p>
        </w:tc>
        <w:tc>
          <w:tcPr>
            <w:tcW w:w="599" w:type="dxa"/>
            <w:vAlign w:val="center"/>
          </w:tcPr>
          <w:p w14:paraId="5F460635">
            <w:pPr>
              <w:jc w:val="center"/>
              <w:rPr>
                <w:color w:val="auto"/>
                <w:highlight w:val="none"/>
              </w:rPr>
            </w:pPr>
          </w:p>
        </w:tc>
        <w:tc>
          <w:tcPr>
            <w:tcW w:w="599" w:type="dxa"/>
            <w:vAlign w:val="center"/>
          </w:tcPr>
          <w:p w14:paraId="7AC0DBF8">
            <w:pPr>
              <w:jc w:val="center"/>
              <w:rPr>
                <w:rFonts w:ascii="宋体" w:hAnsi="宋体"/>
                <w:color w:val="auto"/>
                <w:szCs w:val="44"/>
                <w:highlight w:val="none"/>
              </w:rPr>
            </w:pPr>
          </w:p>
        </w:tc>
        <w:tc>
          <w:tcPr>
            <w:tcW w:w="599" w:type="dxa"/>
            <w:vAlign w:val="center"/>
          </w:tcPr>
          <w:p w14:paraId="50DBBAD0">
            <w:pPr>
              <w:jc w:val="center"/>
              <w:rPr>
                <w:rFonts w:ascii="宋体" w:hAnsi="宋体"/>
                <w:color w:val="auto"/>
                <w:szCs w:val="44"/>
                <w:highlight w:val="none"/>
              </w:rPr>
            </w:pPr>
          </w:p>
        </w:tc>
        <w:tc>
          <w:tcPr>
            <w:tcW w:w="598" w:type="dxa"/>
            <w:vAlign w:val="center"/>
          </w:tcPr>
          <w:p w14:paraId="16A92F2E">
            <w:pPr>
              <w:jc w:val="center"/>
              <w:rPr>
                <w:rFonts w:ascii="宋体" w:hAnsi="宋体"/>
                <w:color w:val="auto"/>
                <w:szCs w:val="44"/>
                <w:highlight w:val="none"/>
              </w:rPr>
            </w:pPr>
          </w:p>
        </w:tc>
        <w:tc>
          <w:tcPr>
            <w:tcW w:w="598" w:type="dxa"/>
            <w:vAlign w:val="center"/>
          </w:tcPr>
          <w:p w14:paraId="6169CAD3">
            <w:pPr>
              <w:jc w:val="center"/>
              <w:rPr>
                <w:rFonts w:ascii="宋体" w:hAnsi="宋体"/>
                <w:color w:val="auto"/>
                <w:szCs w:val="44"/>
                <w:highlight w:val="none"/>
              </w:rPr>
            </w:pPr>
          </w:p>
        </w:tc>
        <w:tc>
          <w:tcPr>
            <w:tcW w:w="598" w:type="dxa"/>
            <w:vAlign w:val="center"/>
          </w:tcPr>
          <w:p w14:paraId="6AAE0C91">
            <w:pPr>
              <w:jc w:val="center"/>
              <w:rPr>
                <w:rFonts w:ascii="宋体" w:hAnsi="宋体"/>
                <w:color w:val="auto"/>
                <w:szCs w:val="44"/>
                <w:highlight w:val="none"/>
              </w:rPr>
            </w:pPr>
          </w:p>
        </w:tc>
        <w:tc>
          <w:tcPr>
            <w:tcW w:w="598" w:type="dxa"/>
            <w:vAlign w:val="center"/>
          </w:tcPr>
          <w:p w14:paraId="7323CDAD">
            <w:pPr>
              <w:jc w:val="center"/>
              <w:rPr>
                <w:rFonts w:ascii="宋体" w:hAnsi="宋体"/>
                <w:color w:val="auto"/>
                <w:szCs w:val="44"/>
                <w:highlight w:val="none"/>
              </w:rPr>
            </w:pPr>
          </w:p>
        </w:tc>
        <w:tc>
          <w:tcPr>
            <w:tcW w:w="598" w:type="dxa"/>
            <w:vAlign w:val="center"/>
          </w:tcPr>
          <w:p w14:paraId="393BBC13">
            <w:pPr>
              <w:jc w:val="center"/>
              <w:rPr>
                <w:rFonts w:ascii="宋体" w:hAnsi="宋体"/>
                <w:color w:val="auto"/>
                <w:szCs w:val="44"/>
                <w:highlight w:val="none"/>
              </w:rPr>
            </w:pPr>
          </w:p>
        </w:tc>
        <w:tc>
          <w:tcPr>
            <w:tcW w:w="599" w:type="dxa"/>
            <w:vAlign w:val="center"/>
          </w:tcPr>
          <w:p w14:paraId="314F8282">
            <w:pPr>
              <w:jc w:val="center"/>
              <w:rPr>
                <w:rFonts w:ascii="宋体" w:hAnsi="宋体"/>
                <w:color w:val="auto"/>
                <w:szCs w:val="44"/>
                <w:highlight w:val="none"/>
              </w:rPr>
            </w:pPr>
          </w:p>
        </w:tc>
        <w:tc>
          <w:tcPr>
            <w:tcW w:w="718" w:type="dxa"/>
            <w:vAlign w:val="center"/>
          </w:tcPr>
          <w:p w14:paraId="5A7A0766">
            <w:pPr>
              <w:jc w:val="center"/>
              <w:rPr>
                <w:rFonts w:ascii="宋体" w:hAnsi="宋体"/>
                <w:color w:val="auto"/>
                <w:szCs w:val="44"/>
                <w:highlight w:val="none"/>
              </w:rPr>
            </w:pPr>
          </w:p>
        </w:tc>
      </w:tr>
      <w:tr w14:paraId="22DE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659A5496">
            <w:pPr>
              <w:jc w:val="center"/>
              <w:rPr>
                <w:rFonts w:ascii="宋体" w:hAnsi="宋体"/>
                <w:color w:val="auto"/>
                <w:szCs w:val="44"/>
                <w:highlight w:val="none"/>
              </w:rPr>
            </w:pPr>
            <w:r>
              <w:rPr>
                <w:rFonts w:hint="eastAsia" w:ascii="宋体" w:hAnsi="宋体"/>
                <w:color w:val="auto"/>
                <w:szCs w:val="44"/>
                <w:highlight w:val="none"/>
              </w:rPr>
              <w:t>5</w:t>
            </w:r>
          </w:p>
        </w:tc>
        <w:tc>
          <w:tcPr>
            <w:tcW w:w="1267" w:type="dxa"/>
            <w:vAlign w:val="center"/>
          </w:tcPr>
          <w:p w14:paraId="41C31349">
            <w:pPr>
              <w:jc w:val="center"/>
              <w:rPr>
                <w:rFonts w:ascii="宋体" w:hAnsi="宋体"/>
                <w:color w:val="auto"/>
                <w:szCs w:val="44"/>
                <w:highlight w:val="none"/>
              </w:rPr>
            </w:pPr>
          </w:p>
        </w:tc>
        <w:tc>
          <w:tcPr>
            <w:tcW w:w="599" w:type="dxa"/>
            <w:vAlign w:val="center"/>
          </w:tcPr>
          <w:p w14:paraId="020CB2B7">
            <w:pPr>
              <w:jc w:val="center"/>
              <w:rPr>
                <w:color w:val="auto"/>
                <w:highlight w:val="none"/>
              </w:rPr>
            </w:pPr>
          </w:p>
        </w:tc>
        <w:tc>
          <w:tcPr>
            <w:tcW w:w="599" w:type="dxa"/>
            <w:vAlign w:val="center"/>
          </w:tcPr>
          <w:p w14:paraId="41967DEE">
            <w:pPr>
              <w:jc w:val="center"/>
              <w:rPr>
                <w:rFonts w:ascii="宋体" w:hAnsi="宋体"/>
                <w:color w:val="auto"/>
                <w:szCs w:val="44"/>
                <w:highlight w:val="none"/>
              </w:rPr>
            </w:pPr>
          </w:p>
        </w:tc>
        <w:tc>
          <w:tcPr>
            <w:tcW w:w="599" w:type="dxa"/>
            <w:vAlign w:val="center"/>
          </w:tcPr>
          <w:p w14:paraId="13F5406A">
            <w:pPr>
              <w:jc w:val="center"/>
              <w:rPr>
                <w:rFonts w:ascii="宋体" w:hAnsi="宋体"/>
                <w:color w:val="auto"/>
                <w:szCs w:val="44"/>
                <w:highlight w:val="none"/>
              </w:rPr>
            </w:pPr>
          </w:p>
        </w:tc>
        <w:tc>
          <w:tcPr>
            <w:tcW w:w="598" w:type="dxa"/>
            <w:vAlign w:val="center"/>
          </w:tcPr>
          <w:p w14:paraId="54A6CF56">
            <w:pPr>
              <w:jc w:val="center"/>
              <w:rPr>
                <w:rFonts w:ascii="宋体" w:hAnsi="宋体"/>
                <w:color w:val="auto"/>
                <w:szCs w:val="44"/>
                <w:highlight w:val="none"/>
              </w:rPr>
            </w:pPr>
          </w:p>
        </w:tc>
        <w:tc>
          <w:tcPr>
            <w:tcW w:w="598" w:type="dxa"/>
            <w:vAlign w:val="center"/>
          </w:tcPr>
          <w:p w14:paraId="3E3BDC45">
            <w:pPr>
              <w:jc w:val="center"/>
              <w:rPr>
                <w:rFonts w:ascii="宋体" w:hAnsi="宋体"/>
                <w:color w:val="auto"/>
                <w:szCs w:val="44"/>
                <w:highlight w:val="none"/>
              </w:rPr>
            </w:pPr>
          </w:p>
        </w:tc>
        <w:tc>
          <w:tcPr>
            <w:tcW w:w="598" w:type="dxa"/>
            <w:vAlign w:val="center"/>
          </w:tcPr>
          <w:p w14:paraId="5297F71B">
            <w:pPr>
              <w:jc w:val="center"/>
              <w:rPr>
                <w:rFonts w:ascii="宋体" w:hAnsi="宋体"/>
                <w:color w:val="auto"/>
                <w:szCs w:val="44"/>
                <w:highlight w:val="none"/>
              </w:rPr>
            </w:pPr>
          </w:p>
        </w:tc>
        <w:tc>
          <w:tcPr>
            <w:tcW w:w="598" w:type="dxa"/>
            <w:vAlign w:val="center"/>
          </w:tcPr>
          <w:p w14:paraId="17CE4D3C">
            <w:pPr>
              <w:jc w:val="center"/>
              <w:rPr>
                <w:rFonts w:ascii="宋体" w:hAnsi="宋体"/>
                <w:color w:val="auto"/>
                <w:szCs w:val="44"/>
                <w:highlight w:val="none"/>
              </w:rPr>
            </w:pPr>
          </w:p>
        </w:tc>
        <w:tc>
          <w:tcPr>
            <w:tcW w:w="598" w:type="dxa"/>
            <w:vAlign w:val="center"/>
          </w:tcPr>
          <w:p w14:paraId="1D750074">
            <w:pPr>
              <w:jc w:val="center"/>
              <w:rPr>
                <w:rFonts w:ascii="宋体" w:hAnsi="宋体"/>
                <w:color w:val="auto"/>
                <w:szCs w:val="44"/>
                <w:highlight w:val="none"/>
              </w:rPr>
            </w:pPr>
          </w:p>
        </w:tc>
        <w:tc>
          <w:tcPr>
            <w:tcW w:w="599" w:type="dxa"/>
            <w:vAlign w:val="center"/>
          </w:tcPr>
          <w:p w14:paraId="662D79A2">
            <w:pPr>
              <w:jc w:val="center"/>
              <w:rPr>
                <w:rFonts w:ascii="宋体" w:hAnsi="宋体"/>
                <w:color w:val="auto"/>
                <w:szCs w:val="44"/>
                <w:highlight w:val="none"/>
              </w:rPr>
            </w:pPr>
          </w:p>
        </w:tc>
        <w:tc>
          <w:tcPr>
            <w:tcW w:w="718" w:type="dxa"/>
            <w:vAlign w:val="center"/>
          </w:tcPr>
          <w:p w14:paraId="0E59B42F">
            <w:pPr>
              <w:jc w:val="center"/>
              <w:rPr>
                <w:rFonts w:ascii="宋体" w:hAnsi="宋体"/>
                <w:color w:val="auto"/>
                <w:szCs w:val="44"/>
                <w:highlight w:val="none"/>
              </w:rPr>
            </w:pPr>
          </w:p>
        </w:tc>
      </w:tr>
      <w:tr w14:paraId="0386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074A1DD0">
            <w:pPr>
              <w:jc w:val="center"/>
              <w:rPr>
                <w:rFonts w:ascii="宋体" w:hAnsi="宋体"/>
                <w:color w:val="auto"/>
                <w:szCs w:val="44"/>
                <w:highlight w:val="none"/>
              </w:rPr>
            </w:pPr>
            <w:r>
              <w:rPr>
                <w:rFonts w:hint="eastAsia" w:ascii="宋体" w:hAnsi="宋体"/>
                <w:color w:val="auto"/>
                <w:szCs w:val="44"/>
                <w:highlight w:val="none"/>
              </w:rPr>
              <w:t>6</w:t>
            </w:r>
          </w:p>
        </w:tc>
        <w:tc>
          <w:tcPr>
            <w:tcW w:w="1267" w:type="dxa"/>
            <w:vAlign w:val="center"/>
          </w:tcPr>
          <w:p w14:paraId="25ADDF23">
            <w:pPr>
              <w:jc w:val="center"/>
              <w:rPr>
                <w:rFonts w:ascii="宋体" w:hAnsi="宋体"/>
                <w:color w:val="auto"/>
                <w:szCs w:val="44"/>
                <w:highlight w:val="none"/>
              </w:rPr>
            </w:pPr>
          </w:p>
        </w:tc>
        <w:tc>
          <w:tcPr>
            <w:tcW w:w="599" w:type="dxa"/>
            <w:vAlign w:val="center"/>
          </w:tcPr>
          <w:p w14:paraId="2C886C18">
            <w:pPr>
              <w:jc w:val="center"/>
              <w:rPr>
                <w:color w:val="auto"/>
                <w:highlight w:val="none"/>
              </w:rPr>
            </w:pPr>
          </w:p>
        </w:tc>
        <w:tc>
          <w:tcPr>
            <w:tcW w:w="599" w:type="dxa"/>
            <w:vAlign w:val="center"/>
          </w:tcPr>
          <w:p w14:paraId="32239AB3">
            <w:pPr>
              <w:jc w:val="center"/>
              <w:rPr>
                <w:rFonts w:ascii="宋体" w:hAnsi="宋体"/>
                <w:color w:val="auto"/>
                <w:szCs w:val="44"/>
                <w:highlight w:val="none"/>
              </w:rPr>
            </w:pPr>
          </w:p>
        </w:tc>
        <w:tc>
          <w:tcPr>
            <w:tcW w:w="599" w:type="dxa"/>
            <w:vAlign w:val="center"/>
          </w:tcPr>
          <w:p w14:paraId="12334AAF">
            <w:pPr>
              <w:jc w:val="center"/>
              <w:rPr>
                <w:rFonts w:ascii="宋体" w:hAnsi="宋体"/>
                <w:color w:val="auto"/>
                <w:szCs w:val="44"/>
                <w:highlight w:val="none"/>
              </w:rPr>
            </w:pPr>
          </w:p>
        </w:tc>
        <w:tc>
          <w:tcPr>
            <w:tcW w:w="598" w:type="dxa"/>
            <w:vAlign w:val="center"/>
          </w:tcPr>
          <w:p w14:paraId="40E8793E">
            <w:pPr>
              <w:jc w:val="center"/>
              <w:rPr>
                <w:rFonts w:ascii="宋体" w:hAnsi="宋体"/>
                <w:color w:val="auto"/>
                <w:szCs w:val="44"/>
                <w:highlight w:val="none"/>
              </w:rPr>
            </w:pPr>
          </w:p>
        </w:tc>
        <w:tc>
          <w:tcPr>
            <w:tcW w:w="598" w:type="dxa"/>
            <w:vAlign w:val="center"/>
          </w:tcPr>
          <w:p w14:paraId="40DE662F">
            <w:pPr>
              <w:jc w:val="center"/>
              <w:rPr>
                <w:rFonts w:ascii="宋体" w:hAnsi="宋体"/>
                <w:color w:val="auto"/>
                <w:szCs w:val="44"/>
                <w:highlight w:val="none"/>
              </w:rPr>
            </w:pPr>
          </w:p>
        </w:tc>
        <w:tc>
          <w:tcPr>
            <w:tcW w:w="598" w:type="dxa"/>
            <w:vAlign w:val="center"/>
          </w:tcPr>
          <w:p w14:paraId="61C04949">
            <w:pPr>
              <w:jc w:val="center"/>
              <w:rPr>
                <w:rFonts w:ascii="宋体" w:hAnsi="宋体"/>
                <w:color w:val="auto"/>
                <w:szCs w:val="44"/>
                <w:highlight w:val="none"/>
              </w:rPr>
            </w:pPr>
          </w:p>
        </w:tc>
        <w:tc>
          <w:tcPr>
            <w:tcW w:w="598" w:type="dxa"/>
            <w:vAlign w:val="center"/>
          </w:tcPr>
          <w:p w14:paraId="1B4BA87A">
            <w:pPr>
              <w:jc w:val="center"/>
              <w:rPr>
                <w:rFonts w:ascii="宋体" w:hAnsi="宋体"/>
                <w:color w:val="auto"/>
                <w:szCs w:val="44"/>
                <w:highlight w:val="none"/>
              </w:rPr>
            </w:pPr>
          </w:p>
        </w:tc>
        <w:tc>
          <w:tcPr>
            <w:tcW w:w="598" w:type="dxa"/>
            <w:vAlign w:val="center"/>
          </w:tcPr>
          <w:p w14:paraId="15235FA6">
            <w:pPr>
              <w:jc w:val="center"/>
              <w:rPr>
                <w:rFonts w:ascii="宋体" w:hAnsi="宋体"/>
                <w:color w:val="auto"/>
                <w:szCs w:val="44"/>
                <w:highlight w:val="none"/>
              </w:rPr>
            </w:pPr>
          </w:p>
        </w:tc>
        <w:tc>
          <w:tcPr>
            <w:tcW w:w="599" w:type="dxa"/>
            <w:vAlign w:val="center"/>
          </w:tcPr>
          <w:p w14:paraId="024E9988">
            <w:pPr>
              <w:jc w:val="center"/>
              <w:rPr>
                <w:rFonts w:ascii="宋体" w:hAnsi="宋体"/>
                <w:color w:val="auto"/>
                <w:szCs w:val="44"/>
                <w:highlight w:val="none"/>
              </w:rPr>
            </w:pPr>
          </w:p>
        </w:tc>
        <w:tc>
          <w:tcPr>
            <w:tcW w:w="718" w:type="dxa"/>
            <w:vAlign w:val="center"/>
          </w:tcPr>
          <w:p w14:paraId="75EB890C">
            <w:pPr>
              <w:jc w:val="center"/>
              <w:rPr>
                <w:rFonts w:ascii="宋体" w:hAnsi="宋体"/>
                <w:color w:val="auto"/>
                <w:szCs w:val="44"/>
                <w:highlight w:val="none"/>
              </w:rPr>
            </w:pPr>
          </w:p>
        </w:tc>
      </w:tr>
      <w:tr w14:paraId="2AFF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46C1F4AA">
            <w:pPr>
              <w:jc w:val="center"/>
              <w:rPr>
                <w:rFonts w:ascii="宋体" w:hAnsi="宋体"/>
                <w:color w:val="auto"/>
                <w:szCs w:val="44"/>
                <w:highlight w:val="none"/>
              </w:rPr>
            </w:pPr>
            <w:r>
              <w:rPr>
                <w:rFonts w:hint="eastAsia" w:ascii="宋体" w:hAnsi="宋体"/>
                <w:color w:val="auto"/>
                <w:szCs w:val="44"/>
                <w:highlight w:val="none"/>
              </w:rPr>
              <w:t>…</w:t>
            </w:r>
          </w:p>
        </w:tc>
        <w:tc>
          <w:tcPr>
            <w:tcW w:w="1267" w:type="dxa"/>
            <w:vAlign w:val="center"/>
          </w:tcPr>
          <w:p w14:paraId="46960833">
            <w:pPr>
              <w:rPr>
                <w:rFonts w:ascii="宋体" w:hAnsi="宋体"/>
                <w:color w:val="auto"/>
                <w:szCs w:val="21"/>
                <w:highlight w:val="none"/>
              </w:rPr>
            </w:pPr>
          </w:p>
        </w:tc>
        <w:tc>
          <w:tcPr>
            <w:tcW w:w="599" w:type="dxa"/>
            <w:vAlign w:val="center"/>
          </w:tcPr>
          <w:p w14:paraId="52B75D98">
            <w:pPr>
              <w:jc w:val="center"/>
              <w:rPr>
                <w:color w:val="auto"/>
                <w:highlight w:val="none"/>
              </w:rPr>
            </w:pPr>
          </w:p>
        </w:tc>
        <w:tc>
          <w:tcPr>
            <w:tcW w:w="599" w:type="dxa"/>
            <w:vAlign w:val="center"/>
          </w:tcPr>
          <w:p w14:paraId="1460307C">
            <w:pPr>
              <w:jc w:val="center"/>
              <w:rPr>
                <w:rFonts w:ascii="宋体" w:hAnsi="宋体"/>
                <w:color w:val="auto"/>
                <w:szCs w:val="44"/>
                <w:highlight w:val="none"/>
              </w:rPr>
            </w:pPr>
          </w:p>
        </w:tc>
        <w:tc>
          <w:tcPr>
            <w:tcW w:w="599" w:type="dxa"/>
            <w:vAlign w:val="center"/>
          </w:tcPr>
          <w:p w14:paraId="2D7FA55D">
            <w:pPr>
              <w:jc w:val="center"/>
              <w:rPr>
                <w:rFonts w:ascii="宋体" w:hAnsi="宋体"/>
                <w:color w:val="auto"/>
                <w:szCs w:val="44"/>
                <w:highlight w:val="none"/>
              </w:rPr>
            </w:pPr>
          </w:p>
        </w:tc>
        <w:tc>
          <w:tcPr>
            <w:tcW w:w="598" w:type="dxa"/>
            <w:vAlign w:val="center"/>
          </w:tcPr>
          <w:p w14:paraId="7D0E6BAA">
            <w:pPr>
              <w:jc w:val="center"/>
              <w:rPr>
                <w:rFonts w:ascii="宋体" w:hAnsi="宋体"/>
                <w:color w:val="auto"/>
                <w:szCs w:val="44"/>
                <w:highlight w:val="none"/>
              </w:rPr>
            </w:pPr>
          </w:p>
        </w:tc>
        <w:tc>
          <w:tcPr>
            <w:tcW w:w="598" w:type="dxa"/>
            <w:vAlign w:val="center"/>
          </w:tcPr>
          <w:p w14:paraId="3357E79B">
            <w:pPr>
              <w:jc w:val="center"/>
              <w:rPr>
                <w:rFonts w:ascii="宋体" w:hAnsi="宋体"/>
                <w:color w:val="auto"/>
                <w:szCs w:val="44"/>
                <w:highlight w:val="none"/>
              </w:rPr>
            </w:pPr>
          </w:p>
        </w:tc>
        <w:tc>
          <w:tcPr>
            <w:tcW w:w="598" w:type="dxa"/>
            <w:vAlign w:val="center"/>
          </w:tcPr>
          <w:p w14:paraId="495B629F">
            <w:pPr>
              <w:jc w:val="center"/>
              <w:rPr>
                <w:rFonts w:ascii="宋体" w:hAnsi="宋体"/>
                <w:color w:val="auto"/>
                <w:szCs w:val="44"/>
                <w:highlight w:val="none"/>
              </w:rPr>
            </w:pPr>
          </w:p>
        </w:tc>
        <w:tc>
          <w:tcPr>
            <w:tcW w:w="598" w:type="dxa"/>
            <w:vAlign w:val="center"/>
          </w:tcPr>
          <w:p w14:paraId="0F48CF1A">
            <w:pPr>
              <w:jc w:val="center"/>
              <w:rPr>
                <w:rFonts w:ascii="宋体" w:hAnsi="宋体"/>
                <w:color w:val="auto"/>
                <w:szCs w:val="44"/>
                <w:highlight w:val="none"/>
              </w:rPr>
            </w:pPr>
          </w:p>
        </w:tc>
        <w:tc>
          <w:tcPr>
            <w:tcW w:w="598" w:type="dxa"/>
            <w:vAlign w:val="center"/>
          </w:tcPr>
          <w:p w14:paraId="7F539B87">
            <w:pPr>
              <w:jc w:val="center"/>
              <w:rPr>
                <w:rFonts w:ascii="宋体" w:hAnsi="宋体"/>
                <w:color w:val="auto"/>
                <w:szCs w:val="44"/>
                <w:highlight w:val="none"/>
              </w:rPr>
            </w:pPr>
          </w:p>
        </w:tc>
        <w:tc>
          <w:tcPr>
            <w:tcW w:w="599" w:type="dxa"/>
            <w:vAlign w:val="center"/>
          </w:tcPr>
          <w:p w14:paraId="6E254447">
            <w:pPr>
              <w:jc w:val="center"/>
              <w:rPr>
                <w:rFonts w:ascii="宋体" w:hAnsi="宋体"/>
                <w:color w:val="auto"/>
                <w:szCs w:val="44"/>
                <w:highlight w:val="none"/>
              </w:rPr>
            </w:pPr>
          </w:p>
        </w:tc>
        <w:tc>
          <w:tcPr>
            <w:tcW w:w="718" w:type="dxa"/>
            <w:vAlign w:val="center"/>
          </w:tcPr>
          <w:p w14:paraId="4248857C">
            <w:pPr>
              <w:jc w:val="center"/>
              <w:rPr>
                <w:rFonts w:ascii="宋体" w:hAnsi="宋体"/>
                <w:color w:val="auto"/>
                <w:szCs w:val="44"/>
                <w:highlight w:val="none"/>
              </w:rPr>
            </w:pPr>
          </w:p>
        </w:tc>
      </w:tr>
      <w:tr w14:paraId="1E89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75" w:type="dxa"/>
            <w:gridSpan w:val="12"/>
            <w:vAlign w:val="center"/>
          </w:tcPr>
          <w:p w14:paraId="3AFF57D1">
            <w:pPr>
              <w:jc w:val="left"/>
              <w:rPr>
                <w:rFonts w:ascii="宋体" w:hAnsi="宋体"/>
                <w:color w:val="auto"/>
                <w:szCs w:val="44"/>
                <w:highlight w:val="none"/>
              </w:rPr>
            </w:pPr>
            <w:r>
              <w:rPr>
                <w:rFonts w:hint="eastAsia"/>
                <w:color w:val="auto"/>
                <w:highlight w:val="none"/>
              </w:rPr>
              <w:t xml:space="preserve">评标委员会全体成员签名： </w:t>
            </w:r>
          </w:p>
          <w:p w14:paraId="5AD6363A">
            <w:pPr>
              <w:jc w:val="left"/>
              <w:rPr>
                <w:rFonts w:ascii="宋体" w:hAnsi="宋体"/>
                <w:color w:val="auto"/>
                <w:szCs w:val="44"/>
                <w:highlight w:val="none"/>
              </w:rPr>
            </w:pPr>
          </w:p>
          <w:p w14:paraId="1297A10F">
            <w:pPr>
              <w:jc w:val="left"/>
              <w:rPr>
                <w:rFonts w:ascii="宋体" w:hAnsi="宋体"/>
                <w:color w:val="auto"/>
                <w:szCs w:val="44"/>
                <w:highlight w:val="none"/>
              </w:rPr>
            </w:pPr>
          </w:p>
          <w:p w14:paraId="3E2F4352">
            <w:pPr>
              <w:jc w:val="left"/>
              <w:rPr>
                <w:rFonts w:ascii="宋体" w:hAnsi="宋体"/>
                <w:color w:val="auto"/>
                <w:szCs w:val="44"/>
                <w:highlight w:val="none"/>
              </w:rPr>
            </w:pPr>
          </w:p>
          <w:p w14:paraId="49C0BEE1">
            <w:pPr>
              <w:jc w:val="left"/>
              <w:rPr>
                <w:rFonts w:ascii="宋体" w:hAnsi="宋体"/>
                <w:color w:val="auto"/>
                <w:szCs w:val="44"/>
                <w:highlight w:val="none"/>
              </w:rPr>
            </w:pPr>
          </w:p>
          <w:p w14:paraId="39CE653E">
            <w:pPr>
              <w:jc w:val="left"/>
              <w:rPr>
                <w:rFonts w:ascii="宋体" w:hAnsi="宋体"/>
                <w:color w:val="auto"/>
                <w:szCs w:val="44"/>
                <w:highlight w:val="none"/>
              </w:rPr>
            </w:pPr>
          </w:p>
          <w:p w14:paraId="7ACFF39F">
            <w:pPr>
              <w:jc w:val="left"/>
              <w:rPr>
                <w:rFonts w:ascii="宋体" w:hAnsi="宋体"/>
                <w:color w:val="auto"/>
                <w:szCs w:val="44"/>
                <w:highlight w:val="none"/>
              </w:rPr>
            </w:pPr>
          </w:p>
          <w:p w14:paraId="610EDB14">
            <w:pPr>
              <w:jc w:val="center"/>
              <w:rPr>
                <w:rFonts w:ascii="宋体" w:hAnsi="宋体"/>
                <w:color w:val="auto"/>
                <w:szCs w:val="44"/>
                <w:highlight w:val="none"/>
              </w:rPr>
            </w:pPr>
          </w:p>
        </w:tc>
      </w:tr>
    </w:tbl>
    <w:p w14:paraId="4598B1BB">
      <w:pPr>
        <w:spacing w:line="400" w:lineRule="exact"/>
        <w:ind w:left="840" w:leftChars="400" w:firstLine="4410" w:firstLineChars="2100"/>
        <w:rPr>
          <w:rFonts w:ascii="宋体" w:hAnsi="宋体"/>
          <w:color w:val="auto"/>
          <w:szCs w:val="44"/>
          <w:highlight w:val="none"/>
        </w:rPr>
      </w:pPr>
      <w:r>
        <w:rPr>
          <w:rFonts w:hint="eastAsia" w:ascii="宋体" w:hAnsi="宋体"/>
          <w:color w:val="auto"/>
          <w:szCs w:val="44"/>
          <w:highlight w:val="none"/>
        </w:rPr>
        <w:t xml:space="preserve">     日期：    年    月    日</w:t>
      </w:r>
    </w:p>
    <w:p w14:paraId="35CB0C08">
      <w:pPr>
        <w:widowControl/>
        <w:jc w:val="left"/>
        <w:rPr>
          <w:rFonts w:ascii="宋体" w:hAnsi="宋体"/>
          <w:color w:val="auto"/>
          <w:szCs w:val="44"/>
          <w:highlight w:val="none"/>
        </w:rPr>
      </w:pPr>
      <w:r>
        <w:rPr>
          <w:rFonts w:ascii="宋体" w:hAnsi="宋体"/>
          <w:color w:val="auto"/>
          <w:szCs w:val="44"/>
          <w:highlight w:val="none"/>
        </w:rPr>
        <w:br w:type="page"/>
      </w:r>
    </w:p>
    <w:p w14:paraId="4F40E725">
      <w:pPr>
        <w:pStyle w:val="37"/>
        <w:ind w:firstLine="118"/>
        <w:rPr>
          <w:color w:val="auto"/>
          <w:highlight w:val="none"/>
        </w:rPr>
      </w:pPr>
      <w:bookmarkStart w:id="1042" w:name="_Toc9281"/>
      <w:bookmarkStart w:id="1043" w:name="_Toc13147"/>
      <w:bookmarkStart w:id="1044" w:name="_Toc256000140"/>
      <w:bookmarkStart w:id="1045" w:name="_Toc164716310"/>
      <w:bookmarkStart w:id="1046" w:name="_Toc148860668"/>
      <w:r>
        <w:rPr>
          <w:rFonts w:hint="eastAsia"/>
          <w:color w:val="auto"/>
          <w:highlight w:val="none"/>
        </w:rPr>
        <w:t>附表A-</w:t>
      </w:r>
      <w:r>
        <w:rPr>
          <w:color w:val="auto"/>
          <w:highlight w:val="none"/>
        </w:rPr>
        <w:t>7（2</w:t>
      </w:r>
      <w:r>
        <w:rPr>
          <w:rFonts w:hint="eastAsia"/>
          <w:color w:val="auto"/>
          <w:highlight w:val="none"/>
        </w:rPr>
        <w:t>）：</w:t>
      </w:r>
      <w:r>
        <w:rPr>
          <w:rFonts w:hint="eastAsia"/>
          <w:color w:val="auto"/>
          <w:szCs w:val="21"/>
          <w:highlight w:val="none"/>
        </w:rPr>
        <w:t>技术标</w:t>
      </w:r>
      <w:r>
        <w:rPr>
          <w:rFonts w:hint="eastAsia"/>
          <w:color w:val="auto"/>
          <w:highlight w:val="none"/>
        </w:rPr>
        <w:t>评审记录表（合格性）</w:t>
      </w:r>
      <w:bookmarkEnd w:id="1042"/>
      <w:bookmarkEnd w:id="1043"/>
      <w:bookmarkEnd w:id="1044"/>
      <w:bookmarkEnd w:id="1045"/>
      <w:bookmarkEnd w:id="1046"/>
    </w:p>
    <w:p w14:paraId="7026F2F0">
      <w:pPr>
        <w:pStyle w:val="21"/>
        <w:rPr>
          <w:color w:val="auto"/>
          <w:highlight w:val="none"/>
        </w:rPr>
      </w:pPr>
    </w:p>
    <w:p w14:paraId="3ED167F3">
      <w:pPr>
        <w:adjustRightInd w:val="0"/>
        <w:snapToGrid w:val="0"/>
        <w:spacing w:before="240" w:beforeLines="100" w:after="240" w:afterLines="100" w:line="440" w:lineRule="exact"/>
        <w:jc w:val="center"/>
        <w:rPr>
          <w:rFonts w:ascii="黑体" w:hAnsi="宋体" w:eastAsia="黑体"/>
          <w:color w:val="auto"/>
          <w:sz w:val="36"/>
          <w:szCs w:val="36"/>
          <w:highlight w:val="none"/>
        </w:rPr>
      </w:pPr>
      <w:r>
        <w:rPr>
          <w:rFonts w:hint="eastAsia" w:ascii="黑体" w:hAnsi="宋体" w:eastAsia="黑体"/>
          <w:color w:val="auto"/>
          <w:sz w:val="36"/>
          <w:szCs w:val="36"/>
          <w:highlight w:val="none"/>
        </w:rPr>
        <w:t>技术标评审记录表</w:t>
      </w:r>
    </w:p>
    <w:p w14:paraId="27BFF392">
      <w:pPr>
        <w:spacing w:line="400" w:lineRule="exact"/>
        <w:jc w:val="center"/>
        <w:rPr>
          <w:rFonts w:ascii="宋体" w:hAnsi="宋体"/>
          <w:color w:val="auto"/>
          <w:szCs w:val="44"/>
          <w:highlight w:val="none"/>
        </w:rPr>
      </w:pPr>
      <w:r>
        <w:rPr>
          <w:rFonts w:hint="eastAsia" w:ascii="黑体" w:hAnsi="宋体" w:eastAsia="黑体"/>
          <w:color w:val="auto"/>
          <w:sz w:val="36"/>
          <w:szCs w:val="36"/>
          <w:highlight w:val="none"/>
        </w:rPr>
        <w:t>（适用于经评审的最低投标价法）</w:t>
      </w:r>
    </w:p>
    <w:p w14:paraId="0DBD9B3A">
      <w:pPr>
        <w:rPr>
          <w:rFonts w:ascii="宋体" w:hAnsi="宋体"/>
          <w:color w:val="auto"/>
          <w:szCs w:val="44"/>
          <w:highlight w:val="none"/>
        </w:rPr>
      </w:pPr>
      <w:r>
        <w:rPr>
          <w:rFonts w:hint="eastAsia" w:ascii="宋体" w:hAnsi="宋体"/>
          <w:color w:val="auto"/>
          <w:szCs w:val="44"/>
          <w:highlight w:val="none"/>
        </w:rPr>
        <w:t>标段名称：</w:t>
      </w:r>
    </w:p>
    <w:p w14:paraId="171FFD9C">
      <w:pPr>
        <w:rPr>
          <w:rFonts w:ascii="宋体" w:hAnsi="宋体"/>
          <w:color w:val="auto"/>
          <w:szCs w:val="44"/>
          <w:highlight w:val="none"/>
        </w:rPr>
      </w:pPr>
      <w:r>
        <w:rPr>
          <w:rFonts w:hint="eastAsia"/>
          <w:color w:val="auto"/>
          <w:szCs w:val="44"/>
          <w:highlight w:val="none"/>
        </w:rPr>
        <w:t>标段唯一标识码：</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541"/>
        <w:gridCol w:w="595"/>
        <w:gridCol w:w="595"/>
        <w:gridCol w:w="594"/>
        <w:gridCol w:w="593"/>
        <w:gridCol w:w="593"/>
        <w:gridCol w:w="593"/>
        <w:gridCol w:w="593"/>
        <w:gridCol w:w="593"/>
        <w:gridCol w:w="594"/>
        <w:gridCol w:w="714"/>
      </w:tblGrid>
      <w:tr w14:paraId="2069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4" w:type="dxa"/>
            <w:vMerge w:val="restart"/>
            <w:vAlign w:val="center"/>
          </w:tcPr>
          <w:p w14:paraId="07E33D4A">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541" w:type="dxa"/>
            <w:vMerge w:val="restart"/>
            <w:vAlign w:val="center"/>
          </w:tcPr>
          <w:p w14:paraId="4C6214D3">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5343" w:type="dxa"/>
            <w:gridSpan w:val="9"/>
            <w:vAlign w:val="center"/>
          </w:tcPr>
          <w:p w14:paraId="4E7DAE5A">
            <w:pPr>
              <w:jc w:val="center"/>
              <w:rPr>
                <w:rFonts w:ascii="宋体" w:hAnsi="宋体"/>
                <w:b/>
                <w:bCs/>
                <w:color w:val="auto"/>
                <w:szCs w:val="44"/>
                <w:highlight w:val="none"/>
              </w:rPr>
            </w:pPr>
            <w:r>
              <w:rPr>
                <w:rFonts w:hint="eastAsia" w:ascii="宋体" w:hAnsi="宋体"/>
                <w:b/>
                <w:bCs/>
                <w:color w:val="auto"/>
                <w:szCs w:val="44"/>
                <w:highlight w:val="none"/>
              </w:rPr>
              <w:t>评审标准及评审意见</w:t>
            </w:r>
          </w:p>
        </w:tc>
        <w:tc>
          <w:tcPr>
            <w:tcW w:w="714" w:type="dxa"/>
            <w:vMerge w:val="restart"/>
            <w:vAlign w:val="center"/>
          </w:tcPr>
          <w:p w14:paraId="706D99C6">
            <w:pPr>
              <w:jc w:val="center"/>
              <w:rPr>
                <w:rFonts w:ascii="宋体" w:hAnsi="宋体"/>
                <w:b/>
                <w:bCs/>
                <w:color w:val="auto"/>
                <w:szCs w:val="44"/>
                <w:highlight w:val="none"/>
              </w:rPr>
            </w:pPr>
            <w:r>
              <w:rPr>
                <w:rFonts w:ascii="宋体" w:hAnsi="宋体"/>
                <w:b/>
                <w:bCs/>
                <w:color w:val="auto"/>
                <w:szCs w:val="21"/>
                <w:highlight w:val="none"/>
              </w:rPr>
              <w:t>评审结论</w:t>
            </w:r>
          </w:p>
        </w:tc>
      </w:tr>
      <w:tr w14:paraId="0030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4" w:type="dxa"/>
            <w:vMerge w:val="continue"/>
            <w:vAlign w:val="center"/>
          </w:tcPr>
          <w:p w14:paraId="46AEFAC2">
            <w:pPr>
              <w:jc w:val="center"/>
              <w:rPr>
                <w:rFonts w:ascii="宋体" w:hAnsi="宋体"/>
                <w:color w:val="auto"/>
                <w:szCs w:val="44"/>
                <w:highlight w:val="none"/>
              </w:rPr>
            </w:pPr>
          </w:p>
        </w:tc>
        <w:tc>
          <w:tcPr>
            <w:tcW w:w="1541" w:type="dxa"/>
            <w:vMerge w:val="continue"/>
          </w:tcPr>
          <w:p w14:paraId="266FBCBD">
            <w:pPr>
              <w:jc w:val="center"/>
              <w:rPr>
                <w:rFonts w:ascii="宋体" w:hAnsi="宋体"/>
                <w:color w:val="auto"/>
                <w:szCs w:val="44"/>
                <w:highlight w:val="none"/>
              </w:rPr>
            </w:pPr>
          </w:p>
        </w:tc>
        <w:tc>
          <w:tcPr>
            <w:tcW w:w="595" w:type="dxa"/>
            <w:vAlign w:val="center"/>
          </w:tcPr>
          <w:p w14:paraId="1646CA35">
            <w:pPr>
              <w:jc w:val="center"/>
              <w:rPr>
                <w:rFonts w:ascii="宋体" w:hAnsi="宋体"/>
                <w:color w:val="auto"/>
                <w:szCs w:val="44"/>
                <w:highlight w:val="none"/>
              </w:rPr>
            </w:pPr>
          </w:p>
        </w:tc>
        <w:tc>
          <w:tcPr>
            <w:tcW w:w="595" w:type="dxa"/>
            <w:vAlign w:val="center"/>
          </w:tcPr>
          <w:p w14:paraId="19EFF1C4">
            <w:pPr>
              <w:jc w:val="center"/>
              <w:rPr>
                <w:rFonts w:ascii="宋体" w:hAnsi="宋体"/>
                <w:color w:val="auto"/>
                <w:szCs w:val="44"/>
                <w:highlight w:val="none"/>
              </w:rPr>
            </w:pPr>
          </w:p>
        </w:tc>
        <w:tc>
          <w:tcPr>
            <w:tcW w:w="594" w:type="dxa"/>
            <w:vAlign w:val="center"/>
          </w:tcPr>
          <w:p w14:paraId="2FF79DB5">
            <w:pPr>
              <w:jc w:val="center"/>
              <w:rPr>
                <w:rFonts w:ascii="宋体" w:hAnsi="宋体"/>
                <w:color w:val="auto"/>
                <w:szCs w:val="44"/>
                <w:highlight w:val="none"/>
              </w:rPr>
            </w:pPr>
          </w:p>
        </w:tc>
        <w:tc>
          <w:tcPr>
            <w:tcW w:w="593" w:type="dxa"/>
            <w:vAlign w:val="center"/>
          </w:tcPr>
          <w:p w14:paraId="4279F778">
            <w:pPr>
              <w:jc w:val="center"/>
              <w:rPr>
                <w:rFonts w:ascii="宋体" w:hAnsi="宋体"/>
                <w:color w:val="auto"/>
                <w:szCs w:val="44"/>
                <w:highlight w:val="none"/>
              </w:rPr>
            </w:pPr>
          </w:p>
        </w:tc>
        <w:tc>
          <w:tcPr>
            <w:tcW w:w="593" w:type="dxa"/>
            <w:vAlign w:val="center"/>
          </w:tcPr>
          <w:p w14:paraId="39FC0420">
            <w:pPr>
              <w:jc w:val="center"/>
              <w:rPr>
                <w:rFonts w:ascii="宋体" w:hAnsi="宋体"/>
                <w:color w:val="auto"/>
                <w:szCs w:val="44"/>
                <w:highlight w:val="none"/>
              </w:rPr>
            </w:pPr>
          </w:p>
        </w:tc>
        <w:tc>
          <w:tcPr>
            <w:tcW w:w="593" w:type="dxa"/>
            <w:vAlign w:val="center"/>
          </w:tcPr>
          <w:p w14:paraId="471942CA">
            <w:pPr>
              <w:jc w:val="center"/>
              <w:rPr>
                <w:rFonts w:ascii="宋体" w:hAnsi="宋体"/>
                <w:color w:val="auto"/>
                <w:szCs w:val="44"/>
                <w:highlight w:val="none"/>
              </w:rPr>
            </w:pPr>
          </w:p>
        </w:tc>
        <w:tc>
          <w:tcPr>
            <w:tcW w:w="593" w:type="dxa"/>
            <w:vAlign w:val="center"/>
          </w:tcPr>
          <w:p w14:paraId="2E64EE2C">
            <w:pPr>
              <w:jc w:val="center"/>
              <w:rPr>
                <w:rFonts w:ascii="宋体" w:hAnsi="宋体"/>
                <w:color w:val="auto"/>
                <w:szCs w:val="44"/>
                <w:highlight w:val="none"/>
              </w:rPr>
            </w:pPr>
          </w:p>
        </w:tc>
        <w:tc>
          <w:tcPr>
            <w:tcW w:w="593" w:type="dxa"/>
            <w:vAlign w:val="center"/>
          </w:tcPr>
          <w:p w14:paraId="665CAAAA">
            <w:pPr>
              <w:jc w:val="center"/>
              <w:rPr>
                <w:rFonts w:ascii="宋体" w:hAnsi="宋体"/>
                <w:color w:val="auto"/>
                <w:szCs w:val="44"/>
                <w:highlight w:val="none"/>
              </w:rPr>
            </w:pPr>
          </w:p>
        </w:tc>
        <w:tc>
          <w:tcPr>
            <w:tcW w:w="594" w:type="dxa"/>
            <w:vAlign w:val="center"/>
          </w:tcPr>
          <w:p w14:paraId="3A06611F">
            <w:pPr>
              <w:jc w:val="center"/>
              <w:rPr>
                <w:rFonts w:ascii="宋体" w:hAnsi="宋体"/>
                <w:color w:val="auto"/>
                <w:szCs w:val="44"/>
                <w:highlight w:val="none"/>
              </w:rPr>
            </w:pPr>
          </w:p>
        </w:tc>
        <w:tc>
          <w:tcPr>
            <w:tcW w:w="714" w:type="dxa"/>
            <w:vMerge w:val="continue"/>
            <w:vAlign w:val="center"/>
          </w:tcPr>
          <w:p w14:paraId="433B6171">
            <w:pPr>
              <w:jc w:val="center"/>
              <w:rPr>
                <w:rFonts w:ascii="宋体" w:hAnsi="宋体"/>
                <w:color w:val="auto"/>
                <w:szCs w:val="44"/>
                <w:highlight w:val="none"/>
              </w:rPr>
            </w:pPr>
          </w:p>
        </w:tc>
      </w:tr>
      <w:tr w14:paraId="5AD4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2643D46F">
            <w:pPr>
              <w:jc w:val="center"/>
              <w:rPr>
                <w:rFonts w:ascii="宋体" w:hAnsi="宋体"/>
                <w:color w:val="auto"/>
                <w:szCs w:val="44"/>
                <w:highlight w:val="none"/>
              </w:rPr>
            </w:pPr>
            <w:r>
              <w:rPr>
                <w:rFonts w:hint="eastAsia" w:ascii="宋体" w:hAnsi="宋体"/>
                <w:color w:val="auto"/>
                <w:szCs w:val="44"/>
                <w:highlight w:val="none"/>
              </w:rPr>
              <w:t>1</w:t>
            </w:r>
          </w:p>
        </w:tc>
        <w:tc>
          <w:tcPr>
            <w:tcW w:w="1541" w:type="dxa"/>
            <w:vAlign w:val="center"/>
          </w:tcPr>
          <w:p w14:paraId="3878E55F">
            <w:pPr>
              <w:jc w:val="center"/>
              <w:rPr>
                <w:rFonts w:ascii="宋体" w:hAnsi="宋体"/>
                <w:color w:val="auto"/>
                <w:szCs w:val="21"/>
                <w:highlight w:val="none"/>
              </w:rPr>
            </w:pPr>
          </w:p>
        </w:tc>
        <w:tc>
          <w:tcPr>
            <w:tcW w:w="595" w:type="dxa"/>
            <w:vAlign w:val="center"/>
          </w:tcPr>
          <w:p w14:paraId="25B99778">
            <w:pPr>
              <w:jc w:val="center"/>
              <w:rPr>
                <w:rFonts w:ascii="宋体" w:hAnsi="宋体"/>
                <w:color w:val="auto"/>
                <w:szCs w:val="21"/>
                <w:highlight w:val="none"/>
              </w:rPr>
            </w:pPr>
          </w:p>
        </w:tc>
        <w:tc>
          <w:tcPr>
            <w:tcW w:w="595" w:type="dxa"/>
            <w:vAlign w:val="center"/>
          </w:tcPr>
          <w:p w14:paraId="04F8CFC5">
            <w:pPr>
              <w:jc w:val="center"/>
              <w:rPr>
                <w:rFonts w:ascii="宋体" w:hAnsi="宋体"/>
                <w:color w:val="auto"/>
                <w:szCs w:val="44"/>
                <w:highlight w:val="none"/>
              </w:rPr>
            </w:pPr>
          </w:p>
        </w:tc>
        <w:tc>
          <w:tcPr>
            <w:tcW w:w="594" w:type="dxa"/>
            <w:vAlign w:val="center"/>
          </w:tcPr>
          <w:p w14:paraId="754C5606">
            <w:pPr>
              <w:jc w:val="center"/>
              <w:rPr>
                <w:rFonts w:ascii="宋体" w:hAnsi="宋体"/>
                <w:color w:val="auto"/>
                <w:szCs w:val="44"/>
                <w:highlight w:val="none"/>
              </w:rPr>
            </w:pPr>
          </w:p>
        </w:tc>
        <w:tc>
          <w:tcPr>
            <w:tcW w:w="593" w:type="dxa"/>
            <w:vAlign w:val="center"/>
          </w:tcPr>
          <w:p w14:paraId="73C8B894">
            <w:pPr>
              <w:jc w:val="center"/>
              <w:rPr>
                <w:rFonts w:ascii="宋体" w:hAnsi="宋体"/>
                <w:color w:val="auto"/>
                <w:szCs w:val="44"/>
                <w:highlight w:val="none"/>
              </w:rPr>
            </w:pPr>
          </w:p>
        </w:tc>
        <w:tc>
          <w:tcPr>
            <w:tcW w:w="593" w:type="dxa"/>
            <w:vAlign w:val="center"/>
          </w:tcPr>
          <w:p w14:paraId="3AD1445C">
            <w:pPr>
              <w:jc w:val="center"/>
              <w:rPr>
                <w:rFonts w:ascii="宋体" w:hAnsi="宋体"/>
                <w:color w:val="auto"/>
                <w:szCs w:val="44"/>
                <w:highlight w:val="none"/>
              </w:rPr>
            </w:pPr>
          </w:p>
        </w:tc>
        <w:tc>
          <w:tcPr>
            <w:tcW w:w="593" w:type="dxa"/>
            <w:vAlign w:val="center"/>
          </w:tcPr>
          <w:p w14:paraId="2C753F15">
            <w:pPr>
              <w:jc w:val="center"/>
              <w:rPr>
                <w:rFonts w:ascii="宋体" w:hAnsi="宋体"/>
                <w:color w:val="auto"/>
                <w:szCs w:val="44"/>
                <w:highlight w:val="none"/>
              </w:rPr>
            </w:pPr>
          </w:p>
        </w:tc>
        <w:tc>
          <w:tcPr>
            <w:tcW w:w="593" w:type="dxa"/>
            <w:vAlign w:val="center"/>
          </w:tcPr>
          <w:p w14:paraId="1F4E459D">
            <w:pPr>
              <w:jc w:val="center"/>
              <w:rPr>
                <w:rFonts w:ascii="宋体" w:hAnsi="宋体"/>
                <w:color w:val="auto"/>
                <w:szCs w:val="44"/>
                <w:highlight w:val="none"/>
              </w:rPr>
            </w:pPr>
          </w:p>
        </w:tc>
        <w:tc>
          <w:tcPr>
            <w:tcW w:w="593" w:type="dxa"/>
            <w:vAlign w:val="center"/>
          </w:tcPr>
          <w:p w14:paraId="2ACF6678">
            <w:pPr>
              <w:jc w:val="center"/>
              <w:rPr>
                <w:rFonts w:ascii="宋体" w:hAnsi="宋体"/>
                <w:color w:val="auto"/>
                <w:szCs w:val="44"/>
                <w:highlight w:val="none"/>
              </w:rPr>
            </w:pPr>
          </w:p>
        </w:tc>
        <w:tc>
          <w:tcPr>
            <w:tcW w:w="594" w:type="dxa"/>
            <w:vAlign w:val="center"/>
          </w:tcPr>
          <w:p w14:paraId="05E918A6">
            <w:pPr>
              <w:jc w:val="center"/>
              <w:rPr>
                <w:rFonts w:ascii="宋体" w:hAnsi="宋体"/>
                <w:color w:val="auto"/>
                <w:szCs w:val="44"/>
                <w:highlight w:val="none"/>
              </w:rPr>
            </w:pPr>
          </w:p>
        </w:tc>
        <w:tc>
          <w:tcPr>
            <w:tcW w:w="714" w:type="dxa"/>
            <w:vAlign w:val="center"/>
          </w:tcPr>
          <w:p w14:paraId="6985E375">
            <w:pPr>
              <w:jc w:val="center"/>
              <w:rPr>
                <w:rFonts w:ascii="宋体" w:hAnsi="宋体"/>
                <w:color w:val="auto"/>
                <w:szCs w:val="44"/>
                <w:highlight w:val="none"/>
              </w:rPr>
            </w:pPr>
          </w:p>
        </w:tc>
      </w:tr>
      <w:tr w14:paraId="60DB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0D9D8CE4">
            <w:pPr>
              <w:jc w:val="center"/>
              <w:rPr>
                <w:rFonts w:ascii="宋体" w:hAnsi="宋体"/>
                <w:color w:val="auto"/>
                <w:szCs w:val="44"/>
                <w:highlight w:val="none"/>
              </w:rPr>
            </w:pPr>
            <w:r>
              <w:rPr>
                <w:rFonts w:hint="eastAsia" w:ascii="宋体" w:hAnsi="宋体"/>
                <w:color w:val="auto"/>
                <w:szCs w:val="44"/>
                <w:highlight w:val="none"/>
              </w:rPr>
              <w:t>2</w:t>
            </w:r>
          </w:p>
        </w:tc>
        <w:tc>
          <w:tcPr>
            <w:tcW w:w="1541" w:type="dxa"/>
            <w:vAlign w:val="center"/>
          </w:tcPr>
          <w:p w14:paraId="38B77B36">
            <w:pPr>
              <w:jc w:val="center"/>
              <w:rPr>
                <w:rFonts w:ascii="宋体" w:hAnsi="宋体"/>
                <w:color w:val="auto"/>
                <w:szCs w:val="44"/>
                <w:highlight w:val="none"/>
              </w:rPr>
            </w:pPr>
          </w:p>
        </w:tc>
        <w:tc>
          <w:tcPr>
            <w:tcW w:w="595" w:type="dxa"/>
            <w:vAlign w:val="center"/>
          </w:tcPr>
          <w:p w14:paraId="47A6F92A">
            <w:pPr>
              <w:jc w:val="center"/>
              <w:rPr>
                <w:color w:val="auto"/>
                <w:highlight w:val="none"/>
              </w:rPr>
            </w:pPr>
          </w:p>
        </w:tc>
        <w:tc>
          <w:tcPr>
            <w:tcW w:w="595" w:type="dxa"/>
            <w:vAlign w:val="center"/>
          </w:tcPr>
          <w:p w14:paraId="05941AB9">
            <w:pPr>
              <w:jc w:val="center"/>
              <w:rPr>
                <w:rFonts w:ascii="宋体" w:hAnsi="宋体"/>
                <w:color w:val="auto"/>
                <w:szCs w:val="44"/>
                <w:highlight w:val="none"/>
              </w:rPr>
            </w:pPr>
          </w:p>
        </w:tc>
        <w:tc>
          <w:tcPr>
            <w:tcW w:w="594" w:type="dxa"/>
            <w:vAlign w:val="center"/>
          </w:tcPr>
          <w:p w14:paraId="15EC2016">
            <w:pPr>
              <w:jc w:val="center"/>
              <w:rPr>
                <w:rFonts w:ascii="宋体" w:hAnsi="宋体"/>
                <w:color w:val="auto"/>
                <w:szCs w:val="44"/>
                <w:highlight w:val="none"/>
              </w:rPr>
            </w:pPr>
          </w:p>
        </w:tc>
        <w:tc>
          <w:tcPr>
            <w:tcW w:w="593" w:type="dxa"/>
            <w:vAlign w:val="center"/>
          </w:tcPr>
          <w:p w14:paraId="72818484">
            <w:pPr>
              <w:jc w:val="center"/>
              <w:rPr>
                <w:rFonts w:ascii="宋体" w:hAnsi="宋体"/>
                <w:color w:val="auto"/>
                <w:szCs w:val="44"/>
                <w:highlight w:val="none"/>
              </w:rPr>
            </w:pPr>
          </w:p>
        </w:tc>
        <w:tc>
          <w:tcPr>
            <w:tcW w:w="593" w:type="dxa"/>
            <w:vAlign w:val="center"/>
          </w:tcPr>
          <w:p w14:paraId="5E8579CE">
            <w:pPr>
              <w:jc w:val="center"/>
              <w:rPr>
                <w:rFonts w:ascii="宋体" w:hAnsi="宋体"/>
                <w:color w:val="auto"/>
                <w:szCs w:val="44"/>
                <w:highlight w:val="none"/>
              </w:rPr>
            </w:pPr>
          </w:p>
        </w:tc>
        <w:tc>
          <w:tcPr>
            <w:tcW w:w="593" w:type="dxa"/>
            <w:vAlign w:val="center"/>
          </w:tcPr>
          <w:p w14:paraId="56785422">
            <w:pPr>
              <w:jc w:val="center"/>
              <w:rPr>
                <w:rFonts w:ascii="宋体" w:hAnsi="宋体"/>
                <w:color w:val="auto"/>
                <w:szCs w:val="44"/>
                <w:highlight w:val="none"/>
              </w:rPr>
            </w:pPr>
          </w:p>
        </w:tc>
        <w:tc>
          <w:tcPr>
            <w:tcW w:w="593" w:type="dxa"/>
            <w:vAlign w:val="center"/>
          </w:tcPr>
          <w:p w14:paraId="4370D65A">
            <w:pPr>
              <w:jc w:val="center"/>
              <w:rPr>
                <w:rFonts w:ascii="宋体" w:hAnsi="宋体"/>
                <w:color w:val="auto"/>
                <w:szCs w:val="44"/>
                <w:highlight w:val="none"/>
              </w:rPr>
            </w:pPr>
          </w:p>
        </w:tc>
        <w:tc>
          <w:tcPr>
            <w:tcW w:w="593" w:type="dxa"/>
            <w:vAlign w:val="center"/>
          </w:tcPr>
          <w:p w14:paraId="1A90184D">
            <w:pPr>
              <w:jc w:val="center"/>
              <w:rPr>
                <w:rFonts w:ascii="宋体" w:hAnsi="宋体"/>
                <w:color w:val="auto"/>
                <w:szCs w:val="44"/>
                <w:highlight w:val="none"/>
              </w:rPr>
            </w:pPr>
          </w:p>
        </w:tc>
        <w:tc>
          <w:tcPr>
            <w:tcW w:w="594" w:type="dxa"/>
            <w:vAlign w:val="center"/>
          </w:tcPr>
          <w:p w14:paraId="6864CA7A">
            <w:pPr>
              <w:jc w:val="center"/>
              <w:rPr>
                <w:rFonts w:ascii="宋体" w:hAnsi="宋体"/>
                <w:color w:val="auto"/>
                <w:szCs w:val="44"/>
                <w:highlight w:val="none"/>
              </w:rPr>
            </w:pPr>
          </w:p>
        </w:tc>
        <w:tc>
          <w:tcPr>
            <w:tcW w:w="714" w:type="dxa"/>
            <w:vAlign w:val="center"/>
          </w:tcPr>
          <w:p w14:paraId="09A5725E">
            <w:pPr>
              <w:jc w:val="center"/>
              <w:rPr>
                <w:rFonts w:ascii="宋体" w:hAnsi="宋体"/>
                <w:color w:val="auto"/>
                <w:szCs w:val="44"/>
                <w:highlight w:val="none"/>
              </w:rPr>
            </w:pPr>
          </w:p>
        </w:tc>
      </w:tr>
      <w:tr w14:paraId="05A1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735BD25B">
            <w:pPr>
              <w:jc w:val="center"/>
              <w:rPr>
                <w:rFonts w:ascii="宋体" w:hAnsi="宋体"/>
                <w:color w:val="auto"/>
                <w:szCs w:val="44"/>
                <w:highlight w:val="none"/>
              </w:rPr>
            </w:pPr>
            <w:r>
              <w:rPr>
                <w:rFonts w:hint="eastAsia" w:ascii="宋体" w:hAnsi="宋体"/>
                <w:color w:val="auto"/>
                <w:szCs w:val="44"/>
                <w:highlight w:val="none"/>
              </w:rPr>
              <w:t>3</w:t>
            </w:r>
          </w:p>
        </w:tc>
        <w:tc>
          <w:tcPr>
            <w:tcW w:w="1541" w:type="dxa"/>
            <w:vAlign w:val="center"/>
          </w:tcPr>
          <w:p w14:paraId="0FD79E2C">
            <w:pPr>
              <w:jc w:val="center"/>
              <w:rPr>
                <w:rFonts w:ascii="宋体" w:hAnsi="宋体"/>
                <w:color w:val="auto"/>
                <w:szCs w:val="44"/>
                <w:highlight w:val="none"/>
              </w:rPr>
            </w:pPr>
          </w:p>
        </w:tc>
        <w:tc>
          <w:tcPr>
            <w:tcW w:w="595" w:type="dxa"/>
            <w:vAlign w:val="center"/>
          </w:tcPr>
          <w:p w14:paraId="2BF968CC">
            <w:pPr>
              <w:jc w:val="center"/>
              <w:rPr>
                <w:color w:val="auto"/>
                <w:highlight w:val="none"/>
              </w:rPr>
            </w:pPr>
          </w:p>
        </w:tc>
        <w:tc>
          <w:tcPr>
            <w:tcW w:w="595" w:type="dxa"/>
            <w:vAlign w:val="center"/>
          </w:tcPr>
          <w:p w14:paraId="05157B5B">
            <w:pPr>
              <w:jc w:val="center"/>
              <w:rPr>
                <w:rFonts w:ascii="宋体" w:hAnsi="宋体"/>
                <w:color w:val="auto"/>
                <w:szCs w:val="44"/>
                <w:highlight w:val="none"/>
              </w:rPr>
            </w:pPr>
          </w:p>
        </w:tc>
        <w:tc>
          <w:tcPr>
            <w:tcW w:w="594" w:type="dxa"/>
            <w:vAlign w:val="center"/>
          </w:tcPr>
          <w:p w14:paraId="7D6D70E8">
            <w:pPr>
              <w:jc w:val="center"/>
              <w:rPr>
                <w:rFonts w:ascii="宋体" w:hAnsi="宋体"/>
                <w:color w:val="auto"/>
                <w:szCs w:val="44"/>
                <w:highlight w:val="none"/>
              </w:rPr>
            </w:pPr>
          </w:p>
        </w:tc>
        <w:tc>
          <w:tcPr>
            <w:tcW w:w="593" w:type="dxa"/>
            <w:vAlign w:val="center"/>
          </w:tcPr>
          <w:p w14:paraId="107F993A">
            <w:pPr>
              <w:jc w:val="center"/>
              <w:rPr>
                <w:rFonts w:ascii="宋体" w:hAnsi="宋体"/>
                <w:color w:val="auto"/>
                <w:szCs w:val="44"/>
                <w:highlight w:val="none"/>
              </w:rPr>
            </w:pPr>
          </w:p>
        </w:tc>
        <w:tc>
          <w:tcPr>
            <w:tcW w:w="593" w:type="dxa"/>
            <w:vAlign w:val="center"/>
          </w:tcPr>
          <w:p w14:paraId="4948F3D3">
            <w:pPr>
              <w:jc w:val="center"/>
              <w:rPr>
                <w:rFonts w:ascii="宋体" w:hAnsi="宋体"/>
                <w:color w:val="auto"/>
                <w:szCs w:val="44"/>
                <w:highlight w:val="none"/>
              </w:rPr>
            </w:pPr>
          </w:p>
        </w:tc>
        <w:tc>
          <w:tcPr>
            <w:tcW w:w="593" w:type="dxa"/>
            <w:vAlign w:val="center"/>
          </w:tcPr>
          <w:p w14:paraId="6F55B00B">
            <w:pPr>
              <w:jc w:val="center"/>
              <w:rPr>
                <w:rFonts w:ascii="宋体" w:hAnsi="宋体"/>
                <w:color w:val="auto"/>
                <w:szCs w:val="44"/>
                <w:highlight w:val="none"/>
              </w:rPr>
            </w:pPr>
          </w:p>
        </w:tc>
        <w:tc>
          <w:tcPr>
            <w:tcW w:w="593" w:type="dxa"/>
            <w:vAlign w:val="center"/>
          </w:tcPr>
          <w:p w14:paraId="4A148476">
            <w:pPr>
              <w:jc w:val="center"/>
              <w:rPr>
                <w:rFonts w:ascii="宋体" w:hAnsi="宋体"/>
                <w:color w:val="auto"/>
                <w:szCs w:val="44"/>
                <w:highlight w:val="none"/>
              </w:rPr>
            </w:pPr>
          </w:p>
        </w:tc>
        <w:tc>
          <w:tcPr>
            <w:tcW w:w="593" w:type="dxa"/>
            <w:vAlign w:val="center"/>
          </w:tcPr>
          <w:p w14:paraId="0F06D06C">
            <w:pPr>
              <w:jc w:val="center"/>
              <w:rPr>
                <w:rFonts w:ascii="宋体" w:hAnsi="宋体"/>
                <w:color w:val="auto"/>
                <w:szCs w:val="44"/>
                <w:highlight w:val="none"/>
              </w:rPr>
            </w:pPr>
          </w:p>
        </w:tc>
        <w:tc>
          <w:tcPr>
            <w:tcW w:w="594" w:type="dxa"/>
            <w:vAlign w:val="center"/>
          </w:tcPr>
          <w:p w14:paraId="6B0B6E58">
            <w:pPr>
              <w:jc w:val="center"/>
              <w:rPr>
                <w:rFonts w:ascii="宋体" w:hAnsi="宋体"/>
                <w:color w:val="auto"/>
                <w:szCs w:val="44"/>
                <w:highlight w:val="none"/>
              </w:rPr>
            </w:pPr>
          </w:p>
        </w:tc>
        <w:tc>
          <w:tcPr>
            <w:tcW w:w="714" w:type="dxa"/>
            <w:vAlign w:val="center"/>
          </w:tcPr>
          <w:p w14:paraId="2A4C9DEC">
            <w:pPr>
              <w:jc w:val="center"/>
              <w:rPr>
                <w:rFonts w:ascii="宋体" w:hAnsi="宋体"/>
                <w:color w:val="auto"/>
                <w:szCs w:val="44"/>
                <w:highlight w:val="none"/>
              </w:rPr>
            </w:pPr>
          </w:p>
        </w:tc>
      </w:tr>
      <w:tr w14:paraId="4AF9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6A573E5D">
            <w:pPr>
              <w:jc w:val="center"/>
              <w:rPr>
                <w:rFonts w:ascii="宋体" w:hAnsi="宋体"/>
                <w:color w:val="auto"/>
                <w:szCs w:val="44"/>
                <w:highlight w:val="none"/>
              </w:rPr>
            </w:pPr>
            <w:r>
              <w:rPr>
                <w:rFonts w:hint="eastAsia" w:ascii="宋体" w:hAnsi="宋体"/>
                <w:color w:val="auto"/>
                <w:szCs w:val="44"/>
                <w:highlight w:val="none"/>
              </w:rPr>
              <w:t>4</w:t>
            </w:r>
          </w:p>
        </w:tc>
        <w:tc>
          <w:tcPr>
            <w:tcW w:w="1541" w:type="dxa"/>
            <w:vAlign w:val="center"/>
          </w:tcPr>
          <w:p w14:paraId="7094F33A">
            <w:pPr>
              <w:jc w:val="center"/>
              <w:rPr>
                <w:rFonts w:ascii="宋体" w:hAnsi="宋体"/>
                <w:color w:val="auto"/>
                <w:szCs w:val="44"/>
                <w:highlight w:val="none"/>
              </w:rPr>
            </w:pPr>
          </w:p>
        </w:tc>
        <w:tc>
          <w:tcPr>
            <w:tcW w:w="595" w:type="dxa"/>
            <w:vAlign w:val="center"/>
          </w:tcPr>
          <w:p w14:paraId="67C1944B">
            <w:pPr>
              <w:jc w:val="center"/>
              <w:rPr>
                <w:color w:val="auto"/>
                <w:highlight w:val="none"/>
              </w:rPr>
            </w:pPr>
          </w:p>
        </w:tc>
        <w:tc>
          <w:tcPr>
            <w:tcW w:w="595" w:type="dxa"/>
            <w:vAlign w:val="center"/>
          </w:tcPr>
          <w:p w14:paraId="5DC0A121">
            <w:pPr>
              <w:jc w:val="center"/>
              <w:rPr>
                <w:rFonts w:ascii="宋体" w:hAnsi="宋体"/>
                <w:color w:val="auto"/>
                <w:szCs w:val="44"/>
                <w:highlight w:val="none"/>
              </w:rPr>
            </w:pPr>
          </w:p>
        </w:tc>
        <w:tc>
          <w:tcPr>
            <w:tcW w:w="594" w:type="dxa"/>
            <w:vAlign w:val="center"/>
          </w:tcPr>
          <w:p w14:paraId="4053F354">
            <w:pPr>
              <w:jc w:val="center"/>
              <w:rPr>
                <w:rFonts w:ascii="宋体" w:hAnsi="宋体"/>
                <w:color w:val="auto"/>
                <w:szCs w:val="44"/>
                <w:highlight w:val="none"/>
              </w:rPr>
            </w:pPr>
          </w:p>
        </w:tc>
        <w:tc>
          <w:tcPr>
            <w:tcW w:w="593" w:type="dxa"/>
            <w:vAlign w:val="center"/>
          </w:tcPr>
          <w:p w14:paraId="106A0CFD">
            <w:pPr>
              <w:jc w:val="center"/>
              <w:rPr>
                <w:rFonts w:ascii="宋体" w:hAnsi="宋体"/>
                <w:color w:val="auto"/>
                <w:szCs w:val="44"/>
                <w:highlight w:val="none"/>
              </w:rPr>
            </w:pPr>
          </w:p>
        </w:tc>
        <w:tc>
          <w:tcPr>
            <w:tcW w:w="593" w:type="dxa"/>
            <w:vAlign w:val="center"/>
          </w:tcPr>
          <w:p w14:paraId="084502AF">
            <w:pPr>
              <w:jc w:val="center"/>
              <w:rPr>
                <w:rFonts w:ascii="宋体" w:hAnsi="宋体"/>
                <w:color w:val="auto"/>
                <w:szCs w:val="44"/>
                <w:highlight w:val="none"/>
              </w:rPr>
            </w:pPr>
          </w:p>
        </w:tc>
        <w:tc>
          <w:tcPr>
            <w:tcW w:w="593" w:type="dxa"/>
            <w:vAlign w:val="center"/>
          </w:tcPr>
          <w:p w14:paraId="290134EF">
            <w:pPr>
              <w:jc w:val="center"/>
              <w:rPr>
                <w:rFonts w:ascii="宋体" w:hAnsi="宋体"/>
                <w:color w:val="auto"/>
                <w:szCs w:val="44"/>
                <w:highlight w:val="none"/>
              </w:rPr>
            </w:pPr>
          </w:p>
        </w:tc>
        <w:tc>
          <w:tcPr>
            <w:tcW w:w="593" w:type="dxa"/>
            <w:vAlign w:val="center"/>
          </w:tcPr>
          <w:p w14:paraId="600038D3">
            <w:pPr>
              <w:jc w:val="center"/>
              <w:rPr>
                <w:rFonts w:ascii="宋体" w:hAnsi="宋体"/>
                <w:color w:val="auto"/>
                <w:szCs w:val="44"/>
                <w:highlight w:val="none"/>
              </w:rPr>
            </w:pPr>
          </w:p>
        </w:tc>
        <w:tc>
          <w:tcPr>
            <w:tcW w:w="593" w:type="dxa"/>
            <w:vAlign w:val="center"/>
          </w:tcPr>
          <w:p w14:paraId="5B75D2EA">
            <w:pPr>
              <w:jc w:val="center"/>
              <w:rPr>
                <w:rFonts w:ascii="宋体" w:hAnsi="宋体"/>
                <w:color w:val="auto"/>
                <w:szCs w:val="44"/>
                <w:highlight w:val="none"/>
              </w:rPr>
            </w:pPr>
          </w:p>
        </w:tc>
        <w:tc>
          <w:tcPr>
            <w:tcW w:w="594" w:type="dxa"/>
            <w:vAlign w:val="center"/>
          </w:tcPr>
          <w:p w14:paraId="5BF7B0CC">
            <w:pPr>
              <w:jc w:val="center"/>
              <w:rPr>
                <w:rFonts w:ascii="宋体" w:hAnsi="宋体"/>
                <w:color w:val="auto"/>
                <w:szCs w:val="44"/>
                <w:highlight w:val="none"/>
              </w:rPr>
            </w:pPr>
          </w:p>
        </w:tc>
        <w:tc>
          <w:tcPr>
            <w:tcW w:w="714" w:type="dxa"/>
            <w:vAlign w:val="center"/>
          </w:tcPr>
          <w:p w14:paraId="24C1557E">
            <w:pPr>
              <w:jc w:val="center"/>
              <w:rPr>
                <w:rFonts w:ascii="宋体" w:hAnsi="宋体"/>
                <w:color w:val="auto"/>
                <w:szCs w:val="44"/>
                <w:highlight w:val="none"/>
              </w:rPr>
            </w:pPr>
          </w:p>
        </w:tc>
      </w:tr>
      <w:tr w14:paraId="7F64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02842BF4">
            <w:pPr>
              <w:jc w:val="center"/>
              <w:rPr>
                <w:rFonts w:ascii="宋体" w:hAnsi="宋体"/>
                <w:color w:val="auto"/>
                <w:szCs w:val="44"/>
                <w:highlight w:val="none"/>
              </w:rPr>
            </w:pPr>
            <w:r>
              <w:rPr>
                <w:rFonts w:hint="eastAsia" w:ascii="宋体" w:hAnsi="宋体"/>
                <w:color w:val="auto"/>
                <w:szCs w:val="44"/>
                <w:highlight w:val="none"/>
              </w:rPr>
              <w:t>5</w:t>
            </w:r>
          </w:p>
        </w:tc>
        <w:tc>
          <w:tcPr>
            <w:tcW w:w="1541" w:type="dxa"/>
            <w:vAlign w:val="center"/>
          </w:tcPr>
          <w:p w14:paraId="1DE89554">
            <w:pPr>
              <w:jc w:val="center"/>
              <w:rPr>
                <w:rFonts w:ascii="宋体" w:hAnsi="宋体"/>
                <w:color w:val="auto"/>
                <w:szCs w:val="44"/>
                <w:highlight w:val="none"/>
              </w:rPr>
            </w:pPr>
          </w:p>
        </w:tc>
        <w:tc>
          <w:tcPr>
            <w:tcW w:w="595" w:type="dxa"/>
            <w:vAlign w:val="center"/>
          </w:tcPr>
          <w:p w14:paraId="05B52FDA">
            <w:pPr>
              <w:jc w:val="center"/>
              <w:rPr>
                <w:color w:val="auto"/>
                <w:highlight w:val="none"/>
              </w:rPr>
            </w:pPr>
          </w:p>
        </w:tc>
        <w:tc>
          <w:tcPr>
            <w:tcW w:w="595" w:type="dxa"/>
            <w:vAlign w:val="center"/>
          </w:tcPr>
          <w:p w14:paraId="68B2A841">
            <w:pPr>
              <w:jc w:val="center"/>
              <w:rPr>
                <w:rFonts w:ascii="宋体" w:hAnsi="宋体"/>
                <w:color w:val="auto"/>
                <w:szCs w:val="44"/>
                <w:highlight w:val="none"/>
              </w:rPr>
            </w:pPr>
          </w:p>
        </w:tc>
        <w:tc>
          <w:tcPr>
            <w:tcW w:w="594" w:type="dxa"/>
            <w:vAlign w:val="center"/>
          </w:tcPr>
          <w:p w14:paraId="584B34C6">
            <w:pPr>
              <w:jc w:val="center"/>
              <w:rPr>
                <w:rFonts w:ascii="宋体" w:hAnsi="宋体"/>
                <w:color w:val="auto"/>
                <w:szCs w:val="44"/>
                <w:highlight w:val="none"/>
              </w:rPr>
            </w:pPr>
          </w:p>
        </w:tc>
        <w:tc>
          <w:tcPr>
            <w:tcW w:w="593" w:type="dxa"/>
            <w:vAlign w:val="center"/>
          </w:tcPr>
          <w:p w14:paraId="644F7433">
            <w:pPr>
              <w:jc w:val="center"/>
              <w:rPr>
                <w:rFonts w:ascii="宋体" w:hAnsi="宋体"/>
                <w:color w:val="auto"/>
                <w:szCs w:val="44"/>
                <w:highlight w:val="none"/>
              </w:rPr>
            </w:pPr>
          </w:p>
        </w:tc>
        <w:tc>
          <w:tcPr>
            <w:tcW w:w="593" w:type="dxa"/>
            <w:vAlign w:val="center"/>
          </w:tcPr>
          <w:p w14:paraId="3D226271">
            <w:pPr>
              <w:jc w:val="center"/>
              <w:rPr>
                <w:rFonts w:ascii="宋体" w:hAnsi="宋体"/>
                <w:color w:val="auto"/>
                <w:szCs w:val="44"/>
                <w:highlight w:val="none"/>
              </w:rPr>
            </w:pPr>
          </w:p>
        </w:tc>
        <w:tc>
          <w:tcPr>
            <w:tcW w:w="593" w:type="dxa"/>
            <w:vAlign w:val="center"/>
          </w:tcPr>
          <w:p w14:paraId="610234EC">
            <w:pPr>
              <w:jc w:val="center"/>
              <w:rPr>
                <w:rFonts w:ascii="宋体" w:hAnsi="宋体"/>
                <w:color w:val="auto"/>
                <w:szCs w:val="44"/>
                <w:highlight w:val="none"/>
              </w:rPr>
            </w:pPr>
          </w:p>
        </w:tc>
        <w:tc>
          <w:tcPr>
            <w:tcW w:w="593" w:type="dxa"/>
            <w:vAlign w:val="center"/>
          </w:tcPr>
          <w:p w14:paraId="40EA1339">
            <w:pPr>
              <w:jc w:val="center"/>
              <w:rPr>
                <w:rFonts w:ascii="宋体" w:hAnsi="宋体"/>
                <w:color w:val="auto"/>
                <w:szCs w:val="44"/>
                <w:highlight w:val="none"/>
              </w:rPr>
            </w:pPr>
          </w:p>
        </w:tc>
        <w:tc>
          <w:tcPr>
            <w:tcW w:w="593" w:type="dxa"/>
            <w:vAlign w:val="center"/>
          </w:tcPr>
          <w:p w14:paraId="65AF4FBA">
            <w:pPr>
              <w:jc w:val="center"/>
              <w:rPr>
                <w:rFonts w:ascii="宋体" w:hAnsi="宋体"/>
                <w:color w:val="auto"/>
                <w:szCs w:val="44"/>
                <w:highlight w:val="none"/>
              </w:rPr>
            </w:pPr>
          </w:p>
        </w:tc>
        <w:tc>
          <w:tcPr>
            <w:tcW w:w="594" w:type="dxa"/>
            <w:vAlign w:val="center"/>
          </w:tcPr>
          <w:p w14:paraId="20D29A8F">
            <w:pPr>
              <w:jc w:val="center"/>
              <w:rPr>
                <w:rFonts w:ascii="宋体" w:hAnsi="宋体"/>
                <w:color w:val="auto"/>
                <w:szCs w:val="44"/>
                <w:highlight w:val="none"/>
              </w:rPr>
            </w:pPr>
          </w:p>
        </w:tc>
        <w:tc>
          <w:tcPr>
            <w:tcW w:w="714" w:type="dxa"/>
            <w:vAlign w:val="center"/>
          </w:tcPr>
          <w:p w14:paraId="22DB29E6">
            <w:pPr>
              <w:jc w:val="center"/>
              <w:rPr>
                <w:rFonts w:ascii="宋体" w:hAnsi="宋体"/>
                <w:color w:val="auto"/>
                <w:szCs w:val="44"/>
                <w:highlight w:val="none"/>
              </w:rPr>
            </w:pPr>
          </w:p>
        </w:tc>
      </w:tr>
      <w:tr w14:paraId="6ED2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45374E9D">
            <w:pPr>
              <w:jc w:val="center"/>
              <w:rPr>
                <w:rFonts w:ascii="宋体" w:hAnsi="宋体"/>
                <w:color w:val="auto"/>
                <w:szCs w:val="44"/>
                <w:highlight w:val="none"/>
              </w:rPr>
            </w:pPr>
            <w:r>
              <w:rPr>
                <w:rFonts w:hint="eastAsia" w:ascii="宋体" w:hAnsi="宋体"/>
                <w:color w:val="auto"/>
                <w:szCs w:val="44"/>
                <w:highlight w:val="none"/>
              </w:rPr>
              <w:t>6</w:t>
            </w:r>
          </w:p>
        </w:tc>
        <w:tc>
          <w:tcPr>
            <w:tcW w:w="1541" w:type="dxa"/>
            <w:vAlign w:val="center"/>
          </w:tcPr>
          <w:p w14:paraId="591168A7">
            <w:pPr>
              <w:jc w:val="center"/>
              <w:rPr>
                <w:rFonts w:ascii="宋体" w:hAnsi="宋体"/>
                <w:color w:val="auto"/>
                <w:szCs w:val="44"/>
                <w:highlight w:val="none"/>
              </w:rPr>
            </w:pPr>
          </w:p>
        </w:tc>
        <w:tc>
          <w:tcPr>
            <w:tcW w:w="595" w:type="dxa"/>
            <w:vAlign w:val="center"/>
          </w:tcPr>
          <w:p w14:paraId="2B757DBC">
            <w:pPr>
              <w:jc w:val="center"/>
              <w:rPr>
                <w:color w:val="auto"/>
                <w:highlight w:val="none"/>
              </w:rPr>
            </w:pPr>
          </w:p>
        </w:tc>
        <w:tc>
          <w:tcPr>
            <w:tcW w:w="595" w:type="dxa"/>
            <w:vAlign w:val="center"/>
          </w:tcPr>
          <w:p w14:paraId="49462C54">
            <w:pPr>
              <w:jc w:val="center"/>
              <w:rPr>
                <w:rFonts w:ascii="宋体" w:hAnsi="宋体"/>
                <w:color w:val="auto"/>
                <w:szCs w:val="44"/>
                <w:highlight w:val="none"/>
              </w:rPr>
            </w:pPr>
          </w:p>
        </w:tc>
        <w:tc>
          <w:tcPr>
            <w:tcW w:w="594" w:type="dxa"/>
            <w:vAlign w:val="center"/>
          </w:tcPr>
          <w:p w14:paraId="29B91A0E">
            <w:pPr>
              <w:jc w:val="center"/>
              <w:rPr>
                <w:rFonts w:ascii="宋体" w:hAnsi="宋体"/>
                <w:color w:val="auto"/>
                <w:szCs w:val="44"/>
                <w:highlight w:val="none"/>
              </w:rPr>
            </w:pPr>
          </w:p>
        </w:tc>
        <w:tc>
          <w:tcPr>
            <w:tcW w:w="593" w:type="dxa"/>
            <w:vAlign w:val="center"/>
          </w:tcPr>
          <w:p w14:paraId="48FD412F">
            <w:pPr>
              <w:jc w:val="center"/>
              <w:rPr>
                <w:rFonts w:ascii="宋体" w:hAnsi="宋体"/>
                <w:color w:val="auto"/>
                <w:szCs w:val="44"/>
                <w:highlight w:val="none"/>
              </w:rPr>
            </w:pPr>
          </w:p>
        </w:tc>
        <w:tc>
          <w:tcPr>
            <w:tcW w:w="593" w:type="dxa"/>
            <w:vAlign w:val="center"/>
          </w:tcPr>
          <w:p w14:paraId="7E686F83">
            <w:pPr>
              <w:jc w:val="center"/>
              <w:rPr>
                <w:rFonts w:ascii="宋体" w:hAnsi="宋体"/>
                <w:color w:val="auto"/>
                <w:szCs w:val="44"/>
                <w:highlight w:val="none"/>
              </w:rPr>
            </w:pPr>
          </w:p>
        </w:tc>
        <w:tc>
          <w:tcPr>
            <w:tcW w:w="593" w:type="dxa"/>
            <w:vAlign w:val="center"/>
          </w:tcPr>
          <w:p w14:paraId="2F073685">
            <w:pPr>
              <w:jc w:val="center"/>
              <w:rPr>
                <w:rFonts w:ascii="宋体" w:hAnsi="宋体"/>
                <w:color w:val="auto"/>
                <w:szCs w:val="44"/>
                <w:highlight w:val="none"/>
              </w:rPr>
            </w:pPr>
          </w:p>
        </w:tc>
        <w:tc>
          <w:tcPr>
            <w:tcW w:w="593" w:type="dxa"/>
            <w:vAlign w:val="center"/>
          </w:tcPr>
          <w:p w14:paraId="1C138130">
            <w:pPr>
              <w:jc w:val="center"/>
              <w:rPr>
                <w:rFonts w:ascii="宋体" w:hAnsi="宋体"/>
                <w:color w:val="auto"/>
                <w:szCs w:val="44"/>
                <w:highlight w:val="none"/>
              </w:rPr>
            </w:pPr>
          </w:p>
        </w:tc>
        <w:tc>
          <w:tcPr>
            <w:tcW w:w="593" w:type="dxa"/>
            <w:vAlign w:val="center"/>
          </w:tcPr>
          <w:p w14:paraId="12BA54E2">
            <w:pPr>
              <w:jc w:val="center"/>
              <w:rPr>
                <w:rFonts w:ascii="宋体" w:hAnsi="宋体"/>
                <w:color w:val="auto"/>
                <w:szCs w:val="44"/>
                <w:highlight w:val="none"/>
              </w:rPr>
            </w:pPr>
          </w:p>
        </w:tc>
        <w:tc>
          <w:tcPr>
            <w:tcW w:w="594" w:type="dxa"/>
            <w:vAlign w:val="center"/>
          </w:tcPr>
          <w:p w14:paraId="1C2D7EB5">
            <w:pPr>
              <w:jc w:val="center"/>
              <w:rPr>
                <w:rFonts w:ascii="宋体" w:hAnsi="宋体"/>
                <w:color w:val="auto"/>
                <w:szCs w:val="44"/>
                <w:highlight w:val="none"/>
              </w:rPr>
            </w:pPr>
          </w:p>
        </w:tc>
        <w:tc>
          <w:tcPr>
            <w:tcW w:w="714" w:type="dxa"/>
            <w:vAlign w:val="center"/>
          </w:tcPr>
          <w:p w14:paraId="47DCFF68">
            <w:pPr>
              <w:jc w:val="center"/>
              <w:rPr>
                <w:rFonts w:ascii="宋体" w:hAnsi="宋体"/>
                <w:color w:val="auto"/>
                <w:szCs w:val="44"/>
                <w:highlight w:val="none"/>
              </w:rPr>
            </w:pPr>
          </w:p>
        </w:tc>
      </w:tr>
      <w:tr w14:paraId="41DF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73372881">
            <w:pPr>
              <w:jc w:val="center"/>
              <w:rPr>
                <w:rFonts w:ascii="宋体" w:hAnsi="宋体"/>
                <w:color w:val="auto"/>
                <w:szCs w:val="44"/>
                <w:highlight w:val="none"/>
              </w:rPr>
            </w:pPr>
            <w:r>
              <w:rPr>
                <w:rFonts w:hint="eastAsia" w:ascii="宋体" w:hAnsi="宋体"/>
                <w:color w:val="auto"/>
                <w:szCs w:val="44"/>
                <w:highlight w:val="none"/>
              </w:rPr>
              <w:t>…</w:t>
            </w:r>
          </w:p>
        </w:tc>
        <w:tc>
          <w:tcPr>
            <w:tcW w:w="1541" w:type="dxa"/>
            <w:vAlign w:val="center"/>
          </w:tcPr>
          <w:p w14:paraId="736954F8">
            <w:pPr>
              <w:rPr>
                <w:rFonts w:ascii="宋体" w:hAnsi="宋体"/>
                <w:color w:val="auto"/>
                <w:szCs w:val="21"/>
                <w:highlight w:val="none"/>
              </w:rPr>
            </w:pPr>
          </w:p>
        </w:tc>
        <w:tc>
          <w:tcPr>
            <w:tcW w:w="595" w:type="dxa"/>
            <w:vAlign w:val="center"/>
          </w:tcPr>
          <w:p w14:paraId="1AE9C225">
            <w:pPr>
              <w:jc w:val="center"/>
              <w:rPr>
                <w:color w:val="auto"/>
                <w:highlight w:val="none"/>
              </w:rPr>
            </w:pPr>
          </w:p>
        </w:tc>
        <w:tc>
          <w:tcPr>
            <w:tcW w:w="595" w:type="dxa"/>
            <w:vAlign w:val="center"/>
          </w:tcPr>
          <w:p w14:paraId="66699999">
            <w:pPr>
              <w:jc w:val="center"/>
              <w:rPr>
                <w:rFonts w:ascii="宋体" w:hAnsi="宋体"/>
                <w:color w:val="auto"/>
                <w:szCs w:val="44"/>
                <w:highlight w:val="none"/>
              </w:rPr>
            </w:pPr>
          </w:p>
        </w:tc>
        <w:tc>
          <w:tcPr>
            <w:tcW w:w="594" w:type="dxa"/>
            <w:vAlign w:val="center"/>
          </w:tcPr>
          <w:p w14:paraId="7DACED1D">
            <w:pPr>
              <w:jc w:val="center"/>
              <w:rPr>
                <w:rFonts w:ascii="宋体" w:hAnsi="宋体"/>
                <w:color w:val="auto"/>
                <w:szCs w:val="44"/>
                <w:highlight w:val="none"/>
              </w:rPr>
            </w:pPr>
          </w:p>
        </w:tc>
        <w:tc>
          <w:tcPr>
            <w:tcW w:w="593" w:type="dxa"/>
            <w:vAlign w:val="center"/>
          </w:tcPr>
          <w:p w14:paraId="4A42BF1A">
            <w:pPr>
              <w:jc w:val="center"/>
              <w:rPr>
                <w:rFonts w:ascii="宋体" w:hAnsi="宋体"/>
                <w:color w:val="auto"/>
                <w:szCs w:val="44"/>
                <w:highlight w:val="none"/>
              </w:rPr>
            </w:pPr>
          </w:p>
        </w:tc>
        <w:tc>
          <w:tcPr>
            <w:tcW w:w="593" w:type="dxa"/>
            <w:vAlign w:val="center"/>
          </w:tcPr>
          <w:p w14:paraId="2B5AFEE4">
            <w:pPr>
              <w:jc w:val="center"/>
              <w:rPr>
                <w:rFonts w:ascii="宋体" w:hAnsi="宋体"/>
                <w:color w:val="auto"/>
                <w:szCs w:val="44"/>
                <w:highlight w:val="none"/>
              </w:rPr>
            </w:pPr>
          </w:p>
        </w:tc>
        <w:tc>
          <w:tcPr>
            <w:tcW w:w="593" w:type="dxa"/>
            <w:vAlign w:val="center"/>
          </w:tcPr>
          <w:p w14:paraId="013C96B2">
            <w:pPr>
              <w:jc w:val="center"/>
              <w:rPr>
                <w:rFonts w:ascii="宋体" w:hAnsi="宋体"/>
                <w:color w:val="auto"/>
                <w:szCs w:val="44"/>
                <w:highlight w:val="none"/>
              </w:rPr>
            </w:pPr>
          </w:p>
        </w:tc>
        <w:tc>
          <w:tcPr>
            <w:tcW w:w="593" w:type="dxa"/>
            <w:vAlign w:val="center"/>
          </w:tcPr>
          <w:p w14:paraId="7C3718EE">
            <w:pPr>
              <w:jc w:val="center"/>
              <w:rPr>
                <w:rFonts w:ascii="宋体" w:hAnsi="宋体"/>
                <w:color w:val="auto"/>
                <w:szCs w:val="44"/>
                <w:highlight w:val="none"/>
              </w:rPr>
            </w:pPr>
          </w:p>
        </w:tc>
        <w:tc>
          <w:tcPr>
            <w:tcW w:w="593" w:type="dxa"/>
            <w:vAlign w:val="center"/>
          </w:tcPr>
          <w:p w14:paraId="6A2F7C06">
            <w:pPr>
              <w:jc w:val="center"/>
              <w:rPr>
                <w:rFonts w:ascii="宋体" w:hAnsi="宋体"/>
                <w:color w:val="auto"/>
                <w:szCs w:val="44"/>
                <w:highlight w:val="none"/>
              </w:rPr>
            </w:pPr>
          </w:p>
        </w:tc>
        <w:tc>
          <w:tcPr>
            <w:tcW w:w="594" w:type="dxa"/>
            <w:vAlign w:val="center"/>
          </w:tcPr>
          <w:p w14:paraId="588A998A">
            <w:pPr>
              <w:jc w:val="center"/>
              <w:rPr>
                <w:rFonts w:ascii="宋体" w:hAnsi="宋体"/>
                <w:color w:val="auto"/>
                <w:szCs w:val="44"/>
                <w:highlight w:val="none"/>
              </w:rPr>
            </w:pPr>
          </w:p>
        </w:tc>
        <w:tc>
          <w:tcPr>
            <w:tcW w:w="714" w:type="dxa"/>
            <w:vAlign w:val="center"/>
          </w:tcPr>
          <w:p w14:paraId="40CF47FE">
            <w:pPr>
              <w:jc w:val="center"/>
              <w:rPr>
                <w:rFonts w:ascii="宋体" w:hAnsi="宋体"/>
                <w:color w:val="auto"/>
                <w:szCs w:val="44"/>
                <w:highlight w:val="none"/>
              </w:rPr>
            </w:pPr>
          </w:p>
        </w:tc>
      </w:tr>
      <w:tr w14:paraId="7B41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02" w:type="dxa"/>
            <w:gridSpan w:val="12"/>
            <w:vAlign w:val="center"/>
          </w:tcPr>
          <w:p w14:paraId="0E24CD7E">
            <w:pPr>
              <w:jc w:val="left"/>
              <w:rPr>
                <w:rFonts w:ascii="宋体" w:hAnsi="宋体"/>
                <w:color w:val="auto"/>
                <w:szCs w:val="44"/>
                <w:highlight w:val="none"/>
              </w:rPr>
            </w:pPr>
            <w:r>
              <w:rPr>
                <w:rFonts w:hint="eastAsia"/>
                <w:color w:val="auto"/>
                <w:highlight w:val="none"/>
              </w:rPr>
              <w:t xml:space="preserve">评标委员会全体成员签名： </w:t>
            </w:r>
          </w:p>
          <w:p w14:paraId="1D7E17E9">
            <w:pPr>
              <w:jc w:val="left"/>
              <w:rPr>
                <w:rFonts w:ascii="宋体" w:hAnsi="宋体"/>
                <w:color w:val="auto"/>
                <w:szCs w:val="44"/>
                <w:highlight w:val="none"/>
              </w:rPr>
            </w:pPr>
          </w:p>
          <w:p w14:paraId="336DD3DF">
            <w:pPr>
              <w:jc w:val="left"/>
              <w:rPr>
                <w:rFonts w:ascii="宋体" w:hAnsi="宋体"/>
                <w:color w:val="auto"/>
                <w:szCs w:val="44"/>
                <w:highlight w:val="none"/>
              </w:rPr>
            </w:pPr>
          </w:p>
          <w:p w14:paraId="3EF78F1E">
            <w:pPr>
              <w:jc w:val="left"/>
              <w:rPr>
                <w:rFonts w:ascii="宋体" w:hAnsi="宋体"/>
                <w:color w:val="auto"/>
                <w:szCs w:val="44"/>
                <w:highlight w:val="none"/>
              </w:rPr>
            </w:pPr>
          </w:p>
          <w:p w14:paraId="58ED83A8">
            <w:pPr>
              <w:jc w:val="left"/>
              <w:rPr>
                <w:rFonts w:ascii="宋体" w:hAnsi="宋体"/>
                <w:color w:val="auto"/>
                <w:szCs w:val="44"/>
                <w:highlight w:val="none"/>
              </w:rPr>
            </w:pPr>
          </w:p>
          <w:p w14:paraId="248CB714">
            <w:pPr>
              <w:jc w:val="left"/>
              <w:rPr>
                <w:rFonts w:ascii="宋体" w:hAnsi="宋体"/>
                <w:color w:val="auto"/>
                <w:szCs w:val="44"/>
                <w:highlight w:val="none"/>
              </w:rPr>
            </w:pPr>
          </w:p>
          <w:p w14:paraId="71AD8463">
            <w:pPr>
              <w:jc w:val="left"/>
              <w:rPr>
                <w:rFonts w:ascii="宋体" w:hAnsi="宋体"/>
                <w:color w:val="auto"/>
                <w:szCs w:val="44"/>
                <w:highlight w:val="none"/>
              </w:rPr>
            </w:pPr>
          </w:p>
          <w:p w14:paraId="24691E91">
            <w:pPr>
              <w:jc w:val="center"/>
              <w:rPr>
                <w:rFonts w:ascii="宋体" w:hAnsi="宋体"/>
                <w:color w:val="auto"/>
                <w:szCs w:val="44"/>
                <w:highlight w:val="none"/>
              </w:rPr>
            </w:pPr>
          </w:p>
        </w:tc>
      </w:tr>
    </w:tbl>
    <w:p w14:paraId="3DF2D7DE">
      <w:pPr>
        <w:spacing w:line="400" w:lineRule="exact"/>
        <w:ind w:left="840" w:leftChars="400" w:firstLine="4410" w:firstLineChars="2100"/>
        <w:rPr>
          <w:rFonts w:ascii="宋体" w:hAnsi="宋体"/>
          <w:color w:val="auto"/>
          <w:szCs w:val="44"/>
          <w:highlight w:val="none"/>
        </w:rPr>
      </w:pPr>
      <w:r>
        <w:rPr>
          <w:rFonts w:hint="eastAsia" w:ascii="宋体" w:hAnsi="宋体"/>
          <w:color w:val="auto"/>
          <w:szCs w:val="44"/>
          <w:highlight w:val="none"/>
        </w:rPr>
        <w:t xml:space="preserve">     日期：    年    月    日</w:t>
      </w:r>
    </w:p>
    <w:p w14:paraId="2EFC62DD">
      <w:pPr>
        <w:spacing w:line="400" w:lineRule="exact"/>
        <w:ind w:left="840" w:leftChars="400" w:firstLine="4410" w:firstLineChars="2100"/>
        <w:rPr>
          <w:rFonts w:ascii="宋体" w:hAnsi="宋体"/>
          <w:color w:val="auto"/>
          <w:szCs w:val="44"/>
          <w:highlight w:val="none"/>
        </w:rPr>
      </w:pPr>
    </w:p>
    <w:p w14:paraId="478B1BF9">
      <w:pPr>
        <w:spacing w:line="400" w:lineRule="exact"/>
        <w:rPr>
          <w:rFonts w:ascii="宋体" w:hAnsi="宋体"/>
          <w:color w:val="auto"/>
          <w:szCs w:val="44"/>
          <w:highlight w:val="none"/>
        </w:rPr>
      </w:pPr>
    </w:p>
    <w:p w14:paraId="57DB5DCC">
      <w:pPr>
        <w:spacing w:line="400" w:lineRule="exact"/>
        <w:ind w:left="1260" w:hanging="1260" w:hangingChars="450"/>
        <w:jc w:val="center"/>
        <w:rPr>
          <w:rFonts w:eastAsia="仿宋_GB2312"/>
          <w:color w:val="auto"/>
          <w:sz w:val="28"/>
          <w:szCs w:val="28"/>
          <w:highlight w:val="none"/>
        </w:rPr>
      </w:pPr>
    </w:p>
    <w:p w14:paraId="5DA6FC72">
      <w:pPr>
        <w:spacing w:line="430" w:lineRule="exact"/>
        <w:rPr>
          <w:color w:val="auto"/>
          <w:highlight w:val="none"/>
        </w:rPr>
      </w:pPr>
    </w:p>
    <w:p w14:paraId="344C3BFA">
      <w:pPr>
        <w:spacing w:line="430" w:lineRule="exact"/>
        <w:ind w:firstLine="5460" w:firstLineChars="2600"/>
        <w:rPr>
          <w:color w:val="auto"/>
          <w:highlight w:val="none"/>
        </w:rPr>
        <w:sectPr>
          <w:type w:val="continuous"/>
          <w:pgSz w:w="11906" w:h="16838"/>
          <w:pgMar w:top="1440" w:right="1797" w:bottom="1440" w:left="1797" w:header="851" w:footer="851" w:gutter="0"/>
          <w:pgBorders>
            <w:top w:val="none" w:sz="0" w:space="0"/>
            <w:left w:val="none" w:sz="0" w:space="0"/>
            <w:bottom w:val="none" w:sz="0" w:space="0"/>
            <w:right w:val="none" w:sz="0" w:space="0"/>
          </w:pgBorders>
          <w:cols w:space="720" w:num="1"/>
          <w:docGrid w:linePitch="312" w:charSpace="0"/>
        </w:sectPr>
      </w:pPr>
    </w:p>
    <w:p w14:paraId="016C664C">
      <w:pPr>
        <w:spacing w:line="430" w:lineRule="exact"/>
        <w:ind w:firstLine="5460" w:firstLineChars="2600"/>
        <w:rPr>
          <w:color w:val="auto"/>
          <w:highlight w:val="none"/>
        </w:rPr>
      </w:pPr>
    </w:p>
    <w:p w14:paraId="05E5DB15">
      <w:pPr>
        <w:spacing w:line="430" w:lineRule="exact"/>
        <w:rPr>
          <w:rFonts w:ascii="黑体" w:eastAsia="黑体"/>
          <w:color w:val="auto"/>
          <w:sz w:val="24"/>
          <w:highlight w:val="none"/>
        </w:rPr>
        <w:sectPr>
          <w:pgSz w:w="11906" w:h="16838"/>
          <w:pgMar w:top="1440" w:right="1797" w:bottom="1440" w:left="1797" w:header="851" w:footer="851" w:gutter="0"/>
          <w:pgBorders>
            <w:top w:val="none" w:sz="0" w:space="0"/>
            <w:left w:val="none" w:sz="0" w:space="0"/>
            <w:bottom w:val="none" w:sz="0" w:space="0"/>
            <w:right w:val="none" w:sz="0" w:space="0"/>
          </w:pgBorders>
          <w:cols w:space="720" w:num="1"/>
          <w:docGrid w:linePitch="312" w:charSpace="0"/>
        </w:sectPr>
      </w:pPr>
    </w:p>
    <w:p w14:paraId="7C92120E">
      <w:pPr>
        <w:pStyle w:val="37"/>
        <w:ind w:firstLine="118"/>
        <w:rPr>
          <w:color w:val="auto"/>
          <w:highlight w:val="none"/>
        </w:rPr>
      </w:pPr>
      <w:bookmarkStart w:id="1047" w:name="_Toc256000141"/>
      <w:bookmarkStart w:id="1048" w:name="_Toc2171"/>
      <w:bookmarkStart w:id="1049" w:name="_Toc164716311"/>
      <w:bookmarkStart w:id="1050" w:name="_Toc4211"/>
      <w:bookmarkStart w:id="1051" w:name="_Toc148860669"/>
      <w:r>
        <w:rPr>
          <w:rFonts w:hint="eastAsia"/>
          <w:color w:val="auto"/>
          <w:highlight w:val="none"/>
        </w:rPr>
        <w:t>附表A-</w:t>
      </w:r>
      <w:r>
        <w:rPr>
          <w:color w:val="auto"/>
          <w:highlight w:val="none"/>
        </w:rPr>
        <w:t>8</w:t>
      </w:r>
      <w:r>
        <w:rPr>
          <w:rFonts w:hint="eastAsia"/>
          <w:color w:val="auto"/>
          <w:highlight w:val="none"/>
        </w:rPr>
        <w:t>：初步评审汇总记录表</w:t>
      </w:r>
      <w:bookmarkEnd w:id="1047"/>
      <w:bookmarkEnd w:id="1048"/>
      <w:bookmarkEnd w:id="1049"/>
      <w:bookmarkEnd w:id="1050"/>
      <w:bookmarkEnd w:id="1051"/>
    </w:p>
    <w:p w14:paraId="6227BFAA">
      <w:pPr>
        <w:spacing w:after="240" w:afterLines="100"/>
        <w:jc w:val="center"/>
        <w:rPr>
          <w:rFonts w:ascii="黑体" w:hAnsi="宋体" w:eastAsia="黑体"/>
          <w:color w:val="auto"/>
          <w:sz w:val="36"/>
          <w:szCs w:val="36"/>
          <w:highlight w:val="none"/>
        </w:rPr>
      </w:pPr>
    </w:p>
    <w:p w14:paraId="6388EECE">
      <w:pPr>
        <w:adjustRightInd w:val="0"/>
        <w:snapToGrid w:val="0"/>
        <w:spacing w:before="240" w:beforeLines="100" w:after="240" w:afterLines="100" w:line="440" w:lineRule="exact"/>
        <w:jc w:val="center"/>
        <w:rPr>
          <w:rFonts w:ascii="黑体" w:hAnsi="宋体" w:eastAsia="黑体"/>
          <w:color w:val="auto"/>
          <w:sz w:val="36"/>
          <w:szCs w:val="36"/>
          <w:highlight w:val="none"/>
        </w:rPr>
      </w:pPr>
      <w:r>
        <w:rPr>
          <w:rFonts w:hint="eastAsia" w:ascii="黑体" w:hAnsi="宋体" w:eastAsia="黑体"/>
          <w:color w:val="auto"/>
          <w:sz w:val="36"/>
          <w:szCs w:val="36"/>
          <w:highlight w:val="none"/>
        </w:rPr>
        <w:t>初步评审汇总记录表</w:t>
      </w:r>
    </w:p>
    <w:p w14:paraId="62833430">
      <w:pPr>
        <w:rPr>
          <w:rFonts w:ascii="宋体" w:hAnsi="宋体"/>
          <w:color w:val="auto"/>
          <w:szCs w:val="44"/>
          <w:highlight w:val="none"/>
        </w:rPr>
      </w:pPr>
      <w:r>
        <w:rPr>
          <w:rFonts w:hint="eastAsia" w:ascii="宋体" w:hAnsi="宋体"/>
          <w:color w:val="auto"/>
          <w:szCs w:val="44"/>
          <w:highlight w:val="none"/>
        </w:rPr>
        <w:t>标段名称：</w:t>
      </w:r>
    </w:p>
    <w:p w14:paraId="5FC82C2C">
      <w:pPr>
        <w:rPr>
          <w:color w:val="auto"/>
          <w:highlight w:val="none"/>
        </w:rPr>
      </w:pPr>
      <w:r>
        <w:rPr>
          <w:rFonts w:hint="eastAsia"/>
          <w:color w:val="auto"/>
          <w:szCs w:val="44"/>
          <w:highlight w:val="none"/>
        </w:rPr>
        <w:t>标段唯一标识码：</w:t>
      </w:r>
      <w:r>
        <w:rPr>
          <w:color w:val="auto"/>
          <w:szCs w:val="44"/>
          <w:highlight w:val="none"/>
        </w:rPr>
        <w:t xml:space="preserve">                                                </w:t>
      </w:r>
      <w:r>
        <w:rPr>
          <w:rFonts w:hint="eastAsia"/>
          <w:color w:val="auto"/>
          <w:highlight w:val="none"/>
        </w:rPr>
        <w:t>单位：人民币元</w:t>
      </w:r>
    </w:p>
    <w:tbl>
      <w:tblPr>
        <w:tblStyle w:val="25"/>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941"/>
        <w:gridCol w:w="942"/>
        <w:gridCol w:w="941"/>
        <w:gridCol w:w="1019"/>
        <w:gridCol w:w="1185"/>
        <w:gridCol w:w="1166"/>
        <w:gridCol w:w="851"/>
        <w:gridCol w:w="992"/>
      </w:tblGrid>
      <w:tr w14:paraId="51A7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05" w:type="dxa"/>
            <w:shd w:val="clear" w:color="auto" w:fill="auto"/>
            <w:vAlign w:val="center"/>
          </w:tcPr>
          <w:p w14:paraId="0F9ECE27">
            <w:pPr>
              <w:jc w:val="center"/>
              <w:rPr>
                <w:b/>
                <w:bCs/>
                <w:color w:val="auto"/>
                <w:highlight w:val="none"/>
              </w:rPr>
            </w:pPr>
            <w:r>
              <w:rPr>
                <w:rFonts w:hint="eastAsia"/>
                <w:b/>
                <w:bCs/>
                <w:color w:val="auto"/>
                <w:highlight w:val="none"/>
              </w:rPr>
              <w:t>序号</w:t>
            </w:r>
          </w:p>
        </w:tc>
        <w:tc>
          <w:tcPr>
            <w:tcW w:w="941" w:type="dxa"/>
            <w:shd w:val="clear" w:color="auto" w:fill="auto"/>
            <w:vAlign w:val="center"/>
          </w:tcPr>
          <w:p w14:paraId="0FA1B2B9">
            <w:pPr>
              <w:jc w:val="center"/>
              <w:rPr>
                <w:b/>
                <w:bCs/>
                <w:color w:val="auto"/>
                <w:highlight w:val="none"/>
              </w:rPr>
            </w:pPr>
            <w:r>
              <w:rPr>
                <w:rFonts w:hint="eastAsia"/>
                <w:b/>
                <w:bCs/>
                <w:color w:val="auto"/>
                <w:highlight w:val="none"/>
              </w:rPr>
              <w:t>投标人名称</w:t>
            </w:r>
          </w:p>
        </w:tc>
        <w:tc>
          <w:tcPr>
            <w:tcW w:w="942" w:type="dxa"/>
            <w:shd w:val="clear" w:color="auto" w:fill="auto"/>
            <w:vAlign w:val="center"/>
          </w:tcPr>
          <w:p w14:paraId="3334DD20">
            <w:pPr>
              <w:jc w:val="center"/>
              <w:rPr>
                <w:b/>
                <w:bCs/>
                <w:color w:val="auto"/>
                <w:highlight w:val="none"/>
              </w:rPr>
            </w:pPr>
            <w:r>
              <w:rPr>
                <w:rFonts w:hint="eastAsia"/>
                <w:b/>
                <w:bCs/>
                <w:color w:val="auto"/>
                <w:highlight w:val="none"/>
              </w:rPr>
              <w:t>形式评审结果</w:t>
            </w:r>
          </w:p>
        </w:tc>
        <w:tc>
          <w:tcPr>
            <w:tcW w:w="941" w:type="dxa"/>
            <w:shd w:val="clear" w:color="auto" w:fill="auto"/>
            <w:vAlign w:val="center"/>
          </w:tcPr>
          <w:p w14:paraId="693E5FD6">
            <w:pPr>
              <w:jc w:val="center"/>
              <w:rPr>
                <w:b/>
                <w:bCs/>
                <w:color w:val="auto"/>
                <w:highlight w:val="none"/>
              </w:rPr>
            </w:pPr>
            <w:r>
              <w:rPr>
                <w:rFonts w:hint="eastAsia"/>
                <w:b/>
                <w:bCs/>
                <w:color w:val="auto"/>
                <w:highlight w:val="none"/>
              </w:rPr>
              <w:t>资格评审结果</w:t>
            </w:r>
          </w:p>
        </w:tc>
        <w:tc>
          <w:tcPr>
            <w:tcW w:w="1019" w:type="dxa"/>
            <w:shd w:val="clear" w:color="auto" w:fill="auto"/>
            <w:vAlign w:val="center"/>
          </w:tcPr>
          <w:p w14:paraId="265E81CD">
            <w:pPr>
              <w:jc w:val="center"/>
              <w:rPr>
                <w:b/>
                <w:bCs/>
                <w:color w:val="auto"/>
                <w:highlight w:val="none"/>
              </w:rPr>
            </w:pPr>
            <w:r>
              <w:rPr>
                <w:rFonts w:hint="eastAsia"/>
                <w:b/>
                <w:bCs/>
                <w:color w:val="auto"/>
                <w:highlight w:val="none"/>
              </w:rPr>
              <w:t>响应性评审结果</w:t>
            </w:r>
          </w:p>
        </w:tc>
        <w:tc>
          <w:tcPr>
            <w:tcW w:w="1185" w:type="dxa"/>
            <w:shd w:val="clear" w:color="auto" w:fill="auto"/>
            <w:vAlign w:val="center"/>
          </w:tcPr>
          <w:p w14:paraId="4660623B">
            <w:pPr>
              <w:jc w:val="center"/>
              <w:rPr>
                <w:b/>
                <w:bCs/>
                <w:color w:val="auto"/>
                <w:highlight w:val="none"/>
              </w:rPr>
            </w:pPr>
            <w:r>
              <w:rPr>
                <w:rFonts w:hint="eastAsia"/>
                <w:b/>
                <w:bCs/>
                <w:color w:val="auto"/>
                <w:highlight w:val="none"/>
              </w:rPr>
              <w:t>承包人建议书评审结果（如有）</w:t>
            </w:r>
          </w:p>
        </w:tc>
        <w:tc>
          <w:tcPr>
            <w:tcW w:w="1166" w:type="dxa"/>
            <w:shd w:val="clear" w:color="auto" w:fill="auto"/>
            <w:vAlign w:val="center"/>
          </w:tcPr>
          <w:p w14:paraId="7886CD6F">
            <w:pPr>
              <w:jc w:val="center"/>
              <w:rPr>
                <w:b/>
                <w:bCs/>
                <w:color w:val="auto"/>
                <w:highlight w:val="none"/>
              </w:rPr>
            </w:pPr>
            <w:r>
              <w:rPr>
                <w:rFonts w:hint="eastAsia"/>
                <w:b/>
                <w:bCs/>
                <w:color w:val="auto"/>
                <w:highlight w:val="none"/>
              </w:rPr>
              <w:t>承包人实施方案评审结果（如有）</w:t>
            </w:r>
          </w:p>
        </w:tc>
        <w:tc>
          <w:tcPr>
            <w:tcW w:w="851" w:type="dxa"/>
            <w:shd w:val="clear" w:color="auto" w:fill="auto"/>
            <w:vAlign w:val="center"/>
          </w:tcPr>
          <w:p w14:paraId="2F88FA9F">
            <w:pPr>
              <w:ind w:right="-105"/>
              <w:jc w:val="center"/>
              <w:rPr>
                <w:rFonts w:ascii="宋体" w:hAnsi="宋体"/>
                <w:b/>
                <w:bCs/>
                <w:color w:val="auto"/>
                <w:szCs w:val="21"/>
                <w:highlight w:val="none"/>
              </w:rPr>
            </w:pPr>
            <w:r>
              <w:rPr>
                <w:rFonts w:hint="eastAsia" w:ascii="宋体" w:hAnsi="宋体"/>
                <w:b/>
                <w:bCs/>
                <w:color w:val="auto"/>
                <w:szCs w:val="21"/>
                <w:highlight w:val="none"/>
              </w:rPr>
              <w:t>投标报价</w:t>
            </w:r>
          </w:p>
        </w:tc>
        <w:tc>
          <w:tcPr>
            <w:tcW w:w="992" w:type="dxa"/>
            <w:shd w:val="clear" w:color="auto" w:fill="auto"/>
            <w:vAlign w:val="center"/>
          </w:tcPr>
          <w:p w14:paraId="37C97770">
            <w:pPr>
              <w:ind w:right="-111"/>
              <w:jc w:val="center"/>
              <w:rPr>
                <w:rFonts w:ascii="宋体" w:hAnsi="宋体"/>
                <w:b/>
                <w:bCs/>
                <w:color w:val="auto"/>
                <w:szCs w:val="21"/>
                <w:highlight w:val="none"/>
              </w:rPr>
            </w:pPr>
            <w:r>
              <w:rPr>
                <w:rFonts w:hint="eastAsia" w:ascii="宋体" w:hAnsi="宋体"/>
                <w:b/>
                <w:bCs/>
                <w:color w:val="auto"/>
                <w:szCs w:val="21"/>
                <w:highlight w:val="none"/>
              </w:rPr>
              <w:t>评审结论</w:t>
            </w:r>
          </w:p>
        </w:tc>
      </w:tr>
      <w:tr w14:paraId="624F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05" w:type="dxa"/>
            <w:shd w:val="clear" w:color="auto" w:fill="auto"/>
            <w:vAlign w:val="center"/>
          </w:tcPr>
          <w:p w14:paraId="386FEEC5">
            <w:pPr>
              <w:jc w:val="center"/>
              <w:rPr>
                <w:rFonts w:ascii="黑体" w:hAnsi="宋体" w:eastAsia="黑体"/>
                <w:color w:val="auto"/>
                <w:szCs w:val="44"/>
                <w:highlight w:val="none"/>
              </w:rPr>
            </w:pPr>
            <w:r>
              <w:rPr>
                <w:rFonts w:hint="eastAsia" w:ascii="黑体" w:hAnsi="宋体" w:eastAsia="黑体"/>
                <w:color w:val="auto"/>
                <w:szCs w:val="44"/>
                <w:highlight w:val="none"/>
              </w:rPr>
              <w:t>1</w:t>
            </w:r>
          </w:p>
        </w:tc>
        <w:tc>
          <w:tcPr>
            <w:tcW w:w="941" w:type="dxa"/>
            <w:shd w:val="clear" w:color="auto" w:fill="auto"/>
            <w:vAlign w:val="center"/>
          </w:tcPr>
          <w:p w14:paraId="1108045D">
            <w:pPr>
              <w:jc w:val="center"/>
              <w:rPr>
                <w:color w:val="auto"/>
                <w:highlight w:val="none"/>
              </w:rPr>
            </w:pPr>
          </w:p>
        </w:tc>
        <w:tc>
          <w:tcPr>
            <w:tcW w:w="942" w:type="dxa"/>
            <w:shd w:val="clear" w:color="auto" w:fill="auto"/>
            <w:vAlign w:val="center"/>
          </w:tcPr>
          <w:p w14:paraId="579186C5">
            <w:pPr>
              <w:jc w:val="center"/>
              <w:rPr>
                <w:color w:val="auto"/>
                <w:highlight w:val="none"/>
              </w:rPr>
            </w:pPr>
          </w:p>
        </w:tc>
        <w:tc>
          <w:tcPr>
            <w:tcW w:w="941" w:type="dxa"/>
            <w:shd w:val="clear" w:color="auto" w:fill="auto"/>
            <w:vAlign w:val="center"/>
          </w:tcPr>
          <w:p w14:paraId="02C6EF64">
            <w:pPr>
              <w:jc w:val="center"/>
              <w:rPr>
                <w:color w:val="auto"/>
                <w:highlight w:val="none"/>
              </w:rPr>
            </w:pPr>
          </w:p>
        </w:tc>
        <w:tc>
          <w:tcPr>
            <w:tcW w:w="1019" w:type="dxa"/>
            <w:shd w:val="clear" w:color="auto" w:fill="auto"/>
            <w:vAlign w:val="center"/>
          </w:tcPr>
          <w:p w14:paraId="08A838F6">
            <w:pPr>
              <w:jc w:val="center"/>
              <w:rPr>
                <w:color w:val="auto"/>
                <w:highlight w:val="none"/>
              </w:rPr>
            </w:pPr>
          </w:p>
        </w:tc>
        <w:tc>
          <w:tcPr>
            <w:tcW w:w="1185" w:type="dxa"/>
            <w:shd w:val="clear" w:color="auto" w:fill="auto"/>
            <w:vAlign w:val="center"/>
          </w:tcPr>
          <w:p w14:paraId="11E61336">
            <w:pPr>
              <w:jc w:val="center"/>
              <w:rPr>
                <w:color w:val="auto"/>
                <w:highlight w:val="none"/>
              </w:rPr>
            </w:pPr>
          </w:p>
        </w:tc>
        <w:tc>
          <w:tcPr>
            <w:tcW w:w="1166" w:type="dxa"/>
            <w:shd w:val="clear" w:color="auto" w:fill="auto"/>
            <w:vAlign w:val="center"/>
          </w:tcPr>
          <w:p w14:paraId="6254F881">
            <w:pPr>
              <w:jc w:val="center"/>
              <w:rPr>
                <w:color w:val="auto"/>
                <w:highlight w:val="none"/>
              </w:rPr>
            </w:pPr>
          </w:p>
        </w:tc>
        <w:tc>
          <w:tcPr>
            <w:tcW w:w="851" w:type="dxa"/>
            <w:shd w:val="clear" w:color="auto" w:fill="auto"/>
            <w:vAlign w:val="center"/>
          </w:tcPr>
          <w:p w14:paraId="32F9A707">
            <w:pPr>
              <w:ind w:right="-105"/>
              <w:jc w:val="center"/>
              <w:rPr>
                <w:rFonts w:ascii="宋体" w:hAnsi="宋体"/>
                <w:color w:val="auto"/>
                <w:szCs w:val="21"/>
                <w:highlight w:val="none"/>
              </w:rPr>
            </w:pPr>
          </w:p>
        </w:tc>
        <w:tc>
          <w:tcPr>
            <w:tcW w:w="992" w:type="dxa"/>
            <w:shd w:val="clear" w:color="auto" w:fill="auto"/>
            <w:vAlign w:val="center"/>
          </w:tcPr>
          <w:p w14:paraId="11FF30A2">
            <w:pPr>
              <w:ind w:right="-111"/>
              <w:jc w:val="center"/>
              <w:rPr>
                <w:rFonts w:ascii="宋体" w:hAnsi="宋体"/>
                <w:color w:val="auto"/>
                <w:szCs w:val="21"/>
                <w:highlight w:val="none"/>
              </w:rPr>
            </w:pPr>
          </w:p>
        </w:tc>
      </w:tr>
      <w:tr w14:paraId="4247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05" w:type="dxa"/>
            <w:shd w:val="clear" w:color="auto" w:fill="auto"/>
            <w:vAlign w:val="center"/>
          </w:tcPr>
          <w:p w14:paraId="4331656D">
            <w:pPr>
              <w:jc w:val="center"/>
              <w:rPr>
                <w:rFonts w:ascii="黑体" w:hAnsi="宋体" w:eastAsia="黑体"/>
                <w:color w:val="auto"/>
                <w:szCs w:val="44"/>
                <w:highlight w:val="none"/>
              </w:rPr>
            </w:pPr>
            <w:r>
              <w:rPr>
                <w:rFonts w:hint="eastAsia" w:ascii="黑体" w:hAnsi="宋体" w:eastAsia="黑体"/>
                <w:color w:val="auto"/>
                <w:szCs w:val="44"/>
                <w:highlight w:val="none"/>
              </w:rPr>
              <w:t>2</w:t>
            </w:r>
          </w:p>
        </w:tc>
        <w:tc>
          <w:tcPr>
            <w:tcW w:w="941" w:type="dxa"/>
            <w:shd w:val="clear" w:color="auto" w:fill="auto"/>
            <w:vAlign w:val="center"/>
          </w:tcPr>
          <w:p w14:paraId="050FF00C">
            <w:pPr>
              <w:jc w:val="center"/>
              <w:rPr>
                <w:color w:val="auto"/>
                <w:highlight w:val="none"/>
              </w:rPr>
            </w:pPr>
          </w:p>
        </w:tc>
        <w:tc>
          <w:tcPr>
            <w:tcW w:w="942" w:type="dxa"/>
            <w:shd w:val="clear" w:color="auto" w:fill="auto"/>
            <w:vAlign w:val="center"/>
          </w:tcPr>
          <w:p w14:paraId="7C490B61">
            <w:pPr>
              <w:jc w:val="center"/>
              <w:rPr>
                <w:color w:val="auto"/>
                <w:highlight w:val="none"/>
              </w:rPr>
            </w:pPr>
          </w:p>
        </w:tc>
        <w:tc>
          <w:tcPr>
            <w:tcW w:w="941" w:type="dxa"/>
            <w:shd w:val="clear" w:color="auto" w:fill="auto"/>
            <w:vAlign w:val="center"/>
          </w:tcPr>
          <w:p w14:paraId="0FB3042D">
            <w:pPr>
              <w:jc w:val="center"/>
              <w:rPr>
                <w:color w:val="auto"/>
                <w:highlight w:val="none"/>
              </w:rPr>
            </w:pPr>
          </w:p>
        </w:tc>
        <w:tc>
          <w:tcPr>
            <w:tcW w:w="1019" w:type="dxa"/>
            <w:shd w:val="clear" w:color="auto" w:fill="auto"/>
            <w:vAlign w:val="center"/>
          </w:tcPr>
          <w:p w14:paraId="47C33DCF">
            <w:pPr>
              <w:jc w:val="center"/>
              <w:rPr>
                <w:color w:val="auto"/>
                <w:highlight w:val="none"/>
              </w:rPr>
            </w:pPr>
          </w:p>
        </w:tc>
        <w:tc>
          <w:tcPr>
            <w:tcW w:w="1185" w:type="dxa"/>
            <w:shd w:val="clear" w:color="auto" w:fill="auto"/>
            <w:vAlign w:val="center"/>
          </w:tcPr>
          <w:p w14:paraId="6C64AA47">
            <w:pPr>
              <w:jc w:val="center"/>
              <w:rPr>
                <w:color w:val="auto"/>
                <w:highlight w:val="none"/>
              </w:rPr>
            </w:pPr>
          </w:p>
        </w:tc>
        <w:tc>
          <w:tcPr>
            <w:tcW w:w="1166" w:type="dxa"/>
            <w:shd w:val="clear" w:color="auto" w:fill="auto"/>
            <w:vAlign w:val="center"/>
          </w:tcPr>
          <w:p w14:paraId="557C78C1">
            <w:pPr>
              <w:jc w:val="center"/>
              <w:rPr>
                <w:color w:val="auto"/>
                <w:highlight w:val="none"/>
              </w:rPr>
            </w:pPr>
          </w:p>
        </w:tc>
        <w:tc>
          <w:tcPr>
            <w:tcW w:w="851" w:type="dxa"/>
            <w:shd w:val="clear" w:color="auto" w:fill="auto"/>
            <w:vAlign w:val="center"/>
          </w:tcPr>
          <w:p w14:paraId="6D36115B">
            <w:pPr>
              <w:ind w:right="-105"/>
              <w:jc w:val="center"/>
              <w:rPr>
                <w:rFonts w:ascii="宋体" w:hAnsi="宋体"/>
                <w:color w:val="auto"/>
                <w:szCs w:val="21"/>
                <w:highlight w:val="none"/>
              </w:rPr>
            </w:pPr>
          </w:p>
        </w:tc>
        <w:tc>
          <w:tcPr>
            <w:tcW w:w="992" w:type="dxa"/>
            <w:shd w:val="clear" w:color="auto" w:fill="auto"/>
            <w:vAlign w:val="center"/>
          </w:tcPr>
          <w:p w14:paraId="3A02B4C5">
            <w:pPr>
              <w:ind w:right="-111"/>
              <w:jc w:val="center"/>
              <w:rPr>
                <w:rFonts w:ascii="宋体" w:hAnsi="宋体"/>
                <w:color w:val="auto"/>
                <w:szCs w:val="21"/>
                <w:highlight w:val="none"/>
              </w:rPr>
            </w:pPr>
          </w:p>
        </w:tc>
      </w:tr>
      <w:tr w14:paraId="0B45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05" w:type="dxa"/>
            <w:shd w:val="clear" w:color="auto" w:fill="auto"/>
            <w:vAlign w:val="center"/>
          </w:tcPr>
          <w:p w14:paraId="5F4F3D4D">
            <w:pPr>
              <w:jc w:val="center"/>
              <w:rPr>
                <w:rFonts w:ascii="黑体" w:hAnsi="宋体" w:eastAsia="黑体"/>
                <w:color w:val="auto"/>
                <w:szCs w:val="44"/>
                <w:highlight w:val="none"/>
              </w:rPr>
            </w:pPr>
            <w:r>
              <w:rPr>
                <w:rFonts w:hint="eastAsia" w:ascii="黑体" w:hAnsi="宋体" w:eastAsia="黑体"/>
                <w:color w:val="auto"/>
                <w:szCs w:val="44"/>
                <w:highlight w:val="none"/>
              </w:rPr>
              <w:t>3</w:t>
            </w:r>
          </w:p>
        </w:tc>
        <w:tc>
          <w:tcPr>
            <w:tcW w:w="941" w:type="dxa"/>
            <w:shd w:val="clear" w:color="auto" w:fill="auto"/>
            <w:vAlign w:val="center"/>
          </w:tcPr>
          <w:p w14:paraId="2B101615">
            <w:pPr>
              <w:jc w:val="center"/>
              <w:rPr>
                <w:color w:val="auto"/>
                <w:highlight w:val="none"/>
              </w:rPr>
            </w:pPr>
          </w:p>
        </w:tc>
        <w:tc>
          <w:tcPr>
            <w:tcW w:w="942" w:type="dxa"/>
            <w:shd w:val="clear" w:color="auto" w:fill="auto"/>
            <w:vAlign w:val="center"/>
          </w:tcPr>
          <w:p w14:paraId="6896A7A1">
            <w:pPr>
              <w:jc w:val="center"/>
              <w:rPr>
                <w:color w:val="auto"/>
                <w:highlight w:val="none"/>
              </w:rPr>
            </w:pPr>
          </w:p>
        </w:tc>
        <w:tc>
          <w:tcPr>
            <w:tcW w:w="941" w:type="dxa"/>
            <w:shd w:val="clear" w:color="auto" w:fill="auto"/>
            <w:vAlign w:val="center"/>
          </w:tcPr>
          <w:p w14:paraId="495E67AA">
            <w:pPr>
              <w:jc w:val="center"/>
              <w:rPr>
                <w:color w:val="auto"/>
                <w:highlight w:val="none"/>
              </w:rPr>
            </w:pPr>
          </w:p>
        </w:tc>
        <w:tc>
          <w:tcPr>
            <w:tcW w:w="1019" w:type="dxa"/>
            <w:shd w:val="clear" w:color="auto" w:fill="auto"/>
            <w:vAlign w:val="center"/>
          </w:tcPr>
          <w:p w14:paraId="786FD3C5">
            <w:pPr>
              <w:jc w:val="center"/>
              <w:rPr>
                <w:color w:val="auto"/>
                <w:highlight w:val="none"/>
              </w:rPr>
            </w:pPr>
          </w:p>
        </w:tc>
        <w:tc>
          <w:tcPr>
            <w:tcW w:w="1185" w:type="dxa"/>
            <w:shd w:val="clear" w:color="auto" w:fill="auto"/>
            <w:vAlign w:val="center"/>
          </w:tcPr>
          <w:p w14:paraId="2436C46E">
            <w:pPr>
              <w:jc w:val="center"/>
              <w:rPr>
                <w:color w:val="auto"/>
                <w:highlight w:val="none"/>
              </w:rPr>
            </w:pPr>
          </w:p>
        </w:tc>
        <w:tc>
          <w:tcPr>
            <w:tcW w:w="1166" w:type="dxa"/>
            <w:shd w:val="clear" w:color="auto" w:fill="auto"/>
            <w:vAlign w:val="center"/>
          </w:tcPr>
          <w:p w14:paraId="723751BD">
            <w:pPr>
              <w:jc w:val="center"/>
              <w:rPr>
                <w:color w:val="auto"/>
                <w:highlight w:val="none"/>
              </w:rPr>
            </w:pPr>
          </w:p>
        </w:tc>
        <w:tc>
          <w:tcPr>
            <w:tcW w:w="851" w:type="dxa"/>
            <w:shd w:val="clear" w:color="auto" w:fill="auto"/>
            <w:vAlign w:val="center"/>
          </w:tcPr>
          <w:p w14:paraId="5445A8E3">
            <w:pPr>
              <w:ind w:right="-105"/>
              <w:jc w:val="center"/>
              <w:rPr>
                <w:rFonts w:ascii="宋体" w:hAnsi="宋体"/>
                <w:color w:val="auto"/>
                <w:szCs w:val="21"/>
                <w:highlight w:val="none"/>
              </w:rPr>
            </w:pPr>
          </w:p>
        </w:tc>
        <w:tc>
          <w:tcPr>
            <w:tcW w:w="992" w:type="dxa"/>
            <w:shd w:val="clear" w:color="auto" w:fill="auto"/>
            <w:vAlign w:val="center"/>
          </w:tcPr>
          <w:p w14:paraId="651261E6">
            <w:pPr>
              <w:ind w:right="-111"/>
              <w:jc w:val="center"/>
              <w:rPr>
                <w:rFonts w:ascii="宋体" w:hAnsi="宋体"/>
                <w:color w:val="auto"/>
                <w:szCs w:val="21"/>
                <w:highlight w:val="none"/>
              </w:rPr>
            </w:pPr>
          </w:p>
        </w:tc>
      </w:tr>
      <w:tr w14:paraId="5537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05" w:type="dxa"/>
            <w:shd w:val="clear" w:color="auto" w:fill="auto"/>
            <w:vAlign w:val="center"/>
          </w:tcPr>
          <w:p w14:paraId="45F2AE8C">
            <w:pPr>
              <w:jc w:val="center"/>
              <w:rPr>
                <w:rFonts w:ascii="黑体" w:hAnsi="宋体" w:eastAsia="黑体"/>
                <w:color w:val="auto"/>
                <w:szCs w:val="44"/>
                <w:highlight w:val="none"/>
              </w:rPr>
            </w:pPr>
            <w:r>
              <w:rPr>
                <w:rFonts w:hint="eastAsia" w:ascii="黑体" w:hAnsi="宋体" w:eastAsia="黑体"/>
                <w:color w:val="auto"/>
                <w:szCs w:val="44"/>
                <w:highlight w:val="none"/>
              </w:rPr>
              <w:t>4</w:t>
            </w:r>
          </w:p>
        </w:tc>
        <w:tc>
          <w:tcPr>
            <w:tcW w:w="941" w:type="dxa"/>
            <w:shd w:val="clear" w:color="auto" w:fill="auto"/>
            <w:vAlign w:val="center"/>
          </w:tcPr>
          <w:p w14:paraId="63A5DC53">
            <w:pPr>
              <w:jc w:val="center"/>
              <w:rPr>
                <w:color w:val="auto"/>
                <w:highlight w:val="none"/>
              </w:rPr>
            </w:pPr>
          </w:p>
        </w:tc>
        <w:tc>
          <w:tcPr>
            <w:tcW w:w="942" w:type="dxa"/>
            <w:shd w:val="clear" w:color="auto" w:fill="auto"/>
            <w:vAlign w:val="center"/>
          </w:tcPr>
          <w:p w14:paraId="10BB3E6C">
            <w:pPr>
              <w:jc w:val="center"/>
              <w:rPr>
                <w:color w:val="auto"/>
                <w:highlight w:val="none"/>
              </w:rPr>
            </w:pPr>
          </w:p>
        </w:tc>
        <w:tc>
          <w:tcPr>
            <w:tcW w:w="941" w:type="dxa"/>
            <w:shd w:val="clear" w:color="auto" w:fill="auto"/>
            <w:vAlign w:val="center"/>
          </w:tcPr>
          <w:p w14:paraId="46A792D5">
            <w:pPr>
              <w:jc w:val="center"/>
              <w:rPr>
                <w:color w:val="auto"/>
                <w:highlight w:val="none"/>
              </w:rPr>
            </w:pPr>
          </w:p>
        </w:tc>
        <w:tc>
          <w:tcPr>
            <w:tcW w:w="1019" w:type="dxa"/>
            <w:shd w:val="clear" w:color="auto" w:fill="auto"/>
            <w:vAlign w:val="center"/>
          </w:tcPr>
          <w:p w14:paraId="4A7C3FFB">
            <w:pPr>
              <w:jc w:val="center"/>
              <w:rPr>
                <w:color w:val="auto"/>
                <w:highlight w:val="none"/>
              </w:rPr>
            </w:pPr>
          </w:p>
        </w:tc>
        <w:tc>
          <w:tcPr>
            <w:tcW w:w="1185" w:type="dxa"/>
            <w:shd w:val="clear" w:color="auto" w:fill="auto"/>
            <w:vAlign w:val="center"/>
          </w:tcPr>
          <w:p w14:paraId="11B63500">
            <w:pPr>
              <w:jc w:val="center"/>
              <w:rPr>
                <w:color w:val="auto"/>
                <w:highlight w:val="none"/>
              </w:rPr>
            </w:pPr>
          </w:p>
        </w:tc>
        <w:tc>
          <w:tcPr>
            <w:tcW w:w="1166" w:type="dxa"/>
            <w:shd w:val="clear" w:color="auto" w:fill="auto"/>
            <w:vAlign w:val="center"/>
          </w:tcPr>
          <w:p w14:paraId="6E1ED569">
            <w:pPr>
              <w:jc w:val="center"/>
              <w:rPr>
                <w:color w:val="auto"/>
                <w:highlight w:val="none"/>
              </w:rPr>
            </w:pPr>
          </w:p>
        </w:tc>
        <w:tc>
          <w:tcPr>
            <w:tcW w:w="851" w:type="dxa"/>
            <w:shd w:val="clear" w:color="auto" w:fill="auto"/>
            <w:vAlign w:val="center"/>
          </w:tcPr>
          <w:p w14:paraId="4A19CDDC">
            <w:pPr>
              <w:ind w:right="-105"/>
              <w:jc w:val="center"/>
              <w:rPr>
                <w:rFonts w:ascii="宋体" w:hAnsi="宋体"/>
                <w:color w:val="auto"/>
                <w:szCs w:val="21"/>
                <w:highlight w:val="none"/>
              </w:rPr>
            </w:pPr>
          </w:p>
        </w:tc>
        <w:tc>
          <w:tcPr>
            <w:tcW w:w="992" w:type="dxa"/>
            <w:shd w:val="clear" w:color="auto" w:fill="auto"/>
            <w:vAlign w:val="center"/>
          </w:tcPr>
          <w:p w14:paraId="52556181">
            <w:pPr>
              <w:ind w:right="-111"/>
              <w:jc w:val="center"/>
              <w:rPr>
                <w:rFonts w:ascii="宋体" w:hAnsi="宋体"/>
                <w:color w:val="auto"/>
                <w:szCs w:val="21"/>
                <w:highlight w:val="none"/>
              </w:rPr>
            </w:pPr>
          </w:p>
        </w:tc>
      </w:tr>
      <w:tr w14:paraId="0150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05" w:type="dxa"/>
            <w:shd w:val="clear" w:color="auto" w:fill="auto"/>
            <w:vAlign w:val="center"/>
          </w:tcPr>
          <w:p w14:paraId="2074772D">
            <w:pPr>
              <w:jc w:val="center"/>
              <w:rPr>
                <w:rFonts w:ascii="黑体" w:hAnsi="宋体" w:eastAsia="黑体"/>
                <w:color w:val="auto"/>
                <w:szCs w:val="44"/>
                <w:highlight w:val="none"/>
              </w:rPr>
            </w:pPr>
            <w:r>
              <w:rPr>
                <w:rFonts w:hint="eastAsia" w:ascii="黑体" w:hAnsi="宋体" w:eastAsia="黑体"/>
                <w:color w:val="auto"/>
                <w:szCs w:val="44"/>
                <w:highlight w:val="none"/>
              </w:rPr>
              <w:t>5</w:t>
            </w:r>
          </w:p>
        </w:tc>
        <w:tc>
          <w:tcPr>
            <w:tcW w:w="941" w:type="dxa"/>
            <w:shd w:val="clear" w:color="auto" w:fill="auto"/>
            <w:vAlign w:val="center"/>
          </w:tcPr>
          <w:p w14:paraId="7AC3035F">
            <w:pPr>
              <w:jc w:val="center"/>
              <w:rPr>
                <w:color w:val="auto"/>
                <w:highlight w:val="none"/>
              </w:rPr>
            </w:pPr>
          </w:p>
        </w:tc>
        <w:tc>
          <w:tcPr>
            <w:tcW w:w="942" w:type="dxa"/>
            <w:shd w:val="clear" w:color="auto" w:fill="auto"/>
            <w:vAlign w:val="center"/>
          </w:tcPr>
          <w:p w14:paraId="049E428A">
            <w:pPr>
              <w:jc w:val="center"/>
              <w:rPr>
                <w:color w:val="auto"/>
                <w:highlight w:val="none"/>
              </w:rPr>
            </w:pPr>
          </w:p>
        </w:tc>
        <w:tc>
          <w:tcPr>
            <w:tcW w:w="941" w:type="dxa"/>
            <w:shd w:val="clear" w:color="auto" w:fill="auto"/>
            <w:vAlign w:val="center"/>
          </w:tcPr>
          <w:p w14:paraId="0F056D2D">
            <w:pPr>
              <w:jc w:val="center"/>
              <w:rPr>
                <w:color w:val="auto"/>
                <w:highlight w:val="none"/>
              </w:rPr>
            </w:pPr>
          </w:p>
        </w:tc>
        <w:tc>
          <w:tcPr>
            <w:tcW w:w="1019" w:type="dxa"/>
            <w:shd w:val="clear" w:color="auto" w:fill="auto"/>
            <w:vAlign w:val="center"/>
          </w:tcPr>
          <w:p w14:paraId="7FB28492">
            <w:pPr>
              <w:jc w:val="center"/>
              <w:rPr>
                <w:color w:val="auto"/>
                <w:highlight w:val="none"/>
              </w:rPr>
            </w:pPr>
          </w:p>
        </w:tc>
        <w:tc>
          <w:tcPr>
            <w:tcW w:w="1185" w:type="dxa"/>
            <w:shd w:val="clear" w:color="auto" w:fill="auto"/>
            <w:vAlign w:val="center"/>
          </w:tcPr>
          <w:p w14:paraId="73A59ED0">
            <w:pPr>
              <w:jc w:val="center"/>
              <w:rPr>
                <w:color w:val="auto"/>
                <w:highlight w:val="none"/>
              </w:rPr>
            </w:pPr>
          </w:p>
        </w:tc>
        <w:tc>
          <w:tcPr>
            <w:tcW w:w="1166" w:type="dxa"/>
            <w:shd w:val="clear" w:color="auto" w:fill="auto"/>
            <w:vAlign w:val="center"/>
          </w:tcPr>
          <w:p w14:paraId="364259AB">
            <w:pPr>
              <w:jc w:val="center"/>
              <w:rPr>
                <w:color w:val="auto"/>
                <w:highlight w:val="none"/>
              </w:rPr>
            </w:pPr>
          </w:p>
        </w:tc>
        <w:tc>
          <w:tcPr>
            <w:tcW w:w="851" w:type="dxa"/>
            <w:shd w:val="clear" w:color="auto" w:fill="auto"/>
            <w:vAlign w:val="center"/>
          </w:tcPr>
          <w:p w14:paraId="1B79149A">
            <w:pPr>
              <w:ind w:right="-105"/>
              <w:jc w:val="center"/>
              <w:rPr>
                <w:rFonts w:ascii="宋体" w:hAnsi="宋体"/>
                <w:color w:val="auto"/>
                <w:szCs w:val="21"/>
                <w:highlight w:val="none"/>
              </w:rPr>
            </w:pPr>
          </w:p>
        </w:tc>
        <w:tc>
          <w:tcPr>
            <w:tcW w:w="992" w:type="dxa"/>
            <w:shd w:val="clear" w:color="auto" w:fill="auto"/>
            <w:vAlign w:val="center"/>
          </w:tcPr>
          <w:p w14:paraId="736551E2">
            <w:pPr>
              <w:ind w:right="-111"/>
              <w:jc w:val="center"/>
              <w:rPr>
                <w:rFonts w:ascii="宋体" w:hAnsi="宋体"/>
                <w:color w:val="auto"/>
                <w:szCs w:val="21"/>
                <w:highlight w:val="none"/>
              </w:rPr>
            </w:pPr>
          </w:p>
        </w:tc>
      </w:tr>
      <w:tr w14:paraId="00B0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05" w:type="dxa"/>
            <w:shd w:val="clear" w:color="auto" w:fill="auto"/>
            <w:vAlign w:val="center"/>
          </w:tcPr>
          <w:p w14:paraId="495DC3BE">
            <w:pPr>
              <w:jc w:val="center"/>
              <w:rPr>
                <w:rFonts w:ascii="黑体" w:hAnsi="宋体" w:eastAsia="黑体"/>
                <w:color w:val="auto"/>
                <w:szCs w:val="44"/>
                <w:highlight w:val="none"/>
              </w:rPr>
            </w:pPr>
            <w:r>
              <w:rPr>
                <w:rFonts w:hint="eastAsia" w:ascii="黑体" w:hAnsi="黑体" w:eastAsia="黑体"/>
                <w:color w:val="auto"/>
                <w:szCs w:val="44"/>
                <w:highlight w:val="none"/>
              </w:rPr>
              <w:t>…</w:t>
            </w:r>
          </w:p>
        </w:tc>
        <w:tc>
          <w:tcPr>
            <w:tcW w:w="941" w:type="dxa"/>
            <w:shd w:val="clear" w:color="auto" w:fill="auto"/>
            <w:vAlign w:val="center"/>
          </w:tcPr>
          <w:p w14:paraId="03462155">
            <w:pPr>
              <w:jc w:val="center"/>
              <w:rPr>
                <w:color w:val="auto"/>
                <w:highlight w:val="none"/>
              </w:rPr>
            </w:pPr>
          </w:p>
        </w:tc>
        <w:tc>
          <w:tcPr>
            <w:tcW w:w="942" w:type="dxa"/>
            <w:shd w:val="clear" w:color="auto" w:fill="auto"/>
            <w:vAlign w:val="center"/>
          </w:tcPr>
          <w:p w14:paraId="039FDFF9">
            <w:pPr>
              <w:jc w:val="center"/>
              <w:rPr>
                <w:color w:val="auto"/>
                <w:highlight w:val="none"/>
              </w:rPr>
            </w:pPr>
          </w:p>
        </w:tc>
        <w:tc>
          <w:tcPr>
            <w:tcW w:w="941" w:type="dxa"/>
            <w:shd w:val="clear" w:color="auto" w:fill="auto"/>
            <w:vAlign w:val="center"/>
          </w:tcPr>
          <w:p w14:paraId="4792197C">
            <w:pPr>
              <w:jc w:val="center"/>
              <w:rPr>
                <w:color w:val="auto"/>
                <w:highlight w:val="none"/>
              </w:rPr>
            </w:pPr>
          </w:p>
        </w:tc>
        <w:tc>
          <w:tcPr>
            <w:tcW w:w="1019" w:type="dxa"/>
            <w:shd w:val="clear" w:color="auto" w:fill="auto"/>
            <w:vAlign w:val="center"/>
          </w:tcPr>
          <w:p w14:paraId="54942362">
            <w:pPr>
              <w:jc w:val="center"/>
              <w:rPr>
                <w:color w:val="auto"/>
                <w:highlight w:val="none"/>
              </w:rPr>
            </w:pPr>
          </w:p>
        </w:tc>
        <w:tc>
          <w:tcPr>
            <w:tcW w:w="1185" w:type="dxa"/>
            <w:shd w:val="clear" w:color="auto" w:fill="auto"/>
            <w:vAlign w:val="center"/>
          </w:tcPr>
          <w:p w14:paraId="72519250">
            <w:pPr>
              <w:jc w:val="center"/>
              <w:rPr>
                <w:color w:val="auto"/>
                <w:highlight w:val="none"/>
              </w:rPr>
            </w:pPr>
          </w:p>
        </w:tc>
        <w:tc>
          <w:tcPr>
            <w:tcW w:w="1166" w:type="dxa"/>
            <w:shd w:val="clear" w:color="auto" w:fill="auto"/>
            <w:vAlign w:val="center"/>
          </w:tcPr>
          <w:p w14:paraId="153C63AA">
            <w:pPr>
              <w:jc w:val="center"/>
              <w:rPr>
                <w:color w:val="auto"/>
                <w:highlight w:val="none"/>
              </w:rPr>
            </w:pPr>
          </w:p>
        </w:tc>
        <w:tc>
          <w:tcPr>
            <w:tcW w:w="851" w:type="dxa"/>
            <w:shd w:val="clear" w:color="auto" w:fill="auto"/>
            <w:vAlign w:val="center"/>
          </w:tcPr>
          <w:p w14:paraId="322148B8">
            <w:pPr>
              <w:ind w:right="-105"/>
              <w:jc w:val="center"/>
              <w:rPr>
                <w:rFonts w:ascii="宋体" w:hAnsi="宋体"/>
                <w:color w:val="auto"/>
                <w:szCs w:val="21"/>
                <w:highlight w:val="none"/>
              </w:rPr>
            </w:pPr>
          </w:p>
        </w:tc>
        <w:tc>
          <w:tcPr>
            <w:tcW w:w="992" w:type="dxa"/>
            <w:shd w:val="clear" w:color="auto" w:fill="auto"/>
            <w:vAlign w:val="center"/>
          </w:tcPr>
          <w:p w14:paraId="3390FD84">
            <w:pPr>
              <w:ind w:right="-111"/>
              <w:jc w:val="center"/>
              <w:rPr>
                <w:rFonts w:ascii="宋体" w:hAnsi="宋体"/>
                <w:color w:val="auto"/>
                <w:szCs w:val="21"/>
                <w:highlight w:val="none"/>
              </w:rPr>
            </w:pPr>
          </w:p>
        </w:tc>
      </w:tr>
      <w:tr w14:paraId="5715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642" w:type="dxa"/>
            <w:gridSpan w:val="9"/>
            <w:shd w:val="clear" w:color="auto" w:fill="auto"/>
            <w:vAlign w:val="center"/>
          </w:tcPr>
          <w:p w14:paraId="408E3F81">
            <w:pPr>
              <w:jc w:val="left"/>
              <w:rPr>
                <w:rFonts w:ascii="宋体" w:hAnsi="宋体"/>
                <w:color w:val="auto"/>
                <w:szCs w:val="44"/>
                <w:highlight w:val="none"/>
              </w:rPr>
            </w:pPr>
            <w:r>
              <w:rPr>
                <w:rFonts w:hint="eastAsia"/>
                <w:color w:val="auto"/>
                <w:highlight w:val="none"/>
              </w:rPr>
              <w:t xml:space="preserve">评标委员会全体成员签名： </w:t>
            </w:r>
          </w:p>
          <w:p w14:paraId="126E589B">
            <w:pPr>
              <w:jc w:val="left"/>
              <w:rPr>
                <w:rFonts w:ascii="宋体" w:hAnsi="宋体"/>
                <w:color w:val="auto"/>
                <w:szCs w:val="44"/>
                <w:highlight w:val="none"/>
              </w:rPr>
            </w:pPr>
          </w:p>
          <w:p w14:paraId="3C173CAF">
            <w:pPr>
              <w:jc w:val="left"/>
              <w:rPr>
                <w:rFonts w:ascii="宋体" w:hAnsi="宋体"/>
                <w:color w:val="auto"/>
                <w:szCs w:val="44"/>
                <w:highlight w:val="none"/>
              </w:rPr>
            </w:pPr>
          </w:p>
          <w:p w14:paraId="13A1D121">
            <w:pPr>
              <w:jc w:val="left"/>
              <w:rPr>
                <w:rFonts w:ascii="宋体" w:hAnsi="宋体"/>
                <w:color w:val="auto"/>
                <w:szCs w:val="44"/>
                <w:highlight w:val="none"/>
              </w:rPr>
            </w:pPr>
          </w:p>
          <w:p w14:paraId="7E739CB5">
            <w:pPr>
              <w:jc w:val="left"/>
              <w:rPr>
                <w:rFonts w:ascii="宋体" w:hAnsi="宋体"/>
                <w:color w:val="auto"/>
                <w:szCs w:val="44"/>
                <w:highlight w:val="none"/>
              </w:rPr>
            </w:pPr>
          </w:p>
          <w:p w14:paraId="125B5F16">
            <w:pPr>
              <w:jc w:val="left"/>
              <w:rPr>
                <w:rFonts w:ascii="宋体" w:hAnsi="宋体"/>
                <w:color w:val="auto"/>
                <w:szCs w:val="44"/>
                <w:highlight w:val="none"/>
              </w:rPr>
            </w:pPr>
          </w:p>
          <w:p w14:paraId="3F7B4115">
            <w:pPr>
              <w:jc w:val="left"/>
              <w:rPr>
                <w:rFonts w:ascii="宋体" w:hAnsi="宋体"/>
                <w:color w:val="auto"/>
                <w:szCs w:val="44"/>
                <w:highlight w:val="none"/>
              </w:rPr>
            </w:pPr>
          </w:p>
          <w:p w14:paraId="5280AC17">
            <w:pPr>
              <w:ind w:right="-111"/>
              <w:jc w:val="center"/>
              <w:rPr>
                <w:rFonts w:ascii="宋体" w:hAnsi="宋体"/>
                <w:color w:val="auto"/>
                <w:szCs w:val="21"/>
                <w:highlight w:val="none"/>
              </w:rPr>
            </w:pPr>
          </w:p>
        </w:tc>
      </w:tr>
    </w:tbl>
    <w:p w14:paraId="408528D1">
      <w:pPr>
        <w:jc w:val="right"/>
        <w:rPr>
          <w:rFonts w:ascii="宋体" w:hAnsi="宋体"/>
          <w:color w:val="auto"/>
          <w:szCs w:val="44"/>
          <w:highlight w:val="none"/>
        </w:r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 xml:space="preserve">      日期：    年    月    日</w:t>
      </w:r>
    </w:p>
    <w:p w14:paraId="750E4B20">
      <w:pPr>
        <w:rPr>
          <w:color w:val="auto"/>
          <w:highlight w:val="none"/>
        </w:rPr>
      </w:pPr>
    </w:p>
    <w:p w14:paraId="530D28FB">
      <w:pPr>
        <w:rPr>
          <w:color w:val="auto"/>
          <w:highlight w:val="none"/>
        </w:rPr>
      </w:pPr>
      <w:r>
        <w:rPr>
          <w:color w:val="auto"/>
          <w:highlight w:val="none"/>
        </w:rPr>
        <w:br w:type="page"/>
      </w:r>
    </w:p>
    <w:p w14:paraId="7E86D673">
      <w:pPr>
        <w:pStyle w:val="37"/>
        <w:ind w:firstLine="118"/>
        <w:rPr>
          <w:color w:val="auto"/>
          <w:highlight w:val="none"/>
        </w:rPr>
      </w:pPr>
      <w:bookmarkStart w:id="1052" w:name="_Toc1428"/>
      <w:bookmarkStart w:id="1053" w:name="_Toc148860670"/>
      <w:bookmarkStart w:id="1054" w:name="_Toc22267"/>
      <w:bookmarkStart w:id="1055" w:name="_Toc164716312"/>
      <w:bookmarkStart w:id="1056" w:name="_Toc256000142"/>
      <w:r>
        <w:rPr>
          <w:rFonts w:hint="eastAsia"/>
          <w:color w:val="auto"/>
          <w:highlight w:val="none"/>
        </w:rPr>
        <w:t>附表A-</w:t>
      </w:r>
      <w:r>
        <w:rPr>
          <w:color w:val="auto"/>
          <w:highlight w:val="none"/>
        </w:rPr>
        <w:t>9</w:t>
      </w:r>
      <w:r>
        <w:rPr>
          <w:rFonts w:hint="eastAsia"/>
          <w:color w:val="auto"/>
          <w:highlight w:val="none"/>
        </w:rPr>
        <w:t>：否决投标的情况说明</w:t>
      </w:r>
      <w:bookmarkEnd w:id="1052"/>
      <w:bookmarkEnd w:id="1053"/>
      <w:bookmarkEnd w:id="1054"/>
      <w:bookmarkEnd w:id="1055"/>
      <w:bookmarkEnd w:id="1056"/>
    </w:p>
    <w:p w14:paraId="7A7E4989">
      <w:pPr>
        <w:spacing w:after="240" w:afterLines="100"/>
        <w:jc w:val="center"/>
        <w:rPr>
          <w:rFonts w:ascii="黑体" w:hAnsi="宋体" w:eastAsia="黑体"/>
          <w:color w:val="auto"/>
          <w:sz w:val="36"/>
          <w:szCs w:val="36"/>
          <w:highlight w:val="none"/>
        </w:rPr>
      </w:pPr>
    </w:p>
    <w:p w14:paraId="3D4EDF95">
      <w:pPr>
        <w:adjustRightInd w:val="0"/>
        <w:snapToGrid w:val="0"/>
        <w:spacing w:before="240" w:beforeLines="100" w:after="240" w:afterLines="100" w:line="440" w:lineRule="exact"/>
        <w:jc w:val="center"/>
        <w:rPr>
          <w:rFonts w:ascii="黑体" w:hAnsi="宋体" w:eastAsia="黑体"/>
          <w:color w:val="auto"/>
          <w:sz w:val="36"/>
          <w:szCs w:val="36"/>
          <w:highlight w:val="none"/>
        </w:rPr>
      </w:pPr>
      <w:r>
        <w:rPr>
          <w:rFonts w:hint="eastAsia" w:ascii="黑体" w:hAnsi="宋体" w:eastAsia="黑体"/>
          <w:color w:val="auto"/>
          <w:sz w:val="36"/>
          <w:szCs w:val="36"/>
          <w:highlight w:val="none"/>
        </w:rPr>
        <w:t>否决投标的情况说明</w:t>
      </w:r>
    </w:p>
    <w:p w14:paraId="472B7B1E">
      <w:pPr>
        <w:rPr>
          <w:rFonts w:ascii="宋体" w:hAnsi="宋体"/>
          <w:color w:val="auto"/>
          <w:szCs w:val="44"/>
          <w:highlight w:val="none"/>
        </w:rPr>
      </w:pPr>
      <w:r>
        <w:rPr>
          <w:rFonts w:hint="eastAsia" w:ascii="宋体" w:hAnsi="宋体"/>
          <w:color w:val="auto"/>
          <w:szCs w:val="44"/>
          <w:highlight w:val="none"/>
        </w:rPr>
        <w:t>标段名称：</w:t>
      </w:r>
    </w:p>
    <w:p w14:paraId="45BFC956">
      <w:pPr>
        <w:rPr>
          <w:color w:val="auto"/>
          <w:highlight w:val="none"/>
        </w:rPr>
      </w:pPr>
      <w:r>
        <w:rPr>
          <w:rFonts w:hint="eastAsia"/>
          <w:color w:val="auto"/>
          <w:szCs w:val="44"/>
          <w:highlight w:val="none"/>
        </w:rPr>
        <w:t>标段唯一标识码：</w:t>
      </w:r>
    </w:p>
    <w:tbl>
      <w:tblPr>
        <w:tblStyle w:val="25"/>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548"/>
        <w:gridCol w:w="1780"/>
        <w:gridCol w:w="4425"/>
      </w:tblGrid>
      <w:tr w14:paraId="4FF9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2FABCA6D">
            <w:pPr>
              <w:jc w:val="center"/>
              <w:rPr>
                <w:rFonts w:ascii="宋体" w:hAnsi="宋体"/>
                <w:b/>
                <w:bCs/>
                <w:color w:val="auto"/>
                <w:szCs w:val="21"/>
                <w:highlight w:val="none"/>
              </w:rPr>
            </w:pPr>
            <w:r>
              <w:rPr>
                <w:rFonts w:hint="eastAsia" w:ascii="宋体" w:hAnsi="宋体"/>
                <w:b/>
                <w:bCs/>
                <w:color w:val="auto"/>
                <w:szCs w:val="21"/>
                <w:highlight w:val="none"/>
              </w:rPr>
              <w:t>序号</w:t>
            </w:r>
          </w:p>
        </w:tc>
        <w:tc>
          <w:tcPr>
            <w:tcW w:w="1548" w:type="dxa"/>
            <w:vAlign w:val="center"/>
          </w:tcPr>
          <w:p w14:paraId="4E15C5EE">
            <w:pPr>
              <w:jc w:val="center"/>
              <w:rPr>
                <w:rFonts w:ascii="宋体" w:hAnsi="宋体"/>
                <w:b/>
                <w:bCs/>
                <w:color w:val="auto"/>
                <w:szCs w:val="21"/>
                <w:highlight w:val="none"/>
              </w:rPr>
            </w:pPr>
            <w:r>
              <w:rPr>
                <w:rFonts w:hint="eastAsia" w:ascii="宋体" w:hAnsi="宋体"/>
                <w:b/>
                <w:bCs/>
                <w:color w:val="auto"/>
                <w:szCs w:val="21"/>
                <w:highlight w:val="none"/>
              </w:rPr>
              <w:t>投标人名称</w:t>
            </w:r>
          </w:p>
        </w:tc>
        <w:tc>
          <w:tcPr>
            <w:tcW w:w="1780" w:type="dxa"/>
            <w:vAlign w:val="center"/>
          </w:tcPr>
          <w:p w14:paraId="277F6F20">
            <w:pPr>
              <w:jc w:val="center"/>
              <w:rPr>
                <w:rFonts w:ascii="宋体" w:hAnsi="宋体"/>
                <w:b/>
                <w:bCs/>
                <w:color w:val="auto"/>
                <w:szCs w:val="21"/>
                <w:highlight w:val="none"/>
              </w:rPr>
            </w:pPr>
            <w:r>
              <w:rPr>
                <w:rFonts w:hint="eastAsia" w:ascii="宋体" w:hAnsi="宋体"/>
                <w:b/>
                <w:bCs/>
                <w:color w:val="auto"/>
                <w:szCs w:val="21"/>
                <w:highlight w:val="none"/>
              </w:rPr>
              <w:t>否决投标的依据</w:t>
            </w:r>
          </w:p>
        </w:tc>
        <w:tc>
          <w:tcPr>
            <w:tcW w:w="4425" w:type="dxa"/>
            <w:vAlign w:val="center"/>
          </w:tcPr>
          <w:p w14:paraId="3A49995B">
            <w:pPr>
              <w:jc w:val="center"/>
              <w:rPr>
                <w:rFonts w:ascii="宋体" w:hAnsi="宋体"/>
                <w:b/>
                <w:bCs/>
                <w:color w:val="auto"/>
                <w:szCs w:val="21"/>
                <w:highlight w:val="none"/>
              </w:rPr>
            </w:pPr>
            <w:r>
              <w:rPr>
                <w:rFonts w:hint="eastAsia" w:ascii="宋体" w:hAnsi="宋体"/>
                <w:b/>
                <w:bCs/>
                <w:color w:val="auto"/>
                <w:szCs w:val="21"/>
                <w:highlight w:val="none"/>
              </w:rPr>
              <w:t>投标文件存在的具体问题描述</w:t>
            </w:r>
          </w:p>
        </w:tc>
      </w:tr>
      <w:tr w14:paraId="69A7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1C8FE705">
            <w:pPr>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1548" w:type="dxa"/>
            <w:vAlign w:val="center"/>
          </w:tcPr>
          <w:p w14:paraId="24B9D8EF">
            <w:pPr>
              <w:jc w:val="center"/>
              <w:rPr>
                <w:rFonts w:ascii="仿宋_GB2312" w:hAnsi="宋体" w:eastAsia="仿宋_GB2312"/>
                <w:color w:val="auto"/>
                <w:szCs w:val="21"/>
                <w:highlight w:val="none"/>
              </w:rPr>
            </w:pPr>
          </w:p>
        </w:tc>
        <w:tc>
          <w:tcPr>
            <w:tcW w:w="1780" w:type="dxa"/>
            <w:vAlign w:val="center"/>
          </w:tcPr>
          <w:p w14:paraId="66A628A5">
            <w:pPr>
              <w:jc w:val="center"/>
              <w:rPr>
                <w:rFonts w:ascii="仿宋_GB2312" w:hAnsi="宋体" w:eastAsia="仿宋_GB2312"/>
                <w:color w:val="auto"/>
                <w:szCs w:val="21"/>
                <w:highlight w:val="none"/>
              </w:rPr>
            </w:pPr>
          </w:p>
        </w:tc>
        <w:tc>
          <w:tcPr>
            <w:tcW w:w="4425" w:type="dxa"/>
            <w:vAlign w:val="center"/>
          </w:tcPr>
          <w:p w14:paraId="3A2C0486">
            <w:pPr>
              <w:jc w:val="center"/>
              <w:rPr>
                <w:rFonts w:ascii="仿宋_GB2312" w:hAnsi="宋体" w:eastAsia="仿宋_GB2312"/>
                <w:color w:val="auto"/>
                <w:szCs w:val="21"/>
                <w:highlight w:val="none"/>
              </w:rPr>
            </w:pPr>
          </w:p>
        </w:tc>
      </w:tr>
      <w:tr w14:paraId="47C5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59AC98AF">
            <w:pPr>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1548" w:type="dxa"/>
            <w:vAlign w:val="center"/>
          </w:tcPr>
          <w:p w14:paraId="074244F4">
            <w:pPr>
              <w:jc w:val="center"/>
              <w:rPr>
                <w:rFonts w:ascii="仿宋_GB2312" w:hAnsi="宋体" w:eastAsia="仿宋_GB2312"/>
                <w:color w:val="auto"/>
                <w:szCs w:val="21"/>
                <w:highlight w:val="none"/>
              </w:rPr>
            </w:pPr>
          </w:p>
        </w:tc>
        <w:tc>
          <w:tcPr>
            <w:tcW w:w="1780" w:type="dxa"/>
            <w:vAlign w:val="center"/>
          </w:tcPr>
          <w:p w14:paraId="70CEE286">
            <w:pPr>
              <w:jc w:val="center"/>
              <w:rPr>
                <w:rFonts w:ascii="仿宋_GB2312" w:hAnsi="宋体" w:eastAsia="仿宋_GB2312"/>
                <w:color w:val="auto"/>
                <w:szCs w:val="21"/>
                <w:highlight w:val="none"/>
              </w:rPr>
            </w:pPr>
          </w:p>
        </w:tc>
        <w:tc>
          <w:tcPr>
            <w:tcW w:w="4425" w:type="dxa"/>
            <w:vAlign w:val="center"/>
          </w:tcPr>
          <w:p w14:paraId="11518EE1">
            <w:pPr>
              <w:jc w:val="center"/>
              <w:rPr>
                <w:rFonts w:ascii="仿宋_GB2312" w:hAnsi="宋体" w:eastAsia="仿宋_GB2312"/>
                <w:color w:val="auto"/>
                <w:szCs w:val="21"/>
                <w:highlight w:val="none"/>
              </w:rPr>
            </w:pPr>
          </w:p>
        </w:tc>
      </w:tr>
      <w:tr w14:paraId="19ED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85" w:type="dxa"/>
            <w:vAlign w:val="center"/>
          </w:tcPr>
          <w:p w14:paraId="3D4BADB7">
            <w:pPr>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1548" w:type="dxa"/>
            <w:vAlign w:val="center"/>
          </w:tcPr>
          <w:p w14:paraId="42C8E923">
            <w:pPr>
              <w:jc w:val="center"/>
              <w:rPr>
                <w:rFonts w:ascii="仿宋_GB2312" w:hAnsi="宋体" w:eastAsia="仿宋_GB2312"/>
                <w:color w:val="auto"/>
                <w:szCs w:val="21"/>
                <w:highlight w:val="none"/>
              </w:rPr>
            </w:pPr>
          </w:p>
        </w:tc>
        <w:tc>
          <w:tcPr>
            <w:tcW w:w="1780" w:type="dxa"/>
            <w:vAlign w:val="center"/>
          </w:tcPr>
          <w:p w14:paraId="60FE72D6">
            <w:pPr>
              <w:jc w:val="center"/>
              <w:rPr>
                <w:rFonts w:ascii="仿宋_GB2312" w:hAnsi="宋体" w:eastAsia="仿宋_GB2312"/>
                <w:color w:val="auto"/>
                <w:szCs w:val="21"/>
                <w:highlight w:val="none"/>
              </w:rPr>
            </w:pPr>
          </w:p>
        </w:tc>
        <w:tc>
          <w:tcPr>
            <w:tcW w:w="4425" w:type="dxa"/>
            <w:vAlign w:val="center"/>
          </w:tcPr>
          <w:p w14:paraId="06419E54">
            <w:pPr>
              <w:jc w:val="center"/>
              <w:rPr>
                <w:rFonts w:ascii="仿宋_GB2312" w:hAnsi="宋体" w:eastAsia="仿宋_GB2312"/>
                <w:color w:val="auto"/>
                <w:szCs w:val="21"/>
                <w:highlight w:val="none"/>
              </w:rPr>
            </w:pPr>
          </w:p>
        </w:tc>
      </w:tr>
      <w:tr w14:paraId="15180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0FB5D521">
            <w:pPr>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1548" w:type="dxa"/>
            <w:vAlign w:val="center"/>
          </w:tcPr>
          <w:p w14:paraId="4A57C196">
            <w:pPr>
              <w:jc w:val="center"/>
              <w:rPr>
                <w:rFonts w:ascii="仿宋_GB2312" w:hAnsi="宋体" w:eastAsia="仿宋_GB2312"/>
                <w:color w:val="auto"/>
                <w:szCs w:val="21"/>
                <w:highlight w:val="none"/>
              </w:rPr>
            </w:pPr>
          </w:p>
        </w:tc>
        <w:tc>
          <w:tcPr>
            <w:tcW w:w="1780" w:type="dxa"/>
            <w:vAlign w:val="center"/>
          </w:tcPr>
          <w:p w14:paraId="4B717E69">
            <w:pPr>
              <w:jc w:val="center"/>
              <w:rPr>
                <w:rFonts w:ascii="仿宋_GB2312" w:hAnsi="宋体" w:eastAsia="仿宋_GB2312"/>
                <w:color w:val="auto"/>
                <w:szCs w:val="21"/>
                <w:highlight w:val="none"/>
              </w:rPr>
            </w:pPr>
          </w:p>
        </w:tc>
        <w:tc>
          <w:tcPr>
            <w:tcW w:w="4425" w:type="dxa"/>
            <w:vAlign w:val="center"/>
          </w:tcPr>
          <w:p w14:paraId="0DB52D3C">
            <w:pPr>
              <w:jc w:val="center"/>
              <w:rPr>
                <w:rFonts w:ascii="仿宋_GB2312" w:hAnsi="宋体" w:eastAsia="仿宋_GB2312"/>
                <w:color w:val="auto"/>
                <w:szCs w:val="21"/>
                <w:highlight w:val="none"/>
              </w:rPr>
            </w:pPr>
          </w:p>
        </w:tc>
      </w:tr>
      <w:tr w14:paraId="7C7C4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3CF30848">
            <w:pPr>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1548" w:type="dxa"/>
            <w:vAlign w:val="center"/>
          </w:tcPr>
          <w:p w14:paraId="0C379714">
            <w:pPr>
              <w:jc w:val="center"/>
              <w:rPr>
                <w:rFonts w:ascii="仿宋_GB2312" w:hAnsi="宋体" w:eastAsia="仿宋_GB2312"/>
                <w:color w:val="auto"/>
                <w:szCs w:val="21"/>
                <w:highlight w:val="none"/>
              </w:rPr>
            </w:pPr>
          </w:p>
        </w:tc>
        <w:tc>
          <w:tcPr>
            <w:tcW w:w="1780" w:type="dxa"/>
            <w:vAlign w:val="center"/>
          </w:tcPr>
          <w:p w14:paraId="3D70777F">
            <w:pPr>
              <w:jc w:val="center"/>
              <w:rPr>
                <w:rFonts w:ascii="仿宋_GB2312" w:hAnsi="宋体" w:eastAsia="仿宋_GB2312"/>
                <w:color w:val="auto"/>
                <w:szCs w:val="21"/>
                <w:highlight w:val="none"/>
              </w:rPr>
            </w:pPr>
          </w:p>
        </w:tc>
        <w:tc>
          <w:tcPr>
            <w:tcW w:w="4425" w:type="dxa"/>
            <w:vAlign w:val="center"/>
          </w:tcPr>
          <w:p w14:paraId="0E1DC318">
            <w:pPr>
              <w:jc w:val="center"/>
              <w:rPr>
                <w:rFonts w:ascii="仿宋_GB2312" w:hAnsi="宋体" w:eastAsia="仿宋_GB2312"/>
                <w:color w:val="auto"/>
                <w:szCs w:val="21"/>
                <w:highlight w:val="none"/>
              </w:rPr>
            </w:pPr>
          </w:p>
        </w:tc>
      </w:tr>
      <w:tr w14:paraId="522DA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44263D12">
            <w:pPr>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1548" w:type="dxa"/>
            <w:vAlign w:val="center"/>
          </w:tcPr>
          <w:p w14:paraId="7D3C1997">
            <w:pPr>
              <w:jc w:val="center"/>
              <w:rPr>
                <w:rFonts w:ascii="仿宋_GB2312" w:hAnsi="宋体" w:eastAsia="仿宋_GB2312"/>
                <w:color w:val="auto"/>
                <w:szCs w:val="21"/>
                <w:highlight w:val="none"/>
              </w:rPr>
            </w:pPr>
          </w:p>
        </w:tc>
        <w:tc>
          <w:tcPr>
            <w:tcW w:w="1780" w:type="dxa"/>
            <w:vAlign w:val="center"/>
          </w:tcPr>
          <w:p w14:paraId="11F9FFFA">
            <w:pPr>
              <w:jc w:val="center"/>
              <w:rPr>
                <w:rFonts w:ascii="仿宋_GB2312" w:hAnsi="宋体" w:eastAsia="仿宋_GB2312"/>
                <w:color w:val="auto"/>
                <w:szCs w:val="21"/>
                <w:highlight w:val="none"/>
              </w:rPr>
            </w:pPr>
          </w:p>
        </w:tc>
        <w:tc>
          <w:tcPr>
            <w:tcW w:w="4425" w:type="dxa"/>
            <w:vAlign w:val="center"/>
          </w:tcPr>
          <w:p w14:paraId="6E160AA7">
            <w:pPr>
              <w:jc w:val="center"/>
              <w:rPr>
                <w:rFonts w:ascii="仿宋_GB2312" w:hAnsi="宋体" w:eastAsia="仿宋_GB2312"/>
                <w:color w:val="auto"/>
                <w:szCs w:val="21"/>
                <w:highlight w:val="none"/>
              </w:rPr>
            </w:pPr>
          </w:p>
        </w:tc>
      </w:tr>
      <w:tr w14:paraId="1EE12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24D73719">
            <w:pPr>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1548" w:type="dxa"/>
            <w:vAlign w:val="center"/>
          </w:tcPr>
          <w:p w14:paraId="2EBA5B41">
            <w:pPr>
              <w:jc w:val="center"/>
              <w:rPr>
                <w:rFonts w:ascii="仿宋_GB2312" w:hAnsi="宋体" w:eastAsia="仿宋_GB2312"/>
                <w:color w:val="auto"/>
                <w:szCs w:val="21"/>
                <w:highlight w:val="none"/>
              </w:rPr>
            </w:pPr>
          </w:p>
        </w:tc>
        <w:tc>
          <w:tcPr>
            <w:tcW w:w="1780" w:type="dxa"/>
            <w:vAlign w:val="center"/>
          </w:tcPr>
          <w:p w14:paraId="79E2DCBD">
            <w:pPr>
              <w:jc w:val="center"/>
              <w:rPr>
                <w:rFonts w:ascii="仿宋_GB2312" w:hAnsi="宋体" w:eastAsia="仿宋_GB2312"/>
                <w:color w:val="auto"/>
                <w:szCs w:val="21"/>
                <w:highlight w:val="none"/>
              </w:rPr>
            </w:pPr>
          </w:p>
        </w:tc>
        <w:tc>
          <w:tcPr>
            <w:tcW w:w="4425" w:type="dxa"/>
            <w:vAlign w:val="center"/>
          </w:tcPr>
          <w:p w14:paraId="1D036CE1">
            <w:pPr>
              <w:jc w:val="center"/>
              <w:rPr>
                <w:rFonts w:ascii="仿宋_GB2312" w:hAnsi="宋体" w:eastAsia="仿宋_GB2312"/>
                <w:color w:val="auto"/>
                <w:szCs w:val="21"/>
                <w:highlight w:val="none"/>
              </w:rPr>
            </w:pPr>
          </w:p>
        </w:tc>
      </w:tr>
      <w:tr w14:paraId="2AE9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2D158E9D">
            <w:pPr>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1548" w:type="dxa"/>
            <w:vAlign w:val="center"/>
          </w:tcPr>
          <w:p w14:paraId="44A21827">
            <w:pPr>
              <w:jc w:val="center"/>
              <w:rPr>
                <w:rFonts w:ascii="仿宋_GB2312" w:hAnsi="宋体" w:eastAsia="仿宋_GB2312"/>
                <w:color w:val="auto"/>
                <w:szCs w:val="21"/>
                <w:highlight w:val="none"/>
              </w:rPr>
            </w:pPr>
          </w:p>
        </w:tc>
        <w:tc>
          <w:tcPr>
            <w:tcW w:w="1780" w:type="dxa"/>
            <w:vAlign w:val="center"/>
          </w:tcPr>
          <w:p w14:paraId="19C8F0A0">
            <w:pPr>
              <w:jc w:val="center"/>
              <w:rPr>
                <w:rFonts w:ascii="仿宋_GB2312" w:hAnsi="宋体" w:eastAsia="仿宋_GB2312"/>
                <w:color w:val="auto"/>
                <w:szCs w:val="21"/>
                <w:highlight w:val="none"/>
              </w:rPr>
            </w:pPr>
          </w:p>
        </w:tc>
        <w:tc>
          <w:tcPr>
            <w:tcW w:w="4425" w:type="dxa"/>
            <w:vAlign w:val="center"/>
          </w:tcPr>
          <w:p w14:paraId="6954E25E">
            <w:pPr>
              <w:jc w:val="center"/>
              <w:rPr>
                <w:rFonts w:ascii="仿宋_GB2312" w:hAnsi="宋体" w:eastAsia="仿宋_GB2312"/>
                <w:color w:val="auto"/>
                <w:szCs w:val="21"/>
                <w:highlight w:val="none"/>
              </w:rPr>
            </w:pPr>
          </w:p>
        </w:tc>
      </w:tr>
      <w:tr w14:paraId="2A9F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0417C6DC">
            <w:pPr>
              <w:jc w:val="center"/>
              <w:rPr>
                <w:rFonts w:ascii="仿宋_GB2312" w:hAnsi="宋体" w:eastAsia="仿宋_GB2312"/>
                <w:color w:val="auto"/>
                <w:sz w:val="24"/>
                <w:highlight w:val="none"/>
              </w:rPr>
            </w:pPr>
            <w:r>
              <w:rPr>
                <w:rFonts w:hint="eastAsia" w:ascii="黑体" w:hAnsi="黑体" w:eastAsia="黑体"/>
                <w:color w:val="auto"/>
                <w:szCs w:val="44"/>
                <w:highlight w:val="none"/>
              </w:rPr>
              <w:t>…</w:t>
            </w:r>
          </w:p>
        </w:tc>
        <w:tc>
          <w:tcPr>
            <w:tcW w:w="1548" w:type="dxa"/>
            <w:vAlign w:val="center"/>
          </w:tcPr>
          <w:p w14:paraId="327D7845">
            <w:pPr>
              <w:jc w:val="center"/>
              <w:rPr>
                <w:rFonts w:ascii="仿宋_GB2312" w:hAnsi="宋体" w:eastAsia="仿宋_GB2312"/>
                <w:color w:val="auto"/>
                <w:szCs w:val="21"/>
                <w:highlight w:val="none"/>
              </w:rPr>
            </w:pPr>
          </w:p>
        </w:tc>
        <w:tc>
          <w:tcPr>
            <w:tcW w:w="1780" w:type="dxa"/>
            <w:vAlign w:val="center"/>
          </w:tcPr>
          <w:p w14:paraId="043157BB">
            <w:pPr>
              <w:jc w:val="center"/>
              <w:rPr>
                <w:rFonts w:ascii="仿宋_GB2312" w:hAnsi="宋体" w:eastAsia="仿宋_GB2312"/>
                <w:color w:val="auto"/>
                <w:szCs w:val="21"/>
                <w:highlight w:val="none"/>
              </w:rPr>
            </w:pPr>
          </w:p>
        </w:tc>
        <w:tc>
          <w:tcPr>
            <w:tcW w:w="4425" w:type="dxa"/>
            <w:vAlign w:val="center"/>
          </w:tcPr>
          <w:p w14:paraId="1AE0B8D5">
            <w:pPr>
              <w:jc w:val="center"/>
              <w:rPr>
                <w:rFonts w:ascii="仿宋_GB2312" w:hAnsi="宋体" w:eastAsia="仿宋_GB2312"/>
                <w:color w:val="auto"/>
                <w:szCs w:val="21"/>
                <w:highlight w:val="none"/>
              </w:rPr>
            </w:pPr>
          </w:p>
        </w:tc>
      </w:tr>
      <w:tr w14:paraId="5BC2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8438" w:type="dxa"/>
            <w:gridSpan w:val="4"/>
            <w:vAlign w:val="center"/>
          </w:tcPr>
          <w:p w14:paraId="6D183442">
            <w:pPr>
              <w:jc w:val="left"/>
              <w:rPr>
                <w:rFonts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3642BEFE">
            <w:pPr>
              <w:jc w:val="left"/>
              <w:rPr>
                <w:rFonts w:ascii="宋体" w:hAnsi="宋体"/>
                <w:color w:val="auto"/>
                <w:szCs w:val="44"/>
                <w:highlight w:val="none"/>
              </w:rPr>
            </w:pPr>
          </w:p>
          <w:p w14:paraId="6E0872D4">
            <w:pPr>
              <w:jc w:val="left"/>
              <w:rPr>
                <w:rFonts w:ascii="宋体" w:hAnsi="宋体"/>
                <w:color w:val="auto"/>
                <w:szCs w:val="44"/>
                <w:highlight w:val="none"/>
              </w:rPr>
            </w:pPr>
          </w:p>
          <w:p w14:paraId="007CFAE8">
            <w:pPr>
              <w:jc w:val="left"/>
              <w:rPr>
                <w:rFonts w:ascii="宋体" w:hAnsi="宋体"/>
                <w:color w:val="auto"/>
                <w:szCs w:val="44"/>
                <w:highlight w:val="none"/>
              </w:rPr>
            </w:pPr>
          </w:p>
          <w:p w14:paraId="6854888D">
            <w:pPr>
              <w:jc w:val="left"/>
              <w:rPr>
                <w:rFonts w:ascii="宋体" w:hAnsi="宋体"/>
                <w:color w:val="auto"/>
                <w:szCs w:val="44"/>
                <w:highlight w:val="none"/>
              </w:rPr>
            </w:pPr>
          </w:p>
          <w:p w14:paraId="393FF8E6">
            <w:pPr>
              <w:jc w:val="left"/>
              <w:rPr>
                <w:rFonts w:ascii="宋体" w:hAnsi="宋体"/>
                <w:color w:val="auto"/>
                <w:szCs w:val="44"/>
                <w:highlight w:val="none"/>
              </w:rPr>
            </w:pPr>
          </w:p>
          <w:p w14:paraId="1DCC5574">
            <w:pPr>
              <w:jc w:val="left"/>
              <w:rPr>
                <w:rFonts w:ascii="宋体" w:hAnsi="宋体"/>
                <w:color w:val="auto"/>
                <w:szCs w:val="44"/>
                <w:highlight w:val="none"/>
              </w:rPr>
            </w:pPr>
          </w:p>
          <w:p w14:paraId="72C09E50">
            <w:pPr>
              <w:jc w:val="center"/>
              <w:rPr>
                <w:rFonts w:ascii="仿宋_GB2312" w:hAnsi="宋体" w:eastAsia="仿宋_GB2312"/>
                <w:color w:val="auto"/>
                <w:szCs w:val="21"/>
                <w:highlight w:val="none"/>
              </w:rPr>
            </w:pPr>
          </w:p>
        </w:tc>
      </w:tr>
    </w:tbl>
    <w:p w14:paraId="5156C846">
      <w:pPr>
        <w:ind w:firstLine="2310" w:firstLineChars="1100"/>
        <w:rPr>
          <w:rFonts w:ascii="宋体" w:hAnsi="宋体"/>
          <w:color w:val="auto"/>
          <w:szCs w:val="44"/>
          <w:highlight w:val="none"/>
        </w:rPr>
      </w:pPr>
      <w:r>
        <w:rPr>
          <w:rFonts w:ascii="宋体" w:hAnsi="宋体"/>
          <w:color w:val="auto"/>
          <w:szCs w:val="44"/>
          <w:highlight w:val="none"/>
        </w:rPr>
        <w:t xml:space="preserve">        </w:t>
      </w:r>
      <w:r>
        <w:rPr>
          <w:rFonts w:hint="eastAsia" w:ascii="宋体" w:hAnsi="宋体"/>
          <w:color w:val="auto"/>
          <w:szCs w:val="44"/>
          <w:highlight w:val="none"/>
        </w:rPr>
        <w:t xml:space="preserve">                        日期：    年    月    日</w:t>
      </w:r>
    </w:p>
    <w:p w14:paraId="33A0A0F2">
      <w:pPr>
        <w:rPr>
          <w:color w:val="auto"/>
          <w:highlight w:val="none"/>
        </w:rPr>
      </w:pPr>
      <w:r>
        <w:rPr>
          <w:color w:val="auto"/>
          <w:highlight w:val="none"/>
        </w:rPr>
        <w:br w:type="page"/>
      </w:r>
    </w:p>
    <w:p w14:paraId="66951044">
      <w:pPr>
        <w:pStyle w:val="37"/>
        <w:ind w:firstLine="118"/>
        <w:rPr>
          <w:color w:val="auto"/>
          <w:highlight w:val="none"/>
        </w:rPr>
      </w:pPr>
      <w:bookmarkStart w:id="1057" w:name="_Toc148860671"/>
      <w:bookmarkStart w:id="1058" w:name="_Toc164716313"/>
      <w:bookmarkStart w:id="1059" w:name="_Toc256000143"/>
      <w:bookmarkStart w:id="1060" w:name="_Toc19816"/>
      <w:bookmarkStart w:id="1061" w:name="_Toc8097"/>
      <w:r>
        <w:rPr>
          <w:rFonts w:hint="eastAsia"/>
          <w:color w:val="auto"/>
          <w:highlight w:val="none"/>
        </w:rPr>
        <w:t>附表A-</w:t>
      </w:r>
      <w:r>
        <w:rPr>
          <w:color w:val="auto"/>
          <w:highlight w:val="none"/>
        </w:rPr>
        <w:t>10</w:t>
      </w:r>
      <w:r>
        <w:rPr>
          <w:rFonts w:hint="eastAsia"/>
          <w:color w:val="auto"/>
          <w:highlight w:val="none"/>
        </w:rPr>
        <w:t>：经济标评分记录表</w:t>
      </w:r>
      <w:bookmarkEnd w:id="1057"/>
      <w:bookmarkEnd w:id="1058"/>
      <w:bookmarkEnd w:id="1059"/>
      <w:bookmarkEnd w:id="1060"/>
      <w:bookmarkEnd w:id="1061"/>
    </w:p>
    <w:p w14:paraId="1C5CC66D">
      <w:pPr>
        <w:spacing w:after="240" w:afterLines="100"/>
        <w:jc w:val="center"/>
        <w:rPr>
          <w:rFonts w:ascii="黑体" w:hAnsi="宋体" w:eastAsia="黑体"/>
          <w:color w:val="auto"/>
          <w:sz w:val="36"/>
          <w:szCs w:val="36"/>
          <w:highlight w:val="none"/>
        </w:rPr>
      </w:pPr>
      <w:bookmarkStart w:id="1062" w:name="_Toc30764"/>
      <w:bookmarkStart w:id="1063" w:name="_Toc148860672"/>
      <w:bookmarkStart w:id="1064" w:name="_Toc149060945"/>
      <w:bookmarkStart w:id="1065" w:name="_Toc145516072"/>
      <w:bookmarkStart w:id="1066" w:name="_Toc149054712"/>
    </w:p>
    <w:p w14:paraId="7AD85FD3">
      <w:pPr>
        <w:adjustRightInd w:val="0"/>
        <w:snapToGrid w:val="0"/>
        <w:spacing w:before="240" w:beforeLines="100" w:after="240" w:afterLines="100" w:line="440" w:lineRule="exact"/>
        <w:jc w:val="center"/>
        <w:rPr>
          <w:rFonts w:ascii="黑体" w:hAnsi="宋体" w:eastAsia="黑体"/>
          <w:color w:val="auto"/>
          <w:sz w:val="36"/>
          <w:szCs w:val="36"/>
          <w:highlight w:val="none"/>
        </w:rPr>
      </w:pPr>
      <w:bookmarkStart w:id="1067" w:name="_Hlk149220314"/>
      <w:r>
        <w:rPr>
          <w:rFonts w:hint="eastAsia" w:ascii="黑体" w:hAnsi="宋体" w:eastAsia="黑体"/>
          <w:color w:val="auto"/>
          <w:sz w:val="36"/>
          <w:szCs w:val="36"/>
          <w:highlight w:val="none"/>
        </w:rPr>
        <w:t>经济标</w:t>
      </w:r>
      <w:bookmarkEnd w:id="1067"/>
      <w:r>
        <w:rPr>
          <w:rFonts w:hint="eastAsia" w:ascii="黑体" w:hAnsi="宋体" w:eastAsia="黑体"/>
          <w:color w:val="auto"/>
          <w:sz w:val="36"/>
          <w:szCs w:val="36"/>
          <w:highlight w:val="none"/>
        </w:rPr>
        <w:t>评审记录表</w:t>
      </w:r>
      <w:bookmarkEnd w:id="1062"/>
      <w:bookmarkEnd w:id="1063"/>
      <w:bookmarkEnd w:id="1064"/>
      <w:bookmarkEnd w:id="1065"/>
      <w:bookmarkEnd w:id="1066"/>
    </w:p>
    <w:p w14:paraId="105E01A0">
      <w:pPr>
        <w:rPr>
          <w:rFonts w:ascii="宋体" w:hAnsi="宋体"/>
          <w:color w:val="auto"/>
          <w:szCs w:val="44"/>
          <w:highlight w:val="none"/>
        </w:rPr>
      </w:pPr>
      <w:r>
        <w:rPr>
          <w:rFonts w:hint="eastAsia" w:ascii="宋体" w:hAnsi="宋体"/>
          <w:color w:val="auto"/>
          <w:szCs w:val="44"/>
          <w:highlight w:val="none"/>
        </w:rPr>
        <w:t>标段名称：</w:t>
      </w:r>
    </w:p>
    <w:p w14:paraId="528EA605">
      <w:pPr>
        <w:rPr>
          <w:color w:val="auto"/>
          <w:highlight w:val="none"/>
        </w:rPr>
      </w:pPr>
      <w:r>
        <w:rPr>
          <w:rFonts w:hint="eastAsia"/>
          <w:color w:val="auto"/>
          <w:szCs w:val="44"/>
          <w:highlight w:val="none"/>
        </w:rPr>
        <w:t xml:space="preserve">标段唯一标识码： </w:t>
      </w:r>
      <w:r>
        <w:rPr>
          <w:color w:val="auto"/>
          <w:szCs w:val="44"/>
          <w:highlight w:val="none"/>
        </w:rPr>
        <w:t xml:space="preserve">                                               </w:t>
      </w:r>
      <w:r>
        <w:rPr>
          <w:rFonts w:hint="eastAsia"/>
          <w:color w:val="auto"/>
          <w:highlight w:val="none"/>
        </w:rPr>
        <w:t>单位：人民币元</w:t>
      </w:r>
    </w:p>
    <w:tbl>
      <w:tblPr>
        <w:tblStyle w:val="25"/>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331"/>
        <w:gridCol w:w="701"/>
        <w:gridCol w:w="997"/>
        <w:gridCol w:w="738"/>
        <w:gridCol w:w="946"/>
        <w:gridCol w:w="841"/>
        <w:gridCol w:w="841"/>
        <w:gridCol w:w="1528"/>
      </w:tblGrid>
      <w:tr w14:paraId="6542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7" w:type="dxa"/>
            <w:vMerge w:val="restart"/>
            <w:vAlign w:val="center"/>
          </w:tcPr>
          <w:p w14:paraId="248E8D8B">
            <w:pPr>
              <w:jc w:val="center"/>
              <w:rPr>
                <w:b/>
                <w:bCs/>
                <w:color w:val="auto"/>
                <w:highlight w:val="none"/>
              </w:rPr>
            </w:pPr>
            <w:r>
              <w:rPr>
                <w:rFonts w:hint="eastAsia"/>
                <w:b/>
                <w:bCs/>
                <w:color w:val="auto"/>
                <w:highlight w:val="none"/>
              </w:rPr>
              <w:t>序号</w:t>
            </w:r>
          </w:p>
        </w:tc>
        <w:tc>
          <w:tcPr>
            <w:tcW w:w="1331" w:type="dxa"/>
            <w:vMerge w:val="restart"/>
            <w:vAlign w:val="center"/>
          </w:tcPr>
          <w:p w14:paraId="5125990F">
            <w:pPr>
              <w:jc w:val="center"/>
              <w:rPr>
                <w:b/>
                <w:bCs/>
                <w:color w:val="auto"/>
                <w:highlight w:val="none"/>
              </w:rPr>
            </w:pPr>
            <w:r>
              <w:rPr>
                <w:rFonts w:hint="eastAsia"/>
                <w:b/>
                <w:bCs/>
                <w:color w:val="auto"/>
                <w:highlight w:val="none"/>
              </w:rPr>
              <w:t>投标人名称</w:t>
            </w:r>
          </w:p>
        </w:tc>
        <w:tc>
          <w:tcPr>
            <w:tcW w:w="6592" w:type="dxa"/>
            <w:gridSpan w:val="7"/>
            <w:vAlign w:val="center"/>
          </w:tcPr>
          <w:p w14:paraId="23F34BF6">
            <w:pPr>
              <w:jc w:val="center"/>
              <w:rPr>
                <w:b/>
                <w:bCs/>
                <w:color w:val="auto"/>
                <w:highlight w:val="none"/>
              </w:rPr>
            </w:pPr>
            <w:r>
              <w:rPr>
                <w:rFonts w:hint="eastAsia"/>
                <w:b/>
                <w:bCs/>
                <w:color w:val="auto"/>
                <w:highlight w:val="none"/>
              </w:rPr>
              <w:t>评审项目</w:t>
            </w:r>
          </w:p>
        </w:tc>
      </w:tr>
      <w:tr w14:paraId="6861D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77" w:type="dxa"/>
            <w:vMerge w:val="continue"/>
            <w:vAlign w:val="center"/>
          </w:tcPr>
          <w:p w14:paraId="24DBB350">
            <w:pPr>
              <w:jc w:val="center"/>
              <w:rPr>
                <w:b/>
                <w:bCs/>
                <w:color w:val="auto"/>
                <w:highlight w:val="none"/>
              </w:rPr>
            </w:pPr>
          </w:p>
        </w:tc>
        <w:tc>
          <w:tcPr>
            <w:tcW w:w="1331" w:type="dxa"/>
            <w:vMerge w:val="continue"/>
            <w:vAlign w:val="center"/>
          </w:tcPr>
          <w:p w14:paraId="06E0AC6B">
            <w:pPr>
              <w:jc w:val="center"/>
              <w:rPr>
                <w:b/>
                <w:bCs/>
                <w:color w:val="auto"/>
                <w:highlight w:val="none"/>
              </w:rPr>
            </w:pPr>
          </w:p>
        </w:tc>
        <w:tc>
          <w:tcPr>
            <w:tcW w:w="701" w:type="dxa"/>
            <w:vAlign w:val="center"/>
          </w:tcPr>
          <w:p w14:paraId="32B50027">
            <w:pPr>
              <w:jc w:val="center"/>
              <w:rPr>
                <w:b/>
                <w:bCs/>
                <w:color w:val="auto"/>
                <w:highlight w:val="none"/>
              </w:rPr>
            </w:pPr>
            <w:r>
              <w:rPr>
                <w:rFonts w:hint="eastAsia"/>
                <w:b/>
                <w:bCs/>
                <w:color w:val="auto"/>
                <w:highlight w:val="none"/>
              </w:rPr>
              <w:t>投标报价</w:t>
            </w:r>
          </w:p>
        </w:tc>
        <w:tc>
          <w:tcPr>
            <w:tcW w:w="997" w:type="dxa"/>
            <w:vAlign w:val="center"/>
          </w:tcPr>
          <w:p w14:paraId="6582F54D">
            <w:pPr>
              <w:jc w:val="center"/>
              <w:rPr>
                <w:b/>
                <w:bCs/>
                <w:color w:val="auto"/>
                <w:highlight w:val="none"/>
              </w:rPr>
            </w:pPr>
            <w:r>
              <w:rPr>
                <w:rFonts w:hint="eastAsia" w:ascii="宋体" w:hAnsi="宋体" w:cs="Arial"/>
                <w:b/>
                <w:bCs/>
                <w:color w:val="auto"/>
                <w:szCs w:val="21"/>
                <w:highlight w:val="none"/>
              </w:rPr>
              <w:t>修正后投标报价（如有）</w:t>
            </w:r>
          </w:p>
        </w:tc>
        <w:tc>
          <w:tcPr>
            <w:tcW w:w="738" w:type="dxa"/>
            <w:vAlign w:val="center"/>
          </w:tcPr>
          <w:p w14:paraId="3F1BC275">
            <w:pPr>
              <w:jc w:val="center"/>
              <w:rPr>
                <w:b/>
                <w:bCs/>
                <w:color w:val="auto"/>
                <w:highlight w:val="none"/>
              </w:rPr>
            </w:pPr>
            <w:r>
              <w:rPr>
                <w:rFonts w:hint="eastAsia" w:ascii="宋体" w:hAnsi="宋体" w:cs="Arial"/>
                <w:b/>
                <w:bCs/>
                <w:color w:val="auto"/>
                <w:szCs w:val="21"/>
                <w:highlight w:val="none"/>
              </w:rPr>
              <w:t>评标价</w:t>
            </w:r>
          </w:p>
        </w:tc>
        <w:tc>
          <w:tcPr>
            <w:tcW w:w="946" w:type="dxa"/>
            <w:vAlign w:val="center"/>
          </w:tcPr>
          <w:p w14:paraId="1D673032">
            <w:pPr>
              <w:jc w:val="center"/>
              <w:rPr>
                <w:b/>
                <w:bCs/>
                <w:color w:val="auto"/>
                <w:highlight w:val="none"/>
              </w:rPr>
            </w:pPr>
            <w:r>
              <w:rPr>
                <w:rFonts w:hint="eastAsia"/>
                <w:b/>
                <w:bCs/>
                <w:color w:val="auto"/>
                <w:highlight w:val="none"/>
              </w:rPr>
              <w:t>评标基准价</w:t>
            </w:r>
          </w:p>
        </w:tc>
        <w:tc>
          <w:tcPr>
            <w:tcW w:w="841" w:type="dxa"/>
            <w:vAlign w:val="center"/>
          </w:tcPr>
          <w:p w14:paraId="6D3CC134">
            <w:pPr>
              <w:jc w:val="center"/>
              <w:rPr>
                <w:b/>
                <w:bCs/>
                <w:color w:val="auto"/>
                <w:highlight w:val="none"/>
              </w:rPr>
            </w:pPr>
            <w:r>
              <w:rPr>
                <w:rFonts w:hint="eastAsia"/>
                <w:b/>
                <w:bCs/>
                <w:color w:val="auto"/>
                <w:highlight w:val="none"/>
              </w:rPr>
              <w:t>偏差率</w:t>
            </w:r>
          </w:p>
        </w:tc>
        <w:tc>
          <w:tcPr>
            <w:tcW w:w="841" w:type="dxa"/>
            <w:vAlign w:val="center"/>
          </w:tcPr>
          <w:p w14:paraId="11003534">
            <w:pPr>
              <w:jc w:val="center"/>
              <w:rPr>
                <w:b/>
                <w:bCs/>
                <w:color w:val="auto"/>
                <w:highlight w:val="none"/>
              </w:rPr>
            </w:pPr>
            <w:r>
              <w:rPr>
                <w:rFonts w:hint="eastAsia"/>
                <w:b/>
                <w:bCs/>
                <w:color w:val="auto"/>
                <w:highlight w:val="none"/>
              </w:rPr>
              <w:t>计算投标报价得分</w:t>
            </w:r>
          </w:p>
        </w:tc>
        <w:tc>
          <w:tcPr>
            <w:tcW w:w="1528" w:type="dxa"/>
            <w:vAlign w:val="center"/>
          </w:tcPr>
          <w:p w14:paraId="5FC90BDA">
            <w:pPr>
              <w:jc w:val="center"/>
              <w:rPr>
                <w:b/>
                <w:bCs/>
                <w:color w:val="auto"/>
                <w:highlight w:val="none"/>
              </w:rPr>
            </w:pPr>
            <w:r>
              <w:rPr>
                <w:rFonts w:hint="eastAsia"/>
                <w:b/>
                <w:bCs/>
                <w:color w:val="auto"/>
                <w:highlight w:val="none"/>
              </w:rPr>
              <w:t>投标报价最终得分</w:t>
            </w:r>
          </w:p>
        </w:tc>
      </w:tr>
      <w:tr w14:paraId="0FED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77" w:type="dxa"/>
            <w:vAlign w:val="center"/>
          </w:tcPr>
          <w:p w14:paraId="0EBD2B34">
            <w:pPr>
              <w:jc w:val="center"/>
              <w:rPr>
                <w:color w:val="auto"/>
                <w:highlight w:val="none"/>
              </w:rPr>
            </w:pPr>
            <w:r>
              <w:rPr>
                <w:rFonts w:hint="eastAsia"/>
                <w:color w:val="auto"/>
                <w:highlight w:val="none"/>
              </w:rPr>
              <w:t>1</w:t>
            </w:r>
          </w:p>
        </w:tc>
        <w:tc>
          <w:tcPr>
            <w:tcW w:w="1331" w:type="dxa"/>
            <w:vAlign w:val="center"/>
          </w:tcPr>
          <w:p w14:paraId="1272D05A">
            <w:pPr>
              <w:jc w:val="center"/>
              <w:rPr>
                <w:color w:val="auto"/>
                <w:highlight w:val="none"/>
              </w:rPr>
            </w:pPr>
          </w:p>
        </w:tc>
        <w:tc>
          <w:tcPr>
            <w:tcW w:w="701" w:type="dxa"/>
            <w:vAlign w:val="center"/>
          </w:tcPr>
          <w:p w14:paraId="24101935">
            <w:pPr>
              <w:jc w:val="center"/>
              <w:rPr>
                <w:color w:val="auto"/>
                <w:highlight w:val="none"/>
              </w:rPr>
            </w:pPr>
          </w:p>
        </w:tc>
        <w:tc>
          <w:tcPr>
            <w:tcW w:w="997" w:type="dxa"/>
            <w:vAlign w:val="center"/>
          </w:tcPr>
          <w:p w14:paraId="5187F6F4">
            <w:pPr>
              <w:jc w:val="center"/>
              <w:rPr>
                <w:color w:val="auto"/>
                <w:highlight w:val="none"/>
              </w:rPr>
            </w:pPr>
          </w:p>
        </w:tc>
        <w:tc>
          <w:tcPr>
            <w:tcW w:w="738" w:type="dxa"/>
            <w:vAlign w:val="center"/>
          </w:tcPr>
          <w:p w14:paraId="3887FCBE">
            <w:pPr>
              <w:jc w:val="center"/>
              <w:rPr>
                <w:color w:val="auto"/>
                <w:highlight w:val="none"/>
              </w:rPr>
            </w:pPr>
          </w:p>
        </w:tc>
        <w:tc>
          <w:tcPr>
            <w:tcW w:w="946" w:type="dxa"/>
            <w:vMerge w:val="restart"/>
            <w:vAlign w:val="center"/>
          </w:tcPr>
          <w:p w14:paraId="338DFC18">
            <w:pPr>
              <w:jc w:val="center"/>
              <w:rPr>
                <w:color w:val="auto"/>
                <w:highlight w:val="none"/>
              </w:rPr>
            </w:pPr>
          </w:p>
        </w:tc>
        <w:tc>
          <w:tcPr>
            <w:tcW w:w="841" w:type="dxa"/>
            <w:vAlign w:val="center"/>
          </w:tcPr>
          <w:p w14:paraId="5FD00CF5">
            <w:pPr>
              <w:jc w:val="center"/>
              <w:rPr>
                <w:color w:val="auto"/>
                <w:highlight w:val="none"/>
              </w:rPr>
            </w:pPr>
          </w:p>
        </w:tc>
        <w:tc>
          <w:tcPr>
            <w:tcW w:w="841" w:type="dxa"/>
            <w:vAlign w:val="center"/>
          </w:tcPr>
          <w:p w14:paraId="30EA9131">
            <w:pPr>
              <w:jc w:val="center"/>
              <w:rPr>
                <w:color w:val="auto"/>
                <w:highlight w:val="none"/>
              </w:rPr>
            </w:pPr>
          </w:p>
        </w:tc>
        <w:tc>
          <w:tcPr>
            <w:tcW w:w="1528" w:type="dxa"/>
            <w:vAlign w:val="center"/>
          </w:tcPr>
          <w:p w14:paraId="3E36A905">
            <w:pPr>
              <w:jc w:val="center"/>
              <w:rPr>
                <w:color w:val="auto"/>
                <w:highlight w:val="none"/>
              </w:rPr>
            </w:pPr>
          </w:p>
        </w:tc>
      </w:tr>
      <w:tr w14:paraId="184F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77" w:type="dxa"/>
            <w:vAlign w:val="center"/>
          </w:tcPr>
          <w:p w14:paraId="286AD462">
            <w:pPr>
              <w:spacing w:after="120" w:afterLines="50"/>
              <w:jc w:val="center"/>
              <w:rPr>
                <w:rFonts w:ascii="宋体" w:hAnsi="宋体" w:cs="Arial"/>
                <w:color w:val="auto"/>
                <w:szCs w:val="21"/>
                <w:highlight w:val="none"/>
              </w:rPr>
            </w:pPr>
            <w:r>
              <w:rPr>
                <w:rFonts w:hint="eastAsia" w:ascii="宋体" w:hAnsi="宋体" w:cs="Arial"/>
                <w:color w:val="auto"/>
                <w:szCs w:val="21"/>
                <w:highlight w:val="none"/>
              </w:rPr>
              <w:t>2</w:t>
            </w:r>
          </w:p>
        </w:tc>
        <w:tc>
          <w:tcPr>
            <w:tcW w:w="1331" w:type="dxa"/>
            <w:vAlign w:val="center"/>
          </w:tcPr>
          <w:p w14:paraId="006118B6">
            <w:pPr>
              <w:spacing w:after="120" w:afterLines="50"/>
              <w:jc w:val="center"/>
              <w:rPr>
                <w:rFonts w:ascii="宋体" w:hAnsi="宋体" w:cs="Arial"/>
                <w:color w:val="auto"/>
                <w:szCs w:val="21"/>
                <w:highlight w:val="none"/>
              </w:rPr>
            </w:pPr>
          </w:p>
        </w:tc>
        <w:tc>
          <w:tcPr>
            <w:tcW w:w="701" w:type="dxa"/>
            <w:vAlign w:val="center"/>
          </w:tcPr>
          <w:p w14:paraId="5540CF90">
            <w:pPr>
              <w:jc w:val="center"/>
              <w:rPr>
                <w:color w:val="auto"/>
                <w:highlight w:val="none"/>
              </w:rPr>
            </w:pPr>
          </w:p>
        </w:tc>
        <w:tc>
          <w:tcPr>
            <w:tcW w:w="997" w:type="dxa"/>
            <w:vAlign w:val="center"/>
          </w:tcPr>
          <w:p w14:paraId="24E22F62">
            <w:pPr>
              <w:jc w:val="center"/>
              <w:rPr>
                <w:color w:val="auto"/>
                <w:highlight w:val="none"/>
              </w:rPr>
            </w:pPr>
          </w:p>
        </w:tc>
        <w:tc>
          <w:tcPr>
            <w:tcW w:w="738" w:type="dxa"/>
            <w:vAlign w:val="center"/>
          </w:tcPr>
          <w:p w14:paraId="2CFE6AB3">
            <w:pPr>
              <w:jc w:val="center"/>
              <w:rPr>
                <w:color w:val="auto"/>
                <w:highlight w:val="none"/>
              </w:rPr>
            </w:pPr>
          </w:p>
        </w:tc>
        <w:tc>
          <w:tcPr>
            <w:tcW w:w="946" w:type="dxa"/>
            <w:vMerge w:val="continue"/>
            <w:vAlign w:val="center"/>
          </w:tcPr>
          <w:p w14:paraId="22E6556B">
            <w:pPr>
              <w:jc w:val="center"/>
              <w:rPr>
                <w:color w:val="auto"/>
                <w:highlight w:val="none"/>
              </w:rPr>
            </w:pPr>
          </w:p>
        </w:tc>
        <w:tc>
          <w:tcPr>
            <w:tcW w:w="841" w:type="dxa"/>
            <w:vAlign w:val="center"/>
          </w:tcPr>
          <w:p w14:paraId="52E757EF">
            <w:pPr>
              <w:jc w:val="center"/>
              <w:rPr>
                <w:color w:val="auto"/>
                <w:highlight w:val="none"/>
              </w:rPr>
            </w:pPr>
          </w:p>
        </w:tc>
        <w:tc>
          <w:tcPr>
            <w:tcW w:w="841" w:type="dxa"/>
            <w:vAlign w:val="center"/>
          </w:tcPr>
          <w:p w14:paraId="0A0BA58C">
            <w:pPr>
              <w:jc w:val="center"/>
              <w:rPr>
                <w:color w:val="auto"/>
                <w:highlight w:val="none"/>
              </w:rPr>
            </w:pPr>
          </w:p>
        </w:tc>
        <w:tc>
          <w:tcPr>
            <w:tcW w:w="1528" w:type="dxa"/>
            <w:vAlign w:val="center"/>
          </w:tcPr>
          <w:p w14:paraId="7321FECD">
            <w:pPr>
              <w:jc w:val="center"/>
              <w:rPr>
                <w:color w:val="auto"/>
                <w:highlight w:val="none"/>
              </w:rPr>
            </w:pPr>
          </w:p>
        </w:tc>
      </w:tr>
      <w:tr w14:paraId="21FF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77" w:type="dxa"/>
            <w:vAlign w:val="center"/>
          </w:tcPr>
          <w:p w14:paraId="51957ED8">
            <w:pPr>
              <w:jc w:val="center"/>
              <w:rPr>
                <w:color w:val="auto"/>
                <w:highlight w:val="none"/>
              </w:rPr>
            </w:pPr>
            <w:r>
              <w:rPr>
                <w:rFonts w:hint="eastAsia"/>
                <w:color w:val="auto"/>
                <w:highlight w:val="none"/>
              </w:rPr>
              <w:t>3</w:t>
            </w:r>
          </w:p>
        </w:tc>
        <w:tc>
          <w:tcPr>
            <w:tcW w:w="1331" w:type="dxa"/>
            <w:vAlign w:val="center"/>
          </w:tcPr>
          <w:p w14:paraId="00F43BA6">
            <w:pPr>
              <w:jc w:val="center"/>
              <w:rPr>
                <w:color w:val="auto"/>
                <w:highlight w:val="none"/>
              </w:rPr>
            </w:pPr>
          </w:p>
        </w:tc>
        <w:tc>
          <w:tcPr>
            <w:tcW w:w="701" w:type="dxa"/>
            <w:vAlign w:val="center"/>
          </w:tcPr>
          <w:p w14:paraId="23FC154C">
            <w:pPr>
              <w:jc w:val="center"/>
              <w:rPr>
                <w:color w:val="auto"/>
                <w:highlight w:val="none"/>
              </w:rPr>
            </w:pPr>
          </w:p>
        </w:tc>
        <w:tc>
          <w:tcPr>
            <w:tcW w:w="997" w:type="dxa"/>
            <w:vAlign w:val="center"/>
          </w:tcPr>
          <w:p w14:paraId="066CA582">
            <w:pPr>
              <w:jc w:val="center"/>
              <w:rPr>
                <w:color w:val="auto"/>
                <w:highlight w:val="none"/>
              </w:rPr>
            </w:pPr>
          </w:p>
        </w:tc>
        <w:tc>
          <w:tcPr>
            <w:tcW w:w="738" w:type="dxa"/>
            <w:vAlign w:val="center"/>
          </w:tcPr>
          <w:p w14:paraId="4CBF9E11">
            <w:pPr>
              <w:jc w:val="center"/>
              <w:rPr>
                <w:color w:val="auto"/>
                <w:highlight w:val="none"/>
              </w:rPr>
            </w:pPr>
          </w:p>
        </w:tc>
        <w:tc>
          <w:tcPr>
            <w:tcW w:w="946" w:type="dxa"/>
            <w:vMerge w:val="continue"/>
            <w:vAlign w:val="center"/>
          </w:tcPr>
          <w:p w14:paraId="04EFE606">
            <w:pPr>
              <w:jc w:val="center"/>
              <w:rPr>
                <w:color w:val="auto"/>
                <w:highlight w:val="none"/>
              </w:rPr>
            </w:pPr>
          </w:p>
        </w:tc>
        <w:tc>
          <w:tcPr>
            <w:tcW w:w="841" w:type="dxa"/>
            <w:vAlign w:val="center"/>
          </w:tcPr>
          <w:p w14:paraId="1A61EFF8">
            <w:pPr>
              <w:jc w:val="center"/>
              <w:rPr>
                <w:color w:val="auto"/>
                <w:highlight w:val="none"/>
              </w:rPr>
            </w:pPr>
          </w:p>
        </w:tc>
        <w:tc>
          <w:tcPr>
            <w:tcW w:w="841" w:type="dxa"/>
            <w:vAlign w:val="center"/>
          </w:tcPr>
          <w:p w14:paraId="610CAB97">
            <w:pPr>
              <w:jc w:val="center"/>
              <w:rPr>
                <w:color w:val="auto"/>
                <w:highlight w:val="none"/>
              </w:rPr>
            </w:pPr>
          </w:p>
        </w:tc>
        <w:tc>
          <w:tcPr>
            <w:tcW w:w="1528" w:type="dxa"/>
            <w:vAlign w:val="center"/>
          </w:tcPr>
          <w:p w14:paraId="43B4C528">
            <w:pPr>
              <w:jc w:val="center"/>
              <w:rPr>
                <w:color w:val="auto"/>
                <w:highlight w:val="none"/>
              </w:rPr>
            </w:pPr>
          </w:p>
        </w:tc>
      </w:tr>
      <w:tr w14:paraId="1A01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77" w:type="dxa"/>
            <w:vAlign w:val="center"/>
          </w:tcPr>
          <w:p w14:paraId="192FC9D5">
            <w:pPr>
              <w:jc w:val="center"/>
              <w:rPr>
                <w:rFonts w:ascii="宋体" w:hAnsi="宋体" w:cs="Arial"/>
                <w:color w:val="auto"/>
                <w:szCs w:val="21"/>
                <w:highlight w:val="none"/>
              </w:rPr>
            </w:pPr>
            <w:r>
              <w:rPr>
                <w:rFonts w:hint="eastAsia" w:ascii="宋体" w:hAnsi="宋体" w:cs="Arial"/>
                <w:color w:val="auto"/>
                <w:szCs w:val="21"/>
                <w:highlight w:val="none"/>
              </w:rPr>
              <w:t>4</w:t>
            </w:r>
          </w:p>
        </w:tc>
        <w:tc>
          <w:tcPr>
            <w:tcW w:w="1331" w:type="dxa"/>
            <w:vAlign w:val="center"/>
          </w:tcPr>
          <w:p w14:paraId="02AD0BB3">
            <w:pPr>
              <w:jc w:val="center"/>
              <w:rPr>
                <w:rFonts w:ascii="宋体" w:hAnsi="宋体" w:cs="Arial"/>
                <w:color w:val="auto"/>
                <w:szCs w:val="21"/>
                <w:highlight w:val="none"/>
              </w:rPr>
            </w:pPr>
          </w:p>
        </w:tc>
        <w:tc>
          <w:tcPr>
            <w:tcW w:w="701" w:type="dxa"/>
            <w:vAlign w:val="center"/>
          </w:tcPr>
          <w:p w14:paraId="22F3838C">
            <w:pPr>
              <w:jc w:val="center"/>
              <w:rPr>
                <w:color w:val="auto"/>
                <w:highlight w:val="none"/>
              </w:rPr>
            </w:pPr>
          </w:p>
        </w:tc>
        <w:tc>
          <w:tcPr>
            <w:tcW w:w="997" w:type="dxa"/>
            <w:vAlign w:val="center"/>
          </w:tcPr>
          <w:p w14:paraId="6EB12B2D">
            <w:pPr>
              <w:jc w:val="center"/>
              <w:rPr>
                <w:color w:val="auto"/>
                <w:highlight w:val="none"/>
              </w:rPr>
            </w:pPr>
          </w:p>
        </w:tc>
        <w:tc>
          <w:tcPr>
            <w:tcW w:w="738" w:type="dxa"/>
            <w:vAlign w:val="center"/>
          </w:tcPr>
          <w:p w14:paraId="2E1C38F9">
            <w:pPr>
              <w:jc w:val="center"/>
              <w:rPr>
                <w:color w:val="auto"/>
                <w:highlight w:val="none"/>
              </w:rPr>
            </w:pPr>
          </w:p>
        </w:tc>
        <w:tc>
          <w:tcPr>
            <w:tcW w:w="946" w:type="dxa"/>
            <w:vMerge w:val="continue"/>
            <w:vAlign w:val="center"/>
          </w:tcPr>
          <w:p w14:paraId="70BAAEA1">
            <w:pPr>
              <w:jc w:val="center"/>
              <w:rPr>
                <w:color w:val="auto"/>
                <w:highlight w:val="none"/>
              </w:rPr>
            </w:pPr>
          </w:p>
        </w:tc>
        <w:tc>
          <w:tcPr>
            <w:tcW w:w="841" w:type="dxa"/>
            <w:vAlign w:val="center"/>
          </w:tcPr>
          <w:p w14:paraId="72291459">
            <w:pPr>
              <w:jc w:val="center"/>
              <w:rPr>
                <w:color w:val="auto"/>
                <w:highlight w:val="none"/>
              </w:rPr>
            </w:pPr>
          </w:p>
        </w:tc>
        <w:tc>
          <w:tcPr>
            <w:tcW w:w="841" w:type="dxa"/>
            <w:vAlign w:val="center"/>
          </w:tcPr>
          <w:p w14:paraId="2FA6FF72">
            <w:pPr>
              <w:jc w:val="center"/>
              <w:rPr>
                <w:color w:val="auto"/>
                <w:highlight w:val="none"/>
              </w:rPr>
            </w:pPr>
          </w:p>
        </w:tc>
        <w:tc>
          <w:tcPr>
            <w:tcW w:w="1528" w:type="dxa"/>
            <w:vAlign w:val="center"/>
          </w:tcPr>
          <w:p w14:paraId="7EE10BF9">
            <w:pPr>
              <w:jc w:val="center"/>
              <w:rPr>
                <w:color w:val="auto"/>
                <w:highlight w:val="none"/>
              </w:rPr>
            </w:pPr>
          </w:p>
        </w:tc>
      </w:tr>
      <w:tr w14:paraId="382E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77" w:type="dxa"/>
            <w:vAlign w:val="center"/>
          </w:tcPr>
          <w:p w14:paraId="1A61D37E">
            <w:pPr>
              <w:jc w:val="center"/>
              <w:rPr>
                <w:color w:val="auto"/>
                <w:highlight w:val="none"/>
              </w:rPr>
            </w:pPr>
            <w:r>
              <w:rPr>
                <w:rFonts w:hint="eastAsia"/>
                <w:color w:val="auto"/>
                <w:highlight w:val="none"/>
              </w:rPr>
              <w:t>5</w:t>
            </w:r>
          </w:p>
        </w:tc>
        <w:tc>
          <w:tcPr>
            <w:tcW w:w="1331" w:type="dxa"/>
            <w:vAlign w:val="center"/>
          </w:tcPr>
          <w:p w14:paraId="6266BB25">
            <w:pPr>
              <w:jc w:val="center"/>
              <w:rPr>
                <w:color w:val="auto"/>
                <w:highlight w:val="none"/>
              </w:rPr>
            </w:pPr>
          </w:p>
        </w:tc>
        <w:tc>
          <w:tcPr>
            <w:tcW w:w="701" w:type="dxa"/>
            <w:vAlign w:val="center"/>
          </w:tcPr>
          <w:p w14:paraId="4D03599F">
            <w:pPr>
              <w:jc w:val="center"/>
              <w:rPr>
                <w:color w:val="auto"/>
                <w:highlight w:val="none"/>
              </w:rPr>
            </w:pPr>
          </w:p>
        </w:tc>
        <w:tc>
          <w:tcPr>
            <w:tcW w:w="997" w:type="dxa"/>
            <w:vAlign w:val="center"/>
          </w:tcPr>
          <w:p w14:paraId="1C0C2007">
            <w:pPr>
              <w:jc w:val="center"/>
              <w:rPr>
                <w:color w:val="auto"/>
                <w:highlight w:val="none"/>
              </w:rPr>
            </w:pPr>
          </w:p>
        </w:tc>
        <w:tc>
          <w:tcPr>
            <w:tcW w:w="738" w:type="dxa"/>
            <w:vAlign w:val="center"/>
          </w:tcPr>
          <w:p w14:paraId="6DFE7270">
            <w:pPr>
              <w:jc w:val="center"/>
              <w:rPr>
                <w:color w:val="auto"/>
                <w:highlight w:val="none"/>
              </w:rPr>
            </w:pPr>
          </w:p>
        </w:tc>
        <w:tc>
          <w:tcPr>
            <w:tcW w:w="946" w:type="dxa"/>
            <w:vMerge w:val="continue"/>
            <w:vAlign w:val="center"/>
          </w:tcPr>
          <w:p w14:paraId="4EB723AA">
            <w:pPr>
              <w:jc w:val="center"/>
              <w:rPr>
                <w:color w:val="auto"/>
                <w:highlight w:val="none"/>
              </w:rPr>
            </w:pPr>
          </w:p>
        </w:tc>
        <w:tc>
          <w:tcPr>
            <w:tcW w:w="841" w:type="dxa"/>
            <w:vAlign w:val="center"/>
          </w:tcPr>
          <w:p w14:paraId="144E02EC">
            <w:pPr>
              <w:jc w:val="center"/>
              <w:rPr>
                <w:color w:val="auto"/>
                <w:highlight w:val="none"/>
              </w:rPr>
            </w:pPr>
          </w:p>
        </w:tc>
        <w:tc>
          <w:tcPr>
            <w:tcW w:w="841" w:type="dxa"/>
            <w:vAlign w:val="center"/>
          </w:tcPr>
          <w:p w14:paraId="4A2C54BA">
            <w:pPr>
              <w:jc w:val="center"/>
              <w:rPr>
                <w:color w:val="auto"/>
                <w:highlight w:val="none"/>
              </w:rPr>
            </w:pPr>
          </w:p>
        </w:tc>
        <w:tc>
          <w:tcPr>
            <w:tcW w:w="1528" w:type="dxa"/>
            <w:vAlign w:val="center"/>
          </w:tcPr>
          <w:p w14:paraId="00A5F459">
            <w:pPr>
              <w:jc w:val="center"/>
              <w:rPr>
                <w:color w:val="auto"/>
                <w:highlight w:val="none"/>
              </w:rPr>
            </w:pPr>
          </w:p>
        </w:tc>
      </w:tr>
      <w:tr w14:paraId="474E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77" w:type="dxa"/>
            <w:vAlign w:val="center"/>
          </w:tcPr>
          <w:p w14:paraId="09FD571A">
            <w:pPr>
              <w:jc w:val="center"/>
              <w:rPr>
                <w:color w:val="auto"/>
                <w:highlight w:val="none"/>
              </w:rPr>
            </w:pPr>
            <w:r>
              <w:rPr>
                <w:rFonts w:hint="eastAsia"/>
                <w:color w:val="auto"/>
                <w:highlight w:val="none"/>
              </w:rPr>
              <w:t>6</w:t>
            </w:r>
          </w:p>
        </w:tc>
        <w:tc>
          <w:tcPr>
            <w:tcW w:w="1331" w:type="dxa"/>
            <w:vAlign w:val="center"/>
          </w:tcPr>
          <w:p w14:paraId="356FB0D1">
            <w:pPr>
              <w:jc w:val="center"/>
              <w:rPr>
                <w:color w:val="auto"/>
                <w:highlight w:val="none"/>
              </w:rPr>
            </w:pPr>
          </w:p>
        </w:tc>
        <w:tc>
          <w:tcPr>
            <w:tcW w:w="701" w:type="dxa"/>
            <w:vAlign w:val="center"/>
          </w:tcPr>
          <w:p w14:paraId="6B7546E5">
            <w:pPr>
              <w:jc w:val="center"/>
              <w:rPr>
                <w:color w:val="auto"/>
                <w:highlight w:val="none"/>
              </w:rPr>
            </w:pPr>
          </w:p>
        </w:tc>
        <w:tc>
          <w:tcPr>
            <w:tcW w:w="997" w:type="dxa"/>
            <w:vAlign w:val="center"/>
          </w:tcPr>
          <w:p w14:paraId="571D49B8">
            <w:pPr>
              <w:jc w:val="center"/>
              <w:rPr>
                <w:color w:val="auto"/>
                <w:highlight w:val="none"/>
              </w:rPr>
            </w:pPr>
          </w:p>
        </w:tc>
        <w:tc>
          <w:tcPr>
            <w:tcW w:w="738" w:type="dxa"/>
            <w:vAlign w:val="center"/>
          </w:tcPr>
          <w:p w14:paraId="3DEB45D7">
            <w:pPr>
              <w:jc w:val="center"/>
              <w:rPr>
                <w:color w:val="auto"/>
                <w:highlight w:val="none"/>
              </w:rPr>
            </w:pPr>
          </w:p>
        </w:tc>
        <w:tc>
          <w:tcPr>
            <w:tcW w:w="946" w:type="dxa"/>
            <w:vMerge w:val="continue"/>
            <w:vAlign w:val="center"/>
          </w:tcPr>
          <w:p w14:paraId="2ED1A99B">
            <w:pPr>
              <w:jc w:val="center"/>
              <w:rPr>
                <w:color w:val="auto"/>
                <w:highlight w:val="none"/>
              </w:rPr>
            </w:pPr>
          </w:p>
        </w:tc>
        <w:tc>
          <w:tcPr>
            <w:tcW w:w="841" w:type="dxa"/>
            <w:vAlign w:val="center"/>
          </w:tcPr>
          <w:p w14:paraId="6680BB76">
            <w:pPr>
              <w:jc w:val="center"/>
              <w:rPr>
                <w:color w:val="auto"/>
                <w:highlight w:val="none"/>
              </w:rPr>
            </w:pPr>
          </w:p>
        </w:tc>
        <w:tc>
          <w:tcPr>
            <w:tcW w:w="841" w:type="dxa"/>
            <w:vAlign w:val="center"/>
          </w:tcPr>
          <w:p w14:paraId="2AEE376A">
            <w:pPr>
              <w:jc w:val="center"/>
              <w:rPr>
                <w:color w:val="auto"/>
                <w:highlight w:val="none"/>
              </w:rPr>
            </w:pPr>
          </w:p>
        </w:tc>
        <w:tc>
          <w:tcPr>
            <w:tcW w:w="1528" w:type="dxa"/>
            <w:vAlign w:val="center"/>
          </w:tcPr>
          <w:p w14:paraId="79B1AB09">
            <w:pPr>
              <w:jc w:val="center"/>
              <w:rPr>
                <w:color w:val="auto"/>
                <w:highlight w:val="none"/>
              </w:rPr>
            </w:pPr>
          </w:p>
        </w:tc>
      </w:tr>
      <w:tr w14:paraId="005A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77" w:type="dxa"/>
            <w:vAlign w:val="center"/>
          </w:tcPr>
          <w:p w14:paraId="1D7DC66B">
            <w:pPr>
              <w:jc w:val="center"/>
              <w:rPr>
                <w:color w:val="auto"/>
                <w:highlight w:val="none"/>
              </w:rPr>
            </w:pPr>
            <w:r>
              <w:rPr>
                <w:rFonts w:hint="eastAsia" w:ascii="宋体" w:hAnsi="宋体"/>
                <w:color w:val="auto"/>
                <w:szCs w:val="44"/>
                <w:highlight w:val="none"/>
              </w:rPr>
              <w:t>…</w:t>
            </w:r>
          </w:p>
        </w:tc>
        <w:tc>
          <w:tcPr>
            <w:tcW w:w="1331" w:type="dxa"/>
            <w:vAlign w:val="center"/>
          </w:tcPr>
          <w:p w14:paraId="5EE24BC6">
            <w:pPr>
              <w:jc w:val="center"/>
              <w:rPr>
                <w:color w:val="auto"/>
                <w:highlight w:val="none"/>
              </w:rPr>
            </w:pPr>
          </w:p>
        </w:tc>
        <w:tc>
          <w:tcPr>
            <w:tcW w:w="701" w:type="dxa"/>
            <w:vAlign w:val="center"/>
          </w:tcPr>
          <w:p w14:paraId="01A47CFF">
            <w:pPr>
              <w:jc w:val="center"/>
              <w:rPr>
                <w:color w:val="auto"/>
                <w:highlight w:val="none"/>
              </w:rPr>
            </w:pPr>
          </w:p>
        </w:tc>
        <w:tc>
          <w:tcPr>
            <w:tcW w:w="997" w:type="dxa"/>
            <w:vAlign w:val="center"/>
          </w:tcPr>
          <w:p w14:paraId="3FBCBEB4">
            <w:pPr>
              <w:jc w:val="center"/>
              <w:rPr>
                <w:color w:val="auto"/>
                <w:highlight w:val="none"/>
              </w:rPr>
            </w:pPr>
          </w:p>
        </w:tc>
        <w:tc>
          <w:tcPr>
            <w:tcW w:w="738" w:type="dxa"/>
            <w:vAlign w:val="center"/>
          </w:tcPr>
          <w:p w14:paraId="6E3DD166">
            <w:pPr>
              <w:jc w:val="center"/>
              <w:rPr>
                <w:color w:val="auto"/>
                <w:highlight w:val="none"/>
              </w:rPr>
            </w:pPr>
          </w:p>
        </w:tc>
        <w:tc>
          <w:tcPr>
            <w:tcW w:w="946" w:type="dxa"/>
            <w:vMerge w:val="continue"/>
            <w:vAlign w:val="center"/>
          </w:tcPr>
          <w:p w14:paraId="59610A45">
            <w:pPr>
              <w:jc w:val="center"/>
              <w:rPr>
                <w:color w:val="auto"/>
                <w:highlight w:val="none"/>
              </w:rPr>
            </w:pPr>
          </w:p>
        </w:tc>
        <w:tc>
          <w:tcPr>
            <w:tcW w:w="841" w:type="dxa"/>
            <w:vAlign w:val="center"/>
          </w:tcPr>
          <w:p w14:paraId="2CDA4B91">
            <w:pPr>
              <w:jc w:val="center"/>
              <w:rPr>
                <w:color w:val="auto"/>
                <w:highlight w:val="none"/>
              </w:rPr>
            </w:pPr>
          </w:p>
        </w:tc>
        <w:tc>
          <w:tcPr>
            <w:tcW w:w="841" w:type="dxa"/>
            <w:vAlign w:val="center"/>
          </w:tcPr>
          <w:p w14:paraId="3B93BB98">
            <w:pPr>
              <w:jc w:val="center"/>
              <w:rPr>
                <w:color w:val="auto"/>
                <w:highlight w:val="none"/>
              </w:rPr>
            </w:pPr>
          </w:p>
        </w:tc>
        <w:tc>
          <w:tcPr>
            <w:tcW w:w="1528" w:type="dxa"/>
            <w:vAlign w:val="center"/>
          </w:tcPr>
          <w:p w14:paraId="1A052000">
            <w:pPr>
              <w:jc w:val="center"/>
              <w:rPr>
                <w:color w:val="auto"/>
                <w:highlight w:val="none"/>
              </w:rPr>
            </w:pPr>
          </w:p>
        </w:tc>
      </w:tr>
      <w:tr w14:paraId="5FEE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8500" w:type="dxa"/>
            <w:gridSpan w:val="9"/>
            <w:vAlign w:val="center"/>
          </w:tcPr>
          <w:p w14:paraId="4F6028CB">
            <w:pPr>
              <w:rPr>
                <w:color w:val="auto"/>
                <w:highlight w:val="none"/>
              </w:rPr>
            </w:pPr>
          </w:p>
          <w:p w14:paraId="57896D1E">
            <w:pPr>
              <w:jc w:val="left"/>
              <w:rPr>
                <w:rFonts w:ascii="宋体" w:hAnsi="宋体"/>
                <w:color w:val="auto"/>
                <w:szCs w:val="44"/>
                <w:highlight w:val="none"/>
              </w:rPr>
            </w:pPr>
            <w:r>
              <w:rPr>
                <w:rFonts w:hint="eastAsia" w:ascii="宋体" w:hAnsi="宋体"/>
                <w:color w:val="auto"/>
                <w:szCs w:val="44"/>
                <w:highlight w:val="none"/>
              </w:rPr>
              <w:t xml:space="preserve">经济标评委签名： </w:t>
            </w:r>
          </w:p>
          <w:p w14:paraId="734E4566">
            <w:pPr>
              <w:jc w:val="center"/>
              <w:rPr>
                <w:rFonts w:ascii="宋体" w:hAnsi="宋体"/>
                <w:color w:val="auto"/>
                <w:szCs w:val="44"/>
                <w:highlight w:val="none"/>
              </w:rPr>
            </w:pPr>
          </w:p>
          <w:p w14:paraId="658B815A">
            <w:pPr>
              <w:jc w:val="center"/>
              <w:rPr>
                <w:rFonts w:ascii="宋体" w:hAnsi="宋体"/>
                <w:color w:val="auto"/>
                <w:szCs w:val="44"/>
                <w:highlight w:val="none"/>
              </w:rPr>
            </w:pPr>
          </w:p>
          <w:p w14:paraId="4AB80419">
            <w:pPr>
              <w:jc w:val="center"/>
              <w:rPr>
                <w:rFonts w:ascii="宋体" w:hAnsi="宋体"/>
                <w:color w:val="auto"/>
                <w:szCs w:val="44"/>
                <w:highlight w:val="none"/>
              </w:rPr>
            </w:pPr>
          </w:p>
          <w:p w14:paraId="23D481B0">
            <w:pPr>
              <w:jc w:val="center"/>
              <w:rPr>
                <w:rFonts w:ascii="宋体" w:hAnsi="宋体"/>
                <w:color w:val="auto"/>
                <w:szCs w:val="44"/>
                <w:highlight w:val="none"/>
              </w:rPr>
            </w:pPr>
          </w:p>
          <w:p w14:paraId="0227982F">
            <w:pPr>
              <w:jc w:val="center"/>
              <w:rPr>
                <w:color w:val="auto"/>
                <w:highlight w:val="none"/>
              </w:rPr>
            </w:pPr>
          </w:p>
        </w:tc>
      </w:tr>
    </w:tbl>
    <w:p w14:paraId="0FFC78E2">
      <w:pPr>
        <w:rPr>
          <w:rFonts w:ascii="宋体" w:hAnsi="宋体"/>
          <w:color w:val="auto"/>
          <w:szCs w:val="44"/>
          <w:highlight w:val="none"/>
        </w:rPr>
        <w:sectPr>
          <w:type w:val="continuous"/>
          <w:pgSz w:w="11906" w:h="16838"/>
          <w:pgMar w:top="1440" w:right="1797" w:bottom="1440" w:left="1797" w:header="851" w:footer="992" w:gutter="0"/>
          <w:pgBorders>
            <w:top w:val="none" w:sz="0" w:space="0"/>
            <w:left w:val="none" w:sz="0" w:space="0"/>
            <w:bottom w:val="none" w:sz="0" w:space="0"/>
            <w:right w:val="none" w:sz="0" w:space="0"/>
          </w:pgBorders>
          <w:cols w:space="425" w:num="1"/>
          <w:docGrid w:linePitch="312" w:charSpace="0"/>
        </w:sect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 xml:space="preserve"> 日期：    年    月    日</w:t>
      </w:r>
    </w:p>
    <w:p w14:paraId="5B719A24">
      <w:pPr>
        <w:rPr>
          <w:rFonts w:ascii="宋体" w:hAnsi="宋体"/>
          <w:color w:val="auto"/>
          <w:szCs w:val="44"/>
          <w:highlight w:val="none"/>
        </w:rPr>
      </w:pPr>
    </w:p>
    <w:p w14:paraId="39D09627">
      <w:pPr>
        <w:pStyle w:val="37"/>
        <w:ind w:firstLine="118"/>
        <w:rPr>
          <w:color w:val="auto"/>
          <w:highlight w:val="none"/>
        </w:rPr>
      </w:pPr>
      <w:bookmarkStart w:id="1068" w:name="_Toc10826"/>
      <w:bookmarkStart w:id="1069" w:name="_Toc164716314"/>
      <w:bookmarkStart w:id="1070" w:name="_Toc256000144"/>
      <w:bookmarkStart w:id="1071" w:name="_Toc148860673"/>
      <w:bookmarkStart w:id="1072" w:name="_Toc23285"/>
      <w:r>
        <w:rPr>
          <w:rFonts w:hint="eastAsia"/>
          <w:color w:val="auto"/>
          <w:highlight w:val="none"/>
        </w:rPr>
        <w:t>附表A-1</w:t>
      </w:r>
      <w:r>
        <w:rPr>
          <w:color w:val="auto"/>
          <w:highlight w:val="none"/>
        </w:rPr>
        <w:t>1</w:t>
      </w:r>
      <w:r>
        <w:rPr>
          <w:rFonts w:hint="eastAsia"/>
          <w:color w:val="auto"/>
          <w:highlight w:val="none"/>
        </w:rPr>
        <w:t>：承包人建议书评审记录表</w:t>
      </w:r>
      <w:bookmarkEnd w:id="1068"/>
      <w:bookmarkEnd w:id="1069"/>
      <w:bookmarkEnd w:id="1070"/>
      <w:bookmarkEnd w:id="1071"/>
      <w:bookmarkEnd w:id="1072"/>
    </w:p>
    <w:p w14:paraId="0A04A478">
      <w:pPr>
        <w:adjustRightInd w:val="0"/>
        <w:snapToGrid w:val="0"/>
        <w:spacing w:before="240" w:beforeLines="100" w:after="240" w:afterLines="100" w:line="440" w:lineRule="exact"/>
        <w:jc w:val="center"/>
        <w:rPr>
          <w:rFonts w:ascii="黑体" w:hAnsi="宋体" w:eastAsia="黑体"/>
          <w:color w:val="auto"/>
          <w:sz w:val="36"/>
          <w:szCs w:val="36"/>
          <w:highlight w:val="none"/>
        </w:rPr>
      </w:pPr>
      <w:bookmarkStart w:id="1073" w:name="_Hlk149219463"/>
      <w:r>
        <w:rPr>
          <w:rFonts w:hint="eastAsia" w:ascii="黑体" w:hAnsi="宋体" w:eastAsia="黑体"/>
          <w:color w:val="auto"/>
          <w:sz w:val="36"/>
          <w:szCs w:val="36"/>
          <w:highlight w:val="none"/>
        </w:rPr>
        <w:t>承包人</w:t>
      </w:r>
      <w:r>
        <w:rPr>
          <w:rFonts w:hint="eastAsia" w:ascii="黑体" w:hAnsi="黑体" w:eastAsia="黑体"/>
          <w:bCs/>
          <w:color w:val="auto"/>
          <w:sz w:val="36"/>
          <w:szCs w:val="36"/>
          <w:highlight w:val="none"/>
        </w:rPr>
        <w:t>建议书</w:t>
      </w:r>
      <w:bookmarkEnd w:id="1073"/>
      <w:r>
        <w:rPr>
          <w:rFonts w:hint="eastAsia" w:ascii="黑体" w:hAnsi="宋体" w:eastAsia="黑体"/>
          <w:color w:val="auto"/>
          <w:sz w:val="36"/>
          <w:szCs w:val="36"/>
          <w:highlight w:val="none"/>
        </w:rPr>
        <w:t>评审记录表</w:t>
      </w:r>
    </w:p>
    <w:p w14:paraId="5BE53A3E">
      <w:pPr>
        <w:rPr>
          <w:rFonts w:ascii="宋体" w:hAnsi="宋体"/>
          <w:color w:val="auto"/>
          <w:szCs w:val="44"/>
          <w:highlight w:val="none"/>
        </w:rPr>
      </w:pPr>
      <w:r>
        <w:rPr>
          <w:rFonts w:hint="eastAsia" w:ascii="宋体" w:hAnsi="宋体"/>
          <w:color w:val="auto"/>
          <w:szCs w:val="44"/>
          <w:highlight w:val="none"/>
        </w:rPr>
        <w:t>标段名称：</w:t>
      </w:r>
    </w:p>
    <w:p w14:paraId="66F74E8A">
      <w:pPr>
        <w:rPr>
          <w:color w:val="auto"/>
          <w:szCs w:val="44"/>
          <w:highlight w:val="none"/>
        </w:rPr>
      </w:pPr>
      <w:r>
        <w:rPr>
          <w:rFonts w:hint="eastAsia"/>
          <w:color w:val="auto"/>
          <w:szCs w:val="44"/>
          <w:highlight w:val="none"/>
        </w:rPr>
        <w:t>标段唯一标识码：</w:t>
      </w:r>
    </w:p>
    <w:tbl>
      <w:tblPr>
        <w:tblStyle w:val="25"/>
        <w:tblW w:w="14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1787"/>
        <w:gridCol w:w="1339"/>
        <w:gridCol w:w="1340"/>
        <w:gridCol w:w="1340"/>
        <w:gridCol w:w="1339"/>
        <w:gridCol w:w="1340"/>
        <w:gridCol w:w="1340"/>
        <w:gridCol w:w="1351"/>
        <w:gridCol w:w="2069"/>
      </w:tblGrid>
      <w:tr w14:paraId="0F65C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4" w:type="dxa"/>
            <w:vMerge w:val="restart"/>
            <w:vAlign w:val="center"/>
          </w:tcPr>
          <w:p w14:paraId="6615FF1B">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787" w:type="dxa"/>
            <w:vMerge w:val="restart"/>
            <w:vAlign w:val="center"/>
          </w:tcPr>
          <w:p w14:paraId="159816D8">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9389" w:type="dxa"/>
            <w:gridSpan w:val="7"/>
            <w:vAlign w:val="center"/>
          </w:tcPr>
          <w:p w14:paraId="7E3EF92B">
            <w:pPr>
              <w:jc w:val="center"/>
              <w:rPr>
                <w:rFonts w:ascii="宋体" w:hAnsi="宋体"/>
                <w:b/>
                <w:bCs/>
                <w:color w:val="auto"/>
                <w:szCs w:val="44"/>
                <w:highlight w:val="none"/>
              </w:rPr>
            </w:pPr>
            <w:r>
              <w:rPr>
                <w:rFonts w:hint="eastAsia" w:ascii="宋体" w:hAnsi="宋体"/>
                <w:b/>
                <w:bCs/>
                <w:color w:val="auto"/>
                <w:szCs w:val="44"/>
                <w:highlight w:val="none"/>
              </w:rPr>
              <w:t>评委姓名及得分</w:t>
            </w:r>
          </w:p>
        </w:tc>
        <w:tc>
          <w:tcPr>
            <w:tcW w:w="2069" w:type="dxa"/>
            <w:vMerge w:val="restart"/>
            <w:vAlign w:val="center"/>
          </w:tcPr>
          <w:p w14:paraId="3F5234DE">
            <w:pPr>
              <w:jc w:val="center"/>
              <w:rPr>
                <w:rFonts w:ascii="宋体" w:hAnsi="宋体"/>
                <w:b/>
                <w:bCs/>
                <w:color w:val="auto"/>
                <w:szCs w:val="44"/>
                <w:highlight w:val="none"/>
              </w:rPr>
            </w:pPr>
            <w:r>
              <w:rPr>
                <w:rFonts w:hint="eastAsia" w:ascii="宋体" w:hAnsi="宋体"/>
                <w:b/>
                <w:bCs/>
                <w:color w:val="auto"/>
                <w:szCs w:val="44"/>
                <w:highlight w:val="none"/>
              </w:rPr>
              <w:t>承包人建议书最终得分</w:t>
            </w:r>
          </w:p>
        </w:tc>
      </w:tr>
      <w:tr w14:paraId="035C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4" w:type="dxa"/>
            <w:vMerge w:val="continue"/>
            <w:vAlign w:val="center"/>
          </w:tcPr>
          <w:p w14:paraId="5EEC0429">
            <w:pPr>
              <w:jc w:val="center"/>
              <w:rPr>
                <w:rFonts w:ascii="宋体" w:hAnsi="宋体"/>
                <w:b/>
                <w:bCs/>
                <w:color w:val="auto"/>
                <w:szCs w:val="44"/>
                <w:highlight w:val="none"/>
              </w:rPr>
            </w:pPr>
          </w:p>
        </w:tc>
        <w:tc>
          <w:tcPr>
            <w:tcW w:w="1787" w:type="dxa"/>
            <w:vMerge w:val="continue"/>
          </w:tcPr>
          <w:p w14:paraId="7720B1EC">
            <w:pPr>
              <w:jc w:val="center"/>
              <w:rPr>
                <w:rFonts w:ascii="宋体" w:hAnsi="宋体"/>
                <w:b/>
                <w:bCs/>
                <w:color w:val="auto"/>
                <w:szCs w:val="44"/>
                <w:highlight w:val="none"/>
              </w:rPr>
            </w:pPr>
          </w:p>
        </w:tc>
        <w:tc>
          <w:tcPr>
            <w:tcW w:w="1339" w:type="dxa"/>
            <w:vAlign w:val="center"/>
          </w:tcPr>
          <w:p w14:paraId="0AB411EC">
            <w:pPr>
              <w:jc w:val="center"/>
              <w:rPr>
                <w:rFonts w:ascii="宋体" w:hAnsi="宋体"/>
                <w:b/>
                <w:bCs/>
                <w:color w:val="auto"/>
                <w:szCs w:val="44"/>
                <w:highlight w:val="none"/>
              </w:rPr>
            </w:pPr>
            <w:r>
              <w:rPr>
                <w:rFonts w:hint="eastAsia" w:ascii="宋体" w:hAnsi="宋体"/>
                <w:b/>
                <w:bCs/>
                <w:color w:val="auto"/>
                <w:szCs w:val="44"/>
                <w:highlight w:val="none"/>
              </w:rPr>
              <w:t>评委1</w:t>
            </w:r>
          </w:p>
        </w:tc>
        <w:tc>
          <w:tcPr>
            <w:tcW w:w="1340" w:type="dxa"/>
            <w:vAlign w:val="center"/>
          </w:tcPr>
          <w:p w14:paraId="3A556185">
            <w:pPr>
              <w:jc w:val="center"/>
              <w:rPr>
                <w:rFonts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40" w:type="dxa"/>
            <w:vAlign w:val="center"/>
          </w:tcPr>
          <w:p w14:paraId="3FFDE442">
            <w:pPr>
              <w:jc w:val="center"/>
              <w:rPr>
                <w:rFonts w:ascii="宋体" w:hAnsi="宋体"/>
                <w:b/>
                <w:bCs/>
                <w:color w:val="auto"/>
                <w:szCs w:val="44"/>
                <w:highlight w:val="none"/>
              </w:rPr>
            </w:pPr>
            <w:r>
              <w:rPr>
                <w:rFonts w:hint="eastAsia" w:ascii="宋体" w:hAnsi="宋体"/>
                <w:b/>
                <w:bCs/>
                <w:color w:val="auto"/>
                <w:szCs w:val="44"/>
                <w:highlight w:val="none"/>
              </w:rPr>
              <w:t>…</w:t>
            </w:r>
            <w:r>
              <w:rPr>
                <w:rFonts w:ascii="宋体" w:hAnsi="宋体"/>
                <w:b/>
                <w:bCs/>
                <w:color w:val="auto"/>
                <w:szCs w:val="44"/>
                <w:highlight w:val="none"/>
              </w:rPr>
              <w:t>…</w:t>
            </w:r>
          </w:p>
        </w:tc>
        <w:tc>
          <w:tcPr>
            <w:tcW w:w="1339" w:type="dxa"/>
            <w:vAlign w:val="center"/>
          </w:tcPr>
          <w:p w14:paraId="44F64A30">
            <w:pPr>
              <w:jc w:val="center"/>
              <w:rPr>
                <w:rFonts w:ascii="宋体" w:hAnsi="宋体"/>
                <w:b/>
                <w:bCs/>
                <w:color w:val="auto"/>
                <w:szCs w:val="44"/>
                <w:highlight w:val="none"/>
              </w:rPr>
            </w:pPr>
          </w:p>
        </w:tc>
        <w:tc>
          <w:tcPr>
            <w:tcW w:w="1340" w:type="dxa"/>
            <w:vAlign w:val="center"/>
          </w:tcPr>
          <w:p w14:paraId="7577ECC1">
            <w:pPr>
              <w:jc w:val="center"/>
              <w:rPr>
                <w:rFonts w:ascii="宋体" w:hAnsi="宋体"/>
                <w:b/>
                <w:bCs/>
                <w:color w:val="auto"/>
                <w:szCs w:val="44"/>
                <w:highlight w:val="none"/>
              </w:rPr>
            </w:pPr>
          </w:p>
        </w:tc>
        <w:tc>
          <w:tcPr>
            <w:tcW w:w="1340" w:type="dxa"/>
            <w:vAlign w:val="center"/>
          </w:tcPr>
          <w:p w14:paraId="51E9165C">
            <w:pPr>
              <w:jc w:val="center"/>
              <w:rPr>
                <w:rFonts w:ascii="宋体" w:hAnsi="宋体"/>
                <w:b/>
                <w:bCs/>
                <w:color w:val="auto"/>
                <w:szCs w:val="44"/>
                <w:highlight w:val="none"/>
              </w:rPr>
            </w:pPr>
          </w:p>
        </w:tc>
        <w:tc>
          <w:tcPr>
            <w:tcW w:w="1351" w:type="dxa"/>
            <w:vAlign w:val="center"/>
          </w:tcPr>
          <w:p w14:paraId="756684BA">
            <w:pPr>
              <w:jc w:val="center"/>
              <w:rPr>
                <w:rFonts w:ascii="宋体" w:hAnsi="宋体"/>
                <w:b/>
                <w:bCs/>
                <w:color w:val="auto"/>
                <w:szCs w:val="44"/>
                <w:highlight w:val="none"/>
              </w:rPr>
            </w:pPr>
          </w:p>
        </w:tc>
        <w:tc>
          <w:tcPr>
            <w:tcW w:w="2069" w:type="dxa"/>
            <w:vMerge w:val="continue"/>
            <w:vAlign w:val="center"/>
          </w:tcPr>
          <w:p w14:paraId="496D7FCE">
            <w:pPr>
              <w:jc w:val="center"/>
              <w:rPr>
                <w:rFonts w:ascii="宋体" w:hAnsi="宋体"/>
                <w:b/>
                <w:bCs/>
                <w:color w:val="auto"/>
                <w:szCs w:val="44"/>
                <w:highlight w:val="none"/>
              </w:rPr>
            </w:pPr>
          </w:p>
        </w:tc>
      </w:tr>
      <w:tr w14:paraId="0D91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84" w:type="dxa"/>
            <w:vAlign w:val="center"/>
          </w:tcPr>
          <w:p w14:paraId="42D75C03">
            <w:pPr>
              <w:jc w:val="center"/>
              <w:rPr>
                <w:rFonts w:ascii="宋体" w:hAnsi="宋体"/>
                <w:color w:val="auto"/>
                <w:szCs w:val="44"/>
                <w:highlight w:val="none"/>
              </w:rPr>
            </w:pPr>
            <w:r>
              <w:rPr>
                <w:rFonts w:hint="eastAsia" w:ascii="宋体" w:hAnsi="宋体"/>
                <w:color w:val="auto"/>
                <w:szCs w:val="44"/>
                <w:highlight w:val="none"/>
              </w:rPr>
              <w:t>1</w:t>
            </w:r>
          </w:p>
        </w:tc>
        <w:tc>
          <w:tcPr>
            <w:tcW w:w="1787" w:type="dxa"/>
            <w:vAlign w:val="center"/>
          </w:tcPr>
          <w:p w14:paraId="504F940F">
            <w:pPr>
              <w:jc w:val="center"/>
              <w:rPr>
                <w:rFonts w:ascii="宋体" w:hAnsi="宋体"/>
                <w:color w:val="auto"/>
                <w:szCs w:val="21"/>
                <w:highlight w:val="none"/>
              </w:rPr>
            </w:pPr>
          </w:p>
        </w:tc>
        <w:tc>
          <w:tcPr>
            <w:tcW w:w="1339" w:type="dxa"/>
            <w:vAlign w:val="center"/>
          </w:tcPr>
          <w:p w14:paraId="288DB07D">
            <w:pPr>
              <w:rPr>
                <w:rFonts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p>
        </w:tc>
        <w:tc>
          <w:tcPr>
            <w:tcW w:w="1340" w:type="dxa"/>
            <w:vAlign w:val="center"/>
          </w:tcPr>
          <w:p w14:paraId="466E41A2">
            <w:pPr>
              <w:jc w:val="center"/>
              <w:rPr>
                <w:rFonts w:ascii="宋体" w:hAnsi="宋体"/>
                <w:color w:val="auto"/>
                <w:szCs w:val="44"/>
                <w:highlight w:val="none"/>
              </w:rPr>
            </w:pPr>
          </w:p>
        </w:tc>
        <w:tc>
          <w:tcPr>
            <w:tcW w:w="1340" w:type="dxa"/>
            <w:vAlign w:val="center"/>
          </w:tcPr>
          <w:p w14:paraId="40DDA679">
            <w:pPr>
              <w:jc w:val="center"/>
              <w:rPr>
                <w:rFonts w:ascii="宋体" w:hAnsi="宋体"/>
                <w:color w:val="auto"/>
                <w:szCs w:val="44"/>
                <w:highlight w:val="none"/>
              </w:rPr>
            </w:pPr>
          </w:p>
        </w:tc>
        <w:tc>
          <w:tcPr>
            <w:tcW w:w="1339" w:type="dxa"/>
            <w:vAlign w:val="center"/>
          </w:tcPr>
          <w:p w14:paraId="644045DF">
            <w:pPr>
              <w:jc w:val="center"/>
              <w:rPr>
                <w:rFonts w:ascii="宋体" w:hAnsi="宋体"/>
                <w:color w:val="auto"/>
                <w:szCs w:val="44"/>
                <w:highlight w:val="none"/>
              </w:rPr>
            </w:pPr>
          </w:p>
        </w:tc>
        <w:tc>
          <w:tcPr>
            <w:tcW w:w="1340" w:type="dxa"/>
            <w:vAlign w:val="center"/>
          </w:tcPr>
          <w:p w14:paraId="7A9B3F4F">
            <w:pPr>
              <w:jc w:val="center"/>
              <w:rPr>
                <w:rFonts w:ascii="宋体" w:hAnsi="宋体"/>
                <w:color w:val="auto"/>
                <w:szCs w:val="44"/>
                <w:highlight w:val="none"/>
              </w:rPr>
            </w:pPr>
          </w:p>
        </w:tc>
        <w:tc>
          <w:tcPr>
            <w:tcW w:w="1340" w:type="dxa"/>
            <w:vAlign w:val="center"/>
          </w:tcPr>
          <w:p w14:paraId="209802F3">
            <w:pPr>
              <w:jc w:val="center"/>
              <w:rPr>
                <w:rFonts w:ascii="宋体" w:hAnsi="宋体"/>
                <w:color w:val="auto"/>
                <w:szCs w:val="44"/>
                <w:highlight w:val="none"/>
              </w:rPr>
            </w:pPr>
          </w:p>
        </w:tc>
        <w:tc>
          <w:tcPr>
            <w:tcW w:w="1351" w:type="dxa"/>
            <w:vAlign w:val="center"/>
          </w:tcPr>
          <w:p w14:paraId="01838A6D">
            <w:pPr>
              <w:jc w:val="center"/>
              <w:rPr>
                <w:rFonts w:ascii="宋体" w:hAnsi="宋体"/>
                <w:color w:val="auto"/>
                <w:szCs w:val="44"/>
                <w:highlight w:val="none"/>
              </w:rPr>
            </w:pPr>
          </w:p>
        </w:tc>
        <w:tc>
          <w:tcPr>
            <w:tcW w:w="2069" w:type="dxa"/>
            <w:vAlign w:val="center"/>
          </w:tcPr>
          <w:p w14:paraId="2CB91C0F">
            <w:pPr>
              <w:jc w:val="center"/>
              <w:rPr>
                <w:rFonts w:ascii="宋体" w:hAnsi="宋体"/>
                <w:color w:val="auto"/>
                <w:szCs w:val="44"/>
                <w:highlight w:val="none"/>
              </w:rPr>
            </w:pPr>
          </w:p>
        </w:tc>
      </w:tr>
      <w:tr w14:paraId="3B93A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84" w:type="dxa"/>
            <w:vAlign w:val="center"/>
          </w:tcPr>
          <w:p w14:paraId="0550B5AF">
            <w:pPr>
              <w:jc w:val="center"/>
              <w:rPr>
                <w:rFonts w:ascii="宋体" w:hAnsi="宋体"/>
                <w:color w:val="auto"/>
                <w:szCs w:val="44"/>
                <w:highlight w:val="none"/>
              </w:rPr>
            </w:pPr>
            <w:r>
              <w:rPr>
                <w:rFonts w:hint="eastAsia" w:ascii="宋体" w:hAnsi="宋体"/>
                <w:color w:val="auto"/>
                <w:szCs w:val="44"/>
                <w:highlight w:val="none"/>
              </w:rPr>
              <w:t>2</w:t>
            </w:r>
          </w:p>
        </w:tc>
        <w:tc>
          <w:tcPr>
            <w:tcW w:w="1787" w:type="dxa"/>
            <w:vAlign w:val="center"/>
          </w:tcPr>
          <w:p w14:paraId="0A4DDC67">
            <w:pPr>
              <w:jc w:val="center"/>
              <w:rPr>
                <w:rFonts w:ascii="宋体" w:hAnsi="宋体"/>
                <w:color w:val="auto"/>
                <w:szCs w:val="44"/>
                <w:highlight w:val="none"/>
              </w:rPr>
            </w:pPr>
          </w:p>
        </w:tc>
        <w:tc>
          <w:tcPr>
            <w:tcW w:w="1339" w:type="dxa"/>
            <w:vAlign w:val="center"/>
          </w:tcPr>
          <w:p w14:paraId="32C313D9">
            <w:pPr>
              <w:jc w:val="center"/>
              <w:rPr>
                <w:color w:val="auto"/>
                <w:highlight w:val="none"/>
              </w:rPr>
            </w:pPr>
          </w:p>
        </w:tc>
        <w:tc>
          <w:tcPr>
            <w:tcW w:w="1340" w:type="dxa"/>
            <w:vAlign w:val="center"/>
          </w:tcPr>
          <w:p w14:paraId="2DEA7CCE">
            <w:pPr>
              <w:jc w:val="center"/>
              <w:rPr>
                <w:rFonts w:ascii="宋体" w:hAnsi="宋体"/>
                <w:color w:val="auto"/>
                <w:szCs w:val="44"/>
                <w:highlight w:val="none"/>
              </w:rPr>
            </w:pPr>
          </w:p>
        </w:tc>
        <w:tc>
          <w:tcPr>
            <w:tcW w:w="1340" w:type="dxa"/>
            <w:vAlign w:val="center"/>
          </w:tcPr>
          <w:p w14:paraId="44FE12EB">
            <w:pPr>
              <w:jc w:val="center"/>
              <w:rPr>
                <w:rFonts w:ascii="宋体" w:hAnsi="宋体"/>
                <w:color w:val="auto"/>
                <w:szCs w:val="44"/>
                <w:highlight w:val="none"/>
              </w:rPr>
            </w:pPr>
          </w:p>
        </w:tc>
        <w:tc>
          <w:tcPr>
            <w:tcW w:w="1339" w:type="dxa"/>
            <w:vAlign w:val="center"/>
          </w:tcPr>
          <w:p w14:paraId="74E489A1">
            <w:pPr>
              <w:jc w:val="center"/>
              <w:rPr>
                <w:rFonts w:ascii="宋体" w:hAnsi="宋体"/>
                <w:color w:val="auto"/>
                <w:szCs w:val="44"/>
                <w:highlight w:val="none"/>
              </w:rPr>
            </w:pPr>
          </w:p>
        </w:tc>
        <w:tc>
          <w:tcPr>
            <w:tcW w:w="1340" w:type="dxa"/>
            <w:vAlign w:val="center"/>
          </w:tcPr>
          <w:p w14:paraId="7C190858">
            <w:pPr>
              <w:jc w:val="center"/>
              <w:rPr>
                <w:rFonts w:ascii="宋体" w:hAnsi="宋体"/>
                <w:color w:val="auto"/>
                <w:szCs w:val="44"/>
                <w:highlight w:val="none"/>
              </w:rPr>
            </w:pPr>
          </w:p>
        </w:tc>
        <w:tc>
          <w:tcPr>
            <w:tcW w:w="1340" w:type="dxa"/>
            <w:vAlign w:val="center"/>
          </w:tcPr>
          <w:p w14:paraId="59F2323A">
            <w:pPr>
              <w:jc w:val="center"/>
              <w:rPr>
                <w:rFonts w:ascii="宋体" w:hAnsi="宋体"/>
                <w:color w:val="auto"/>
                <w:szCs w:val="44"/>
                <w:highlight w:val="none"/>
              </w:rPr>
            </w:pPr>
          </w:p>
        </w:tc>
        <w:tc>
          <w:tcPr>
            <w:tcW w:w="1351" w:type="dxa"/>
            <w:vAlign w:val="center"/>
          </w:tcPr>
          <w:p w14:paraId="71C82FA5">
            <w:pPr>
              <w:jc w:val="center"/>
              <w:rPr>
                <w:rFonts w:ascii="宋体" w:hAnsi="宋体"/>
                <w:color w:val="auto"/>
                <w:szCs w:val="44"/>
                <w:highlight w:val="none"/>
              </w:rPr>
            </w:pPr>
          </w:p>
        </w:tc>
        <w:tc>
          <w:tcPr>
            <w:tcW w:w="2069" w:type="dxa"/>
            <w:vAlign w:val="center"/>
          </w:tcPr>
          <w:p w14:paraId="0DBE591C">
            <w:pPr>
              <w:jc w:val="center"/>
              <w:rPr>
                <w:rFonts w:ascii="宋体" w:hAnsi="宋体"/>
                <w:color w:val="auto"/>
                <w:szCs w:val="44"/>
                <w:highlight w:val="none"/>
              </w:rPr>
            </w:pPr>
          </w:p>
        </w:tc>
      </w:tr>
      <w:tr w14:paraId="5C853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jc w:val="center"/>
        </w:trPr>
        <w:tc>
          <w:tcPr>
            <w:tcW w:w="784" w:type="dxa"/>
            <w:vAlign w:val="center"/>
          </w:tcPr>
          <w:p w14:paraId="5F5C024F">
            <w:pPr>
              <w:jc w:val="center"/>
              <w:rPr>
                <w:rFonts w:ascii="宋体" w:hAnsi="宋体"/>
                <w:color w:val="auto"/>
                <w:szCs w:val="44"/>
                <w:highlight w:val="none"/>
              </w:rPr>
            </w:pPr>
            <w:r>
              <w:rPr>
                <w:rFonts w:hint="eastAsia" w:ascii="宋体" w:hAnsi="宋体"/>
                <w:color w:val="auto"/>
                <w:szCs w:val="44"/>
                <w:highlight w:val="none"/>
              </w:rPr>
              <w:t>3</w:t>
            </w:r>
          </w:p>
        </w:tc>
        <w:tc>
          <w:tcPr>
            <w:tcW w:w="1787" w:type="dxa"/>
            <w:vAlign w:val="center"/>
          </w:tcPr>
          <w:p w14:paraId="4E5DAB1C">
            <w:pPr>
              <w:jc w:val="center"/>
              <w:rPr>
                <w:rFonts w:ascii="宋体" w:hAnsi="宋体"/>
                <w:color w:val="auto"/>
                <w:szCs w:val="44"/>
                <w:highlight w:val="none"/>
              </w:rPr>
            </w:pPr>
          </w:p>
        </w:tc>
        <w:tc>
          <w:tcPr>
            <w:tcW w:w="1339" w:type="dxa"/>
            <w:vAlign w:val="center"/>
          </w:tcPr>
          <w:p w14:paraId="14045D69">
            <w:pPr>
              <w:jc w:val="center"/>
              <w:rPr>
                <w:color w:val="auto"/>
                <w:highlight w:val="none"/>
              </w:rPr>
            </w:pPr>
          </w:p>
        </w:tc>
        <w:tc>
          <w:tcPr>
            <w:tcW w:w="1340" w:type="dxa"/>
            <w:vAlign w:val="center"/>
          </w:tcPr>
          <w:p w14:paraId="32A8375C">
            <w:pPr>
              <w:jc w:val="center"/>
              <w:rPr>
                <w:rFonts w:ascii="宋体" w:hAnsi="宋体"/>
                <w:color w:val="auto"/>
                <w:szCs w:val="44"/>
                <w:highlight w:val="none"/>
              </w:rPr>
            </w:pPr>
          </w:p>
        </w:tc>
        <w:tc>
          <w:tcPr>
            <w:tcW w:w="1340" w:type="dxa"/>
            <w:vAlign w:val="center"/>
          </w:tcPr>
          <w:p w14:paraId="2A941C90">
            <w:pPr>
              <w:jc w:val="center"/>
              <w:rPr>
                <w:rFonts w:ascii="宋体" w:hAnsi="宋体"/>
                <w:color w:val="auto"/>
                <w:szCs w:val="44"/>
                <w:highlight w:val="none"/>
              </w:rPr>
            </w:pPr>
          </w:p>
        </w:tc>
        <w:tc>
          <w:tcPr>
            <w:tcW w:w="1339" w:type="dxa"/>
            <w:vAlign w:val="center"/>
          </w:tcPr>
          <w:p w14:paraId="3D074C57">
            <w:pPr>
              <w:jc w:val="center"/>
              <w:rPr>
                <w:rFonts w:ascii="宋体" w:hAnsi="宋体"/>
                <w:color w:val="auto"/>
                <w:szCs w:val="44"/>
                <w:highlight w:val="none"/>
              </w:rPr>
            </w:pPr>
          </w:p>
        </w:tc>
        <w:tc>
          <w:tcPr>
            <w:tcW w:w="1340" w:type="dxa"/>
            <w:vAlign w:val="center"/>
          </w:tcPr>
          <w:p w14:paraId="1AB9FC79">
            <w:pPr>
              <w:jc w:val="center"/>
              <w:rPr>
                <w:rFonts w:ascii="宋体" w:hAnsi="宋体"/>
                <w:color w:val="auto"/>
                <w:szCs w:val="44"/>
                <w:highlight w:val="none"/>
              </w:rPr>
            </w:pPr>
          </w:p>
        </w:tc>
        <w:tc>
          <w:tcPr>
            <w:tcW w:w="1340" w:type="dxa"/>
            <w:vAlign w:val="center"/>
          </w:tcPr>
          <w:p w14:paraId="5D4EDC4D">
            <w:pPr>
              <w:jc w:val="center"/>
              <w:rPr>
                <w:rFonts w:ascii="宋体" w:hAnsi="宋体"/>
                <w:color w:val="auto"/>
                <w:szCs w:val="44"/>
                <w:highlight w:val="none"/>
              </w:rPr>
            </w:pPr>
          </w:p>
        </w:tc>
        <w:tc>
          <w:tcPr>
            <w:tcW w:w="1351" w:type="dxa"/>
            <w:vAlign w:val="center"/>
          </w:tcPr>
          <w:p w14:paraId="3480A1AA">
            <w:pPr>
              <w:jc w:val="center"/>
              <w:rPr>
                <w:rFonts w:ascii="宋体" w:hAnsi="宋体"/>
                <w:color w:val="auto"/>
                <w:szCs w:val="44"/>
                <w:highlight w:val="none"/>
              </w:rPr>
            </w:pPr>
          </w:p>
        </w:tc>
        <w:tc>
          <w:tcPr>
            <w:tcW w:w="2069" w:type="dxa"/>
            <w:vAlign w:val="center"/>
          </w:tcPr>
          <w:p w14:paraId="29CF8339">
            <w:pPr>
              <w:jc w:val="center"/>
              <w:rPr>
                <w:rFonts w:ascii="宋体" w:hAnsi="宋体"/>
                <w:color w:val="auto"/>
                <w:szCs w:val="44"/>
                <w:highlight w:val="none"/>
              </w:rPr>
            </w:pPr>
          </w:p>
        </w:tc>
      </w:tr>
      <w:tr w14:paraId="5958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84" w:type="dxa"/>
            <w:vAlign w:val="center"/>
          </w:tcPr>
          <w:p w14:paraId="26E08D89">
            <w:pPr>
              <w:jc w:val="center"/>
              <w:rPr>
                <w:rFonts w:ascii="宋体" w:hAnsi="宋体"/>
                <w:color w:val="auto"/>
                <w:szCs w:val="44"/>
                <w:highlight w:val="none"/>
              </w:rPr>
            </w:pPr>
            <w:r>
              <w:rPr>
                <w:rFonts w:hint="eastAsia" w:ascii="宋体" w:hAnsi="宋体"/>
                <w:color w:val="auto"/>
                <w:szCs w:val="44"/>
                <w:highlight w:val="none"/>
              </w:rPr>
              <w:t>4</w:t>
            </w:r>
          </w:p>
        </w:tc>
        <w:tc>
          <w:tcPr>
            <w:tcW w:w="1787" w:type="dxa"/>
            <w:vAlign w:val="center"/>
          </w:tcPr>
          <w:p w14:paraId="7021A553">
            <w:pPr>
              <w:jc w:val="center"/>
              <w:rPr>
                <w:rFonts w:ascii="宋体" w:hAnsi="宋体"/>
                <w:color w:val="auto"/>
                <w:szCs w:val="44"/>
                <w:highlight w:val="none"/>
              </w:rPr>
            </w:pPr>
          </w:p>
        </w:tc>
        <w:tc>
          <w:tcPr>
            <w:tcW w:w="1339" w:type="dxa"/>
            <w:vAlign w:val="center"/>
          </w:tcPr>
          <w:p w14:paraId="34803C78">
            <w:pPr>
              <w:jc w:val="center"/>
              <w:rPr>
                <w:color w:val="auto"/>
                <w:highlight w:val="none"/>
              </w:rPr>
            </w:pPr>
          </w:p>
        </w:tc>
        <w:tc>
          <w:tcPr>
            <w:tcW w:w="1340" w:type="dxa"/>
            <w:vAlign w:val="center"/>
          </w:tcPr>
          <w:p w14:paraId="3830E904">
            <w:pPr>
              <w:jc w:val="center"/>
              <w:rPr>
                <w:rFonts w:ascii="宋体" w:hAnsi="宋体"/>
                <w:color w:val="auto"/>
                <w:szCs w:val="44"/>
                <w:highlight w:val="none"/>
              </w:rPr>
            </w:pPr>
          </w:p>
        </w:tc>
        <w:tc>
          <w:tcPr>
            <w:tcW w:w="1340" w:type="dxa"/>
            <w:vAlign w:val="center"/>
          </w:tcPr>
          <w:p w14:paraId="1E961304">
            <w:pPr>
              <w:jc w:val="center"/>
              <w:rPr>
                <w:rFonts w:ascii="宋体" w:hAnsi="宋体"/>
                <w:color w:val="auto"/>
                <w:szCs w:val="44"/>
                <w:highlight w:val="none"/>
              </w:rPr>
            </w:pPr>
          </w:p>
        </w:tc>
        <w:tc>
          <w:tcPr>
            <w:tcW w:w="1339" w:type="dxa"/>
            <w:vAlign w:val="center"/>
          </w:tcPr>
          <w:p w14:paraId="35916E77">
            <w:pPr>
              <w:jc w:val="center"/>
              <w:rPr>
                <w:rFonts w:ascii="宋体" w:hAnsi="宋体"/>
                <w:color w:val="auto"/>
                <w:szCs w:val="44"/>
                <w:highlight w:val="none"/>
              </w:rPr>
            </w:pPr>
          </w:p>
        </w:tc>
        <w:tc>
          <w:tcPr>
            <w:tcW w:w="1340" w:type="dxa"/>
            <w:vAlign w:val="center"/>
          </w:tcPr>
          <w:p w14:paraId="740C5C57">
            <w:pPr>
              <w:jc w:val="center"/>
              <w:rPr>
                <w:rFonts w:ascii="宋体" w:hAnsi="宋体"/>
                <w:color w:val="auto"/>
                <w:szCs w:val="44"/>
                <w:highlight w:val="none"/>
              </w:rPr>
            </w:pPr>
          </w:p>
        </w:tc>
        <w:tc>
          <w:tcPr>
            <w:tcW w:w="1340" w:type="dxa"/>
            <w:vAlign w:val="center"/>
          </w:tcPr>
          <w:p w14:paraId="7D4EB599">
            <w:pPr>
              <w:jc w:val="center"/>
              <w:rPr>
                <w:rFonts w:ascii="宋体" w:hAnsi="宋体"/>
                <w:color w:val="auto"/>
                <w:szCs w:val="44"/>
                <w:highlight w:val="none"/>
              </w:rPr>
            </w:pPr>
          </w:p>
        </w:tc>
        <w:tc>
          <w:tcPr>
            <w:tcW w:w="1351" w:type="dxa"/>
            <w:vAlign w:val="center"/>
          </w:tcPr>
          <w:p w14:paraId="0C4504C3">
            <w:pPr>
              <w:jc w:val="center"/>
              <w:rPr>
                <w:rFonts w:ascii="宋体" w:hAnsi="宋体"/>
                <w:color w:val="auto"/>
                <w:szCs w:val="44"/>
                <w:highlight w:val="none"/>
              </w:rPr>
            </w:pPr>
          </w:p>
        </w:tc>
        <w:tc>
          <w:tcPr>
            <w:tcW w:w="2069" w:type="dxa"/>
            <w:vAlign w:val="center"/>
          </w:tcPr>
          <w:p w14:paraId="68F101D5">
            <w:pPr>
              <w:jc w:val="center"/>
              <w:rPr>
                <w:rFonts w:ascii="宋体" w:hAnsi="宋体"/>
                <w:color w:val="auto"/>
                <w:szCs w:val="44"/>
                <w:highlight w:val="none"/>
              </w:rPr>
            </w:pPr>
          </w:p>
        </w:tc>
      </w:tr>
      <w:tr w14:paraId="7B2A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84" w:type="dxa"/>
            <w:vAlign w:val="center"/>
          </w:tcPr>
          <w:p w14:paraId="6E931EB3">
            <w:pPr>
              <w:jc w:val="center"/>
              <w:rPr>
                <w:rFonts w:ascii="宋体" w:hAnsi="宋体"/>
                <w:color w:val="auto"/>
                <w:szCs w:val="44"/>
                <w:highlight w:val="none"/>
              </w:rPr>
            </w:pPr>
            <w:r>
              <w:rPr>
                <w:rFonts w:hint="eastAsia" w:ascii="宋体" w:hAnsi="宋体"/>
                <w:color w:val="auto"/>
                <w:szCs w:val="44"/>
                <w:highlight w:val="none"/>
              </w:rPr>
              <w:t>5</w:t>
            </w:r>
          </w:p>
        </w:tc>
        <w:tc>
          <w:tcPr>
            <w:tcW w:w="1787" w:type="dxa"/>
            <w:vAlign w:val="center"/>
          </w:tcPr>
          <w:p w14:paraId="00736A2E">
            <w:pPr>
              <w:jc w:val="center"/>
              <w:rPr>
                <w:rFonts w:ascii="宋体" w:hAnsi="宋体"/>
                <w:color w:val="auto"/>
                <w:szCs w:val="44"/>
                <w:highlight w:val="none"/>
              </w:rPr>
            </w:pPr>
          </w:p>
        </w:tc>
        <w:tc>
          <w:tcPr>
            <w:tcW w:w="1339" w:type="dxa"/>
            <w:vAlign w:val="center"/>
          </w:tcPr>
          <w:p w14:paraId="0CF9FCAD">
            <w:pPr>
              <w:jc w:val="center"/>
              <w:rPr>
                <w:color w:val="auto"/>
                <w:highlight w:val="none"/>
              </w:rPr>
            </w:pPr>
          </w:p>
        </w:tc>
        <w:tc>
          <w:tcPr>
            <w:tcW w:w="1340" w:type="dxa"/>
            <w:vAlign w:val="center"/>
          </w:tcPr>
          <w:p w14:paraId="4C1D1E46">
            <w:pPr>
              <w:jc w:val="center"/>
              <w:rPr>
                <w:rFonts w:ascii="宋体" w:hAnsi="宋体"/>
                <w:color w:val="auto"/>
                <w:szCs w:val="44"/>
                <w:highlight w:val="none"/>
              </w:rPr>
            </w:pPr>
          </w:p>
        </w:tc>
        <w:tc>
          <w:tcPr>
            <w:tcW w:w="1340" w:type="dxa"/>
            <w:vAlign w:val="center"/>
          </w:tcPr>
          <w:p w14:paraId="6058EC23">
            <w:pPr>
              <w:jc w:val="center"/>
              <w:rPr>
                <w:rFonts w:ascii="宋体" w:hAnsi="宋体"/>
                <w:color w:val="auto"/>
                <w:szCs w:val="44"/>
                <w:highlight w:val="none"/>
              </w:rPr>
            </w:pPr>
          </w:p>
        </w:tc>
        <w:tc>
          <w:tcPr>
            <w:tcW w:w="1339" w:type="dxa"/>
            <w:vAlign w:val="center"/>
          </w:tcPr>
          <w:p w14:paraId="592BD839">
            <w:pPr>
              <w:jc w:val="center"/>
              <w:rPr>
                <w:rFonts w:ascii="宋体" w:hAnsi="宋体"/>
                <w:color w:val="auto"/>
                <w:szCs w:val="44"/>
                <w:highlight w:val="none"/>
              </w:rPr>
            </w:pPr>
          </w:p>
        </w:tc>
        <w:tc>
          <w:tcPr>
            <w:tcW w:w="1340" w:type="dxa"/>
            <w:vAlign w:val="center"/>
          </w:tcPr>
          <w:p w14:paraId="14A15018">
            <w:pPr>
              <w:jc w:val="center"/>
              <w:rPr>
                <w:rFonts w:ascii="宋体" w:hAnsi="宋体"/>
                <w:color w:val="auto"/>
                <w:szCs w:val="44"/>
                <w:highlight w:val="none"/>
              </w:rPr>
            </w:pPr>
          </w:p>
        </w:tc>
        <w:tc>
          <w:tcPr>
            <w:tcW w:w="1340" w:type="dxa"/>
            <w:vAlign w:val="center"/>
          </w:tcPr>
          <w:p w14:paraId="282D93E4">
            <w:pPr>
              <w:jc w:val="center"/>
              <w:rPr>
                <w:rFonts w:ascii="宋体" w:hAnsi="宋体"/>
                <w:color w:val="auto"/>
                <w:szCs w:val="44"/>
                <w:highlight w:val="none"/>
              </w:rPr>
            </w:pPr>
          </w:p>
        </w:tc>
        <w:tc>
          <w:tcPr>
            <w:tcW w:w="1351" w:type="dxa"/>
            <w:vAlign w:val="center"/>
          </w:tcPr>
          <w:p w14:paraId="22F18BF9">
            <w:pPr>
              <w:jc w:val="center"/>
              <w:rPr>
                <w:rFonts w:ascii="宋体" w:hAnsi="宋体"/>
                <w:color w:val="auto"/>
                <w:szCs w:val="44"/>
                <w:highlight w:val="none"/>
              </w:rPr>
            </w:pPr>
          </w:p>
        </w:tc>
        <w:tc>
          <w:tcPr>
            <w:tcW w:w="2069" w:type="dxa"/>
            <w:vAlign w:val="center"/>
          </w:tcPr>
          <w:p w14:paraId="290715CE">
            <w:pPr>
              <w:jc w:val="center"/>
              <w:rPr>
                <w:rFonts w:ascii="宋体" w:hAnsi="宋体"/>
                <w:color w:val="auto"/>
                <w:szCs w:val="44"/>
                <w:highlight w:val="none"/>
              </w:rPr>
            </w:pPr>
          </w:p>
        </w:tc>
      </w:tr>
      <w:tr w14:paraId="2753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84" w:type="dxa"/>
            <w:vAlign w:val="center"/>
          </w:tcPr>
          <w:p w14:paraId="5F748F86">
            <w:pPr>
              <w:jc w:val="center"/>
              <w:rPr>
                <w:rFonts w:ascii="宋体" w:hAnsi="宋体"/>
                <w:color w:val="auto"/>
                <w:szCs w:val="44"/>
                <w:highlight w:val="none"/>
              </w:rPr>
            </w:pPr>
            <w:r>
              <w:rPr>
                <w:rFonts w:hint="eastAsia" w:ascii="宋体" w:hAnsi="宋体"/>
                <w:color w:val="auto"/>
                <w:szCs w:val="44"/>
                <w:highlight w:val="none"/>
              </w:rPr>
              <w:t>6</w:t>
            </w:r>
          </w:p>
        </w:tc>
        <w:tc>
          <w:tcPr>
            <w:tcW w:w="1787" w:type="dxa"/>
            <w:vAlign w:val="center"/>
          </w:tcPr>
          <w:p w14:paraId="0BBE822D">
            <w:pPr>
              <w:jc w:val="center"/>
              <w:rPr>
                <w:rFonts w:ascii="宋体" w:hAnsi="宋体"/>
                <w:color w:val="auto"/>
                <w:szCs w:val="44"/>
                <w:highlight w:val="none"/>
              </w:rPr>
            </w:pPr>
          </w:p>
        </w:tc>
        <w:tc>
          <w:tcPr>
            <w:tcW w:w="1339" w:type="dxa"/>
            <w:vAlign w:val="center"/>
          </w:tcPr>
          <w:p w14:paraId="4A4F0F3D">
            <w:pPr>
              <w:jc w:val="center"/>
              <w:rPr>
                <w:color w:val="auto"/>
                <w:highlight w:val="none"/>
              </w:rPr>
            </w:pPr>
          </w:p>
        </w:tc>
        <w:tc>
          <w:tcPr>
            <w:tcW w:w="1340" w:type="dxa"/>
            <w:vAlign w:val="center"/>
          </w:tcPr>
          <w:p w14:paraId="1D69B175">
            <w:pPr>
              <w:jc w:val="center"/>
              <w:rPr>
                <w:rFonts w:ascii="宋体" w:hAnsi="宋体"/>
                <w:color w:val="auto"/>
                <w:szCs w:val="44"/>
                <w:highlight w:val="none"/>
              </w:rPr>
            </w:pPr>
          </w:p>
        </w:tc>
        <w:tc>
          <w:tcPr>
            <w:tcW w:w="1340" w:type="dxa"/>
            <w:vAlign w:val="center"/>
          </w:tcPr>
          <w:p w14:paraId="709B3A53">
            <w:pPr>
              <w:jc w:val="center"/>
              <w:rPr>
                <w:rFonts w:ascii="宋体" w:hAnsi="宋体"/>
                <w:color w:val="auto"/>
                <w:szCs w:val="44"/>
                <w:highlight w:val="none"/>
              </w:rPr>
            </w:pPr>
          </w:p>
        </w:tc>
        <w:tc>
          <w:tcPr>
            <w:tcW w:w="1339" w:type="dxa"/>
            <w:vAlign w:val="center"/>
          </w:tcPr>
          <w:p w14:paraId="6563B868">
            <w:pPr>
              <w:jc w:val="center"/>
              <w:rPr>
                <w:rFonts w:ascii="宋体" w:hAnsi="宋体"/>
                <w:color w:val="auto"/>
                <w:szCs w:val="44"/>
                <w:highlight w:val="none"/>
              </w:rPr>
            </w:pPr>
          </w:p>
        </w:tc>
        <w:tc>
          <w:tcPr>
            <w:tcW w:w="1340" w:type="dxa"/>
            <w:vAlign w:val="center"/>
          </w:tcPr>
          <w:p w14:paraId="44183D11">
            <w:pPr>
              <w:jc w:val="center"/>
              <w:rPr>
                <w:rFonts w:ascii="宋体" w:hAnsi="宋体"/>
                <w:color w:val="auto"/>
                <w:szCs w:val="44"/>
                <w:highlight w:val="none"/>
              </w:rPr>
            </w:pPr>
          </w:p>
        </w:tc>
        <w:tc>
          <w:tcPr>
            <w:tcW w:w="1340" w:type="dxa"/>
            <w:vAlign w:val="center"/>
          </w:tcPr>
          <w:p w14:paraId="0CAF7DAA">
            <w:pPr>
              <w:jc w:val="center"/>
              <w:rPr>
                <w:rFonts w:ascii="宋体" w:hAnsi="宋体"/>
                <w:color w:val="auto"/>
                <w:szCs w:val="44"/>
                <w:highlight w:val="none"/>
              </w:rPr>
            </w:pPr>
          </w:p>
        </w:tc>
        <w:tc>
          <w:tcPr>
            <w:tcW w:w="1351" w:type="dxa"/>
            <w:vAlign w:val="center"/>
          </w:tcPr>
          <w:p w14:paraId="7E019B27">
            <w:pPr>
              <w:jc w:val="center"/>
              <w:rPr>
                <w:rFonts w:ascii="宋体" w:hAnsi="宋体"/>
                <w:color w:val="auto"/>
                <w:szCs w:val="44"/>
                <w:highlight w:val="none"/>
              </w:rPr>
            </w:pPr>
          </w:p>
        </w:tc>
        <w:tc>
          <w:tcPr>
            <w:tcW w:w="2069" w:type="dxa"/>
            <w:vAlign w:val="center"/>
          </w:tcPr>
          <w:p w14:paraId="68C7302C">
            <w:pPr>
              <w:jc w:val="center"/>
              <w:rPr>
                <w:rFonts w:ascii="宋体" w:hAnsi="宋体"/>
                <w:color w:val="auto"/>
                <w:szCs w:val="44"/>
                <w:highlight w:val="none"/>
              </w:rPr>
            </w:pPr>
          </w:p>
        </w:tc>
      </w:tr>
      <w:tr w14:paraId="3241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jc w:val="center"/>
        </w:trPr>
        <w:tc>
          <w:tcPr>
            <w:tcW w:w="784" w:type="dxa"/>
            <w:vAlign w:val="center"/>
          </w:tcPr>
          <w:p w14:paraId="1162AE17">
            <w:pPr>
              <w:jc w:val="center"/>
              <w:rPr>
                <w:rFonts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787" w:type="dxa"/>
            <w:vAlign w:val="center"/>
          </w:tcPr>
          <w:p w14:paraId="54706B4D">
            <w:pPr>
              <w:rPr>
                <w:rFonts w:ascii="宋体" w:hAnsi="宋体"/>
                <w:color w:val="auto"/>
                <w:szCs w:val="21"/>
                <w:highlight w:val="none"/>
              </w:rPr>
            </w:pPr>
          </w:p>
        </w:tc>
        <w:tc>
          <w:tcPr>
            <w:tcW w:w="1339" w:type="dxa"/>
            <w:vAlign w:val="center"/>
          </w:tcPr>
          <w:p w14:paraId="647DF120">
            <w:pPr>
              <w:jc w:val="center"/>
              <w:rPr>
                <w:color w:val="auto"/>
                <w:highlight w:val="none"/>
              </w:rPr>
            </w:pPr>
          </w:p>
        </w:tc>
        <w:tc>
          <w:tcPr>
            <w:tcW w:w="1340" w:type="dxa"/>
            <w:vAlign w:val="center"/>
          </w:tcPr>
          <w:p w14:paraId="27156AEE">
            <w:pPr>
              <w:jc w:val="center"/>
              <w:rPr>
                <w:rFonts w:ascii="宋体" w:hAnsi="宋体"/>
                <w:color w:val="auto"/>
                <w:szCs w:val="44"/>
                <w:highlight w:val="none"/>
              </w:rPr>
            </w:pPr>
          </w:p>
        </w:tc>
        <w:tc>
          <w:tcPr>
            <w:tcW w:w="1340" w:type="dxa"/>
            <w:vAlign w:val="center"/>
          </w:tcPr>
          <w:p w14:paraId="2D5B99E0">
            <w:pPr>
              <w:jc w:val="center"/>
              <w:rPr>
                <w:rFonts w:ascii="宋体" w:hAnsi="宋体"/>
                <w:color w:val="auto"/>
                <w:szCs w:val="44"/>
                <w:highlight w:val="none"/>
              </w:rPr>
            </w:pPr>
          </w:p>
        </w:tc>
        <w:tc>
          <w:tcPr>
            <w:tcW w:w="1339" w:type="dxa"/>
            <w:vAlign w:val="center"/>
          </w:tcPr>
          <w:p w14:paraId="0D855E59">
            <w:pPr>
              <w:jc w:val="center"/>
              <w:rPr>
                <w:rFonts w:ascii="宋体" w:hAnsi="宋体"/>
                <w:color w:val="auto"/>
                <w:szCs w:val="44"/>
                <w:highlight w:val="none"/>
              </w:rPr>
            </w:pPr>
          </w:p>
        </w:tc>
        <w:tc>
          <w:tcPr>
            <w:tcW w:w="1340" w:type="dxa"/>
            <w:vAlign w:val="center"/>
          </w:tcPr>
          <w:p w14:paraId="5131548A">
            <w:pPr>
              <w:jc w:val="center"/>
              <w:rPr>
                <w:rFonts w:ascii="宋体" w:hAnsi="宋体"/>
                <w:color w:val="auto"/>
                <w:szCs w:val="44"/>
                <w:highlight w:val="none"/>
              </w:rPr>
            </w:pPr>
          </w:p>
        </w:tc>
        <w:tc>
          <w:tcPr>
            <w:tcW w:w="1340" w:type="dxa"/>
            <w:vAlign w:val="center"/>
          </w:tcPr>
          <w:p w14:paraId="4B451B96">
            <w:pPr>
              <w:jc w:val="center"/>
              <w:rPr>
                <w:rFonts w:ascii="宋体" w:hAnsi="宋体"/>
                <w:color w:val="auto"/>
                <w:szCs w:val="44"/>
                <w:highlight w:val="none"/>
              </w:rPr>
            </w:pPr>
          </w:p>
        </w:tc>
        <w:tc>
          <w:tcPr>
            <w:tcW w:w="1351" w:type="dxa"/>
            <w:vAlign w:val="center"/>
          </w:tcPr>
          <w:p w14:paraId="352501C6">
            <w:pPr>
              <w:jc w:val="center"/>
              <w:rPr>
                <w:rFonts w:ascii="宋体" w:hAnsi="宋体"/>
                <w:color w:val="auto"/>
                <w:szCs w:val="44"/>
                <w:highlight w:val="none"/>
              </w:rPr>
            </w:pPr>
          </w:p>
        </w:tc>
        <w:tc>
          <w:tcPr>
            <w:tcW w:w="2069" w:type="dxa"/>
            <w:vAlign w:val="center"/>
          </w:tcPr>
          <w:p w14:paraId="3227CB3A">
            <w:pPr>
              <w:jc w:val="center"/>
              <w:rPr>
                <w:rFonts w:ascii="宋体" w:hAnsi="宋体"/>
                <w:color w:val="auto"/>
                <w:szCs w:val="44"/>
                <w:highlight w:val="none"/>
              </w:rPr>
            </w:pPr>
          </w:p>
        </w:tc>
      </w:tr>
      <w:tr w14:paraId="54427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4029" w:type="dxa"/>
            <w:gridSpan w:val="10"/>
            <w:vAlign w:val="center"/>
          </w:tcPr>
          <w:p w14:paraId="645B06AF">
            <w:pPr>
              <w:jc w:val="left"/>
              <w:rPr>
                <w:rFonts w:ascii="宋体" w:hAnsi="宋体"/>
                <w:color w:val="auto"/>
                <w:szCs w:val="44"/>
                <w:highlight w:val="none"/>
              </w:rPr>
            </w:pPr>
            <w:r>
              <w:rPr>
                <w:rFonts w:hint="eastAsia" w:ascii="宋体" w:hAnsi="宋体"/>
                <w:color w:val="auto"/>
                <w:szCs w:val="44"/>
                <w:highlight w:val="none"/>
              </w:rPr>
              <w:t>承包人建议书评委签名：</w:t>
            </w:r>
          </w:p>
          <w:p w14:paraId="4120A91A">
            <w:pPr>
              <w:jc w:val="center"/>
              <w:rPr>
                <w:rFonts w:ascii="宋体" w:hAnsi="宋体"/>
                <w:color w:val="auto"/>
                <w:szCs w:val="44"/>
                <w:highlight w:val="none"/>
              </w:rPr>
            </w:pPr>
          </w:p>
          <w:p w14:paraId="636D4751">
            <w:pPr>
              <w:jc w:val="center"/>
              <w:rPr>
                <w:rFonts w:ascii="宋体" w:hAnsi="宋体"/>
                <w:color w:val="auto"/>
                <w:szCs w:val="44"/>
                <w:highlight w:val="none"/>
              </w:rPr>
            </w:pPr>
          </w:p>
          <w:p w14:paraId="49826774">
            <w:pPr>
              <w:jc w:val="center"/>
              <w:rPr>
                <w:rFonts w:ascii="宋体" w:hAnsi="宋体"/>
                <w:color w:val="auto"/>
                <w:szCs w:val="44"/>
                <w:highlight w:val="none"/>
              </w:rPr>
            </w:pPr>
          </w:p>
        </w:tc>
      </w:tr>
    </w:tbl>
    <w:p w14:paraId="3FD27A73">
      <w:pPr>
        <w:ind w:right="420"/>
        <w:jc w:val="right"/>
        <w:rPr>
          <w:color w:val="auto"/>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425" w:num="1"/>
          <w:docGrid w:linePitch="312" w:charSpace="0"/>
        </w:sectPr>
      </w:pPr>
      <w:r>
        <w:rPr>
          <w:rFonts w:hint="eastAsia"/>
          <w:color w:val="auto"/>
          <w:highlight w:val="none"/>
        </w:rPr>
        <w:t xml:space="preserve">日期：    年   </w:t>
      </w:r>
      <w:r>
        <w:rPr>
          <w:color w:val="auto"/>
          <w:highlight w:val="none"/>
        </w:rPr>
        <w:t xml:space="preserve"> </w:t>
      </w:r>
      <w:r>
        <w:rPr>
          <w:rFonts w:hint="eastAsia"/>
          <w:color w:val="auto"/>
          <w:highlight w:val="none"/>
        </w:rPr>
        <w:t xml:space="preserve"> 月 </w:t>
      </w:r>
      <w:r>
        <w:rPr>
          <w:color w:val="auto"/>
          <w:highlight w:val="none"/>
        </w:rPr>
        <w:t xml:space="preserve">  </w:t>
      </w:r>
      <w:r>
        <w:rPr>
          <w:rFonts w:hint="eastAsia"/>
          <w:color w:val="auto"/>
          <w:highlight w:val="none"/>
        </w:rPr>
        <w:t xml:space="preserve"> 日</w:t>
      </w:r>
    </w:p>
    <w:p w14:paraId="54CBA433">
      <w:pPr>
        <w:pStyle w:val="37"/>
        <w:ind w:firstLine="118"/>
        <w:rPr>
          <w:color w:val="auto"/>
          <w:highlight w:val="none"/>
        </w:rPr>
      </w:pPr>
      <w:bookmarkStart w:id="1074" w:name="_Toc256000145"/>
      <w:bookmarkStart w:id="1075" w:name="_Toc10018"/>
      <w:bookmarkStart w:id="1076" w:name="_Toc164716315"/>
      <w:bookmarkStart w:id="1077" w:name="_Toc13086"/>
      <w:r>
        <w:rPr>
          <w:rFonts w:hint="eastAsia"/>
          <w:color w:val="auto"/>
          <w:highlight w:val="none"/>
        </w:rPr>
        <w:t>附表A-</w:t>
      </w:r>
      <w:r>
        <w:rPr>
          <w:color w:val="auto"/>
          <w:highlight w:val="none"/>
        </w:rPr>
        <w:t>12</w:t>
      </w:r>
      <w:r>
        <w:rPr>
          <w:rFonts w:hint="eastAsia"/>
          <w:color w:val="auto"/>
          <w:highlight w:val="none"/>
        </w:rPr>
        <w:t>：技术标评审记录表（评分）</w:t>
      </w:r>
      <w:bookmarkEnd w:id="1074"/>
      <w:bookmarkEnd w:id="1075"/>
      <w:bookmarkEnd w:id="1076"/>
      <w:bookmarkEnd w:id="1077"/>
    </w:p>
    <w:p w14:paraId="2867426A">
      <w:pPr>
        <w:adjustRightInd w:val="0"/>
        <w:snapToGrid w:val="0"/>
        <w:spacing w:before="240" w:beforeLines="100" w:after="240" w:afterLines="100" w:line="440" w:lineRule="exact"/>
        <w:jc w:val="center"/>
        <w:rPr>
          <w:rFonts w:ascii="黑体" w:hAnsi="宋体" w:eastAsia="黑体"/>
          <w:color w:val="auto"/>
          <w:sz w:val="36"/>
          <w:szCs w:val="36"/>
          <w:highlight w:val="none"/>
        </w:rPr>
      </w:pPr>
      <w:r>
        <w:rPr>
          <w:rFonts w:hint="eastAsia" w:ascii="黑体" w:hAnsi="宋体" w:eastAsia="黑体"/>
          <w:color w:val="auto"/>
          <w:sz w:val="36"/>
          <w:szCs w:val="36"/>
          <w:highlight w:val="none"/>
        </w:rPr>
        <w:t>技术标评审记录表</w:t>
      </w:r>
    </w:p>
    <w:p w14:paraId="4F7A06ED">
      <w:pPr>
        <w:rPr>
          <w:rFonts w:ascii="宋体" w:hAnsi="宋体"/>
          <w:color w:val="auto"/>
          <w:szCs w:val="44"/>
          <w:highlight w:val="none"/>
        </w:rPr>
      </w:pPr>
      <w:r>
        <w:rPr>
          <w:rFonts w:hint="eastAsia" w:ascii="宋体" w:hAnsi="宋体"/>
          <w:color w:val="auto"/>
          <w:szCs w:val="44"/>
          <w:highlight w:val="none"/>
        </w:rPr>
        <w:t>标段名称：</w:t>
      </w:r>
    </w:p>
    <w:p w14:paraId="583EBC1E">
      <w:pPr>
        <w:rPr>
          <w:color w:val="auto"/>
          <w:szCs w:val="44"/>
          <w:highlight w:val="none"/>
        </w:rPr>
      </w:pPr>
      <w:r>
        <w:rPr>
          <w:rFonts w:hint="eastAsia"/>
          <w:color w:val="auto"/>
          <w:szCs w:val="44"/>
          <w:highlight w:val="none"/>
        </w:rPr>
        <w:t>标段唯一标识码：</w:t>
      </w:r>
    </w:p>
    <w:tbl>
      <w:tblPr>
        <w:tblStyle w:val="25"/>
        <w:tblW w:w="14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792"/>
        <w:gridCol w:w="1342"/>
        <w:gridCol w:w="1343"/>
        <w:gridCol w:w="1343"/>
        <w:gridCol w:w="1342"/>
        <w:gridCol w:w="1343"/>
        <w:gridCol w:w="1343"/>
        <w:gridCol w:w="1355"/>
        <w:gridCol w:w="2182"/>
      </w:tblGrid>
      <w:tr w14:paraId="1265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85" w:type="dxa"/>
            <w:vMerge w:val="restart"/>
            <w:vAlign w:val="center"/>
          </w:tcPr>
          <w:p w14:paraId="5C84E8AE">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792" w:type="dxa"/>
            <w:vMerge w:val="restart"/>
            <w:vAlign w:val="center"/>
          </w:tcPr>
          <w:p w14:paraId="02D7D5B4">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9411" w:type="dxa"/>
            <w:gridSpan w:val="7"/>
            <w:vAlign w:val="center"/>
          </w:tcPr>
          <w:p w14:paraId="28CD3A8E">
            <w:pPr>
              <w:jc w:val="center"/>
              <w:rPr>
                <w:rFonts w:ascii="宋体" w:hAnsi="宋体"/>
                <w:b/>
                <w:bCs/>
                <w:color w:val="auto"/>
                <w:szCs w:val="44"/>
                <w:highlight w:val="none"/>
              </w:rPr>
            </w:pPr>
            <w:r>
              <w:rPr>
                <w:rFonts w:hint="eastAsia" w:ascii="宋体" w:hAnsi="宋体"/>
                <w:b/>
                <w:bCs/>
                <w:color w:val="auto"/>
                <w:szCs w:val="44"/>
                <w:highlight w:val="none"/>
              </w:rPr>
              <w:t>评委姓名及得分</w:t>
            </w:r>
          </w:p>
        </w:tc>
        <w:tc>
          <w:tcPr>
            <w:tcW w:w="2182" w:type="dxa"/>
            <w:vMerge w:val="restart"/>
            <w:vAlign w:val="center"/>
          </w:tcPr>
          <w:p w14:paraId="50214738">
            <w:pPr>
              <w:jc w:val="center"/>
              <w:rPr>
                <w:rFonts w:ascii="宋体" w:hAnsi="宋体"/>
                <w:b/>
                <w:bCs/>
                <w:color w:val="auto"/>
                <w:szCs w:val="44"/>
                <w:highlight w:val="none"/>
              </w:rPr>
            </w:pPr>
            <w:r>
              <w:rPr>
                <w:rFonts w:hint="eastAsia" w:ascii="宋体" w:hAnsi="宋体"/>
                <w:b/>
                <w:bCs/>
                <w:color w:val="auto"/>
                <w:szCs w:val="44"/>
                <w:highlight w:val="none"/>
              </w:rPr>
              <w:t>承包人实施方案最终得分</w:t>
            </w:r>
          </w:p>
        </w:tc>
      </w:tr>
      <w:tr w14:paraId="5181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85" w:type="dxa"/>
            <w:vMerge w:val="continue"/>
            <w:vAlign w:val="center"/>
          </w:tcPr>
          <w:p w14:paraId="32589F0D">
            <w:pPr>
              <w:jc w:val="center"/>
              <w:rPr>
                <w:rFonts w:ascii="宋体" w:hAnsi="宋体"/>
                <w:b/>
                <w:bCs/>
                <w:color w:val="auto"/>
                <w:szCs w:val="44"/>
                <w:highlight w:val="none"/>
              </w:rPr>
            </w:pPr>
          </w:p>
        </w:tc>
        <w:tc>
          <w:tcPr>
            <w:tcW w:w="1792" w:type="dxa"/>
            <w:vMerge w:val="continue"/>
          </w:tcPr>
          <w:p w14:paraId="502E62BA">
            <w:pPr>
              <w:jc w:val="center"/>
              <w:rPr>
                <w:rFonts w:ascii="宋体" w:hAnsi="宋体"/>
                <w:b/>
                <w:bCs/>
                <w:color w:val="auto"/>
                <w:szCs w:val="44"/>
                <w:highlight w:val="none"/>
              </w:rPr>
            </w:pPr>
          </w:p>
        </w:tc>
        <w:tc>
          <w:tcPr>
            <w:tcW w:w="1342" w:type="dxa"/>
            <w:vAlign w:val="center"/>
          </w:tcPr>
          <w:p w14:paraId="35477699">
            <w:pPr>
              <w:jc w:val="center"/>
              <w:rPr>
                <w:rFonts w:ascii="宋体" w:hAnsi="宋体"/>
                <w:b/>
                <w:bCs/>
                <w:color w:val="auto"/>
                <w:szCs w:val="44"/>
                <w:highlight w:val="none"/>
              </w:rPr>
            </w:pPr>
            <w:r>
              <w:rPr>
                <w:rFonts w:hint="eastAsia" w:ascii="宋体" w:hAnsi="宋体"/>
                <w:b/>
                <w:bCs/>
                <w:color w:val="auto"/>
                <w:szCs w:val="44"/>
                <w:highlight w:val="none"/>
              </w:rPr>
              <w:t>评委1</w:t>
            </w:r>
          </w:p>
        </w:tc>
        <w:tc>
          <w:tcPr>
            <w:tcW w:w="1343" w:type="dxa"/>
            <w:vAlign w:val="center"/>
          </w:tcPr>
          <w:p w14:paraId="709A4379">
            <w:pPr>
              <w:jc w:val="center"/>
              <w:rPr>
                <w:rFonts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43" w:type="dxa"/>
            <w:vAlign w:val="center"/>
          </w:tcPr>
          <w:p w14:paraId="09BC9E1A">
            <w:pPr>
              <w:jc w:val="center"/>
              <w:rPr>
                <w:rFonts w:ascii="宋体" w:hAnsi="宋体"/>
                <w:b/>
                <w:bCs/>
                <w:color w:val="auto"/>
                <w:szCs w:val="44"/>
                <w:highlight w:val="none"/>
              </w:rPr>
            </w:pPr>
            <w:r>
              <w:rPr>
                <w:rFonts w:hint="eastAsia" w:ascii="宋体" w:hAnsi="宋体"/>
                <w:b/>
                <w:bCs/>
                <w:color w:val="auto"/>
                <w:szCs w:val="44"/>
                <w:highlight w:val="none"/>
              </w:rPr>
              <w:t>…</w:t>
            </w:r>
            <w:r>
              <w:rPr>
                <w:rFonts w:ascii="宋体" w:hAnsi="宋体"/>
                <w:b/>
                <w:bCs/>
                <w:color w:val="auto"/>
                <w:szCs w:val="44"/>
                <w:highlight w:val="none"/>
              </w:rPr>
              <w:t>…</w:t>
            </w:r>
          </w:p>
        </w:tc>
        <w:tc>
          <w:tcPr>
            <w:tcW w:w="1342" w:type="dxa"/>
            <w:vAlign w:val="center"/>
          </w:tcPr>
          <w:p w14:paraId="4069D330">
            <w:pPr>
              <w:jc w:val="center"/>
              <w:rPr>
                <w:rFonts w:ascii="宋体" w:hAnsi="宋体"/>
                <w:b/>
                <w:bCs/>
                <w:color w:val="auto"/>
                <w:szCs w:val="44"/>
                <w:highlight w:val="none"/>
              </w:rPr>
            </w:pPr>
          </w:p>
        </w:tc>
        <w:tc>
          <w:tcPr>
            <w:tcW w:w="1343" w:type="dxa"/>
            <w:vAlign w:val="center"/>
          </w:tcPr>
          <w:p w14:paraId="3FB07C61">
            <w:pPr>
              <w:jc w:val="center"/>
              <w:rPr>
                <w:rFonts w:ascii="宋体" w:hAnsi="宋体"/>
                <w:b/>
                <w:bCs/>
                <w:color w:val="auto"/>
                <w:szCs w:val="44"/>
                <w:highlight w:val="none"/>
              </w:rPr>
            </w:pPr>
          </w:p>
        </w:tc>
        <w:tc>
          <w:tcPr>
            <w:tcW w:w="1343" w:type="dxa"/>
            <w:vAlign w:val="center"/>
          </w:tcPr>
          <w:p w14:paraId="3BA08031">
            <w:pPr>
              <w:jc w:val="center"/>
              <w:rPr>
                <w:rFonts w:ascii="宋体" w:hAnsi="宋体"/>
                <w:b/>
                <w:bCs/>
                <w:color w:val="auto"/>
                <w:szCs w:val="44"/>
                <w:highlight w:val="none"/>
              </w:rPr>
            </w:pPr>
          </w:p>
        </w:tc>
        <w:tc>
          <w:tcPr>
            <w:tcW w:w="1355" w:type="dxa"/>
            <w:vAlign w:val="center"/>
          </w:tcPr>
          <w:p w14:paraId="12EE897B">
            <w:pPr>
              <w:jc w:val="center"/>
              <w:rPr>
                <w:rFonts w:ascii="宋体" w:hAnsi="宋体"/>
                <w:b/>
                <w:bCs/>
                <w:color w:val="auto"/>
                <w:szCs w:val="44"/>
                <w:highlight w:val="none"/>
              </w:rPr>
            </w:pPr>
          </w:p>
        </w:tc>
        <w:tc>
          <w:tcPr>
            <w:tcW w:w="2182" w:type="dxa"/>
            <w:vMerge w:val="continue"/>
            <w:vAlign w:val="center"/>
          </w:tcPr>
          <w:p w14:paraId="3C8AB75D">
            <w:pPr>
              <w:jc w:val="center"/>
              <w:rPr>
                <w:rFonts w:ascii="宋体" w:hAnsi="宋体"/>
                <w:b/>
                <w:bCs/>
                <w:color w:val="auto"/>
                <w:szCs w:val="44"/>
                <w:highlight w:val="none"/>
              </w:rPr>
            </w:pPr>
          </w:p>
        </w:tc>
      </w:tr>
      <w:tr w14:paraId="7E58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85" w:type="dxa"/>
            <w:vAlign w:val="center"/>
          </w:tcPr>
          <w:p w14:paraId="3636DF6D">
            <w:pPr>
              <w:jc w:val="center"/>
              <w:rPr>
                <w:rFonts w:ascii="宋体" w:hAnsi="宋体"/>
                <w:color w:val="auto"/>
                <w:szCs w:val="44"/>
                <w:highlight w:val="none"/>
              </w:rPr>
            </w:pPr>
            <w:r>
              <w:rPr>
                <w:rFonts w:hint="eastAsia" w:ascii="宋体" w:hAnsi="宋体"/>
                <w:color w:val="auto"/>
                <w:szCs w:val="44"/>
                <w:highlight w:val="none"/>
              </w:rPr>
              <w:t>1</w:t>
            </w:r>
          </w:p>
        </w:tc>
        <w:tc>
          <w:tcPr>
            <w:tcW w:w="1792" w:type="dxa"/>
            <w:vAlign w:val="center"/>
          </w:tcPr>
          <w:p w14:paraId="4F56DA39">
            <w:pPr>
              <w:jc w:val="center"/>
              <w:rPr>
                <w:rFonts w:ascii="宋体" w:hAnsi="宋体"/>
                <w:color w:val="auto"/>
                <w:szCs w:val="21"/>
                <w:highlight w:val="none"/>
              </w:rPr>
            </w:pPr>
          </w:p>
        </w:tc>
        <w:tc>
          <w:tcPr>
            <w:tcW w:w="1342" w:type="dxa"/>
            <w:vAlign w:val="center"/>
          </w:tcPr>
          <w:p w14:paraId="350929FB">
            <w:pPr>
              <w:rPr>
                <w:rFonts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p>
        </w:tc>
        <w:tc>
          <w:tcPr>
            <w:tcW w:w="1343" w:type="dxa"/>
            <w:vAlign w:val="center"/>
          </w:tcPr>
          <w:p w14:paraId="555A2163">
            <w:pPr>
              <w:jc w:val="center"/>
              <w:rPr>
                <w:rFonts w:ascii="宋体" w:hAnsi="宋体"/>
                <w:color w:val="auto"/>
                <w:szCs w:val="44"/>
                <w:highlight w:val="none"/>
              </w:rPr>
            </w:pPr>
          </w:p>
        </w:tc>
        <w:tc>
          <w:tcPr>
            <w:tcW w:w="1343" w:type="dxa"/>
            <w:vAlign w:val="center"/>
          </w:tcPr>
          <w:p w14:paraId="3F1151F9">
            <w:pPr>
              <w:jc w:val="center"/>
              <w:rPr>
                <w:rFonts w:ascii="宋体" w:hAnsi="宋体"/>
                <w:color w:val="auto"/>
                <w:szCs w:val="44"/>
                <w:highlight w:val="none"/>
              </w:rPr>
            </w:pPr>
          </w:p>
        </w:tc>
        <w:tc>
          <w:tcPr>
            <w:tcW w:w="1342" w:type="dxa"/>
            <w:vAlign w:val="center"/>
          </w:tcPr>
          <w:p w14:paraId="0F339290">
            <w:pPr>
              <w:jc w:val="center"/>
              <w:rPr>
                <w:rFonts w:ascii="宋体" w:hAnsi="宋体"/>
                <w:color w:val="auto"/>
                <w:szCs w:val="44"/>
                <w:highlight w:val="none"/>
              </w:rPr>
            </w:pPr>
          </w:p>
        </w:tc>
        <w:tc>
          <w:tcPr>
            <w:tcW w:w="1343" w:type="dxa"/>
            <w:vAlign w:val="center"/>
          </w:tcPr>
          <w:p w14:paraId="4EFFE49D">
            <w:pPr>
              <w:jc w:val="center"/>
              <w:rPr>
                <w:rFonts w:ascii="宋体" w:hAnsi="宋体"/>
                <w:color w:val="auto"/>
                <w:szCs w:val="44"/>
                <w:highlight w:val="none"/>
              </w:rPr>
            </w:pPr>
          </w:p>
        </w:tc>
        <w:tc>
          <w:tcPr>
            <w:tcW w:w="1343" w:type="dxa"/>
            <w:vAlign w:val="center"/>
          </w:tcPr>
          <w:p w14:paraId="71320AE8">
            <w:pPr>
              <w:jc w:val="center"/>
              <w:rPr>
                <w:rFonts w:ascii="宋体" w:hAnsi="宋体"/>
                <w:color w:val="auto"/>
                <w:szCs w:val="44"/>
                <w:highlight w:val="none"/>
              </w:rPr>
            </w:pPr>
          </w:p>
        </w:tc>
        <w:tc>
          <w:tcPr>
            <w:tcW w:w="1355" w:type="dxa"/>
            <w:vAlign w:val="center"/>
          </w:tcPr>
          <w:p w14:paraId="6B759A9D">
            <w:pPr>
              <w:jc w:val="center"/>
              <w:rPr>
                <w:rFonts w:ascii="宋体" w:hAnsi="宋体"/>
                <w:color w:val="auto"/>
                <w:szCs w:val="44"/>
                <w:highlight w:val="none"/>
              </w:rPr>
            </w:pPr>
          </w:p>
        </w:tc>
        <w:tc>
          <w:tcPr>
            <w:tcW w:w="2182" w:type="dxa"/>
            <w:vAlign w:val="center"/>
          </w:tcPr>
          <w:p w14:paraId="7C6DEA44">
            <w:pPr>
              <w:jc w:val="center"/>
              <w:rPr>
                <w:rFonts w:ascii="宋体" w:hAnsi="宋体"/>
                <w:color w:val="auto"/>
                <w:szCs w:val="44"/>
                <w:highlight w:val="none"/>
              </w:rPr>
            </w:pPr>
          </w:p>
        </w:tc>
      </w:tr>
      <w:tr w14:paraId="731F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85" w:type="dxa"/>
            <w:vAlign w:val="center"/>
          </w:tcPr>
          <w:p w14:paraId="28CC0F2C">
            <w:pPr>
              <w:jc w:val="center"/>
              <w:rPr>
                <w:rFonts w:ascii="宋体" w:hAnsi="宋体"/>
                <w:color w:val="auto"/>
                <w:szCs w:val="44"/>
                <w:highlight w:val="none"/>
              </w:rPr>
            </w:pPr>
            <w:r>
              <w:rPr>
                <w:rFonts w:hint="eastAsia" w:ascii="宋体" w:hAnsi="宋体"/>
                <w:color w:val="auto"/>
                <w:szCs w:val="44"/>
                <w:highlight w:val="none"/>
              </w:rPr>
              <w:t>2</w:t>
            </w:r>
          </w:p>
        </w:tc>
        <w:tc>
          <w:tcPr>
            <w:tcW w:w="1792" w:type="dxa"/>
            <w:vAlign w:val="center"/>
          </w:tcPr>
          <w:p w14:paraId="48E67ABE">
            <w:pPr>
              <w:jc w:val="center"/>
              <w:rPr>
                <w:rFonts w:ascii="宋体" w:hAnsi="宋体"/>
                <w:color w:val="auto"/>
                <w:szCs w:val="44"/>
                <w:highlight w:val="none"/>
              </w:rPr>
            </w:pPr>
          </w:p>
        </w:tc>
        <w:tc>
          <w:tcPr>
            <w:tcW w:w="1342" w:type="dxa"/>
            <w:vAlign w:val="center"/>
          </w:tcPr>
          <w:p w14:paraId="5CAFCCB3">
            <w:pPr>
              <w:jc w:val="center"/>
              <w:rPr>
                <w:color w:val="auto"/>
                <w:highlight w:val="none"/>
              </w:rPr>
            </w:pPr>
          </w:p>
        </w:tc>
        <w:tc>
          <w:tcPr>
            <w:tcW w:w="1343" w:type="dxa"/>
            <w:vAlign w:val="center"/>
          </w:tcPr>
          <w:p w14:paraId="556F1570">
            <w:pPr>
              <w:jc w:val="center"/>
              <w:rPr>
                <w:rFonts w:ascii="宋体" w:hAnsi="宋体"/>
                <w:color w:val="auto"/>
                <w:szCs w:val="44"/>
                <w:highlight w:val="none"/>
              </w:rPr>
            </w:pPr>
          </w:p>
        </w:tc>
        <w:tc>
          <w:tcPr>
            <w:tcW w:w="1343" w:type="dxa"/>
            <w:vAlign w:val="center"/>
          </w:tcPr>
          <w:p w14:paraId="39A6821E">
            <w:pPr>
              <w:jc w:val="center"/>
              <w:rPr>
                <w:rFonts w:ascii="宋体" w:hAnsi="宋体"/>
                <w:color w:val="auto"/>
                <w:szCs w:val="44"/>
                <w:highlight w:val="none"/>
              </w:rPr>
            </w:pPr>
          </w:p>
        </w:tc>
        <w:tc>
          <w:tcPr>
            <w:tcW w:w="1342" w:type="dxa"/>
            <w:vAlign w:val="center"/>
          </w:tcPr>
          <w:p w14:paraId="216A8390">
            <w:pPr>
              <w:jc w:val="center"/>
              <w:rPr>
                <w:rFonts w:ascii="宋体" w:hAnsi="宋体"/>
                <w:color w:val="auto"/>
                <w:szCs w:val="44"/>
                <w:highlight w:val="none"/>
              </w:rPr>
            </w:pPr>
          </w:p>
        </w:tc>
        <w:tc>
          <w:tcPr>
            <w:tcW w:w="1343" w:type="dxa"/>
            <w:vAlign w:val="center"/>
          </w:tcPr>
          <w:p w14:paraId="3515187B">
            <w:pPr>
              <w:jc w:val="center"/>
              <w:rPr>
                <w:rFonts w:ascii="宋体" w:hAnsi="宋体"/>
                <w:color w:val="auto"/>
                <w:szCs w:val="44"/>
                <w:highlight w:val="none"/>
              </w:rPr>
            </w:pPr>
          </w:p>
        </w:tc>
        <w:tc>
          <w:tcPr>
            <w:tcW w:w="1343" w:type="dxa"/>
            <w:vAlign w:val="center"/>
          </w:tcPr>
          <w:p w14:paraId="5F15DF5B">
            <w:pPr>
              <w:jc w:val="center"/>
              <w:rPr>
                <w:rFonts w:ascii="宋体" w:hAnsi="宋体"/>
                <w:color w:val="auto"/>
                <w:szCs w:val="44"/>
                <w:highlight w:val="none"/>
              </w:rPr>
            </w:pPr>
          </w:p>
        </w:tc>
        <w:tc>
          <w:tcPr>
            <w:tcW w:w="1355" w:type="dxa"/>
            <w:vAlign w:val="center"/>
          </w:tcPr>
          <w:p w14:paraId="5B8F51F2">
            <w:pPr>
              <w:jc w:val="center"/>
              <w:rPr>
                <w:rFonts w:ascii="宋体" w:hAnsi="宋体"/>
                <w:color w:val="auto"/>
                <w:szCs w:val="44"/>
                <w:highlight w:val="none"/>
              </w:rPr>
            </w:pPr>
          </w:p>
        </w:tc>
        <w:tc>
          <w:tcPr>
            <w:tcW w:w="2182" w:type="dxa"/>
            <w:vAlign w:val="center"/>
          </w:tcPr>
          <w:p w14:paraId="327E8063">
            <w:pPr>
              <w:jc w:val="center"/>
              <w:rPr>
                <w:rFonts w:ascii="宋体" w:hAnsi="宋体"/>
                <w:color w:val="auto"/>
                <w:szCs w:val="44"/>
                <w:highlight w:val="none"/>
              </w:rPr>
            </w:pPr>
          </w:p>
        </w:tc>
      </w:tr>
      <w:tr w14:paraId="035A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85" w:type="dxa"/>
            <w:vAlign w:val="center"/>
          </w:tcPr>
          <w:p w14:paraId="118BEC87">
            <w:pPr>
              <w:jc w:val="center"/>
              <w:rPr>
                <w:rFonts w:ascii="宋体" w:hAnsi="宋体"/>
                <w:color w:val="auto"/>
                <w:szCs w:val="44"/>
                <w:highlight w:val="none"/>
              </w:rPr>
            </w:pPr>
            <w:r>
              <w:rPr>
                <w:rFonts w:hint="eastAsia" w:ascii="宋体" w:hAnsi="宋体"/>
                <w:color w:val="auto"/>
                <w:szCs w:val="44"/>
                <w:highlight w:val="none"/>
              </w:rPr>
              <w:t>3</w:t>
            </w:r>
          </w:p>
        </w:tc>
        <w:tc>
          <w:tcPr>
            <w:tcW w:w="1792" w:type="dxa"/>
            <w:vAlign w:val="center"/>
          </w:tcPr>
          <w:p w14:paraId="549B6ED6">
            <w:pPr>
              <w:jc w:val="center"/>
              <w:rPr>
                <w:rFonts w:ascii="宋体" w:hAnsi="宋体"/>
                <w:color w:val="auto"/>
                <w:szCs w:val="44"/>
                <w:highlight w:val="none"/>
              </w:rPr>
            </w:pPr>
          </w:p>
        </w:tc>
        <w:tc>
          <w:tcPr>
            <w:tcW w:w="1342" w:type="dxa"/>
            <w:vAlign w:val="center"/>
          </w:tcPr>
          <w:p w14:paraId="63EE4625">
            <w:pPr>
              <w:jc w:val="center"/>
              <w:rPr>
                <w:color w:val="auto"/>
                <w:highlight w:val="none"/>
              </w:rPr>
            </w:pPr>
          </w:p>
        </w:tc>
        <w:tc>
          <w:tcPr>
            <w:tcW w:w="1343" w:type="dxa"/>
            <w:vAlign w:val="center"/>
          </w:tcPr>
          <w:p w14:paraId="3B02BBDB">
            <w:pPr>
              <w:jc w:val="center"/>
              <w:rPr>
                <w:rFonts w:ascii="宋体" w:hAnsi="宋体"/>
                <w:color w:val="auto"/>
                <w:szCs w:val="44"/>
                <w:highlight w:val="none"/>
              </w:rPr>
            </w:pPr>
          </w:p>
        </w:tc>
        <w:tc>
          <w:tcPr>
            <w:tcW w:w="1343" w:type="dxa"/>
            <w:vAlign w:val="center"/>
          </w:tcPr>
          <w:p w14:paraId="4DBE9212">
            <w:pPr>
              <w:jc w:val="center"/>
              <w:rPr>
                <w:rFonts w:ascii="宋体" w:hAnsi="宋体"/>
                <w:color w:val="auto"/>
                <w:szCs w:val="44"/>
                <w:highlight w:val="none"/>
              </w:rPr>
            </w:pPr>
          </w:p>
        </w:tc>
        <w:tc>
          <w:tcPr>
            <w:tcW w:w="1342" w:type="dxa"/>
            <w:vAlign w:val="center"/>
          </w:tcPr>
          <w:p w14:paraId="635E8150">
            <w:pPr>
              <w:jc w:val="center"/>
              <w:rPr>
                <w:rFonts w:ascii="宋体" w:hAnsi="宋体"/>
                <w:color w:val="auto"/>
                <w:szCs w:val="44"/>
                <w:highlight w:val="none"/>
              </w:rPr>
            </w:pPr>
          </w:p>
        </w:tc>
        <w:tc>
          <w:tcPr>
            <w:tcW w:w="1343" w:type="dxa"/>
            <w:vAlign w:val="center"/>
          </w:tcPr>
          <w:p w14:paraId="15988D61">
            <w:pPr>
              <w:jc w:val="center"/>
              <w:rPr>
                <w:rFonts w:ascii="宋体" w:hAnsi="宋体"/>
                <w:color w:val="auto"/>
                <w:szCs w:val="44"/>
                <w:highlight w:val="none"/>
              </w:rPr>
            </w:pPr>
          </w:p>
        </w:tc>
        <w:tc>
          <w:tcPr>
            <w:tcW w:w="1343" w:type="dxa"/>
            <w:vAlign w:val="center"/>
          </w:tcPr>
          <w:p w14:paraId="40695246">
            <w:pPr>
              <w:jc w:val="center"/>
              <w:rPr>
                <w:rFonts w:ascii="宋体" w:hAnsi="宋体"/>
                <w:color w:val="auto"/>
                <w:szCs w:val="44"/>
                <w:highlight w:val="none"/>
              </w:rPr>
            </w:pPr>
          </w:p>
        </w:tc>
        <w:tc>
          <w:tcPr>
            <w:tcW w:w="1355" w:type="dxa"/>
            <w:vAlign w:val="center"/>
          </w:tcPr>
          <w:p w14:paraId="3EA33EE6">
            <w:pPr>
              <w:jc w:val="center"/>
              <w:rPr>
                <w:rFonts w:ascii="宋体" w:hAnsi="宋体"/>
                <w:color w:val="auto"/>
                <w:szCs w:val="44"/>
                <w:highlight w:val="none"/>
              </w:rPr>
            </w:pPr>
          </w:p>
        </w:tc>
        <w:tc>
          <w:tcPr>
            <w:tcW w:w="2182" w:type="dxa"/>
            <w:vAlign w:val="center"/>
          </w:tcPr>
          <w:p w14:paraId="7068B84E">
            <w:pPr>
              <w:jc w:val="center"/>
              <w:rPr>
                <w:rFonts w:ascii="宋体" w:hAnsi="宋体"/>
                <w:color w:val="auto"/>
                <w:szCs w:val="44"/>
                <w:highlight w:val="none"/>
              </w:rPr>
            </w:pPr>
          </w:p>
        </w:tc>
      </w:tr>
      <w:tr w14:paraId="5F07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85" w:type="dxa"/>
            <w:vAlign w:val="center"/>
          </w:tcPr>
          <w:p w14:paraId="737ED7C1">
            <w:pPr>
              <w:jc w:val="center"/>
              <w:rPr>
                <w:rFonts w:ascii="宋体" w:hAnsi="宋体"/>
                <w:color w:val="auto"/>
                <w:szCs w:val="44"/>
                <w:highlight w:val="none"/>
              </w:rPr>
            </w:pPr>
            <w:r>
              <w:rPr>
                <w:rFonts w:hint="eastAsia" w:ascii="宋体" w:hAnsi="宋体"/>
                <w:color w:val="auto"/>
                <w:szCs w:val="44"/>
                <w:highlight w:val="none"/>
              </w:rPr>
              <w:t>4</w:t>
            </w:r>
          </w:p>
        </w:tc>
        <w:tc>
          <w:tcPr>
            <w:tcW w:w="1792" w:type="dxa"/>
            <w:vAlign w:val="center"/>
          </w:tcPr>
          <w:p w14:paraId="748DD3E4">
            <w:pPr>
              <w:jc w:val="center"/>
              <w:rPr>
                <w:rFonts w:ascii="宋体" w:hAnsi="宋体"/>
                <w:color w:val="auto"/>
                <w:szCs w:val="44"/>
                <w:highlight w:val="none"/>
              </w:rPr>
            </w:pPr>
          </w:p>
        </w:tc>
        <w:tc>
          <w:tcPr>
            <w:tcW w:w="1342" w:type="dxa"/>
            <w:vAlign w:val="center"/>
          </w:tcPr>
          <w:p w14:paraId="289C0F34">
            <w:pPr>
              <w:jc w:val="center"/>
              <w:rPr>
                <w:color w:val="auto"/>
                <w:highlight w:val="none"/>
              </w:rPr>
            </w:pPr>
          </w:p>
        </w:tc>
        <w:tc>
          <w:tcPr>
            <w:tcW w:w="1343" w:type="dxa"/>
            <w:vAlign w:val="center"/>
          </w:tcPr>
          <w:p w14:paraId="2B35EC5F">
            <w:pPr>
              <w:jc w:val="center"/>
              <w:rPr>
                <w:rFonts w:ascii="宋体" w:hAnsi="宋体"/>
                <w:color w:val="auto"/>
                <w:szCs w:val="44"/>
                <w:highlight w:val="none"/>
              </w:rPr>
            </w:pPr>
          </w:p>
        </w:tc>
        <w:tc>
          <w:tcPr>
            <w:tcW w:w="1343" w:type="dxa"/>
            <w:vAlign w:val="center"/>
          </w:tcPr>
          <w:p w14:paraId="2A8E0115">
            <w:pPr>
              <w:jc w:val="center"/>
              <w:rPr>
                <w:rFonts w:ascii="宋体" w:hAnsi="宋体"/>
                <w:color w:val="auto"/>
                <w:szCs w:val="44"/>
                <w:highlight w:val="none"/>
              </w:rPr>
            </w:pPr>
          </w:p>
        </w:tc>
        <w:tc>
          <w:tcPr>
            <w:tcW w:w="1342" w:type="dxa"/>
            <w:vAlign w:val="center"/>
          </w:tcPr>
          <w:p w14:paraId="6D20760D">
            <w:pPr>
              <w:jc w:val="center"/>
              <w:rPr>
                <w:rFonts w:ascii="宋体" w:hAnsi="宋体"/>
                <w:color w:val="auto"/>
                <w:szCs w:val="44"/>
                <w:highlight w:val="none"/>
              </w:rPr>
            </w:pPr>
          </w:p>
        </w:tc>
        <w:tc>
          <w:tcPr>
            <w:tcW w:w="1343" w:type="dxa"/>
            <w:vAlign w:val="center"/>
          </w:tcPr>
          <w:p w14:paraId="42100F55">
            <w:pPr>
              <w:jc w:val="center"/>
              <w:rPr>
                <w:rFonts w:ascii="宋体" w:hAnsi="宋体"/>
                <w:color w:val="auto"/>
                <w:szCs w:val="44"/>
                <w:highlight w:val="none"/>
              </w:rPr>
            </w:pPr>
          </w:p>
        </w:tc>
        <w:tc>
          <w:tcPr>
            <w:tcW w:w="1343" w:type="dxa"/>
            <w:vAlign w:val="center"/>
          </w:tcPr>
          <w:p w14:paraId="1CB85885">
            <w:pPr>
              <w:jc w:val="center"/>
              <w:rPr>
                <w:rFonts w:ascii="宋体" w:hAnsi="宋体"/>
                <w:color w:val="auto"/>
                <w:szCs w:val="44"/>
                <w:highlight w:val="none"/>
              </w:rPr>
            </w:pPr>
          </w:p>
        </w:tc>
        <w:tc>
          <w:tcPr>
            <w:tcW w:w="1355" w:type="dxa"/>
            <w:vAlign w:val="center"/>
          </w:tcPr>
          <w:p w14:paraId="23A77B72">
            <w:pPr>
              <w:jc w:val="center"/>
              <w:rPr>
                <w:rFonts w:ascii="宋体" w:hAnsi="宋体"/>
                <w:color w:val="auto"/>
                <w:szCs w:val="44"/>
                <w:highlight w:val="none"/>
              </w:rPr>
            </w:pPr>
          </w:p>
        </w:tc>
        <w:tc>
          <w:tcPr>
            <w:tcW w:w="2182" w:type="dxa"/>
            <w:vAlign w:val="center"/>
          </w:tcPr>
          <w:p w14:paraId="5758366F">
            <w:pPr>
              <w:jc w:val="center"/>
              <w:rPr>
                <w:rFonts w:ascii="宋体" w:hAnsi="宋体"/>
                <w:color w:val="auto"/>
                <w:szCs w:val="44"/>
                <w:highlight w:val="none"/>
              </w:rPr>
            </w:pPr>
          </w:p>
        </w:tc>
      </w:tr>
      <w:tr w14:paraId="15EB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85" w:type="dxa"/>
            <w:vAlign w:val="center"/>
          </w:tcPr>
          <w:p w14:paraId="6321F007">
            <w:pPr>
              <w:jc w:val="center"/>
              <w:rPr>
                <w:rFonts w:ascii="宋体" w:hAnsi="宋体"/>
                <w:color w:val="auto"/>
                <w:szCs w:val="44"/>
                <w:highlight w:val="none"/>
              </w:rPr>
            </w:pPr>
            <w:r>
              <w:rPr>
                <w:rFonts w:hint="eastAsia" w:ascii="宋体" w:hAnsi="宋体"/>
                <w:color w:val="auto"/>
                <w:szCs w:val="44"/>
                <w:highlight w:val="none"/>
              </w:rPr>
              <w:t>5</w:t>
            </w:r>
          </w:p>
        </w:tc>
        <w:tc>
          <w:tcPr>
            <w:tcW w:w="1792" w:type="dxa"/>
            <w:vAlign w:val="center"/>
          </w:tcPr>
          <w:p w14:paraId="7097318D">
            <w:pPr>
              <w:jc w:val="center"/>
              <w:rPr>
                <w:rFonts w:ascii="宋体" w:hAnsi="宋体"/>
                <w:color w:val="auto"/>
                <w:szCs w:val="44"/>
                <w:highlight w:val="none"/>
              </w:rPr>
            </w:pPr>
          </w:p>
        </w:tc>
        <w:tc>
          <w:tcPr>
            <w:tcW w:w="1342" w:type="dxa"/>
            <w:vAlign w:val="center"/>
          </w:tcPr>
          <w:p w14:paraId="6059A9C0">
            <w:pPr>
              <w:jc w:val="center"/>
              <w:rPr>
                <w:color w:val="auto"/>
                <w:highlight w:val="none"/>
              </w:rPr>
            </w:pPr>
          </w:p>
        </w:tc>
        <w:tc>
          <w:tcPr>
            <w:tcW w:w="1343" w:type="dxa"/>
            <w:vAlign w:val="center"/>
          </w:tcPr>
          <w:p w14:paraId="08123B47">
            <w:pPr>
              <w:jc w:val="center"/>
              <w:rPr>
                <w:rFonts w:ascii="宋体" w:hAnsi="宋体"/>
                <w:color w:val="auto"/>
                <w:szCs w:val="44"/>
                <w:highlight w:val="none"/>
              </w:rPr>
            </w:pPr>
          </w:p>
        </w:tc>
        <w:tc>
          <w:tcPr>
            <w:tcW w:w="1343" w:type="dxa"/>
            <w:vAlign w:val="center"/>
          </w:tcPr>
          <w:p w14:paraId="17F19FC7">
            <w:pPr>
              <w:jc w:val="center"/>
              <w:rPr>
                <w:rFonts w:ascii="宋体" w:hAnsi="宋体"/>
                <w:color w:val="auto"/>
                <w:szCs w:val="44"/>
                <w:highlight w:val="none"/>
              </w:rPr>
            </w:pPr>
          </w:p>
        </w:tc>
        <w:tc>
          <w:tcPr>
            <w:tcW w:w="1342" w:type="dxa"/>
            <w:vAlign w:val="center"/>
          </w:tcPr>
          <w:p w14:paraId="62B9A3A2">
            <w:pPr>
              <w:jc w:val="center"/>
              <w:rPr>
                <w:rFonts w:ascii="宋体" w:hAnsi="宋体"/>
                <w:color w:val="auto"/>
                <w:szCs w:val="44"/>
                <w:highlight w:val="none"/>
              </w:rPr>
            </w:pPr>
          </w:p>
        </w:tc>
        <w:tc>
          <w:tcPr>
            <w:tcW w:w="1343" w:type="dxa"/>
            <w:vAlign w:val="center"/>
          </w:tcPr>
          <w:p w14:paraId="35DF987B">
            <w:pPr>
              <w:jc w:val="center"/>
              <w:rPr>
                <w:rFonts w:ascii="宋体" w:hAnsi="宋体"/>
                <w:color w:val="auto"/>
                <w:szCs w:val="44"/>
                <w:highlight w:val="none"/>
              </w:rPr>
            </w:pPr>
          </w:p>
        </w:tc>
        <w:tc>
          <w:tcPr>
            <w:tcW w:w="1343" w:type="dxa"/>
            <w:vAlign w:val="center"/>
          </w:tcPr>
          <w:p w14:paraId="00EB7E7A">
            <w:pPr>
              <w:jc w:val="center"/>
              <w:rPr>
                <w:rFonts w:ascii="宋体" w:hAnsi="宋体"/>
                <w:color w:val="auto"/>
                <w:szCs w:val="44"/>
                <w:highlight w:val="none"/>
              </w:rPr>
            </w:pPr>
          </w:p>
        </w:tc>
        <w:tc>
          <w:tcPr>
            <w:tcW w:w="1355" w:type="dxa"/>
            <w:vAlign w:val="center"/>
          </w:tcPr>
          <w:p w14:paraId="56472F45">
            <w:pPr>
              <w:jc w:val="center"/>
              <w:rPr>
                <w:rFonts w:ascii="宋体" w:hAnsi="宋体"/>
                <w:color w:val="auto"/>
                <w:szCs w:val="44"/>
                <w:highlight w:val="none"/>
              </w:rPr>
            </w:pPr>
          </w:p>
        </w:tc>
        <w:tc>
          <w:tcPr>
            <w:tcW w:w="2182" w:type="dxa"/>
            <w:vAlign w:val="center"/>
          </w:tcPr>
          <w:p w14:paraId="0A691766">
            <w:pPr>
              <w:jc w:val="center"/>
              <w:rPr>
                <w:rFonts w:ascii="宋体" w:hAnsi="宋体"/>
                <w:color w:val="auto"/>
                <w:szCs w:val="44"/>
                <w:highlight w:val="none"/>
              </w:rPr>
            </w:pPr>
          </w:p>
        </w:tc>
      </w:tr>
      <w:tr w14:paraId="114C1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85" w:type="dxa"/>
            <w:vAlign w:val="center"/>
          </w:tcPr>
          <w:p w14:paraId="345A881D">
            <w:pPr>
              <w:jc w:val="center"/>
              <w:rPr>
                <w:rFonts w:ascii="宋体" w:hAnsi="宋体"/>
                <w:color w:val="auto"/>
                <w:szCs w:val="44"/>
                <w:highlight w:val="none"/>
              </w:rPr>
            </w:pPr>
            <w:r>
              <w:rPr>
                <w:rFonts w:hint="eastAsia" w:ascii="宋体" w:hAnsi="宋体"/>
                <w:color w:val="auto"/>
                <w:szCs w:val="44"/>
                <w:highlight w:val="none"/>
              </w:rPr>
              <w:t>6</w:t>
            </w:r>
          </w:p>
        </w:tc>
        <w:tc>
          <w:tcPr>
            <w:tcW w:w="1792" w:type="dxa"/>
            <w:vAlign w:val="center"/>
          </w:tcPr>
          <w:p w14:paraId="2BFA664A">
            <w:pPr>
              <w:jc w:val="center"/>
              <w:rPr>
                <w:rFonts w:ascii="宋体" w:hAnsi="宋体"/>
                <w:color w:val="auto"/>
                <w:szCs w:val="44"/>
                <w:highlight w:val="none"/>
              </w:rPr>
            </w:pPr>
          </w:p>
        </w:tc>
        <w:tc>
          <w:tcPr>
            <w:tcW w:w="1342" w:type="dxa"/>
            <w:vAlign w:val="center"/>
          </w:tcPr>
          <w:p w14:paraId="36AFA487">
            <w:pPr>
              <w:jc w:val="center"/>
              <w:rPr>
                <w:color w:val="auto"/>
                <w:highlight w:val="none"/>
              </w:rPr>
            </w:pPr>
          </w:p>
        </w:tc>
        <w:tc>
          <w:tcPr>
            <w:tcW w:w="1343" w:type="dxa"/>
            <w:vAlign w:val="center"/>
          </w:tcPr>
          <w:p w14:paraId="20961B1D">
            <w:pPr>
              <w:jc w:val="center"/>
              <w:rPr>
                <w:rFonts w:ascii="宋体" w:hAnsi="宋体"/>
                <w:color w:val="auto"/>
                <w:szCs w:val="44"/>
                <w:highlight w:val="none"/>
              </w:rPr>
            </w:pPr>
          </w:p>
        </w:tc>
        <w:tc>
          <w:tcPr>
            <w:tcW w:w="1343" w:type="dxa"/>
            <w:vAlign w:val="center"/>
          </w:tcPr>
          <w:p w14:paraId="6D732146">
            <w:pPr>
              <w:jc w:val="center"/>
              <w:rPr>
                <w:rFonts w:ascii="宋体" w:hAnsi="宋体"/>
                <w:color w:val="auto"/>
                <w:szCs w:val="44"/>
                <w:highlight w:val="none"/>
              </w:rPr>
            </w:pPr>
          </w:p>
        </w:tc>
        <w:tc>
          <w:tcPr>
            <w:tcW w:w="1342" w:type="dxa"/>
            <w:vAlign w:val="center"/>
          </w:tcPr>
          <w:p w14:paraId="341580F5">
            <w:pPr>
              <w:jc w:val="center"/>
              <w:rPr>
                <w:rFonts w:ascii="宋体" w:hAnsi="宋体"/>
                <w:color w:val="auto"/>
                <w:szCs w:val="44"/>
                <w:highlight w:val="none"/>
              </w:rPr>
            </w:pPr>
          </w:p>
        </w:tc>
        <w:tc>
          <w:tcPr>
            <w:tcW w:w="1343" w:type="dxa"/>
            <w:vAlign w:val="center"/>
          </w:tcPr>
          <w:p w14:paraId="02B5D00F">
            <w:pPr>
              <w:jc w:val="center"/>
              <w:rPr>
                <w:rFonts w:ascii="宋体" w:hAnsi="宋体"/>
                <w:color w:val="auto"/>
                <w:szCs w:val="44"/>
                <w:highlight w:val="none"/>
              </w:rPr>
            </w:pPr>
          </w:p>
        </w:tc>
        <w:tc>
          <w:tcPr>
            <w:tcW w:w="1343" w:type="dxa"/>
            <w:vAlign w:val="center"/>
          </w:tcPr>
          <w:p w14:paraId="30E24C68">
            <w:pPr>
              <w:jc w:val="center"/>
              <w:rPr>
                <w:rFonts w:ascii="宋体" w:hAnsi="宋体"/>
                <w:color w:val="auto"/>
                <w:szCs w:val="44"/>
                <w:highlight w:val="none"/>
              </w:rPr>
            </w:pPr>
          </w:p>
        </w:tc>
        <w:tc>
          <w:tcPr>
            <w:tcW w:w="1355" w:type="dxa"/>
            <w:vAlign w:val="center"/>
          </w:tcPr>
          <w:p w14:paraId="3041A087">
            <w:pPr>
              <w:jc w:val="center"/>
              <w:rPr>
                <w:rFonts w:ascii="宋体" w:hAnsi="宋体"/>
                <w:color w:val="auto"/>
                <w:szCs w:val="44"/>
                <w:highlight w:val="none"/>
              </w:rPr>
            </w:pPr>
          </w:p>
        </w:tc>
        <w:tc>
          <w:tcPr>
            <w:tcW w:w="2182" w:type="dxa"/>
            <w:vAlign w:val="center"/>
          </w:tcPr>
          <w:p w14:paraId="4EA5B274">
            <w:pPr>
              <w:jc w:val="center"/>
              <w:rPr>
                <w:rFonts w:ascii="宋体" w:hAnsi="宋体"/>
                <w:color w:val="auto"/>
                <w:szCs w:val="44"/>
                <w:highlight w:val="none"/>
              </w:rPr>
            </w:pPr>
          </w:p>
        </w:tc>
      </w:tr>
      <w:tr w14:paraId="5B68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85" w:type="dxa"/>
            <w:vAlign w:val="center"/>
          </w:tcPr>
          <w:p w14:paraId="39B56C0D">
            <w:pPr>
              <w:jc w:val="center"/>
              <w:rPr>
                <w:rFonts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792" w:type="dxa"/>
            <w:vAlign w:val="center"/>
          </w:tcPr>
          <w:p w14:paraId="0A103339">
            <w:pPr>
              <w:rPr>
                <w:rFonts w:ascii="宋体" w:hAnsi="宋体"/>
                <w:color w:val="auto"/>
                <w:szCs w:val="21"/>
                <w:highlight w:val="none"/>
              </w:rPr>
            </w:pPr>
          </w:p>
        </w:tc>
        <w:tc>
          <w:tcPr>
            <w:tcW w:w="1342" w:type="dxa"/>
            <w:vAlign w:val="center"/>
          </w:tcPr>
          <w:p w14:paraId="42B592FE">
            <w:pPr>
              <w:jc w:val="center"/>
              <w:rPr>
                <w:color w:val="auto"/>
                <w:highlight w:val="none"/>
              </w:rPr>
            </w:pPr>
          </w:p>
        </w:tc>
        <w:tc>
          <w:tcPr>
            <w:tcW w:w="1343" w:type="dxa"/>
            <w:vAlign w:val="center"/>
          </w:tcPr>
          <w:p w14:paraId="6CEF7FC7">
            <w:pPr>
              <w:jc w:val="center"/>
              <w:rPr>
                <w:rFonts w:ascii="宋体" w:hAnsi="宋体"/>
                <w:color w:val="auto"/>
                <w:szCs w:val="44"/>
                <w:highlight w:val="none"/>
              </w:rPr>
            </w:pPr>
          </w:p>
        </w:tc>
        <w:tc>
          <w:tcPr>
            <w:tcW w:w="1343" w:type="dxa"/>
            <w:vAlign w:val="center"/>
          </w:tcPr>
          <w:p w14:paraId="55512F46">
            <w:pPr>
              <w:jc w:val="center"/>
              <w:rPr>
                <w:rFonts w:ascii="宋体" w:hAnsi="宋体"/>
                <w:color w:val="auto"/>
                <w:szCs w:val="44"/>
                <w:highlight w:val="none"/>
              </w:rPr>
            </w:pPr>
          </w:p>
        </w:tc>
        <w:tc>
          <w:tcPr>
            <w:tcW w:w="1342" w:type="dxa"/>
            <w:vAlign w:val="center"/>
          </w:tcPr>
          <w:p w14:paraId="02AD2C90">
            <w:pPr>
              <w:jc w:val="center"/>
              <w:rPr>
                <w:rFonts w:ascii="宋体" w:hAnsi="宋体"/>
                <w:color w:val="auto"/>
                <w:szCs w:val="44"/>
                <w:highlight w:val="none"/>
              </w:rPr>
            </w:pPr>
          </w:p>
        </w:tc>
        <w:tc>
          <w:tcPr>
            <w:tcW w:w="1343" w:type="dxa"/>
            <w:vAlign w:val="center"/>
          </w:tcPr>
          <w:p w14:paraId="306FDF01">
            <w:pPr>
              <w:jc w:val="center"/>
              <w:rPr>
                <w:rFonts w:ascii="宋体" w:hAnsi="宋体"/>
                <w:color w:val="auto"/>
                <w:szCs w:val="44"/>
                <w:highlight w:val="none"/>
              </w:rPr>
            </w:pPr>
          </w:p>
        </w:tc>
        <w:tc>
          <w:tcPr>
            <w:tcW w:w="1343" w:type="dxa"/>
            <w:vAlign w:val="center"/>
          </w:tcPr>
          <w:p w14:paraId="633B75A3">
            <w:pPr>
              <w:jc w:val="center"/>
              <w:rPr>
                <w:rFonts w:ascii="宋体" w:hAnsi="宋体"/>
                <w:color w:val="auto"/>
                <w:szCs w:val="44"/>
                <w:highlight w:val="none"/>
              </w:rPr>
            </w:pPr>
          </w:p>
        </w:tc>
        <w:tc>
          <w:tcPr>
            <w:tcW w:w="1355" w:type="dxa"/>
            <w:vAlign w:val="center"/>
          </w:tcPr>
          <w:p w14:paraId="606D87BB">
            <w:pPr>
              <w:jc w:val="center"/>
              <w:rPr>
                <w:rFonts w:ascii="宋体" w:hAnsi="宋体"/>
                <w:color w:val="auto"/>
                <w:szCs w:val="44"/>
                <w:highlight w:val="none"/>
              </w:rPr>
            </w:pPr>
          </w:p>
        </w:tc>
        <w:tc>
          <w:tcPr>
            <w:tcW w:w="2182" w:type="dxa"/>
            <w:vAlign w:val="center"/>
          </w:tcPr>
          <w:p w14:paraId="71FC2C37">
            <w:pPr>
              <w:jc w:val="center"/>
              <w:rPr>
                <w:rFonts w:ascii="宋体" w:hAnsi="宋体"/>
                <w:color w:val="auto"/>
                <w:szCs w:val="44"/>
                <w:highlight w:val="none"/>
              </w:rPr>
            </w:pPr>
          </w:p>
        </w:tc>
      </w:tr>
      <w:tr w14:paraId="1D2C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4170" w:type="dxa"/>
            <w:gridSpan w:val="10"/>
            <w:vAlign w:val="center"/>
          </w:tcPr>
          <w:p w14:paraId="77518060">
            <w:pPr>
              <w:jc w:val="left"/>
              <w:rPr>
                <w:color w:val="auto"/>
                <w:highlight w:val="none"/>
              </w:rPr>
            </w:pPr>
            <w:r>
              <w:rPr>
                <w:rFonts w:hint="eastAsia" w:ascii="宋体" w:hAnsi="宋体"/>
                <w:color w:val="auto"/>
                <w:szCs w:val="44"/>
                <w:highlight w:val="none"/>
              </w:rPr>
              <w:t>承包人实施方案评委签名：</w:t>
            </w:r>
          </w:p>
          <w:p w14:paraId="4EC376BD">
            <w:pPr>
              <w:jc w:val="center"/>
              <w:rPr>
                <w:rFonts w:ascii="宋体" w:hAnsi="宋体"/>
                <w:color w:val="auto"/>
                <w:szCs w:val="44"/>
                <w:highlight w:val="none"/>
              </w:rPr>
            </w:pPr>
          </w:p>
          <w:p w14:paraId="20477628">
            <w:pPr>
              <w:jc w:val="center"/>
              <w:rPr>
                <w:rFonts w:ascii="宋体" w:hAnsi="宋体"/>
                <w:color w:val="auto"/>
                <w:szCs w:val="44"/>
                <w:highlight w:val="none"/>
              </w:rPr>
            </w:pPr>
          </w:p>
          <w:p w14:paraId="5EEED3B1">
            <w:pPr>
              <w:jc w:val="center"/>
              <w:rPr>
                <w:rFonts w:ascii="宋体" w:hAnsi="宋体"/>
                <w:color w:val="auto"/>
                <w:szCs w:val="44"/>
                <w:highlight w:val="none"/>
              </w:rPr>
            </w:pPr>
          </w:p>
        </w:tc>
      </w:tr>
    </w:tbl>
    <w:p w14:paraId="31B1A364">
      <w:pPr>
        <w:ind w:right="630"/>
        <w:jc w:val="right"/>
        <w:rPr>
          <w:color w:val="auto"/>
          <w:highlight w:val="none"/>
        </w:rPr>
      </w:pPr>
      <w:r>
        <w:rPr>
          <w:rFonts w:hint="eastAsia"/>
          <w:color w:val="auto"/>
          <w:highlight w:val="none"/>
        </w:rPr>
        <w:t xml:space="preserve">日期：    年   </w:t>
      </w:r>
      <w:r>
        <w:rPr>
          <w:color w:val="auto"/>
          <w:highlight w:val="none"/>
        </w:rPr>
        <w:t xml:space="preserve"> </w:t>
      </w:r>
      <w:r>
        <w:rPr>
          <w:rFonts w:hint="eastAsia"/>
          <w:color w:val="auto"/>
          <w:highlight w:val="none"/>
        </w:rPr>
        <w:t xml:space="preserve"> 月 </w:t>
      </w:r>
      <w:r>
        <w:rPr>
          <w:color w:val="auto"/>
          <w:highlight w:val="none"/>
        </w:rPr>
        <w:t xml:space="preserve">  </w:t>
      </w:r>
      <w:r>
        <w:rPr>
          <w:rFonts w:hint="eastAsia"/>
          <w:color w:val="auto"/>
          <w:highlight w:val="none"/>
        </w:rPr>
        <w:t xml:space="preserve"> 日</w:t>
      </w:r>
    </w:p>
    <w:p w14:paraId="3CDADF5C">
      <w:pPr>
        <w:widowControl/>
        <w:jc w:val="left"/>
        <w:rPr>
          <w:color w:val="auto"/>
          <w:highlight w:val="none"/>
        </w:rPr>
      </w:pPr>
      <w:r>
        <w:rPr>
          <w:color w:val="auto"/>
          <w:highlight w:val="none"/>
        </w:rPr>
        <w:br w:type="page"/>
      </w:r>
    </w:p>
    <w:p w14:paraId="2F526C99">
      <w:pPr>
        <w:pStyle w:val="37"/>
        <w:ind w:firstLine="118"/>
        <w:rPr>
          <w:color w:val="auto"/>
          <w:highlight w:val="none"/>
        </w:rPr>
      </w:pPr>
      <w:bookmarkStart w:id="1078" w:name="_Toc164716316"/>
      <w:bookmarkStart w:id="1079" w:name="_Toc22632"/>
      <w:bookmarkStart w:id="1080" w:name="_Toc256000146"/>
      <w:bookmarkStart w:id="1081" w:name="_Toc148860676"/>
      <w:bookmarkStart w:id="1082" w:name="_Toc25520"/>
      <w:r>
        <w:rPr>
          <w:rFonts w:hint="eastAsia"/>
          <w:color w:val="auto"/>
          <w:highlight w:val="none"/>
        </w:rPr>
        <w:t>附表A-</w:t>
      </w:r>
      <w:r>
        <w:rPr>
          <w:color w:val="auto"/>
          <w:highlight w:val="none"/>
        </w:rPr>
        <w:t>13</w:t>
      </w:r>
      <w:r>
        <w:rPr>
          <w:rFonts w:hint="eastAsia"/>
          <w:color w:val="auto"/>
          <w:highlight w:val="none"/>
        </w:rPr>
        <w:t>：技术标评审记录表（个人）</w:t>
      </w:r>
      <w:bookmarkEnd w:id="1078"/>
      <w:bookmarkEnd w:id="1079"/>
      <w:bookmarkEnd w:id="1080"/>
      <w:bookmarkEnd w:id="1081"/>
      <w:bookmarkEnd w:id="1082"/>
    </w:p>
    <w:p w14:paraId="3B77ADE3">
      <w:pPr>
        <w:adjustRightInd w:val="0"/>
        <w:snapToGrid w:val="0"/>
        <w:spacing w:before="240" w:beforeLines="100" w:after="240" w:afterLines="100" w:line="440" w:lineRule="exact"/>
        <w:jc w:val="center"/>
        <w:rPr>
          <w:rFonts w:ascii="黑体" w:hAnsi="宋体" w:eastAsia="黑体"/>
          <w:color w:val="auto"/>
          <w:sz w:val="36"/>
          <w:szCs w:val="36"/>
          <w:highlight w:val="none"/>
        </w:rPr>
      </w:pPr>
      <w:r>
        <w:rPr>
          <w:rFonts w:hint="eastAsia" w:ascii="黑体" w:hAnsi="宋体" w:eastAsia="黑体"/>
          <w:color w:val="auto"/>
          <w:sz w:val="36"/>
          <w:szCs w:val="36"/>
          <w:highlight w:val="none"/>
        </w:rPr>
        <w:t>技术标评审记录表（个人）</w:t>
      </w:r>
    </w:p>
    <w:p w14:paraId="4D9F4C25">
      <w:pPr>
        <w:rPr>
          <w:rFonts w:ascii="宋体" w:hAnsi="宋体"/>
          <w:color w:val="auto"/>
          <w:szCs w:val="44"/>
          <w:highlight w:val="none"/>
        </w:rPr>
      </w:pPr>
      <w:r>
        <w:rPr>
          <w:rFonts w:hint="eastAsia" w:ascii="宋体" w:hAnsi="宋体"/>
          <w:color w:val="auto"/>
          <w:szCs w:val="44"/>
          <w:highlight w:val="none"/>
        </w:rPr>
        <w:t>标段名称：</w:t>
      </w:r>
    </w:p>
    <w:p w14:paraId="1603137D">
      <w:pPr>
        <w:rPr>
          <w:color w:val="auto"/>
          <w:szCs w:val="44"/>
          <w:highlight w:val="none"/>
        </w:rPr>
      </w:pPr>
      <w:r>
        <w:rPr>
          <w:rFonts w:hint="eastAsia"/>
          <w:color w:val="auto"/>
          <w:szCs w:val="44"/>
          <w:highlight w:val="none"/>
        </w:rPr>
        <w:t>标段唯一标识码：</w:t>
      </w:r>
    </w:p>
    <w:tbl>
      <w:tblPr>
        <w:tblStyle w:val="25"/>
        <w:tblW w:w="13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2203"/>
        <w:gridCol w:w="1111"/>
        <w:gridCol w:w="1112"/>
        <w:gridCol w:w="1112"/>
        <w:gridCol w:w="1112"/>
        <w:gridCol w:w="1112"/>
        <w:gridCol w:w="1111"/>
        <w:gridCol w:w="1112"/>
        <w:gridCol w:w="1112"/>
        <w:gridCol w:w="1026"/>
        <w:gridCol w:w="1200"/>
      </w:tblGrid>
      <w:tr w14:paraId="1AD3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D293937">
            <w:pPr>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22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660370B">
            <w:pPr>
              <w:jc w:val="center"/>
              <w:rPr>
                <w:rFonts w:ascii="宋体" w:hAnsi="宋体" w:cs="宋体"/>
                <w:b/>
                <w:bCs/>
                <w:color w:val="auto"/>
                <w:szCs w:val="21"/>
                <w:highlight w:val="none"/>
              </w:rPr>
            </w:pPr>
            <w:r>
              <w:rPr>
                <w:rFonts w:hint="eastAsia" w:ascii="宋体" w:hAnsi="宋体" w:cs="宋体"/>
                <w:b/>
                <w:bCs/>
                <w:color w:val="auto"/>
                <w:szCs w:val="21"/>
                <w:highlight w:val="none"/>
              </w:rPr>
              <w:t>投标人名称</w:t>
            </w:r>
          </w:p>
        </w:tc>
        <w:tc>
          <w:tcPr>
            <w:tcW w:w="9920" w:type="dxa"/>
            <w:gridSpan w:val="9"/>
            <w:tcBorders>
              <w:top w:val="single" w:color="auto" w:sz="4" w:space="0"/>
              <w:left w:val="single" w:color="auto" w:sz="4" w:space="0"/>
              <w:bottom w:val="single" w:color="auto" w:sz="4" w:space="0"/>
              <w:right w:val="single" w:color="auto" w:sz="4" w:space="0"/>
            </w:tcBorders>
            <w:shd w:val="clear" w:color="auto" w:fill="auto"/>
          </w:tcPr>
          <w:p w14:paraId="23FCE4F3">
            <w:pPr>
              <w:jc w:val="center"/>
              <w:rPr>
                <w:rFonts w:ascii="宋体" w:hAnsi="宋体" w:cs="宋体"/>
                <w:b/>
                <w:bCs/>
                <w:color w:val="auto"/>
                <w:szCs w:val="21"/>
                <w:highlight w:val="none"/>
              </w:rPr>
            </w:pPr>
            <w:r>
              <w:rPr>
                <w:rFonts w:hint="eastAsia" w:ascii="宋体" w:hAnsi="宋体" w:cs="宋体"/>
                <w:b/>
                <w:bCs/>
                <w:color w:val="auto"/>
                <w:szCs w:val="21"/>
                <w:highlight w:val="none"/>
              </w:rPr>
              <w:t>评审因素及评审得分</w:t>
            </w:r>
          </w:p>
        </w:tc>
        <w:tc>
          <w:tcPr>
            <w:tcW w:w="12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BE88C6">
            <w:pPr>
              <w:jc w:val="center"/>
              <w:rPr>
                <w:rFonts w:ascii="宋体" w:hAnsi="宋体" w:cs="宋体"/>
                <w:b/>
                <w:bCs/>
                <w:color w:val="auto"/>
                <w:szCs w:val="21"/>
                <w:highlight w:val="none"/>
              </w:rPr>
            </w:pPr>
            <w:r>
              <w:rPr>
                <w:rFonts w:hint="eastAsia" w:ascii="宋体" w:hAnsi="宋体" w:cs="宋体"/>
                <w:b/>
                <w:bCs/>
                <w:color w:val="auto"/>
                <w:szCs w:val="21"/>
                <w:highlight w:val="none"/>
              </w:rPr>
              <w:t>得分</w:t>
            </w:r>
          </w:p>
        </w:tc>
      </w:tr>
      <w:tr w14:paraId="7E2B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D9E67A">
            <w:pPr>
              <w:rPr>
                <w:rFonts w:ascii="宋体" w:hAnsi="宋体" w:cs="宋体"/>
                <w:b/>
                <w:bCs/>
                <w:color w:val="auto"/>
                <w:szCs w:val="21"/>
                <w:highlight w:val="none"/>
              </w:rPr>
            </w:pPr>
          </w:p>
        </w:tc>
        <w:tc>
          <w:tcPr>
            <w:tcW w:w="22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537704">
            <w:pPr>
              <w:rPr>
                <w:rFonts w:ascii="宋体" w:hAnsi="宋体" w:cs="宋体"/>
                <w:b/>
                <w:bCs/>
                <w:color w:val="auto"/>
                <w:szCs w:val="21"/>
                <w:highlight w:val="none"/>
              </w:rPr>
            </w:pPr>
          </w:p>
        </w:tc>
        <w:tc>
          <w:tcPr>
            <w:tcW w:w="1111" w:type="dxa"/>
            <w:tcBorders>
              <w:top w:val="single" w:color="auto" w:sz="4" w:space="0"/>
              <w:left w:val="single" w:color="auto" w:sz="4" w:space="0"/>
              <w:bottom w:val="single" w:color="auto" w:sz="4" w:space="0"/>
              <w:right w:val="single" w:color="auto" w:sz="4" w:space="0"/>
            </w:tcBorders>
            <w:shd w:val="clear" w:color="auto" w:fill="auto"/>
            <w:vAlign w:val="center"/>
          </w:tcPr>
          <w:p w14:paraId="5D61FAC2">
            <w:pPr>
              <w:jc w:val="center"/>
              <w:rPr>
                <w:rFonts w:ascii="宋体" w:hAnsi="宋体" w:cs="宋体"/>
                <w:b/>
                <w:bCs/>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63D2623A">
            <w:pPr>
              <w:jc w:val="center"/>
              <w:rPr>
                <w:rFonts w:ascii="宋体" w:hAnsi="宋体" w:cs="宋体"/>
                <w:b/>
                <w:bCs/>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047B04AA">
            <w:pPr>
              <w:jc w:val="center"/>
              <w:rPr>
                <w:rFonts w:ascii="宋体" w:hAnsi="宋体" w:cs="宋体"/>
                <w:b/>
                <w:bCs/>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3C02AD92">
            <w:pPr>
              <w:jc w:val="center"/>
              <w:rPr>
                <w:rFonts w:ascii="宋体" w:hAnsi="宋体" w:cs="宋体"/>
                <w:b/>
                <w:bCs/>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1818F18A">
            <w:pPr>
              <w:jc w:val="center"/>
              <w:rPr>
                <w:rFonts w:ascii="宋体" w:hAnsi="宋体" w:cs="宋体"/>
                <w:b/>
                <w:bCs/>
                <w:color w:val="auto"/>
                <w:szCs w:val="21"/>
                <w:highlight w:val="none"/>
              </w:rPr>
            </w:pPr>
          </w:p>
        </w:tc>
        <w:tc>
          <w:tcPr>
            <w:tcW w:w="1111" w:type="dxa"/>
            <w:tcBorders>
              <w:top w:val="single" w:color="auto" w:sz="4" w:space="0"/>
              <w:left w:val="single" w:color="auto" w:sz="4" w:space="0"/>
              <w:bottom w:val="single" w:color="auto" w:sz="4" w:space="0"/>
              <w:right w:val="single" w:color="auto" w:sz="4" w:space="0"/>
            </w:tcBorders>
            <w:shd w:val="clear" w:color="auto" w:fill="auto"/>
            <w:vAlign w:val="center"/>
          </w:tcPr>
          <w:p w14:paraId="239EA38B">
            <w:pPr>
              <w:jc w:val="center"/>
              <w:rPr>
                <w:rFonts w:ascii="宋体" w:hAnsi="宋体" w:cs="宋体"/>
                <w:b/>
                <w:bCs/>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207FE393">
            <w:pPr>
              <w:jc w:val="center"/>
              <w:rPr>
                <w:rFonts w:ascii="宋体" w:hAnsi="宋体" w:cs="宋体"/>
                <w:b/>
                <w:bCs/>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12DE01D7">
            <w:pPr>
              <w:jc w:val="center"/>
              <w:rPr>
                <w:rFonts w:ascii="宋体" w:hAnsi="宋体" w:cs="宋体"/>
                <w:b/>
                <w:bCs/>
                <w:color w:val="auto"/>
                <w:szCs w:val="21"/>
                <w:highlight w:val="none"/>
              </w:rPr>
            </w:pP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49AACA38">
            <w:pPr>
              <w:jc w:val="center"/>
              <w:rPr>
                <w:rFonts w:ascii="宋体" w:hAnsi="宋体" w:cs="宋体"/>
                <w:b/>
                <w:bCs/>
                <w:color w:val="auto"/>
                <w:szCs w:val="21"/>
                <w:highlight w:val="none"/>
              </w:rPr>
            </w:pPr>
          </w:p>
        </w:tc>
        <w:tc>
          <w:tcPr>
            <w:tcW w:w="12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9B7829">
            <w:pPr>
              <w:rPr>
                <w:rFonts w:ascii="宋体" w:hAnsi="宋体" w:cs="宋体"/>
                <w:b/>
                <w:bCs/>
                <w:color w:val="auto"/>
                <w:szCs w:val="21"/>
                <w:highlight w:val="none"/>
              </w:rPr>
            </w:pPr>
          </w:p>
        </w:tc>
      </w:tr>
      <w:tr w14:paraId="7A35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6A3C62">
            <w:pPr>
              <w:rPr>
                <w:rFonts w:ascii="宋体" w:hAnsi="宋体" w:cs="宋体"/>
                <w:b/>
                <w:bCs/>
                <w:color w:val="auto"/>
                <w:szCs w:val="21"/>
                <w:highlight w:val="none"/>
              </w:rPr>
            </w:pPr>
          </w:p>
        </w:tc>
        <w:tc>
          <w:tcPr>
            <w:tcW w:w="22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C8A4F4">
            <w:pPr>
              <w:rPr>
                <w:rFonts w:ascii="宋体" w:hAnsi="宋体" w:cs="宋体"/>
                <w:b/>
                <w:bCs/>
                <w:color w:val="auto"/>
                <w:szCs w:val="21"/>
                <w:highlight w:val="none"/>
              </w:rPr>
            </w:pPr>
          </w:p>
        </w:tc>
        <w:tc>
          <w:tcPr>
            <w:tcW w:w="1111" w:type="dxa"/>
            <w:tcBorders>
              <w:top w:val="single" w:color="auto" w:sz="4" w:space="0"/>
              <w:left w:val="single" w:color="auto" w:sz="4" w:space="0"/>
              <w:bottom w:val="single" w:color="auto" w:sz="4" w:space="0"/>
              <w:right w:val="single" w:color="auto" w:sz="4" w:space="0"/>
            </w:tcBorders>
            <w:shd w:val="clear" w:color="auto" w:fill="auto"/>
            <w:vAlign w:val="center"/>
          </w:tcPr>
          <w:p w14:paraId="0B7CD2C8">
            <w:pPr>
              <w:jc w:val="center"/>
              <w:rPr>
                <w:rFonts w:ascii="宋体" w:hAnsi="宋体" w:cs="宋体"/>
                <w:b/>
                <w:bCs/>
                <w:color w:val="auto"/>
                <w:szCs w:val="21"/>
                <w:highlight w:val="none"/>
              </w:rPr>
            </w:pPr>
            <w:r>
              <w:rPr>
                <w:rFonts w:hint="eastAsia" w:ascii="宋体" w:hAnsi="宋体" w:cs="宋体"/>
                <w:b/>
                <w:bCs/>
                <w:color w:val="auto"/>
                <w:szCs w:val="21"/>
                <w:highlight w:val="none"/>
              </w:rPr>
              <w:t>得分</w:t>
            </w: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06DB4076">
            <w:pPr>
              <w:jc w:val="center"/>
              <w:rPr>
                <w:rFonts w:ascii="宋体" w:hAnsi="宋体" w:cs="宋体"/>
                <w:b/>
                <w:bCs/>
                <w:color w:val="auto"/>
                <w:szCs w:val="21"/>
                <w:highlight w:val="none"/>
              </w:rPr>
            </w:pPr>
            <w:r>
              <w:rPr>
                <w:rFonts w:hint="eastAsia" w:ascii="宋体" w:hAnsi="宋体" w:cs="宋体"/>
                <w:b/>
                <w:bCs/>
                <w:color w:val="auto"/>
                <w:szCs w:val="21"/>
                <w:highlight w:val="none"/>
              </w:rPr>
              <w:t>得分</w:t>
            </w: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1FE82ECA">
            <w:pPr>
              <w:jc w:val="center"/>
              <w:rPr>
                <w:rFonts w:ascii="宋体" w:hAnsi="宋体" w:cs="宋体"/>
                <w:b/>
                <w:bCs/>
                <w:color w:val="auto"/>
                <w:szCs w:val="21"/>
                <w:highlight w:val="none"/>
              </w:rPr>
            </w:pPr>
            <w:r>
              <w:rPr>
                <w:rFonts w:hint="eastAsia" w:ascii="宋体" w:hAnsi="宋体" w:cs="宋体"/>
                <w:b/>
                <w:bCs/>
                <w:color w:val="auto"/>
                <w:szCs w:val="21"/>
                <w:highlight w:val="none"/>
              </w:rPr>
              <w:t>得分</w:t>
            </w: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5AC4F7C4">
            <w:pPr>
              <w:jc w:val="center"/>
              <w:rPr>
                <w:rFonts w:ascii="宋体" w:hAnsi="宋体" w:cs="宋体"/>
                <w:b/>
                <w:bCs/>
                <w:color w:val="auto"/>
                <w:szCs w:val="21"/>
                <w:highlight w:val="none"/>
              </w:rPr>
            </w:pPr>
            <w:r>
              <w:rPr>
                <w:rFonts w:hint="eastAsia" w:ascii="宋体" w:hAnsi="宋体" w:cs="宋体"/>
                <w:b/>
                <w:bCs/>
                <w:color w:val="auto"/>
                <w:szCs w:val="21"/>
                <w:highlight w:val="none"/>
              </w:rPr>
              <w:t>得分</w:t>
            </w: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1D5D2F91">
            <w:pPr>
              <w:jc w:val="center"/>
              <w:rPr>
                <w:rFonts w:ascii="宋体" w:hAnsi="宋体" w:cs="宋体"/>
                <w:b/>
                <w:bCs/>
                <w:color w:val="auto"/>
                <w:szCs w:val="21"/>
                <w:highlight w:val="none"/>
              </w:rPr>
            </w:pPr>
            <w:r>
              <w:rPr>
                <w:rFonts w:hint="eastAsia" w:ascii="宋体" w:hAnsi="宋体" w:cs="宋体"/>
                <w:b/>
                <w:bCs/>
                <w:color w:val="auto"/>
                <w:szCs w:val="21"/>
                <w:highlight w:val="none"/>
              </w:rPr>
              <w:t>得分</w:t>
            </w:r>
          </w:p>
        </w:tc>
        <w:tc>
          <w:tcPr>
            <w:tcW w:w="1111" w:type="dxa"/>
            <w:tcBorders>
              <w:top w:val="single" w:color="auto" w:sz="4" w:space="0"/>
              <w:left w:val="single" w:color="auto" w:sz="4" w:space="0"/>
              <w:bottom w:val="single" w:color="auto" w:sz="4" w:space="0"/>
              <w:right w:val="single" w:color="auto" w:sz="4" w:space="0"/>
            </w:tcBorders>
            <w:shd w:val="clear" w:color="auto" w:fill="auto"/>
            <w:vAlign w:val="center"/>
          </w:tcPr>
          <w:p w14:paraId="29F1577A">
            <w:pPr>
              <w:jc w:val="center"/>
              <w:rPr>
                <w:rFonts w:ascii="宋体" w:hAnsi="宋体" w:cs="宋体"/>
                <w:b/>
                <w:bCs/>
                <w:color w:val="auto"/>
                <w:szCs w:val="21"/>
                <w:highlight w:val="none"/>
              </w:rPr>
            </w:pPr>
            <w:r>
              <w:rPr>
                <w:rFonts w:hint="eastAsia" w:ascii="宋体" w:hAnsi="宋体" w:cs="宋体"/>
                <w:b/>
                <w:bCs/>
                <w:color w:val="auto"/>
                <w:szCs w:val="21"/>
                <w:highlight w:val="none"/>
              </w:rPr>
              <w:t>得分</w:t>
            </w: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0BB38737">
            <w:pPr>
              <w:jc w:val="center"/>
              <w:rPr>
                <w:rFonts w:ascii="宋体" w:hAnsi="宋体" w:cs="宋体"/>
                <w:b/>
                <w:bCs/>
                <w:color w:val="auto"/>
                <w:szCs w:val="21"/>
                <w:highlight w:val="none"/>
              </w:rPr>
            </w:pPr>
            <w:r>
              <w:rPr>
                <w:rFonts w:hint="eastAsia" w:ascii="宋体" w:hAnsi="宋体" w:cs="宋体"/>
                <w:b/>
                <w:bCs/>
                <w:color w:val="auto"/>
                <w:szCs w:val="21"/>
                <w:highlight w:val="none"/>
              </w:rPr>
              <w:t>得分</w:t>
            </w: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3AAAE094">
            <w:pPr>
              <w:jc w:val="center"/>
              <w:rPr>
                <w:rFonts w:ascii="宋体" w:hAnsi="宋体" w:cs="宋体"/>
                <w:b/>
                <w:bCs/>
                <w:color w:val="auto"/>
                <w:szCs w:val="21"/>
                <w:highlight w:val="none"/>
              </w:rPr>
            </w:pPr>
            <w:r>
              <w:rPr>
                <w:rFonts w:hint="eastAsia" w:ascii="宋体" w:hAnsi="宋体" w:cs="宋体"/>
                <w:b/>
                <w:bCs/>
                <w:color w:val="auto"/>
                <w:szCs w:val="21"/>
                <w:highlight w:val="none"/>
              </w:rPr>
              <w:t>得分</w:t>
            </w: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02A07713">
            <w:pPr>
              <w:jc w:val="center"/>
              <w:rPr>
                <w:rFonts w:ascii="宋体" w:hAnsi="宋体" w:cs="宋体"/>
                <w:b/>
                <w:bCs/>
                <w:color w:val="auto"/>
                <w:szCs w:val="21"/>
                <w:highlight w:val="none"/>
              </w:rPr>
            </w:pPr>
            <w:r>
              <w:rPr>
                <w:rFonts w:hint="eastAsia" w:ascii="宋体" w:hAnsi="宋体" w:cs="宋体"/>
                <w:b/>
                <w:bCs/>
                <w:color w:val="auto"/>
                <w:szCs w:val="21"/>
                <w:highlight w:val="none"/>
              </w:rPr>
              <w:t>得分</w:t>
            </w:r>
          </w:p>
        </w:tc>
        <w:tc>
          <w:tcPr>
            <w:tcW w:w="12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AC107D">
            <w:pPr>
              <w:rPr>
                <w:rFonts w:ascii="宋体" w:hAnsi="宋体" w:cs="宋体"/>
                <w:b/>
                <w:bCs/>
                <w:color w:val="auto"/>
                <w:szCs w:val="21"/>
                <w:highlight w:val="none"/>
              </w:rPr>
            </w:pPr>
          </w:p>
        </w:tc>
      </w:tr>
      <w:tr w14:paraId="09FF2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2" w:type="dxa"/>
            <w:tcBorders>
              <w:top w:val="single" w:color="auto" w:sz="4" w:space="0"/>
              <w:left w:val="single" w:color="auto" w:sz="4" w:space="0"/>
              <w:bottom w:val="single" w:color="auto" w:sz="4" w:space="0"/>
              <w:right w:val="single" w:color="auto" w:sz="4" w:space="0"/>
            </w:tcBorders>
            <w:shd w:val="clear" w:color="auto" w:fill="auto"/>
            <w:vAlign w:val="center"/>
          </w:tcPr>
          <w:p w14:paraId="58E8F2DD">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2203" w:type="dxa"/>
            <w:tcBorders>
              <w:top w:val="single" w:color="auto" w:sz="4" w:space="0"/>
              <w:left w:val="single" w:color="auto" w:sz="4" w:space="0"/>
              <w:bottom w:val="single" w:color="auto" w:sz="4" w:space="0"/>
              <w:right w:val="single" w:color="auto" w:sz="4" w:space="0"/>
            </w:tcBorders>
            <w:shd w:val="clear" w:color="auto" w:fill="auto"/>
            <w:vAlign w:val="center"/>
          </w:tcPr>
          <w:p w14:paraId="46AEB46B">
            <w:pPr>
              <w:jc w:val="center"/>
              <w:rPr>
                <w:rFonts w:ascii="宋体" w:hAnsi="宋体" w:cs="宋体"/>
                <w:color w:val="auto"/>
                <w:szCs w:val="21"/>
                <w:highlight w:val="none"/>
              </w:rPr>
            </w:pPr>
          </w:p>
        </w:tc>
        <w:tc>
          <w:tcPr>
            <w:tcW w:w="1111" w:type="dxa"/>
            <w:tcBorders>
              <w:top w:val="single" w:color="auto" w:sz="4" w:space="0"/>
              <w:left w:val="single" w:color="auto" w:sz="4" w:space="0"/>
              <w:bottom w:val="single" w:color="auto" w:sz="4" w:space="0"/>
              <w:right w:val="single" w:color="auto" w:sz="4" w:space="0"/>
            </w:tcBorders>
            <w:shd w:val="clear" w:color="auto" w:fill="auto"/>
            <w:vAlign w:val="center"/>
          </w:tcPr>
          <w:p w14:paraId="2A52F8D0">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79D1F8D9">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475E0F0C">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1BC1C677">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14EEF686">
            <w:pPr>
              <w:jc w:val="center"/>
              <w:rPr>
                <w:rFonts w:ascii="宋体" w:hAnsi="宋体" w:cs="宋体"/>
                <w:color w:val="auto"/>
                <w:szCs w:val="21"/>
                <w:highlight w:val="none"/>
              </w:rPr>
            </w:pPr>
          </w:p>
        </w:tc>
        <w:tc>
          <w:tcPr>
            <w:tcW w:w="1111" w:type="dxa"/>
            <w:tcBorders>
              <w:top w:val="single" w:color="auto" w:sz="4" w:space="0"/>
              <w:left w:val="single" w:color="auto" w:sz="4" w:space="0"/>
              <w:bottom w:val="single" w:color="auto" w:sz="4" w:space="0"/>
              <w:right w:val="single" w:color="auto" w:sz="4" w:space="0"/>
            </w:tcBorders>
            <w:shd w:val="clear" w:color="auto" w:fill="auto"/>
            <w:vAlign w:val="center"/>
          </w:tcPr>
          <w:p w14:paraId="65FD18E9">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2275E46B">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tcPr>
          <w:p w14:paraId="05C41793">
            <w:pPr>
              <w:jc w:val="center"/>
              <w:rPr>
                <w:rFonts w:ascii="宋体" w:hAnsi="宋体" w:cs="宋体"/>
                <w:color w:val="auto"/>
                <w:szCs w:val="21"/>
                <w:highlight w:val="none"/>
              </w:rPr>
            </w:pP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259E6B21">
            <w:pPr>
              <w:jc w:val="center"/>
              <w:rPr>
                <w:rFonts w:ascii="宋体" w:hAnsi="宋体" w:cs="宋体"/>
                <w:color w:val="auto"/>
                <w:szCs w:val="21"/>
                <w:highlight w:val="none"/>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5B762567">
            <w:pPr>
              <w:jc w:val="center"/>
              <w:rPr>
                <w:rFonts w:ascii="宋体" w:hAnsi="宋体" w:cs="宋体"/>
                <w:color w:val="auto"/>
                <w:szCs w:val="21"/>
                <w:highlight w:val="none"/>
              </w:rPr>
            </w:pPr>
          </w:p>
        </w:tc>
      </w:tr>
      <w:tr w14:paraId="383C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2" w:type="dxa"/>
            <w:tcBorders>
              <w:top w:val="single" w:color="auto" w:sz="4" w:space="0"/>
              <w:left w:val="single" w:color="auto" w:sz="4" w:space="0"/>
              <w:bottom w:val="single" w:color="auto" w:sz="4" w:space="0"/>
              <w:right w:val="single" w:color="auto" w:sz="4" w:space="0"/>
            </w:tcBorders>
            <w:shd w:val="clear" w:color="auto" w:fill="auto"/>
            <w:vAlign w:val="center"/>
          </w:tcPr>
          <w:p w14:paraId="72B066D6">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2203" w:type="dxa"/>
            <w:tcBorders>
              <w:top w:val="single" w:color="auto" w:sz="4" w:space="0"/>
              <w:left w:val="single" w:color="auto" w:sz="4" w:space="0"/>
              <w:bottom w:val="single" w:color="auto" w:sz="4" w:space="0"/>
              <w:right w:val="single" w:color="auto" w:sz="4" w:space="0"/>
            </w:tcBorders>
            <w:shd w:val="clear" w:color="auto" w:fill="auto"/>
            <w:vAlign w:val="center"/>
          </w:tcPr>
          <w:p w14:paraId="668E536D">
            <w:pPr>
              <w:jc w:val="center"/>
              <w:rPr>
                <w:rFonts w:ascii="宋体" w:hAnsi="宋体" w:cs="宋体"/>
                <w:color w:val="auto"/>
                <w:szCs w:val="21"/>
                <w:highlight w:val="none"/>
              </w:rPr>
            </w:pPr>
          </w:p>
        </w:tc>
        <w:tc>
          <w:tcPr>
            <w:tcW w:w="1111" w:type="dxa"/>
            <w:tcBorders>
              <w:top w:val="single" w:color="auto" w:sz="4" w:space="0"/>
              <w:left w:val="single" w:color="auto" w:sz="4" w:space="0"/>
              <w:bottom w:val="single" w:color="auto" w:sz="4" w:space="0"/>
              <w:right w:val="single" w:color="auto" w:sz="4" w:space="0"/>
            </w:tcBorders>
            <w:shd w:val="clear" w:color="auto" w:fill="auto"/>
            <w:vAlign w:val="center"/>
          </w:tcPr>
          <w:p w14:paraId="05B4B981">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4CEC3DD7">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5350E358">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12285E49">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016E5DF7">
            <w:pPr>
              <w:jc w:val="center"/>
              <w:rPr>
                <w:rFonts w:ascii="宋体" w:hAnsi="宋体" w:cs="宋体"/>
                <w:color w:val="auto"/>
                <w:szCs w:val="21"/>
                <w:highlight w:val="none"/>
              </w:rPr>
            </w:pPr>
          </w:p>
        </w:tc>
        <w:tc>
          <w:tcPr>
            <w:tcW w:w="1111" w:type="dxa"/>
            <w:tcBorders>
              <w:top w:val="single" w:color="auto" w:sz="4" w:space="0"/>
              <w:left w:val="single" w:color="auto" w:sz="4" w:space="0"/>
              <w:bottom w:val="single" w:color="auto" w:sz="4" w:space="0"/>
              <w:right w:val="single" w:color="auto" w:sz="4" w:space="0"/>
            </w:tcBorders>
            <w:shd w:val="clear" w:color="auto" w:fill="auto"/>
            <w:vAlign w:val="center"/>
          </w:tcPr>
          <w:p w14:paraId="08C57E9D">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024A1450">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tcPr>
          <w:p w14:paraId="33C88228">
            <w:pPr>
              <w:jc w:val="center"/>
              <w:rPr>
                <w:rFonts w:ascii="宋体" w:hAnsi="宋体" w:cs="宋体"/>
                <w:color w:val="auto"/>
                <w:szCs w:val="21"/>
                <w:highlight w:val="none"/>
              </w:rPr>
            </w:pP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492CD217">
            <w:pPr>
              <w:jc w:val="center"/>
              <w:rPr>
                <w:rFonts w:ascii="宋体" w:hAnsi="宋体" w:cs="宋体"/>
                <w:color w:val="auto"/>
                <w:szCs w:val="21"/>
                <w:highlight w:val="none"/>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726A1863">
            <w:pPr>
              <w:jc w:val="center"/>
              <w:rPr>
                <w:rFonts w:ascii="宋体" w:hAnsi="宋体" w:cs="宋体"/>
                <w:color w:val="auto"/>
                <w:szCs w:val="21"/>
                <w:highlight w:val="none"/>
              </w:rPr>
            </w:pPr>
          </w:p>
        </w:tc>
      </w:tr>
      <w:tr w14:paraId="14E2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2" w:type="dxa"/>
            <w:tcBorders>
              <w:top w:val="single" w:color="auto" w:sz="4" w:space="0"/>
              <w:left w:val="single" w:color="auto" w:sz="4" w:space="0"/>
              <w:bottom w:val="single" w:color="auto" w:sz="4" w:space="0"/>
              <w:right w:val="single" w:color="auto" w:sz="4" w:space="0"/>
            </w:tcBorders>
            <w:shd w:val="clear" w:color="auto" w:fill="auto"/>
            <w:vAlign w:val="center"/>
          </w:tcPr>
          <w:p w14:paraId="1686111B">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2203" w:type="dxa"/>
            <w:tcBorders>
              <w:top w:val="single" w:color="auto" w:sz="4" w:space="0"/>
              <w:left w:val="single" w:color="auto" w:sz="4" w:space="0"/>
              <w:bottom w:val="single" w:color="auto" w:sz="4" w:space="0"/>
              <w:right w:val="single" w:color="auto" w:sz="4" w:space="0"/>
            </w:tcBorders>
            <w:shd w:val="clear" w:color="auto" w:fill="auto"/>
            <w:vAlign w:val="center"/>
          </w:tcPr>
          <w:p w14:paraId="7B154370">
            <w:pPr>
              <w:jc w:val="center"/>
              <w:rPr>
                <w:rFonts w:ascii="宋体" w:hAnsi="宋体" w:cs="宋体"/>
                <w:color w:val="auto"/>
                <w:szCs w:val="21"/>
                <w:highlight w:val="none"/>
              </w:rPr>
            </w:pPr>
          </w:p>
        </w:tc>
        <w:tc>
          <w:tcPr>
            <w:tcW w:w="1111" w:type="dxa"/>
            <w:tcBorders>
              <w:top w:val="single" w:color="auto" w:sz="4" w:space="0"/>
              <w:left w:val="single" w:color="auto" w:sz="4" w:space="0"/>
              <w:bottom w:val="single" w:color="auto" w:sz="4" w:space="0"/>
              <w:right w:val="single" w:color="auto" w:sz="4" w:space="0"/>
            </w:tcBorders>
            <w:shd w:val="clear" w:color="auto" w:fill="auto"/>
            <w:vAlign w:val="center"/>
          </w:tcPr>
          <w:p w14:paraId="159C213E">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706FC010">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146BAC23">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411641B2">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68628624">
            <w:pPr>
              <w:jc w:val="center"/>
              <w:rPr>
                <w:rFonts w:ascii="宋体" w:hAnsi="宋体" w:cs="宋体"/>
                <w:color w:val="auto"/>
                <w:szCs w:val="21"/>
                <w:highlight w:val="none"/>
              </w:rPr>
            </w:pPr>
          </w:p>
        </w:tc>
        <w:tc>
          <w:tcPr>
            <w:tcW w:w="1111" w:type="dxa"/>
            <w:tcBorders>
              <w:top w:val="single" w:color="auto" w:sz="4" w:space="0"/>
              <w:left w:val="single" w:color="auto" w:sz="4" w:space="0"/>
              <w:bottom w:val="single" w:color="auto" w:sz="4" w:space="0"/>
              <w:right w:val="single" w:color="auto" w:sz="4" w:space="0"/>
            </w:tcBorders>
            <w:shd w:val="clear" w:color="auto" w:fill="auto"/>
            <w:vAlign w:val="center"/>
          </w:tcPr>
          <w:p w14:paraId="0C06F59E">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5C450736">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tcPr>
          <w:p w14:paraId="07971248">
            <w:pPr>
              <w:jc w:val="center"/>
              <w:rPr>
                <w:rFonts w:ascii="宋体" w:hAnsi="宋体" w:cs="宋体"/>
                <w:color w:val="auto"/>
                <w:szCs w:val="21"/>
                <w:highlight w:val="none"/>
              </w:rPr>
            </w:pP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73AC1C84">
            <w:pPr>
              <w:jc w:val="center"/>
              <w:rPr>
                <w:rFonts w:ascii="宋体" w:hAnsi="宋体" w:cs="宋体"/>
                <w:color w:val="auto"/>
                <w:szCs w:val="21"/>
                <w:highlight w:val="none"/>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2470A6D4">
            <w:pPr>
              <w:jc w:val="center"/>
              <w:rPr>
                <w:rFonts w:ascii="宋体" w:hAnsi="宋体" w:cs="宋体"/>
                <w:color w:val="auto"/>
                <w:szCs w:val="21"/>
                <w:highlight w:val="none"/>
              </w:rPr>
            </w:pPr>
          </w:p>
        </w:tc>
      </w:tr>
      <w:tr w14:paraId="71A6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2" w:type="dxa"/>
            <w:tcBorders>
              <w:top w:val="single" w:color="auto" w:sz="4" w:space="0"/>
              <w:left w:val="single" w:color="auto" w:sz="4" w:space="0"/>
              <w:bottom w:val="single" w:color="auto" w:sz="4" w:space="0"/>
              <w:right w:val="single" w:color="auto" w:sz="4" w:space="0"/>
            </w:tcBorders>
            <w:shd w:val="clear" w:color="auto" w:fill="auto"/>
            <w:vAlign w:val="center"/>
          </w:tcPr>
          <w:p w14:paraId="3C5E030C">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2203" w:type="dxa"/>
            <w:tcBorders>
              <w:top w:val="single" w:color="auto" w:sz="4" w:space="0"/>
              <w:left w:val="single" w:color="auto" w:sz="4" w:space="0"/>
              <w:bottom w:val="single" w:color="auto" w:sz="4" w:space="0"/>
              <w:right w:val="single" w:color="auto" w:sz="4" w:space="0"/>
            </w:tcBorders>
            <w:shd w:val="clear" w:color="auto" w:fill="auto"/>
            <w:vAlign w:val="center"/>
          </w:tcPr>
          <w:p w14:paraId="24EDEE73">
            <w:pPr>
              <w:jc w:val="center"/>
              <w:rPr>
                <w:rFonts w:ascii="宋体" w:hAnsi="宋体" w:cs="宋体"/>
                <w:color w:val="auto"/>
                <w:szCs w:val="21"/>
                <w:highlight w:val="none"/>
              </w:rPr>
            </w:pPr>
          </w:p>
        </w:tc>
        <w:tc>
          <w:tcPr>
            <w:tcW w:w="1111" w:type="dxa"/>
            <w:tcBorders>
              <w:top w:val="single" w:color="auto" w:sz="4" w:space="0"/>
              <w:left w:val="single" w:color="auto" w:sz="4" w:space="0"/>
              <w:bottom w:val="single" w:color="auto" w:sz="4" w:space="0"/>
              <w:right w:val="single" w:color="auto" w:sz="4" w:space="0"/>
            </w:tcBorders>
            <w:shd w:val="clear" w:color="auto" w:fill="auto"/>
            <w:vAlign w:val="center"/>
          </w:tcPr>
          <w:p w14:paraId="1AF57008">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005ABB3B">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4FEA3D7A">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2CF27803">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2BB6A35B">
            <w:pPr>
              <w:jc w:val="center"/>
              <w:rPr>
                <w:rFonts w:ascii="宋体" w:hAnsi="宋体" w:cs="宋体"/>
                <w:color w:val="auto"/>
                <w:szCs w:val="21"/>
                <w:highlight w:val="none"/>
              </w:rPr>
            </w:pPr>
          </w:p>
        </w:tc>
        <w:tc>
          <w:tcPr>
            <w:tcW w:w="1111" w:type="dxa"/>
            <w:tcBorders>
              <w:top w:val="single" w:color="auto" w:sz="4" w:space="0"/>
              <w:left w:val="single" w:color="auto" w:sz="4" w:space="0"/>
              <w:bottom w:val="single" w:color="auto" w:sz="4" w:space="0"/>
              <w:right w:val="single" w:color="auto" w:sz="4" w:space="0"/>
            </w:tcBorders>
            <w:shd w:val="clear" w:color="auto" w:fill="auto"/>
            <w:vAlign w:val="center"/>
          </w:tcPr>
          <w:p w14:paraId="18E6FB69">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03A8FCC9">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tcPr>
          <w:p w14:paraId="3C784F52">
            <w:pPr>
              <w:jc w:val="center"/>
              <w:rPr>
                <w:rFonts w:ascii="宋体" w:hAnsi="宋体" w:cs="宋体"/>
                <w:color w:val="auto"/>
                <w:szCs w:val="21"/>
                <w:highlight w:val="none"/>
              </w:rPr>
            </w:pP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7BDFEEDF">
            <w:pPr>
              <w:jc w:val="center"/>
              <w:rPr>
                <w:rFonts w:ascii="宋体" w:hAnsi="宋体" w:cs="宋体"/>
                <w:color w:val="auto"/>
                <w:szCs w:val="21"/>
                <w:highlight w:val="none"/>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539CD08A">
            <w:pPr>
              <w:jc w:val="center"/>
              <w:rPr>
                <w:rFonts w:ascii="宋体" w:hAnsi="宋体" w:cs="宋体"/>
                <w:color w:val="auto"/>
                <w:szCs w:val="21"/>
                <w:highlight w:val="none"/>
              </w:rPr>
            </w:pPr>
          </w:p>
        </w:tc>
      </w:tr>
      <w:tr w14:paraId="670D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2" w:type="dxa"/>
            <w:tcBorders>
              <w:top w:val="single" w:color="auto" w:sz="4" w:space="0"/>
              <w:left w:val="single" w:color="auto" w:sz="4" w:space="0"/>
              <w:bottom w:val="single" w:color="auto" w:sz="4" w:space="0"/>
              <w:right w:val="single" w:color="auto" w:sz="4" w:space="0"/>
            </w:tcBorders>
            <w:shd w:val="clear" w:color="auto" w:fill="auto"/>
            <w:vAlign w:val="center"/>
          </w:tcPr>
          <w:p w14:paraId="3983A05E">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2203" w:type="dxa"/>
            <w:tcBorders>
              <w:top w:val="single" w:color="auto" w:sz="4" w:space="0"/>
              <w:left w:val="single" w:color="auto" w:sz="4" w:space="0"/>
              <w:bottom w:val="single" w:color="auto" w:sz="4" w:space="0"/>
              <w:right w:val="single" w:color="auto" w:sz="4" w:space="0"/>
            </w:tcBorders>
            <w:shd w:val="clear" w:color="auto" w:fill="auto"/>
            <w:vAlign w:val="center"/>
          </w:tcPr>
          <w:p w14:paraId="1D8B10CC">
            <w:pPr>
              <w:jc w:val="center"/>
              <w:rPr>
                <w:rFonts w:ascii="宋体" w:hAnsi="宋体" w:cs="宋体"/>
                <w:color w:val="auto"/>
                <w:szCs w:val="21"/>
                <w:highlight w:val="none"/>
              </w:rPr>
            </w:pPr>
          </w:p>
        </w:tc>
        <w:tc>
          <w:tcPr>
            <w:tcW w:w="1111" w:type="dxa"/>
            <w:tcBorders>
              <w:top w:val="single" w:color="auto" w:sz="4" w:space="0"/>
              <w:left w:val="single" w:color="auto" w:sz="4" w:space="0"/>
              <w:bottom w:val="single" w:color="auto" w:sz="4" w:space="0"/>
              <w:right w:val="single" w:color="auto" w:sz="4" w:space="0"/>
            </w:tcBorders>
            <w:shd w:val="clear" w:color="auto" w:fill="auto"/>
            <w:vAlign w:val="center"/>
          </w:tcPr>
          <w:p w14:paraId="2FDBBAC1">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7736279F">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03B0CECC">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176E3AA0">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5516715E">
            <w:pPr>
              <w:jc w:val="center"/>
              <w:rPr>
                <w:rFonts w:ascii="宋体" w:hAnsi="宋体" w:cs="宋体"/>
                <w:color w:val="auto"/>
                <w:szCs w:val="21"/>
                <w:highlight w:val="none"/>
              </w:rPr>
            </w:pPr>
          </w:p>
        </w:tc>
        <w:tc>
          <w:tcPr>
            <w:tcW w:w="1111" w:type="dxa"/>
            <w:tcBorders>
              <w:top w:val="single" w:color="auto" w:sz="4" w:space="0"/>
              <w:left w:val="single" w:color="auto" w:sz="4" w:space="0"/>
              <w:bottom w:val="single" w:color="auto" w:sz="4" w:space="0"/>
              <w:right w:val="single" w:color="auto" w:sz="4" w:space="0"/>
            </w:tcBorders>
            <w:shd w:val="clear" w:color="auto" w:fill="auto"/>
            <w:vAlign w:val="center"/>
          </w:tcPr>
          <w:p w14:paraId="4686E389">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0A375811">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tcPr>
          <w:p w14:paraId="0D5534D0">
            <w:pPr>
              <w:jc w:val="center"/>
              <w:rPr>
                <w:rFonts w:ascii="宋体" w:hAnsi="宋体" w:cs="宋体"/>
                <w:color w:val="auto"/>
                <w:szCs w:val="21"/>
                <w:highlight w:val="none"/>
              </w:rPr>
            </w:pP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37AE7BB9">
            <w:pPr>
              <w:jc w:val="center"/>
              <w:rPr>
                <w:rFonts w:ascii="宋体" w:hAnsi="宋体" w:cs="宋体"/>
                <w:color w:val="auto"/>
                <w:szCs w:val="21"/>
                <w:highlight w:val="none"/>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1817F30D">
            <w:pPr>
              <w:jc w:val="center"/>
              <w:rPr>
                <w:rFonts w:ascii="宋体" w:hAnsi="宋体" w:cs="宋体"/>
                <w:color w:val="auto"/>
                <w:szCs w:val="21"/>
                <w:highlight w:val="none"/>
              </w:rPr>
            </w:pPr>
          </w:p>
        </w:tc>
      </w:tr>
      <w:tr w14:paraId="571C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2" w:type="dxa"/>
            <w:tcBorders>
              <w:top w:val="single" w:color="auto" w:sz="4" w:space="0"/>
              <w:left w:val="single" w:color="auto" w:sz="4" w:space="0"/>
              <w:bottom w:val="single" w:color="auto" w:sz="4" w:space="0"/>
              <w:right w:val="single" w:color="auto" w:sz="4" w:space="0"/>
            </w:tcBorders>
            <w:shd w:val="clear" w:color="auto" w:fill="auto"/>
            <w:vAlign w:val="center"/>
          </w:tcPr>
          <w:p w14:paraId="4D112A20">
            <w:pPr>
              <w:jc w:val="center"/>
              <w:rPr>
                <w:rFonts w:ascii="宋体" w:hAnsi="宋体" w:cs="宋体"/>
                <w:color w:val="auto"/>
                <w:szCs w:val="21"/>
                <w:highlight w:val="none"/>
              </w:rPr>
            </w:pPr>
            <w:r>
              <w:rPr>
                <w:rFonts w:hint="eastAsia" w:ascii="宋体" w:hAnsi="宋体" w:cs="宋体"/>
                <w:color w:val="auto"/>
                <w:szCs w:val="21"/>
                <w:highlight w:val="none"/>
              </w:rPr>
              <w:t>…</w:t>
            </w:r>
          </w:p>
        </w:tc>
        <w:tc>
          <w:tcPr>
            <w:tcW w:w="2203" w:type="dxa"/>
            <w:tcBorders>
              <w:top w:val="single" w:color="auto" w:sz="4" w:space="0"/>
              <w:left w:val="single" w:color="auto" w:sz="4" w:space="0"/>
              <w:bottom w:val="single" w:color="auto" w:sz="4" w:space="0"/>
              <w:right w:val="single" w:color="auto" w:sz="4" w:space="0"/>
            </w:tcBorders>
            <w:shd w:val="clear" w:color="auto" w:fill="auto"/>
            <w:vAlign w:val="center"/>
          </w:tcPr>
          <w:p w14:paraId="140C51C8">
            <w:pPr>
              <w:jc w:val="center"/>
              <w:rPr>
                <w:rFonts w:ascii="宋体" w:hAnsi="宋体" w:cs="宋体"/>
                <w:color w:val="auto"/>
                <w:szCs w:val="21"/>
                <w:highlight w:val="none"/>
              </w:rPr>
            </w:pPr>
          </w:p>
        </w:tc>
        <w:tc>
          <w:tcPr>
            <w:tcW w:w="1111" w:type="dxa"/>
            <w:tcBorders>
              <w:top w:val="single" w:color="auto" w:sz="4" w:space="0"/>
              <w:left w:val="single" w:color="auto" w:sz="4" w:space="0"/>
              <w:bottom w:val="single" w:color="auto" w:sz="4" w:space="0"/>
              <w:right w:val="single" w:color="auto" w:sz="4" w:space="0"/>
            </w:tcBorders>
            <w:shd w:val="clear" w:color="auto" w:fill="auto"/>
            <w:vAlign w:val="center"/>
          </w:tcPr>
          <w:p w14:paraId="663C9FF5">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72CD9FAD">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63C9462F">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3E50C991">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2772D7FC">
            <w:pPr>
              <w:jc w:val="center"/>
              <w:rPr>
                <w:rFonts w:ascii="宋体" w:hAnsi="宋体" w:cs="宋体"/>
                <w:color w:val="auto"/>
                <w:szCs w:val="21"/>
                <w:highlight w:val="none"/>
              </w:rPr>
            </w:pPr>
          </w:p>
        </w:tc>
        <w:tc>
          <w:tcPr>
            <w:tcW w:w="1111" w:type="dxa"/>
            <w:tcBorders>
              <w:top w:val="single" w:color="auto" w:sz="4" w:space="0"/>
              <w:left w:val="single" w:color="auto" w:sz="4" w:space="0"/>
              <w:bottom w:val="single" w:color="auto" w:sz="4" w:space="0"/>
              <w:right w:val="single" w:color="auto" w:sz="4" w:space="0"/>
            </w:tcBorders>
            <w:shd w:val="clear" w:color="auto" w:fill="auto"/>
            <w:vAlign w:val="center"/>
          </w:tcPr>
          <w:p w14:paraId="68E4B139">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14:paraId="25A4B52A">
            <w:pPr>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shd w:val="clear" w:color="auto" w:fill="auto"/>
          </w:tcPr>
          <w:p w14:paraId="5CADE8D1">
            <w:pPr>
              <w:jc w:val="center"/>
              <w:rPr>
                <w:rFonts w:ascii="宋体" w:hAnsi="宋体" w:cs="宋体"/>
                <w:color w:val="auto"/>
                <w:szCs w:val="21"/>
                <w:highlight w:val="none"/>
              </w:rPr>
            </w:pP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0CE504E6">
            <w:pPr>
              <w:jc w:val="center"/>
              <w:rPr>
                <w:rFonts w:ascii="宋体" w:hAnsi="宋体" w:cs="宋体"/>
                <w:color w:val="auto"/>
                <w:szCs w:val="21"/>
                <w:highlight w:val="none"/>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53C41E28">
            <w:pPr>
              <w:jc w:val="center"/>
              <w:rPr>
                <w:rFonts w:ascii="宋体" w:hAnsi="宋体" w:cs="宋体"/>
                <w:color w:val="auto"/>
                <w:szCs w:val="21"/>
                <w:highlight w:val="none"/>
              </w:rPr>
            </w:pPr>
          </w:p>
        </w:tc>
      </w:tr>
    </w:tbl>
    <w:p w14:paraId="12CAC783">
      <w:pPr>
        <w:rPr>
          <w:color w:val="auto"/>
          <w:highlight w:val="none"/>
        </w:rPr>
      </w:pPr>
    </w:p>
    <w:p w14:paraId="53089828">
      <w:pPr>
        <w:rPr>
          <w:color w:val="auto"/>
          <w:highlight w:val="none"/>
        </w:rPr>
      </w:pPr>
      <w:r>
        <w:rPr>
          <w:rFonts w:hint="eastAsia"/>
          <w:color w:val="auto"/>
          <w:highlight w:val="none"/>
        </w:rPr>
        <w:t>技术标评委签名：</w:t>
      </w:r>
      <w:r>
        <w:rPr>
          <w:rFonts w:hint="eastAsia" w:ascii="宋体" w:hAnsi="宋体"/>
          <w:color w:val="auto"/>
          <w:szCs w:val="44"/>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日期：   　　 年    月　  日</w:t>
      </w:r>
    </w:p>
    <w:p w14:paraId="55F776FF">
      <w:pPr>
        <w:widowControl/>
        <w:jc w:val="left"/>
        <w:rPr>
          <w:rFonts w:ascii="宋体" w:hAnsi="宋体"/>
          <w:color w:val="auto"/>
          <w:szCs w:val="44"/>
          <w:highlight w:val="none"/>
        </w:rPr>
      </w:pPr>
      <w:r>
        <w:rPr>
          <w:rFonts w:ascii="宋体" w:hAnsi="宋体"/>
          <w:color w:val="auto"/>
          <w:szCs w:val="44"/>
          <w:highlight w:val="none"/>
        </w:rPr>
        <w:br w:type="page"/>
      </w:r>
    </w:p>
    <w:p w14:paraId="4D772DCC">
      <w:pPr>
        <w:jc w:val="right"/>
        <w:rPr>
          <w:rFonts w:ascii="宋体" w:hAnsi="宋体"/>
          <w:color w:val="auto"/>
          <w:szCs w:val="44"/>
          <w:highlight w:val="none"/>
        </w:rPr>
      </w:pPr>
    </w:p>
    <w:p w14:paraId="2374227C">
      <w:pPr>
        <w:pStyle w:val="37"/>
        <w:ind w:firstLine="118"/>
        <w:rPr>
          <w:color w:val="auto"/>
          <w:highlight w:val="none"/>
        </w:rPr>
      </w:pPr>
      <w:bookmarkStart w:id="1083" w:name="_Toc148860674"/>
      <w:bookmarkStart w:id="1084" w:name="_Toc3755"/>
      <w:bookmarkStart w:id="1085" w:name="_Toc164716317"/>
      <w:bookmarkStart w:id="1086" w:name="_Toc256000147"/>
      <w:bookmarkStart w:id="1087" w:name="_Toc3765"/>
      <w:r>
        <w:rPr>
          <w:rFonts w:hint="eastAsia"/>
          <w:color w:val="auto"/>
          <w:highlight w:val="none"/>
        </w:rPr>
        <w:t>附表A-1</w:t>
      </w:r>
      <w:r>
        <w:rPr>
          <w:color w:val="auto"/>
          <w:highlight w:val="none"/>
        </w:rPr>
        <w:t>4</w:t>
      </w:r>
      <w:r>
        <w:rPr>
          <w:rFonts w:hint="eastAsia"/>
          <w:color w:val="auto"/>
          <w:highlight w:val="none"/>
        </w:rPr>
        <w:t>：资信业绩评审记录表</w:t>
      </w:r>
      <w:bookmarkEnd w:id="1083"/>
      <w:bookmarkEnd w:id="1084"/>
      <w:bookmarkEnd w:id="1085"/>
      <w:bookmarkEnd w:id="1086"/>
      <w:bookmarkEnd w:id="1087"/>
    </w:p>
    <w:p w14:paraId="7D9AAD76">
      <w:pPr>
        <w:adjustRightInd w:val="0"/>
        <w:snapToGrid w:val="0"/>
        <w:spacing w:before="240" w:beforeLines="100" w:after="240" w:afterLines="100" w:line="440" w:lineRule="exact"/>
        <w:jc w:val="center"/>
        <w:rPr>
          <w:rFonts w:ascii="黑体" w:hAnsi="宋体" w:eastAsia="黑体"/>
          <w:color w:val="auto"/>
          <w:sz w:val="36"/>
          <w:szCs w:val="36"/>
          <w:highlight w:val="none"/>
        </w:rPr>
      </w:pPr>
      <w:bookmarkStart w:id="1088" w:name="_Hlk149219837"/>
      <w:r>
        <w:rPr>
          <w:rFonts w:hint="eastAsia" w:ascii="黑体" w:hAnsi="宋体" w:eastAsia="黑体"/>
          <w:color w:val="auto"/>
          <w:sz w:val="36"/>
          <w:szCs w:val="36"/>
          <w:highlight w:val="none"/>
        </w:rPr>
        <w:t>资信业绩</w:t>
      </w:r>
      <w:bookmarkEnd w:id="1088"/>
      <w:r>
        <w:rPr>
          <w:rFonts w:hint="eastAsia" w:ascii="黑体" w:hAnsi="宋体" w:eastAsia="黑体"/>
          <w:color w:val="auto"/>
          <w:sz w:val="36"/>
          <w:szCs w:val="36"/>
          <w:highlight w:val="none"/>
        </w:rPr>
        <w:t>评审记录表</w:t>
      </w:r>
    </w:p>
    <w:p w14:paraId="362E9B7F">
      <w:pPr>
        <w:rPr>
          <w:rFonts w:ascii="宋体" w:hAnsi="宋体"/>
          <w:color w:val="auto"/>
          <w:szCs w:val="44"/>
          <w:highlight w:val="none"/>
        </w:rPr>
      </w:pPr>
      <w:r>
        <w:rPr>
          <w:rFonts w:hint="eastAsia" w:ascii="宋体" w:hAnsi="宋体"/>
          <w:color w:val="auto"/>
          <w:szCs w:val="44"/>
          <w:highlight w:val="none"/>
        </w:rPr>
        <w:t>标段名称：</w:t>
      </w:r>
    </w:p>
    <w:p w14:paraId="53888A58">
      <w:pPr>
        <w:rPr>
          <w:color w:val="auto"/>
          <w:szCs w:val="44"/>
          <w:highlight w:val="none"/>
        </w:rPr>
      </w:pPr>
      <w:r>
        <w:rPr>
          <w:rFonts w:hint="eastAsia"/>
          <w:color w:val="auto"/>
          <w:szCs w:val="44"/>
          <w:highlight w:val="none"/>
        </w:rPr>
        <w:t>标段唯一标识码：</w:t>
      </w:r>
    </w:p>
    <w:tbl>
      <w:tblPr>
        <w:tblStyle w:val="25"/>
        <w:tblW w:w="14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1804"/>
        <w:gridCol w:w="1351"/>
        <w:gridCol w:w="1352"/>
        <w:gridCol w:w="1352"/>
        <w:gridCol w:w="1351"/>
        <w:gridCol w:w="1352"/>
        <w:gridCol w:w="1352"/>
        <w:gridCol w:w="1359"/>
        <w:gridCol w:w="1967"/>
      </w:tblGrid>
      <w:tr w14:paraId="56C2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89" w:type="dxa"/>
            <w:vMerge w:val="restart"/>
            <w:vAlign w:val="center"/>
          </w:tcPr>
          <w:p w14:paraId="3E13CF2F">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804" w:type="dxa"/>
            <w:vMerge w:val="restart"/>
            <w:vAlign w:val="center"/>
          </w:tcPr>
          <w:p w14:paraId="7D6F84CB">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9469" w:type="dxa"/>
            <w:gridSpan w:val="7"/>
            <w:vAlign w:val="center"/>
          </w:tcPr>
          <w:p w14:paraId="516C1273">
            <w:pPr>
              <w:jc w:val="center"/>
              <w:rPr>
                <w:rFonts w:ascii="宋体" w:hAnsi="宋体"/>
                <w:b/>
                <w:bCs/>
                <w:color w:val="auto"/>
                <w:szCs w:val="44"/>
                <w:highlight w:val="none"/>
              </w:rPr>
            </w:pPr>
            <w:r>
              <w:rPr>
                <w:rFonts w:hint="eastAsia" w:ascii="宋体" w:hAnsi="宋体"/>
                <w:b/>
                <w:bCs/>
                <w:color w:val="auto"/>
                <w:szCs w:val="44"/>
                <w:highlight w:val="none"/>
              </w:rPr>
              <w:t>评委姓名及得分</w:t>
            </w:r>
          </w:p>
        </w:tc>
        <w:tc>
          <w:tcPr>
            <w:tcW w:w="1967" w:type="dxa"/>
            <w:vMerge w:val="restart"/>
            <w:vAlign w:val="center"/>
          </w:tcPr>
          <w:p w14:paraId="081E6F09">
            <w:pPr>
              <w:jc w:val="center"/>
              <w:rPr>
                <w:rFonts w:ascii="宋体" w:hAnsi="宋体"/>
                <w:b/>
                <w:bCs/>
                <w:color w:val="auto"/>
                <w:szCs w:val="44"/>
                <w:highlight w:val="none"/>
              </w:rPr>
            </w:pPr>
            <w:r>
              <w:rPr>
                <w:rFonts w:hint="eastAsia" w:ascii="宋体" w:hAnsi="宋体"/>
                <w:b/>
                <w:bCs/>
                <w:color w:val="auto"/>
                <w:szCs w:val="44"/>
                <w:highlight w:val="none"/>
              </w:rPr>
              <w:t>资信业绩最终得分</w:t>
            </w:r>
          </w:p>
        </w:tc>
      </w:tr>
      <w:tr w14:paraId="25BB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89" w:type="dxa"/>
            <w:vMerge w:val="continue"/>
            <w:vAlign w:val="center"/>
          </w:tcPr>
          <w:p w14:paraId="1D29291B">
            <w:pPr>
              <w:jc w:val="center"/>
              <w:rPr>
                <w:rFonts w:ascii="宋体" w:hAnsi="宋体"/>
                <w:color w:val="auto"/>
                <w:szCs w:val="44"/>
                <w:highlight w:val="none"/>
              </w:rPr>
            </w:pPr>
          </w:p>
        </w:tc>
        <w:tc>
          <w:tcPr>
            <w:tcW w:w="1804" w:type="dxa"/>
            <w:vMerge w:val="continue"/>
          </w:tcPr>
          <w:p w14:paraId="467AA2A7">
            <w:pPr>
              <w:jc w:val="center"/>
              <w:rPr>
                <w:rFonts w:ascii="宋体" w:hAnsi="宋体"/>
                <w:color w:val="auto"/>
                <w:szCs w:val="44"/>
                <w:highlight w:val="none"/>
              </w:rPr>
            </w:pPr>
          </w:p>
        </w:tc>
        <w:tc>
          <w:tcPr>
            <w:tcW w:w="1351" w:type="dxa"/>
            <w:vAlign w:val="center"/>
          </w:tcPr>
          <w:p w14:paraId="6DC76A92">
            <w:pPr>
              <w:jc w:val="center"/>
              <w:rPr>
                <w:rFonts w:ascii="宋体" w:hAnsi="宋体"/>
                <w:b/>
                <w:bCs/>
                <w:color w:val="auto"/>
                <w:szCs w:val="44"/>
                <w:highlight w:val="none"/>
              </w:rPr>
            </w:pPr>
            <w:r>
              <w:rPr>
                <w:rFonts w:hint="eastAsia" w:ascii="宋体" w:hAnsi="宋体"/>
                <w:b/>
                <w:bCs/>
                <w:color w:val="auto"/>
                <w:szCs w:val="44"/>
                <w:highlight w:val="none"/>
              </w:rPr>
              <w:t>评委1</w:t>
            </w:r>
          </w:p>
        </w:tc>
        <w:tc>
          <w:tcPr>
            <w:tcW w:w="1352" w:type="dxa"/>
            <w:vAlign w:val="center"/>
          </w:tcPr>
          <w:p w14:paraId="1D6305F7">
            <w:pPr>
              <w:jc w:val="center"/>
              <w:rPr>
                <w:rFonts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52" w:type="dxa"/>
            <w:vAlign w:val="center"/>
          </w:tcPr>
          <w:p w14:paraId="76A7CBAB">
            <w:pPr>
              <w:jc w:val="center"/>
              <w:rPr>
                <w:rFonts w:ascii="宋体" w:hAnsi="宋体"/>
                <w:b/>
                <w:bCs/>
                <w:color w:val="auto"/>
                <w:szCs w:val="44"/>
                <w:highlight w:val="none"/>
              </w:rPr>
            </w:pPr>
            <w:r>
              <w:rPr>
                <w:rFonts w:hint="eastAsia" w:ascii="宋体" w:hAnsi="宋体"/>
                <w:b/>
                <w:bCs/>
                <w:color w:val="auto"/>
                <w:szCs w:val="44"/>
                <w:highlight w:val="none"/>
              </w:rPr>
              <w:t>…</w:t>
            </w:r>
            <w:r>
              <w:rPr>
                <w:rFonts w:ascii="宋体" w:hAnsi="宋体"/>
                <w:b/>
                <w:bCs/>
                <w:color w:val="auto"/>
                <w:szCs w:val="44"/>
                <w:highlight w:val="none"/>
              </w:rPr>
              <w:t>…</w:t>
            </w:r>
          </w:p>
        </w:tc>
        <w:tc>
          <w:tcPr>
            <w:tcW w:w="1351" w:type="dxa"/>
            <w:vAlign w:val="center"/>
          </w:tcPr>
          <w:p w14:paraId="649A6485">
            <w:pPr>
              <w:jc w:val="center"/>
              <w:rPr>
                <w:rFonts w:ascii="宋体" w:hAnsi="宋体"/>
                <w:b/>
                <w:bCs/>
                <w:color w:val="auto"/>
                <w:szCs w:val="44"/>
                <w:highlight w:val="none"/>
              </w:rPr>
            </w:pPr>
          </w:p>
        </w:tc>
        <w:tc>
          <w:tcPr>
            <w:tcW w:w="1352" w:type="dxa"/>
            <w:vAlign w:val="center"/>
          </w:tcPr>
          <w:p w14:paraId="61B020ED">
            <w:pPr>
              <w:jc w:val="center"/>
              <w:rPr>
                <w:rFonts w:ascii="宋体" w:hAnsi="宋体"/>
                <w:b/>
                <w:bCs/>
                <w:color w:val="auto"/>
                <w:szCs w:val="44"/>
                <w:highlight w:val="none"/>
              </w:rPr>
            </w:pPr>
          </w:p>
        </w:tc>
        <w:tc>
          <w:tcPr>
            <w:tcW w:w="1352" w:type="dxa"/>
            <w:vAlign w:val="center"/>
          </w:tcPr>
          <w:p w14:paraId="368932B1">
            <w:pPr>
              <w:jc w:val="center"/>
              <w:rPr>
                <w:rFonts w:ascii="宋体" w:hAnsi="宋体"/>
                <w:b/>
                <w:bCs/>
                <w:color w:val="auto"/>
                <w:szCs w:val="44"/>
                <w:highlight w:val="none"/>
              </w:rPr>
            </w:pPr>
          </w:p>
        </w:tc>
        <w:tc>
          <w:tcPr>
            <w:tcW w:w="1359" w:type="dxa"/>
            <w:vAlign w:val="center"/>
          </w:tcPr>
          <w:p w14:paraId="5E8E80FF">
            <w:pPr>
              <w:jc w:val="center"/>
              <w:rPr>
                <w:rFonts w:ascii="宋体" w:hAnsi="宋体"/>
                <w:b/>
                <w:bCs/>
                <w:color w:val="auto"/>
                <w:szCs w:val="44"/>
                <w:highlight w:val="none"/>
              </w:rPr>
            </w:pPr>
          </w:p>
        </w:tc>
        <w:tc>
          <w:tcPr>
            <w:tcW w:w="1967" w:type="dxa"/>
            <w:vMerge w:val="continue"/>
            <w:vAlign w:val="center"/>
          </w:tcPr>
          <w:p w14:paraId="38F8FA10">
            <w:pPr>
              <w:jc w:val="center"/>
              <w:rPr>
                <w:rFonts w:ascii="宋体" w:hAnsi="宋体"/>
                <w:color w:val="auto"/>
                <w:szCs w:val="44"/>
                <w:highlight w:val="none"/>
              </w:rPr>
            </w:pPr>
          </w:p>
        </w:tc>
      </w:tr>
      <w:tr w14:paraId="0C49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89" w:type="dxa"/>
            <w:vAlign w:val="center"/>
          </w:tcPr>
          <w:p w14:paraId="3B80E40B">
            <w:pPr>
              <w:jc w:val="center"/>
              <w:rPr>
                <w:rFonts w:ascii="宋体" w:hAnsi="宋体"/>
                <w:color w:val="auto"/>
                <w:szCs w:val="44"/>
                <w:highlight w:val="none"/>
              </w:rPr>
            </w:pPr>
            <w:r>
              <w:rPr>
                <w:rFonts w:hint="eastAsia" w:ascii="宋体" w:hAnsi="宋体"/>
                <w:color w:val="auto"/>
                <w:szCs w:val="44"/>
                <w:highlight w:val="none"/>
              </w:rPr>
              <w:t>1</w:t>
            </w:r>
          </w:p>
        </w:tc>
        <w:tc>
          <w:tcPr>
            <w:tcW w:w="1804" w:type="dxa"/>
            <w:vAlign w:val="center"/>
          </w:tcPr>
          <w:p w14:paraId="133FFD36">
            <w:pPr>
              <w:jc w:val="center"/>
              <w:rPr>
                <w:rFonts w:ascii="宋体" w:hAnsi="宋体"/>
                <w:color w:val="auto"/>
                <w:szCs w:val="21"/>
                <w:highlight w:val="none"/>
              </w:rPr>
            </w:pPr>
          </w:p>
        </w:tc>
        <w:tc>
          <w:tcPr>
            <w:tcW w:w="1351" w:type="dxa"/>
            <w:vAlign w:val="center"/>
          </w:tcPr>
          <w:p w14:paraId="14FE5D43">
            <w:pPr>
              <w:rPr>
                <w:rFonts w:ascii="宋体" w:hAnsi="宋体"/>
                <w:color w:val="auto"/>
                <w:szCs w:val="21"/>
                <w:highlight w:val="none"/>
              </w:rPr>
            </w:pPr>
          </w:p>
        </w:tc>
        <w:tc>
          <w:tcPr>
            <w:tcW w:w="1352" w:type="dxa"/>
            <w:vAlign w:val="center"/>
          </w:tcPr>
          <w:p w14:paraId="643CB623">
            <w:pPr>
              <w:jc w:val="center"/>
              <w:rPr>
                <w:rFonts w:ascii="宋体" w:hAnsi="宋体"/>
                <w:color w:val="auto"/>
                <w:szCs w:val="44"/>
                <w:highlight w:val="none"/>
              </w:rPr>
            </w:pPr>
          </w:p>
        </w:tc>
        <w:tc>
          <w:tcPr>
            <w:tcW w:w="1352" w:type="dxa"/>
            <w:vAlign w:val="center"/>
          </w:tcPr>
          <w:p w14:paraId="63FFD61C">
            <w:pPr>
              <w:jc w:val="center"/>
              <w:rPr>
                <w:rFonts w:ascii="宋体" w:hAnsi="宋体"/>
                <w:color w:val="auto"/>
                <w:szCs w:val="44"/>
                <w:highlight w:val="none"/>
              </w:rPr>
            </w:pPr>
          </w:p>
        </w:tc>
        <w:tc>
          <w:tcPr>
            <w:tcW w:w="1351" w:type="dxa"/>
            <w:vAlign w:val="center"/>
          </w:tcPr>
          <w:p w14:paraId="7C0BA6A3">
            <w:pPr>
              <w:jc w:val="center"/>
              <w:rPr>
                <w:rFonts w:ascii="宋体" w:hAnsi="宋体"/>
                <w:color w:val="auto"/>
                <w:szCs w:val="44"/>
                <w:highlight w:val="none"/>
              </w:rPr>
            </w:pPr>
          </w:p>
        </w:tc>
        <w:tc>
          <w:tcPr>
            <w:tcW w:w="1352" w:type="dxa"/>
            <w:vAlign w:val="center"/>
          </w:tcPr>
          <w:p w14:paraId="47C17494">
            <w:pPr>
              <w:jc w:val="center"/>
              <w:rPr>
                <w:rFonts w:ascii="宋体" w:hAnsi="宋体"/>
                <w:color w:val="auto"/>
                <w:szCs w:val="44"/>
                <w:highlight w:val="none"/>
              </w:rPr>
            </w:pPr>
          </w:p>
        </w:tc>
        <w:tc>
          <w:tcPr>
            <w:tcW w:w="1352" w:type="dxa"/>
            <w:vAlign w:val="center"/>
          </w:tcPr>
          <w:p w14:paraId="6A2FE0FA">
            <w:pPr>
              <w:jc w:val="center"/>
              <w:rPr>
                <w:rFonts w:ascii="宋体" w:hAnsi="宋体"/>
                <w:color w:val="auto"/>
                <w:szCs w:val="44"/>
                <w:highlight w:val="none"/>
              </w:rPr>
            </w:pPr>
          </w:p>
        </w:tc>
        <w:tc>
          <w:tcPr>
            <w:tcW w:w="1359" w:type="dxa"/>
            <w:vAlign w:val="center"/>
          </w:tcPr>
          <w:p w14:paraId="3DB40829">
            <w:pPr>
              <w:jc w:val="center"/>
              <w:rPr>
                <w:rFonts w:ascii="宋体" w:hAnsi="宋体"/>
                <w:color w:val="auto"/>
                <w:szCs w:val="44"/>
                <w:highlight w:val="none"/>
              </w:rPr>
            </w:pPr>
          </w:p>
        </w:tc>
        <w:tc>
          <w:tcPr>
            <w:tcW w:w="1967" w:type="dxa"/>
            <w:vAlign w:val="center"/>
          </w:tcPr>
          <w:p w14:paraId="7DE44996">
            <w:pPr>
              <w:jc w:val="center"/>
              <w:rPr>
                <w:rFonts w:ascii="宋体" w:hAnsi="宋体"/>
                <w:color w:val="auto"/>
                <w:szCs w:val="44"/>
                <w:highlight w:val="none"/>
              </w:rPr>
            </w:pPr>
          </w:p>
        </w:tc>
      </w:tr>
      <w:tr w14:paraId="1CA5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89" w:type="dxa"/>
            <w:vAlign w:val="center"/>
          </w:tcPr>
          <w:p w14:paraId="4306FF95">
            <w:pPr>
              <w:jc w:val="center"/>
              <w:rPr>
                <w:rFonts w:ascii="宋体" w:hAnsi="宋体"/>
                <w:color w:val="auto"/>
                <w:szCs w:val="44"/>
                <w:highlight w:val="none"/>
              </w:rPr>
            </w:pPr>
            <w:r>
              <w:rPr>
                <w:rFonts w:hint="eastAsia" w:ascii="宋体" w:hAnsi="宋体"/>
                <w:color w:val="auto"/>
                <w:szCs w:val="44"/>
                <w:highlight w:val="none"/>
              </w:rPr>
              <w:t>2</w:t>
            </w:r>
          </w:p>
        </w:tc>
        <w:tc>
          <w:tcPr>
            <w:tcW w:w="1804" w:type="dxa"/>
            <w:vAlign w:val="center"/>
          </w:tcPr>
          <w:p w14:paraId="0B8A48BF">
            <w:pPr>
              <w:jc w:val="center"/>
              <w:rPr>
                <w:rFonts w:ascii="宋体" w:hAnsi="宋体"/>
                <w:color w:val="auto"/>
                <w:szCs w:val="44"/>
                <w:highlight w:val="none"/>
              </w:rPr>
            </w:pPr>
          </w:p>
        </w:tc>
        <w:tc>
          <w:tcPr>
            <w:tcW w:w="1351" w:type="dxa"/>
            <w:vAlign w:val="center"/>
          </w:tcPr>
          <w:p w14:paraId="7E374E4E">
            <w:pPr>
              <w:jc w:val="center"/>
              <w:rPr>
                <w:color w:val="auto"/>
                <w:highlight w:val="none"/>
              </w:rPr>
            </w:pPr>
          </w:p>
        </w:tc>
        <w:tc>
          <w:tcPr>
            <w:tcW w:w="1352" w:type="dxa"/>
            <w:vAlign w:val="center"/>
          </w:tcPr>
          <w:p w14:paraId="2C0CE0A9">
            <w:pPr>
              <w:jc w:val="center"/>
              <w:rPr>
                <w:rFonts w:ascii="宋体" w:hAnsi="宋体"/>
                <w:color w:val="auto"/>
                <w:szCs w:val="44"/>
                <w:highlight w:val="none"/>
              </w:rPr>
            </w:pPr>
          </w:p>
        </w:tc>
        <w:tc>
          <w:tcPr>
            <w:tcW w:w="1352" w:type="dxa"/>
            <w:vAlign w:val="center"/>
          </w:tcPr>
          <w:p w14:paraId="61A57162">
            <w:pPr>
              <w:jc w:val="center"/>
              <w:rPr>
                <w:rFonts w:ascii="宋体" w:hAnsi="宋体"/>
                <w:color w:val="auto"/>
                <w:szCs w:val="44"/>
                <w:highlight w:val="none"/>
              </w:rPr>
            </w:pPr>
          </w:p>
        </w:tc>
        <w:tc>
          <w:tcPr>
            <w:tcW w:w="1351" w:type="dxa"/>
            <w:vAlign w:val="center"/>
          </w:tcPr>
          <w:p w14:paraId="5E83CBDD">
            <w:pPr>
              <w:jc w:val="center"/>
              <w:rPr>
                <w:rFonts w:ascii="宋体" w:hAnsi="宋体"/>
                <w:color w:val="auto"/>
                <w:szCs w:val="44"/>
                <w:highlight w:val="none"/>
              </w:rPr>
            </w:pPr>
          </w:p>
        </w:tc>
        <w:tc>
          <w:tcPr>
            <w:tcW w:w="1352" w:type="dxa"/>
            <w:vAlign w:val="center"/>
          </w:tcPr>
          <w:p w14:paraId="2CA03B7E">
            <w:pPr>
              <w:jc w:val="center"/>
              <w:rPr>
                <w:rFonts w:ascii="宋体" w:hAnsi="宋体"/>
                <w:color w:val="auto"/>
                <w:szCs w:val="44"/>
                <w:highlight w:val="none"/>
              </w:rPr>
            </w:pPr>
          </w:p>
        </w:tc>
        <w:tc>
          <w:tcPr>
            <w:tcW w:w="1352" w:type="dxa"/>
            <w:vAlign w:val="center"/>
          </w:tcPr>
          <w:p w14:paraId="6D7C3F4D">
            <w:pPr>
              <w:jc w:val="center"/>
              <w:rPr>
                <w:rFonts w:ascii="宋体" w:hAnsi="宋体"/>
                <w:color w:val="auto"/>
                <w:szCs w:val="44"/>
                <w:highlight w:val="none"/>
              </w:rPr>
            </w:pPr>
          </w:p>
        </w:tc>
        <w:tc>
          <w:tcPr>
            <w:tcW w:w="1359" w:type="dxa"/>
            <w:vAlign w:val="center"/>
          </w:tcPr>
          <w:p w14:paraId="1A69BECF">
            <w:pPr>
              <w:jc w:val="center"/>
              <w:rPr>
                <w:rFonts w:ascii="宋体" w:hAnsi="宋体"/>
                <w:color w:val="auto"/>
                <w:szCs w:val="44"/>
                <w:highlight w:val="none"/>
              </w:rPr>
            </w:pPr>
          </w:p>
        </w:tc>
        <w:tc>
          <w:tcPr>
            <w:tcW w:w="1967" w:type="dxa"/>
            <w:vAlign w:val="center"/>
          </w:tcPr>
          <w:p w14:paraId="75E7E827">
            <w:pPr>
              <w:jc w:val="center"/>
              <w:rPr>
                <w:rFonts w:ascii="宋体" w:hAnsi="宋体"/>
                <w:color w:val="auto"/>
                <w:szCs w:val="44"/>
                <w:highlight w:val="none"/>
              </w:rPr>
            </w:pPr>
          </w:p>
        </w:tc>
      </w:tr>
      <w:tr w14:paraId="0D5A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89" w:type="dxa"/>
            <w:vAlign w:val="center"/>
          </w:tcPr>
          <w:p w14:paraId="1DB83195">
            <w:pPr>
              <w:jc w:val="center"/>
              <w:rPr>
                <w:rFonts w:ascii="宋体" w:hAnsi="宋体"/>
                <w:color w:val="auto"/>
                <w:szCs w:val="44"/>
                <w:highlight w:val="none"/>
              </w:rPr>
            </w:pPr>
            <w:r>
              <w:rPr>
                <w:rFonts w:hint="eastAsia" w:ascii="宋体" w:hAnsi="宋体"/>
                <w:color w:val="auto"/>
                <w:szCs w:val="44"/>
                <w:highlight w:val="none"/>
              </w:rPr>
              <w:t>3</w:t>
            </w:r>
          </w:p>
        </w:tc>
        <w:tc>
          <w:tcPr>
            <w:tcW w:w="1804" w:type="dxa"/>
            <w:vAlign w:val="center"/>
          </w:tcPr>
          <w:p w14:paraId="4A1F55E6">
            <w:pPr>
              <w:jc w:val="center"/>
              <w:rPr>
                <w:rFonts w:ascii="宋体" w:hAnsi="宋体"/>
                <w:color w:val="auto"/>
                <w:szCs w:val="44"/>
                <w:highlight w:val="none"/>
              </w:rPr>
            </w:pPr>
          </w:p>
        </w:tc>
        <w:tc>
          <w:tcPr>
            <w:tcW w:w="1351" w:type="dxa"/>
            <w:vAlign w:val="center"/>
          </w:tcPr>
          <w:p w14:paraId="65DB0919">
            <w:pPr>
              <w:jc w:val="center"/>
              <w:rPr>
                <w:color w:val="auto"/>
                <w:highlight w:val="none"/>
              </w:rPr>
            </w:pPr>
          </w:p>
        </w:tc>
        <w:tc>
          <w:tcPr>
            <w:tcW w:w="1352" w:type="dxa"/>
            <w:vAlign w:val="center"/>
          </w:tcPr>
          <w:p w14:paraId="1BA3A09B">
            <w:pPr>
              <w:jc w:val="center"/>
              <w:rPr>
                <w:rFonts w:ascii="宋体" w:hAnsi="宋体"/>
                <w:color w:val="auto"/>
                <w:szCs w:val="44"/>
                <w:highlight w:val="none"/>
              </w:rPr>
            </w:pPr>
          </w:p>
        </w:tc>
        <w:tc>
          <w:tcPr>
            <w:tcW w:w="1352" w:type="dxa"/>
            <w:vAlign w:val="center"/>
          </w:tcPr>
          <w:p w14:paraId="56757BA5">
            <w:pPr>
              <w:jc w:val="center"/>
              <w:rPr>
                <w:rFonts w:ascii="宋体" w:hAnsi="宋体"/>
                <w:color w:val="auto"/>
                <w:szCs w:val="44"/>
                <w:highlight w:val="none"/>
              </w:rPr>
            </w:pPr>
          </w:p>
        </w:tc>
        <w:tc>
          <w:tcPr>
            <w:tcW w:w="1351" w:type="dxa"/>
            <w:vAlign w:val="center"/>
          </w:tcPr>
          <w:p w14:paraId="4B7049C4">
            <w:pPr>
              <w:jc w:val="center"/>
              <w:rPr>
                <w:rFonts w:ascii="宋体" w:hAnsi="宋体"/>
                <w:color w:val="auto"/>
                <w:szCs w:val="44"/>
                <w:highlight w:val="none"/>
              </w:rPr>
            </w:pPr>
          </w:p>
        </w:tc>
        <w:tc>
          <w:tcPr>
            <w:tcW w:w="1352" w:type="dxa"/>
            <w:vAlign w:val="center"/>
          </w:tcPr>
          <w:p w14:paraId="77E0C83F">
            <w:pPr>
              <w:jc w:val="center"/>
              <w:rPr>
                <w:rFonts w:ascii="宋体" w:hAnsi="宋体"/>
                <w:color w:val="auto"/>
                <w:szCs w:val="44"/>
                <w:highlight w:val="none"/>
              </w:rPr>
            </w:pPr>
          </w:p>
        </w:tc>
        <w:tc>
          <w:tcPr>
            <w:tcW w:w="1352" w:type="dxa"/>
            <w:vAlign w:val="center"/>
          </w:tcPr>
          <w:p w14:paraId="3B8AFC94">
            <w:pPr>
              <w:jc w:val="center"/>
              <w:rPr>
                <w:rFonts w:ascii="宋体" w:hAnsi="宋体"/>
                <w:color w:val="auto"/>
                <w:szCs w:val="44"/>
                <w:highlight w:val="none"/>
              </w:rPr>
            </w:pPr>
          </w:p>
        </w:tc>
        <w:tc>
          <w:tcPr>
            <w:tcW w:w="1359" w:type="dxa"/>
            <w:vAlign w:val="center"/>
          </w:tcPr>
          <w:p w14:paraId="5BA9EF1E">
            <w:pPr>
              <w:jc w:val="center"/>
              <w:rPr>
                <w:rFonts w:ascii="宋体" w:hAnsi="宋体"/>
                <w:color w:val="auto"/>
                <w:szCs w:val="44"/>
                <w:highlight w:val="none"/>
              </w:rPr>
            </w:pPr>
          </w:p>
        </w:tc>
        <w:tc>
          <w:tcPr>
            <w:tcW w:w="1967" w:type="dxa"/>
            <w:vAlign w:val="center"/>
          </w:tcPr>
          <w:p w14:paraId="7440C087">
            <w:pPr>
              <w:jc w:val="center"/>
              <w:rPr>
                <w:rFonts w:ascii="宋体" w:hAnsi="宋体"/>
                <w:color w:val="auto"/>
                <w:szCs w:val="44"/>
                <w:highlight w:val="none"/>
              </w:rPr>
            </w:pPr>
          </w:p>
        </w:tc>
      </w:tr>
      <w:tr w14:paraId="50C03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89" w:type="dxa"/>
            <w:vAlign w:val="center"/>
          </w:tcPr>
          <w:p w14:paraId="2FD6EEF1">
            <w:pPr>
              <w:jc w:val="center"/>
              <w:rPr>
                <w:rFonts w:ascii="宋体" w:hAnsi="宋体"/>
                <w:color w:val="auto"/>
                <w:szCs w:val="44"/>
                <w:highlight w:val="none"/>
              </w:rPr>
            </w:pPr>
            <w:r>
              <w:rPr>
                <w:rFonts w:hint="eastAsia" w:ascii="宋体" w:hAnsi="宋体"/>
                <w:color w:val="auto"/>
                <w:szCs w:val="44"/>
                <w:highlight w:val="none"/>
              </w:rPr>
              <w:t>4</w:t>
            </w:r>
          </w:p>
        </w:tc>
        <w:tc>
          <w:tcPr>
            <w:tcW w:w="1804" w:type="dxa"/>
            <w:vAlign w:val="center"/>
          </w:tcPr>
          <w:p w14:paraId="04B47348">
            <w:pPr>
              <w:jc w:val="center"/>
              <w:rPr>
                <w:rFonts w:ascii="宋体" w:hAnsi="宋体"/>
                <w:color w:val="auto"/>
                <w:szCs w:val="44"/>
                <w:highlight w:val="none"/>
              </w:rPr>
            </w:pPr>
          </w:p>
        </w:tc>
        <w:tc>
          <w:tcPr>
            <w:tcW w:w="1351" w:type="dxa"/>
            <w:vAlign w:val="center"/>
          </w:tcPr>
          <w:p w14:paraId="27D9B824">
            <w:pPr>
              <w:jc w:val="center"/>
              <w:rPr>
                <w:color w:val="auto"/>
                <w:highlight w:val="none"/>
              </w:rPr>
            </w:pPr>
          </w:p>
        </w:tc>
        <w:tc>
          <w:tcPr>
            <w:tcW w:w="1352" w:type="dxa"/>
            <w:vAlign w:val="center"/>
          </w:tcPr>
          <w:p w14:paraId="489A4561">
            <w:pPr>
              <w:jc w:val="center"/>
              <w:rPr>
                <w:rFonts w:ascii="宋体" w:hAnsi="宋体"/>
                <w:color w:val="auto"/>
                <w:szCs w:val="44"/>
                <w:highlight w:val="none"/>
              </w:rPr>
            </w:pPr>
          </w:p>
        </w:tc>
        <w:tc>
          <w:tcPr>
            <w:tcW w:w="1352" w:type="dxa"/>
            <w:vAlign w:val="center"/>
          </w:tcPr>
          <w:p w14:paraId="3A70DEA1">
            <w:pPr>
              <w:jc w:val="center"/>
              <w:rPr>
                <w:rFonts w:ascii="宋体" w:hAnsi="宋体"/>
                <w:color w:val="auto"/>
                <w:szCs w:val="44"/>
                <w:highlight w:val="none"/>
              </w:rPr>
            </w:pPr>
          </w:p>
        </w:tc>
        <w:tc>
          <w:tcPr>
            <w:tcW w:w="1351" w:type="dxa"/>
            <w:vAlign w:val="center"/>
          </w:tcPr>
          <w:p w14:paraId="3BCF2D15">
            <w:pPr>
              <w:jc w:val="center"/>
              <w:rPr>
                <w:rFonts w:ascii="宋体" w:hAnsi="宋体"/>
                <w:color w:val="auto"/>
                <w:szCs w:val="44"/>
                <w:highlight w:val="none"/>
              </w:rPr>
            </w:pPr>
          </w:p>
        </w:tc>
        <w:tc>
          <w:tcPr>
            <w:tcW w:w="1352" w:type="dxa"/>
            <w:vAlign w:val="center"/>
          </w:tcPr>
          <w:p w14:paraId="5C4D6858">
            <w:pPr>
              <w:jc w:val="center"/>
              <w:rPr>
                <w:rFonts w:ascii="宋体" w:hAnsi="宋体"/>
                <w:color w:val="auto"/>
                <w:szCs w:val="44"/>
                <w:highlight w:val="none"/>
              </w:rPr>
            </w:pPr>
          </w:p>
        </w:tc>
        <w:tc>
          <w:tcPr>
            <w:tcW w:w="1352" w:type="dxa"/>
            <w:vAlign w:val="center"/>
          </w:tcPr>
          <w:p w14:paraId="6BE591E5">
            <w:pPr>
              <w:jc w:val="center"/>
              <w:rPr>
                <w:rFonts w:ascii="宋体" w:hAnsi="宋体"/>
                <w:color w:val="auto"/>
                <w:szCs w:val="44"/>
                <w:highlight w:val="none"/>
              </w:rPr>
            </w:pPr>
          </w:p>
        </w:tc>
        <w:tc>
          <w:tcPr>
            <w:tcW w:w="1359" w:type="dxa"/>
            <w:vAlign w:val="center"/>
          </w:tcPr>
          <w:p w14:paraId="133B0E08">
            <w:pPr>
              <w:jc w:val="center"/>
              <w:rPr>
                <w:rFonts w:ascii="宋体" w:hAnsi="宋体"/>
                <w:color w:val="auto"/>
                <w:szCs w:val="44"/>
                <w:highlight w:val="none"/>
              </w:rPr>
            </w:pPr>
          </w:p>
        </w:tc>
        <w:tc>
          <w:tcPr>
            <w:tcW w:w="1967" w:type="dxa"/>
            <w:vAlign w:val="center"/>
          </w:tcPr>
          <w:p w14:paraId="6EA1CAE8">
            <w:pPr>
              <w:jc w:val="center"/>
              <w:rPr>
                <w:rFonts w:ascii="宋体" w:hAnsi="宋体"/>
                <w:color w:val="auto"/>
                <w:szCs w:val="44"/>
                <w:highlight w:val="none"/>
              </w:rPr>
            </w:pPr>
          </w:p>
        </w:tc>
      </w:tr>
      <w:tr w14:paraId="1127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89" w:type="dxa"/>
            <w:vAlign w:val="center"/>
          </w:tcPr>
          <w:p w14:paraId="26AF58A5">
            <w:pPr>
              <w:jc w:val="center"/>
              <w:rPr>
                <w:rFonts w:ascii="宋体" w:hAnsi="宋体"/>
                <w:color w:val="auto"/>
                <w:szCs w:val="44"/>
                <w:highlight w:val="none"/>
              </w:rPr>
            </w:pPr>
            <w:r>
              <w:rPr>
                <w:rFonts w:hint="eastAsia" w:ascii="宋体" w:hAnsi="宋体"/>
                <w:color w:val="auto"/>
                <w:szCs w:val="44"/>
                <w:highlight w:val="none"/>
              </w:rPr>
              <w:t>5</w:t>
            </w:r>
          </w:p>
        </w:tc>
        <w:tc>
          <w:tcPr>
            <w:tcW w:w="1804" w:type="dxa"/>
            <w:vAlign w:val="center"/>
          </w:tcPr>
          <w:p w14:paraId="6800243D">
            <w:pPr>
              <w:jc w:val="center"/>
              <w:rPr>
                <w:rFonts w:ascii="宋体" w:hAnsi="宋体"/>
                <w:color w:val="auto"/>
                <w:szCs w:val="44"/>
                <w:highlight w:val="none"/>
              </w:rPr>
            </w:pPr>
          </w:p>
        </w:tc>
        <w:tc>
          <w:tcPr>
            <w:tcW w:w="1351" w:type="dxa"/>
            <w:vAlign w:val="center"/>
          </w:tcPr>
          <w:p w14:paraId="000514BB">
            <w:pPr>
              <w:jc w:val="center"/>
              <w:rPr>
                <w:color w:val="auto"/>
                <w:highlight w:val="none"/>
              </w:rPr>
            </w:pPr>
          </w:p>
        </w:tc>
        <w:tc>
          <w:tcPr>
            <w:tcW w:w="1352" w:type="dxa"/>
            <w:vAlign w:val="center"/>
          </w:tcPr>
          <w:p w14:paraId="2AEB986A">
            <w:pPr>
              <w:jc w:val="center"/>
              <w:rPr>
                <w:rFonts w:ascii="宋体" w:hAnsi="宋体"/>
                <w:color w:val="auto"/>
                <w:szCs w:val="44"/>
                <w:highlight w:val="none"/>
              </w:rPr>
            </w:pPr>
          </w:p>
        </w:tc>
        <w:tc>
          <w:tcPr>
            <w:tcW w:w="1352" w:type="dxa"/>
            <w:vAlign w:val="center"/>
          </w:tcPr>
          <w:p w14:paraId="5BF2F4DD">
            <w:pPr>
              <w:jc w:val="center"/>
              <w:rPr>
                <w:rFonts w:ascii="宋体" w:hAnsi="宋体"/>
                <w:color w:val="auto"/>
                <w:szCs w:val="44"/>
                <w:highlight w:val="none"/>
              </w:rPr>
            </w:pPr>
          </w:p>
        </w:tc>
        <w:tc>
          <w:tcPr>
            <w:tcW w:w="1351" w:type="dxa"/>
            <w:vAlign w:val="center"/>
          </w:tcPr>
          <w:p w14:paraId="31869C09">
            <w:pPr>
              <w:jc w:val="center"/>
              <w:rPr>
                <w:rFonts w:ascii="宋体" w:hAnsi="宋体"/>
                <w:color w:val="auto"/>
                <w:szCs w:val="44"/>
                <w:highlight w:val="none"/>
              </w:rPr>
            </w:pPr>
          </w:p>
        </w:tc>
        <w:tc>
          <w:tcPr>
            <w:tcW w:w="1352" w:type="dxa"/>
            <w:vAlign w:val="center"/>
          </w:tcPr>
          <w:p w14:paraId="43411C0E">
            <w:pPr>
              <w:jc w:val="center"/>
              <w:rPr>
                <w:rFonts w:ascii="宋体" w:hAnsi="宋体"/>
                <w:color w:val="auto"/>
                <w:szCs w:val="44"/>
                <w:highlight w:val="none"/>
              </w:rPr>
            </w:pPr>
          </w:p>
        </w:tc>
        <w:tc>
          <w:tcPr>
            <w:tcW w:w="1352" w:type="dxa"/>
            <w:vAlign w:val="center"/>
          </w:tcPr>
          <w:p w14:paraId="0A751472">
            <w:pPr>
              <w:jc w:val="center"/>
              <w:rPr>
                <w:rFonts w:ascii="宋体" w:hAnsi="宋体"/>
                <w:color w:val="auto"/>
                <w:szCs w:val="44"/>
                <w:highlight w:val="none"/>
              </w:rPr>
            </w:pPr>
          </w:p>
        </w:tc>
        <w:tc>
          <w:tcPr>
            <w:tcW w:w="1359" w:type="dxa"/>
            <w:vAlign w:val="center"/>
          </w:tcPr>
          <w:p w14:paraId="3DD4BD48">
            <w:pPr>
              <w:jc w:val="center"/>
              <w:rPr>
                <w:rFonts w:ascii="宋体" w:hAnsi="宋体"/>
                <w:color w:val="auto"/>
                <w:szCs w:val="44"/>
                <w:highlight w:val="none"/>
              </w:rPr>
            </w:pPr>
          </w:p>
        </w:tc>
        <w:tc>
          <w:tcPr>
            <w:tcW w:w="1967" w:type="dxa"/>
            <w:vAlign w:val="center"/>
          </w:tcPr>
          <w:p w14:paraId="266612E9">
            <w:pPr>
              <w:jc w:val="center"/>
              <w:rPr>
                <w:rFonts w:ascii="宋体" w:hAnsi="宋体"/>
                <w:color w:val="auto"/>
                <w:szCs w:val="44"/>
                <w:highlight w:val="none"/>
              </w:rPr>
            </w:pPr>
          </w:p>
        </w:tc>
      </w:tr>
      <w:tr w14:paraId="3813E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89" w:type="dxa"/>
            <w:vAlign w:val="center"/>
          </w:tcPr>
          <w:p w14:paraId="144810B1">
            <w:pPr>
              <w:jc w:val="center"/>
              <w:rPr>
                <w:rFonts w:ascii="宋体" w:hAnsi="宋体"/>
                <w:color w:val="auto"/>
                <w:szCs w:val="44"/>
                <w:highlight w:val="none"/>
              </w:rPr>
            </w:pPr>
            <w:r>
              <w:rPr>
                <w:rFonts w:hint="eastAsia" w:ascii="宋体" w:hAnsi="宋体"/>
                <w:color w:val="auto"/>
                <w:szCs w:val="44"/>
                <w:highlight w:val="none"/>
              </w:rPr>
              <w:t>6</w:t>
            </w:r>
          </w:p>
        </w:tc>
        <w:tc>
          <w:tcPr>
            <w:tcW w:w="1804" w:type="dxa"/>
            <w:vAlign w:val="center"/>
          </w:tcPr>
          <w:p w14:paraId="7A75497A">
            <w:pPr>
              <w:jc w:val="center"/>
              <w:rPr>
                <w:rFonts w:ascii="宋体" w:hAnsi="宋体"/>
                <w:color w:val="auto"/>
                <w:szCs w:val="44"/>
                <w:highlight w:val="none"/>
              </w:rPr>
            </w:pPr>
          </w:p>
        </w:tc>
        <w:tc>
          <w:tcPr>
            <w:tcW w:w="1351" w:type="dxa"/>
            <w:vAlign w:val="center"/>
          </w:tcPr>
          <w:p w14:paraId="6E130795">
            <w:pPr>
              <w:jc w:val="center"/>
              <w:rPr>
                <w:color w:val="auto"/>
                <w:highlight w:val="none"/>
              </w:rPr>
            </w:pPr>
          </w:p>
        </w:tc>
        <w:tc>
          <w:tcPr>
            <w:tcW w:w="1352" w:type="dxa"/>
            <w:vAlign w:val="center"/>
          </w:tcPr>
          <w:p w14:paraId="2B54D81B">
            <w:pPr>
              <w:jc w:val="center"/>
              <w:rPr>
                <w:rFonts w:ascii="宋体" w:hAnsi="宋体"/>
                <w:color w:val="auto"/>
                <w:szCs w:val="44"/>
                <w:highlight w:val="none"/>
              </w:rPr>
            </w:pPr>
          </w:p>
        </w:tc>
        <w:tc>
          <w:tcPr>
            <w:tcW w:w="1352" w:type="dxa"/>
            <w:vAlign w:val="center"/>
          </w:tcPr>
          <w:p w14:paraId="52530E58">
            <w:pPr>
              <w:jc w:val="center"/>
              <w:rPr>
                <w:rFonts w:ascii="宋体" w:hAnsi="宋体"/>
                <w:color w:val="auto"/>
                <w:szCs w:val="44"/>
                <w:highlight w:val="none"/>
              </w:rPr>
            </w:pPr>
          </w:p>
        </w:tc>
        <w:tc>
          <w:tcPr>
            <w:tcW w:w="1351" w:type="dxa"/>
            <w:vAlign w:val="center"/>
          </w:tcPr>
          <w:p w14:paraId="63EFF7EB">
            <w:pPr>
              <w:jc w:val="center"/>
              <w:rPr>
                <w:rFonts w:ascii="宋体" w:hAnsi="宋体"/>
                <w:color w:val="auto"/>
                <w:szCs w:val="44"/>
                <w:highlight w:val="none"/>
              </w:rPr>
            </w:pPr>
          </w:p>
        </w:tc>
        <w:tc>
          <w:tcPr>
            <w:tcW w:w="1352" w:type="dxa"/>
            <w:vAlign w:val="center"/>
          </w:tcPr>
          <w:p w14:paraId="1C703A7E">
            <w:pPr>
              <w:jc w:val="center"/>
              <w:rPr>
                <w:rFonts w:ascii="宋体" w:hAnsi="宋体"/>
                <w:color w:val="auto"/>
                <w:szCs w:val="44"/>
                <w:highlight w:val="none"/>
              </w:rPr>
            </w:pPr>
          </w:p>
        </w:tc>
        <w:tc>
          <w:tcPr>
            <w:tcW w:w="1352" w:type="dxa"/>
            <w:vAlign w:val="center"/>
          </w:tcPr>
          <w:p w14:paraId="6FF4A596">
            <w:pPr>
              <w:jc w:val="center"/>
              <w:rPr>
                <w:rFonts w:ascii="宋体" w:hAnsi="宋体"/>
                <w:color w:val="auto"/>
                <w:szCs w:val="44"/>
                <w:highlight w:val="none"/>
              </w:rPr>
            </w:pPr>
          </w:p>
        </w:tc>
        <w:tc>
          <w:tcPr>
            <w:tcW w:w="1359" w:type="dxa"/>
            <w:vAlign w:val="center"/>
          </w:tcPr>
          <w:p w14:paraId="349AD348">
            <w:pPr>
              <w:jc w:val="center"/>
              <w:rPr>
                <w:rFonts w:ascii="宋体" w:hAnsi="宋体"/>
                <w:color w:val="auto"/>
                <w:szCs w:val="44"/>
                <w:highlight w:val="none"/>
              </w:rPr>
            </w:pPr>
          </w:p>
        </w:tc>
        <w:tc>
          <w:tcPr>
            <w:tcW w:w="1967" w:type="dxa"/>
            <w:vAlign w:val="center"/>
          </w:tcPr>
          <w:p w14:paraId="7153F6D0">
            <w:pPr>
              <w:jc w:val="center"/>
              <w:rPr>
                <w:rFonts w:ascii="宋体" w:hAnsi="宋体"/>
                <w:color w:val="auto"/>
                <w:szCs w:val="44"/>
                <w:highlight w:val="none"/>
              </w:rPr>
            </w:pPr>
          </w:p>
        </w:tc>
      </w:tr>
      <w:tr w14:paraId="42F2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89" w:type="dxa"/>
            <w:vAlign w:val="center"/>
          </w:tcPr>
          <w:p w14:paraId="118FBC72">
            <w:pPr>
              <w:jc w:val="center"/>
              <w:rPr>
                <w:rFonts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804" w:type="dxa"/>
            <w:vAlign w:val="center"/>
          </w:tcPr>
          <w:p w14:paraId="6263C003">
            <w:pPr>
              <w:rPr>
                <w:rFonts w:ascii="宋体" w:hAnsi="宋体"/>
                <w:color w:val="auto"/>
                <w:szCs w:val="21"/>
                <w:highlight w:val="none"/>
              </w:rPr>
            </w:pPr>
          </w:p>
        </w:tc>
        <w:tc>
          <w:tcPr>
            <w:tcW w:w="1351" w:type="dxa"/>
            <w:vAlign w:val="center"/>
          </w:tcPr>
          <w:p w14:paraId="583CD836">
            <w:pPr>
              <w:jc w:val="center"/>
              <w:rPr>
                <w:color w:val="auto"/>
                <w:highlight w:val="none"/>
              </w:rPr>
            </w:pPr>
          </w:p>
        </w:tc>
        <w:tc>
          <w:tcPr>
            <w:tcW w:w="1352" w:type="dxa"/>
            <w:vAlign w:val="center"/>
          </w:tcPr>
          <w:p w14:paraId="7899E5A6">
            <w:pPr>
              <w:jc w:val="center"/>
              <w:rPr>
                <w:rFonts w:ascii="宋体" w:hAnsi="宋体"/>
                <w:color w:val="auto"/>
                <w:szCs w:val="44"/>
                <w:highlight w:val="none"/>
              </w:rPr>
            </w:pPr>
          </w:p>
        </w:tc>
        <w:tc>
          <w:tcPr>
            <w:tcW w:w="1352" w:type="dxa"/>
            <w:vAlign w:val="center"/>
          </w:tcPr>
          <w:p w14:paraId="4EF32187">
            <w:pPr>
              <w:jc w:val="center"/>
              <w:rPr>
                <w:rFonts w:ascii="宋体" w:hAnsi="宋体"/>
                <w:color w:val="auto"/>
                <w:szCs w:val="44"/>
                <w:highlight w:val="none"/>
              </w:rPr>
            </w:pPr>
          </w:p>
        </w:tc>
        <w:tc>
          <w:tcPr>
            <w:tcW w:w="1351" w:type="dxa"/>
            <w:vAlign w:val="center"/>
          </w:tcPr>
          <w:p w14:paraId="76839306">
            <w:pPr>
              <w:jc w:val="center"/>
              <w:rPr>
                <w:rFonts w:ascii="宋体" w:hAnsi="宋体"/>
                <w:color w:val="auto"/>
                <w:szCs w:val="44"/>
                <w:highlight w:val="none"/>
              </w:rPr>
            </w:pPr>
          </w:p>
        </w:tc>
        <w:tc>
          <w:tcPr>
            <w:tcW w:w="1352" w:type="dxa"/>
            <w:vAlign w:val="center"/>
          </w:tcPr>
          <w:p w14:paraId="12DB989B">
            <w:pPr>
              <w:jc w:val="center"/>
              <w:rPr>
                <w:rFonts w:ascii="宋体" w:hAnsi="宋体"/>
                <w:color w:val="auto"/>
                <w:szCs w:val="44"/>
                <w:highlight w:val="none"/>
              </w:rPr>
            </w:pPr>
          </w:p>
        </w:tc>
        <w:tc>
          <w:tcPr>
            <w:tcW w:w="1352" w:type="dxa"/>
            <w:vAlign w:val="center"/>
          </w:tcPr>
          <w:p w14:paraId="71E3DA04">
            <w:pPr>
              <w:jc w:val="center"/>
              <w:rPr>
                <w:rFonts w:ascii="宋体" w:hAnsi="宋体"/>
                <w:color w:val="auto"/>
                <w:szCs w:val="44"/>
                <w:highlight w:val="none"/>
              </w:rPr>
            </w:pPr>
          </w:p>
        </w:tc>
        <w:tc>
          <w:tcPr>
            <w:tcW w:w="1359" w:type="dxa"/>
            <w:vAlign w:val="center"/>
          </w:tcPr>
          <w:p w14:paraId="29383ED9">
            <w:pPr>
              <w:jc w:val="center"/>
              <w:rPr>
                <w:rFonts w:ascii="宋体" w:hAnsi="宋体"/>
                <w:color w:val="auto"/>
                <w:szCs w:val="44"/>
                <w:highlight w:val="none"/>
              </w:rPr>
            </w:pPr>
          </w:p>
        </w:tc>
        <w:tc>
          <w:tcPr>
            <w:tcW w:w="1967" w:type="dxa"/>
            <w:vAlign w:val="center"/>
          </w:tcPr>
          <w:p w14:paraId="6C2A2B4A">
            <w:pPr>
              <w:jc w:val="center"/>
              <w:rPr>
                <w:rFonts w:ascii="宋体" w:hAnsi="宋体"/>
                <w:color w:val="auto"/>
                <w:szCs w:val="44"/>
                <w:highlight w:val="none"/>
              </w:rPr>
            </w:pPr>
          </w:p>
        </w:tc>
      </w:tr>
      <w:tr w14:paraId="5760C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029" w:type="dxa"/>
            <w:gridSpan w:val="10"/>
            <w:vAlign w:val="center"/>
          </w:tcPr>
          <w:p w14:paraId="5B99D88F">
            <w:pPr>
              <w:rPr>
                <w:color w:val="auto"/>
                <w:highlight w:val="none"/>
              </w:rPr>
            </w:pPr>
            <w:r>
              <w:rPr>
                <w:rFonts w:hint="eastAsia"/>
                <w:color w:val="auto"/>
                <w:highlight w:val="none"/>
              </w:rPr>
              <w:t>资信业绩评委签名：</w:t>
            </w:r>
          </w:p>
          <w:p w14:paraId="2B1D9DCD">
            <w:pPr>
              <w:rPr>
                <w:color w:val="auto"/>
                <w:highlight w:val="none"/>
              </w:rPr>
            </w:pPr>
          </w:p>
          <w:p w14:paraId="24C517F6">
            <w:pPr>
              <w:rPr>
                <w:rFonts w:ascii="宋体" w:hAnsi="宋体"/>
                <w:color w:val="auto"/>
                <w:szCs w:val="44"/>
                <w:highlight w:val="none"/>
              </w:rPr>
            </w:pPr>
          </w:p>
          <w:p w14:paraId="74573E90">
            <w:pPr>
              <w:jc w:val="center"/>
              <w:rPr>
                <w:rFonts w:ascii="宋体" w:hAnsi="宋体"/>
                <w:color w:val="auto"/>
                <w:szCs w:val="44"/>
                <w:highlight w:val="none"/>
              </w:rPr>
            </w:pPr>
          </w:p>
        </w:tc>
      </w:tr>
    </w:tbl>
    <w:p w14:paraId="545670C4">
      <w:pPr>
        <w:rPr>
          <w:rFonts w:ascii="宋体" w:hAnsi="宋体"/>
          <w:color w:val="auto"/>
          <w:szCs w:val="44"/>
          <w:highlight w:val="none"/>
        </w:rPr>
      </w:pPr>
    </w:p>
    <w:p w14:paraId="5D0CCA94">
      <w:pPr>
        <w:ind w:firstLine="3780" w:firstLineChars="1800"/>
        <w:jc w:val="right"/>
        <w:rPr>
          <w:color w:val="auto"/>
          <w:highlight w:val="none"/>
        </w:rPr>
      </w:pPr>
      <w:r>
        <w:rPr>
          <w:rFonts w:hint="eastAsia"/>
          <w:color w:val="auto"/>
          <w:highlight w:val="none"/>
        </w:rPr>
        <w:t xml:space="preserve">                      日期：   　　 年    月　  日</w:t>
      </w:r>
      <w:r>
        <w:rPr>
          <w:color w:val="auto"/>
          <w:highlight w:val="none"/>
        </w:rPr>
        <w:br w:type="page"/>
      </w:r>
    </w:p>
    <w:p w14:paraId="5D9E26E4">
      <w:pPr>
        <w:widowControl/>
        <w:jc w:val="left"/>
        <w:rPr>
          <w:color w:val="auto"/>
          <w:highlight w:val="none"/>
        </w:rPr>
      </w:pPr>
    </w:p>
    <w:p w14:paraId="0D4F24DE">
      <w:pPr>
        <w:pStyle w:val="37"/>
        <w:ind w:firstLine="118"/>
        <w:rPr>
          <w:color w:val="auto"/>
          <w:highlight w:val="none"/>
        </w:rPr>
      </w:pPr>
      <w:bookmarkStart w:id="1089" w:name="_Toc256000148"/>
      <w:bookmarkStart w:id="1090" w:name="_Toc164716318"/>
      <w:bookmarkStart w:id="1091" w:name="_Toc148860677"/>
      <w:bookmarkStart w:id="1092" w:name="_Toc15817"/>
      <w:bookmarkStart w:id="1093" w:name="_Toc11056"/>
      <w:r>
        <w:rPr>
          <w:rFonts w:hint="eastAsia"/>
          <w:color w:val="auto"/>
          <w:highlight w:val="none"/>
        </w:rPr>
        <w:t>附表A-1</w:t>
      </w:r>
      <w:r>
        <w:rPr>
          <w:color w:val="auto"/>
          <w:highlight w:val="none"/>
        </w:rPr>
        <w:t>5</w:t>
      </w:r>
      <w:r>
        <w:rPr>
          <w:rFonts w:hint="eastAsia"/>
          <w:color w:val="auto"/>
          <w:highlight w:val="none"/>
        </w:rPr>
        <w:t>：其他因素评审记录表</w:t>
      </w:r>
      <w:bookmarkEnd w:id="1089"/>
      <w:bookmarkEnd w:id="1090"/>
      <w:bookmarkEnd w:id="1091"/>
      <w:bookmarkEnd w:id="1092"/>
      <w:bookmarkEnd w:id="1093"/>
    </w:p>
    <w:p w14:paraId="48B5B53F">
      <w:pPr>
        <w:adjustRightInd w:val="0"/>
        <w:snapToGrid w:val="0"/>
        <w:spacing w:before="240" w:beforeLines="100" w:after="240" w:afterLines="100" w:line="440" w:lineRule="exact"/>
        <w:jc w:val="center"/>
        <w:rPr>
          <w:rFonts w:ascii="黑体" w:hAnsi="宋体" w:eastAsia="黑体"/>
          <w:color w:val="auto"/>
          <w:sz w:val="36"/>
          <w:szCs w:val="36"/>
          <w:highlight w:val="none"/>
        </w:rPr>
      </w:pPr>
      <w:bookmarkStart w:id="1094" w:name="_Toc145516080"/>
      <w:bookmarkStart w:id="1095" w:name="_Toc149054718"/>
      <w:bookmarkStart w:id="1096" w:name="_Toc149060951"/>
      <w:bookmarkStart w:id="1097" w:name="_Toc148860678"/>
      <w:bookmarkStart w:id="1098" w:name="_Toc27026"/>
      <w:r>
        <w:rPr>
          <w:rFonts w:hint="eastAsia" w:ascii="黑体" w:hAnsi="宋体" w:eastAsia="黑体"/>
          <w:color w:val="auto"/>
          <w:sz w:val="36"/>
          <w:szCs w:val="36"/>
          <w:highlight w:val="none"/>
        </w:rPr>
        <w:t>其他因素评审记录表</w:t>
      </w:r>
      <w:bookmarkEnd w:id="1094"/>
      <w:bookmarkEnd w:id="1095"/>
      <w:bookmarkEnd w:id="1096"/>
      <w:bookmarkEnd w:id="1097"/>
      <w:bookmarkEnd w:id="1098"/>
    </w:p>
    <w:p w14:paraId="6040A5C8">
      <w:pPr>
        <w:ind w:firstLine="210" w:firstLineChars="100"/>
        <w:rPr>
          <w:rFonts w:ascii="宋体" w:hAnsi="宋体"/>
          <w:color w:val="auto"/>
          <w:szCs w:val="44"/>
          <w:highlight w:val="none"/>
        </w:rPr>
      </w:pPr>
      <w:r>
        <w:rPr>
          <w:rFonts w:hint="eastAsia" w:ascii="宋体" w:hAnsi="宋体"/>
          <w:color w:val="auto"/>
          <w:szCs w:val="44"/>
          <w:highlight w:val="none"/>
        </w:rPr>
        <w:t>标段名称：</w:t>
      </w:r>
    </w:p>
    <w:p w14:paraId="44AFEA07">
      <w:pPr>
        <w:ind w:firstLine="210" w:firstLineChars="100"/>
        <w:rPr>
          <w:color w:val="auto"/>
          <w:szCs w:val="44"/>
          <w:highlight w:val="none"/>
        </w:rPr>
      </w:pPr>
      <w:r>
        <w:rPr>
          <w:rFonts w:hint="eastAsia"/>
          <w:color w:val="auto"/>
          <w:szCs w:val="44"/>
          <w:highlight w:val="none"/>
        </w:rPr>
        <w:t>标段唯一标识码：</w:t>
      </w:r>
    </w:p>
    <w:tbl>
      <w:tblPr>
        <w:tblStyle w:val="25"/>
        <w:tblW w:w="13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753"/>
        <w:gridCol w:w="1313"/>
        <w:gridCol w:w="1314"/>
        <w:gridCol w:w="1314"/>
        <w:gridCol w:w="1313"/>
        <w:gridCol w:w="1314"/>
        <w:gridCol w:w="1314"/>
        <w:gridCol w:w="1204"/>
        <w:gridCol w:w="1995"/>
      </w:tblGrid>
      <w:tr w14:paraId="2EA6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69" w:type="dxa"/>
            <w:vMerge w:val="restart"/>
            <w:vAlign w:val="center"/>
          </w:tcPr>
          <w:p w14:paraId="55D5262A">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753" w:type="dxa"/>
            <w:vMerge w:val="restart"/>
            <w:vAlign w:val="center"/>
          </w:tcPr>
          <w:p w14:paraId="74BDF432">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9086" w:type="dxa"/>
            <w:gridSpan w:val="7"/>
            <w:vAlign w:val="center"/>
          </w:tcPr>
          <w:p w14:paraId="2BCA4D3D">
            <w:pPr>
              <w:jc w:val="center"/>
              <w:rPr>
                <w:rFonts w:ascii="宋体" w:hAnsi="宋体"/>
                <w:b/>
                <w:bCs/>
                <w:color w:val="auto"/>
                <w:szCs w:val="44"/>
                <w:highlight w:val="none"/>
              </w:rPr>
            </w:pPr>
            <w:r>
              <w:rPr>
                <w:rFonts w:hint="eastAsia" w:ascii="宋体" w:hAnsi="宋体"/>
                <w:b/>
                <w:bCs/>
                <w:color w:val="auto"/>
                <w:szCs w:val="44"/>
                <w:highlight w:val="none"/>
              </w:rPr>
              <w:t>评委姓名及得分</w:t>
            </w:r>
          </w:p>
        </w:tc>
        <w:tc>
          <w:tcPr>
            <w:tcW w:w="1995" w:type="dxa"/>
            <w:vMerge w:val="restart"/>
            <w:vAlign w:val="center"/>
          </w:tcPr>
          <w:p w14:paraId="1398D580">
            <w:pPr>
              <w:jc w:val="center"/>
              <w:rPr>
                <w:rFonts w:ascii="宋体" w:hAnsi="宋体"/>
                <w:b/>
                <w:bCs/>
                <w:color w:val="auto"/>
                <w:szCs w:val="44"/>
                <w:highlight w:val="none"/>
              </w:rPr>
            </w:pPr>
            <w:r>
              <w:rPr>
                <w:rFonts w:hint="eastAsia" w:ascii="宋体" w:hAnsi="宋体"/>
                <w:b/>
                <w:bCs/>
                <w:color w:val="auto"/>
                <w:szCs w:val="44"/>
                <w:highlight w:val="none"/>
              </w:rPr>
              <w:t>其他因素最终得分</w:t>
            </w:r>
          </w:p>
        </w:tc>
      </w:tr>
      <w:tr w14:paraId="00DB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69" w:type="dxa"/>
            <w:vMerge w:val="continue"/>
            <w:vAlign w:val="center"/>
          </w:tcPr>
          <w:p w14:paraId="50DDEF8E">
            <w:pPr>
              <w:jc w:val="center"/>
              <w:rPr>
                <w:rFonts w:ascii="宋体" w:hAnsi="宋体"/>
                <w:color w:val="auto"/>
                <w:szCs w:val="44"/>
                <w:highlight w:val="none"/>
              </w:rPr>
            </w:pPr>
          </w:p>
        </w:tc>
        <w:tc>
          <w:tcPr>
            <w:tcW w:w="1753" w:type="dxa"/>
            <w:vMerge w:val="continue"/>
          </w:tcPr>
          <w:p w14:paraId="4AE5D2A1">
            <w:pPr>
              <w:jc w:val="center"/>
              <w:rPr>
                <w:rFonts w:ascii="宋体" w:hAnsi="宋体"/>
                <w:color w:val="auto"/>
                <w:szCs w:val="44"/>
                <w:highlight w:val="none"/>
              </w:rPr>
            </w:pPr>
          </w:p>
        </w:tc>
        <w:tc>
          <w:tcPr>
            <w:tcW w:w="1313" w:type="dxa"/>
            <w:vAlign w:val="center"/>
          </w:tcPr>
          <w:p w14:paraId="6DA79F4A">
            <w:pPr>
              <w:jc w:val="center"/>
              <w:rPr>
                <w:rFonts w:ascii="宋体" w:hAnsi="宋体"/>
                <w:b/>
                <w:bCs/>
                <w:color w:val="auto"/>
                <w:szCs w:val="44"/>
                <w:highlight w:val="none"/>
              </w:rPr>
            </w:pPr>
            <w:r>
              <w:rPr>
                <w:rFonts w:hint="eastAsia" w:ascii="宋体" w:hAnsi="宋体"/>
                <w:b/>
                <w:bCs/>
                <w:color w:val="auto"/>
                <w:szCs w:val="44"/>
                <w:highlight w:val="none"/>
              </w:rPr>
              <w:t>评委1</w:t>
            </w:r>
          </w:p>
        </w:tc>
        <w:tc>
          <w:tcPr>
            <w:tcW w:w="1314" w:type="dxa"/>
            <w:vAlign w:val="center"/>
          </w:tcPr>
          <w:p w14:paraId="0F0624D7">
            <w:pPr>
              <w:jc w:val="center"/>
              <w:rPr>
                <w:rFonts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14" w:type="dxa"/>
            <w:vAlign w:val="center"/>
          </w:tcPr>
          <w:p w14:paraId="02F889D6">
            <w:pPr>
              <w:jc w:val="center"/>
              <w:rPr>
                <w:rFonts w:ascii="宋体" w:hAnsi="宋体"/>
                <w:b/>
                <w:bCs/>
                <w:color w:val="auto"/>
                <w:szCs w:val="44"/>
                <w:highlight w:val="none"/>
              </w:rPr>
            </w:pPr>
            <w:r>
              <w:rPr>
                <w:rFonts w:ascii="宋体" w:hAnsi="宋体"/>
                <w:b/>
                <w:bCs/>
                <w:color w:val="auto"/>
                <w:szCs w:val="44"/>
                <w:highlight w:val="none"/>
              </w:rPr>
              <w:t>……</w:t>
            </w:r>
          </w:p>
        </w:tc>
        <w:tc>
          <w:tcPr>
            <w:tcW w:w="1313" w:type="dxa"/>
            <w:vAlign w:val="center"/>
          </w:tcPr>
          <w:p w14:paraId="205E1E47">
            <w:pPr>
              <w:jc w:val="center"/>
              <w:rPr>
                <w:rFonts w:ascii="宋体" w:hAnsi="宋体"/>
                <w:b/>
                <w:bCs/>
                <w:color w:val="auto"/>
                <w:szCs w:val="44"/>
                <w:highlight w:val="none"/>
              </w:rPr>
            </w:pPr>
          </w:p>
        </w:tc>
        <w:tc>
          <w:tcPr>
            <w:tcW w:w="1314" w:type="dxa"/>
            <w:vAlign w:val="center"/>
          </w:tcPr>
          <w:p w14:paraId="0E38403E">
            <w:pPr>
              <w:jc w:val="center"/>
              <w:rPr>
                <w:rFonts w:ascii="宋体" w:hAnsi="宋体"/>
                <w:color w:val="auto"/>
                <w:szCs w:val="44"/>
                <w:highlight w:val="none"/>
              </w:rPr>
            </w:pPr>
          </w:p>
        </w:tc>
        <w:tc>
          <w:tcPr>
            <w:tcW w:w="1314" w:type="dxa"/>
            <w:vAlign w:val="center"/>
          </w:tcPr>
          <w:p w14:paraId="64DD686C">
            <w:pPr>
              <w:jc w:val="center"/>
              <w:rPr>
                <w:rFonts w:ascii="宋体" w:hAnsi="宋体"/>
                <w:color w:val="auto"/>
                <w:szCs w:val="44"/>
                <w:highlight w:val="none"/>
              </w:rPr>
            </w:pPr>
          </w:p>
        </w:tc>
        <w:tc>
          <w:tcPr>
            <w:tcW w:w="1204" w:type="dxa"/>
            <w:vAlign w:val="center"/>
          </w:tcPr>
          <w:p w14:paraId="21E2EBD4">
            <w:pPr>
              <w:jc w:val="center"/>
              <w:rPr>
                <w:rFonts w:ascii="宋体" w:hAnsi="宋体"/>
                <w:color w:val="auto"/>
                <w:szCs w:val="44"/>
                <w:highlight w:val="none"/>
              </w:rPr>
            </w:pPr>
          </w:p>
        </w:tc>
        <w:tc>
          <w:tcPr>
            <w:tcW w:w="1995" w:type="dxa"/>
            <w:vMerge w:val="continue"/>
            <w:vAlign w:val="center"/>
          </w:tcPr>
          <w:p w14:paraId="6A3F86BA">
            <w:pPr>
              <w:jc w:val="center"/>
              <w:rPr>
                <w:rFonts w:ascii="宋体" w:hAnsi="宋体"/>
                <w:color w:val="auto"/>
                <w:szCs w:val="44"/>
                <w:highlight w:val="none"/>
              </w:rPr>
            </w:pPr>
          </w:p>
        </w:tc>
      </w:tr>
      <w:tr w14:paraId="2670E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703EE3A2">
            <w:pPr>
              <w:jc w:val="center"/>
              <w:rPr>
                <w:rFonts w:ascii="宋体" w:hAnsi="宋体"/>
                <w:color w:val="auto"/>
                <w:szCs w:val="44"/>
                <w:highlight w:val="none"/>
              </w:rPr>
            </w:pPr>
            <w:r>
              <w:rPr>
                <w:rFonts w:hint="eastAsia" w:ascii="宋体" w:hAnsi="宋体"/>
                <w:color w:val="auto"/>
                <w:szCs w:val="44"/>
                <w:highlight w:val="none"/>
              </w:rPr>
              <w:t>1</w:t>
            </w:r>
          </w:p>
        </w:tc>
        <w:tc>
          <w:tcPr>
            <w:tcW w:w="1753" w:type="dxa"/>
            <w:vAlign w:val="center"/>
          </w:tcPr>
          <w:p w14:paraId="24BD999A">
            <w:pPr>
              <w:jc w:val="center"/>
              <w:rPr>
                <w:rFonts w:ascii="宋体" w:hAnsi="宋体"/>
                <w:color w:val="auto"/>
                <w:szCs w:val="21"/>
                <w:highlight w:val="none"/>
              </w:rPr>
            </w:pPr>
          </w:p>
        </w:tc>
        <w:tc>
          <w:tcPr>
            <w:tcW w:w="1313" w:type="dxa"/>
            <w:vAlign w:val="center"/>
          </w:tcPr>
          <w:p w14:paraId="2B6C031C">
            <w:pPr>
              <w:rPr>
                <w:rFonts w:ascii="宋体" w:hAnsi="宋体"/>
                <w:color w:val="auto"/>
                <w:szCs w:val="21"/>
                <w:highlight w:val="none"/>
              </w:rPr>
            </w:pPr>
          </w:p>
        </w:tc>
        <w:tc>
          <w:tcPr>
            <w:tcW w:w="1314" w:type="dxa"/>
            <w:vAlign w:val="center"/>
          </w:tcPr>
          <w:p w14:paraId="416B9C3F">
            <w:pPr>
              <w:jc w:val="center"/>
              <w:rPr>
                <w:rFonts w:ascii="宋体" w:hAnsi="宋体"/>
                <w:color w:val="auto"/>
                <w:szCs w:val="44"/>
                <w:highlight w:val="none"/>
              </w:rPr>
            </w:pPr>
          </w:p>
        </w:tc>
        <w:tc>
          <w:tcPr>
            <w:tcW w:w="1314" w:type="dxa"/>
            <w:vAlign w:val="center"/>
          </w:tcPr>
          <w:p w14:paraId="503FD4BF">
            <w:pPr>
              <w:jc w:val="center"/>
              <w:rPr>
                <w:rFonts w:ascii="宋体" w:hAnsi="宋体"/>
                <w:color w:val="auto"/>
                <w:szCs w:val="44"/>
                <w:highlight w:val="none"/>
              </w:rPr>
            </w:pPr>
          </w:p>
        </w:tc>
        <w:tc>
          <w:tcPr>
            <w:tcW w:w="1313" w:type="dxa"/>
            <w:vAlign w:val="center"/>
          </w:tcPr>
          <w:p w14:paraId="26BFBCE6">
            <w:pPr>
              <w:jc w:val="center"/>
              <w:rPr>
                <w:rFonts w:ascii="宋体" w:hAnsi="宋体"/>
                <w:color w:val="auto"/>
                <w:szCs w:val="44"/>
                <w:highlight w:val="none"/>
              </w:rPr>
            </w:pPr>
          </w:p>
        </w:tc>
        <w:tc>
          <w:tcPr>
            <w:tcW w:w="1314" w:type="dxa"/>
            <w:vAlign w:val="center"/>
          </w:tcPr>
          <w:p w14:paraId="6AD3BA1F">
            <w:pPr>
              <w:jc w:val="center"/>
              <w:rPr>
                <w:rFonts w:ascii="宋体" w:hAnsi="宋体"/>
                <w:color w:val="auto"/>
                <w:szCs w:val="44"/>
                <w:highlight w:val="none"/>
              </w:rPr>
            </w:pPr>
          </w:p>
        </w:tc>
        <w:tc>
          <w:tcPr>
            <w:tcW w:w="1314" w:type="dxa"/>
            <w:vAlign w:val="center"/>
          </w:tcPr>
          <w:p w14:paraId="18A8634C">
            <w:pPr>
              <w:jc w:val="center"/>
              <w:rPr>
                <w:rFonts w:ascii="宋体" w:hAnsi="宋体"/>
                <w:color w:val="auto"/>
                <w:szCs w:val="44"/>
                <w:highlight w:val="none"/>
              </w:rPr>
            </w:pPr>
          </w:p>
        </w:tc>
        <w:tc>
          <w:tcPr>
            <w:tcW w:w="1204" w:type="dxa"/>
            <w:vAlign w:val="center"/>
          </w:tcPr>
          <w:p w14:paraId="580413B5">
            <w:pPr>
              <w:jc w:val="center"/>
              <w:rPr>
                <w:rFonts w:ascii="宋体" w:hAnsi="宋体"/>
                <w:color w:val="auto"/>
                <w:szCs w:val="44"/>
                <w:highlight w:val="none"/>
              </w:rPr>
            </w:pPr>
          </w:p>
        </w:tc>
        <w:tc>
          <w:tcPr>
            <w:tcW w:w="1995" w:type="dxa"/>
            <w:vAlign w:val="center"/>
          </w:tcPr>
          <w:p w14:paraId="3E15F655">
            <w:pPr>
              <w:jc w:val="center"/>
              <w:rPr>
                <w:rFonts w:ascii="宋体" w:hAnsi="宋体"/>
                <w:color w:val="auto"/>
                <w:szCs w:val="44"/>
                <w:highlight w:val="none"/>
              </w:rPr>
            </w:pPr>
          </w:p>
        </w:tc>
      </w:tr>
      <w:tr w14:paraId="5DAC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00065FC4">
            <w:pPr>
              <w:jc w:val="center"/>
              <w:rPr>
                <w:rFonts w:ascii="宋体" w:hAnsi="宋体"/>
                <w:color w:val="auto"/>
                <w:szCs w:val="44"/>
                <w:highlight w:val="none"/>
              </w:rPr>
            </w:pPr>
            <w:r>
              <w:rPr>
                <w:rFonts w:hint="eastAsia" w:ascii="宋体" w:hAnsi="宋体"/>
                <w:color w:val="auto"/>
                <w:szCs w:val="44"/>
                <w:highlight w:val="none"/>
              </w:rPr>
              <w:t>2</w:t>
            </w:r>
          </w:p>
        </w:tc>
        <w:tc>
          <w:tcPr>
            <w:tcW w:w="1753" w:type="dxa"/>
            <w:vAlign w:val="center"/>
          </w:tcPr>
          <w:p w14:paraId="6ED94305">
            <w:pPr>
              <w:jc w:val="center"/>
              <w:rPr>
                <w:rFonts w:ascii="宋体" w:hAnsi="宋体"/>
                <w:color w:val="auto"/>
                <w:szCs w:val="44"/>
                <w:highlight w:val="none"/>
              </w:rPr>
            </w:pPr>
          </w:p>
        </w:tc>
        <w:tc>
          <w:tcPr>
            <w:tcW w:w="1313" w:type="dxa"/>
            <w:vAlign w:val="center"/>
          </w:tcPr>
          <w:p w14:paraId="1F60E8F9">
            <w:pPr>
              <w:jc w:val="center"/>
              <w:rPr>
                <w:color w:val="auto"/>
                <w:highlight w:val="none"/>
              </w:rPr>
            </w:pPr>
          </w:p>
        </w:tc>
        <w:tc>
          <w:tcPr>
            <w:tcW w:w="1314" w:type="dxa"/>
            <w:vAlign w:val="center"/>
          </w:tcPr>
          <w:p w14:paraId="14090AB1">
            <w:pPr>
              <w:jc w:val="center"/>
              <w:rPr>
                <w:rFonts w:ascii="宋体" w:hAnsi="宋体"/>
                <w:color w:val="auto"/>
                <w:szCs w:val="44"/>
                <w:highlight w:val="none"/>
              </w:rPr>
            </w:pPr>
          </w:p>
        </w:tc>
        <w:tc>
          <w:tcPr>
            <w:tcW w:w="1314" w:type="dxa"/>
            <w:vAlign w:val="center"/>
          </w:tcPr>
          <w:p w14:paraId="4B2A75BA">
            <w:pPr>
              <w:jc w:val="center"/>
              <w:rPr>
                <w:rFonts w:ascii="宋体" w:hAnsi="宋体"/>
                <w:color w:val="auto"/>
                <w:szCs w:val="44"/>
                <w:highlight w:val="none"/>
              </w:rPr>
            </w:pPr>
          </w:p>
        </w:tc>
        <w:tc>
          <w:tcPr>
            <w:tcW w:w="1313" w:type="dxa"/>
            <w:vAlign w:val="center"/>
          </w:tcPr>
          <w:p w14:paraId="1A15EAFB">
            <w:pPr>
              <w:jc w:val="center"/>
              <w:rPr>
                <w:rFonts w:ascii="宋体" w:hAnsi="宋体"/>
                <w:color w:val="auto"/>
                <w:szCs w:val="44"/>
                <w:highlight w:val="none"/>
              </w:rPr>
            </w:pPr>
          </w:p>
        </w:tc>
        <w:tc>
          <w:tcPr>
            <w:tcW w:w="1314" w:type="dxa"/>
            <w:vAlign w:val="center"/>
          </w:tcPr>
          <w:p w14:paraId="33265319">
            <w:pPr>
              <w:jc w:val="center"/>
              <w:rPr>
                <w:rFonts w:ascii="宋体" w:hAnsi="宋体"/>
                <w:color w:val="auto"/>
                <w:szCs w:val="44"/>
                <w:highlight w:val="none"/>
              </w:rPr>
            </w:pPr>
          </w:p>
        </w:tc>
        <w:tc>
          <w:tcPr>
            <w:tcW w:w="1314" w:type="dxa"/>
            <w:vAlign w:val="center"/>
          </w:tcPr>
          <w:p w14:paraId="6DC6FD4F">
            <w:pPr>
              <w:jc w:val="center"/>
              <w:rPr>
                <w:rFonts w:ascii="宋体" w:hAnsi="宋体"/>
                <w:color w:val="auto"/>
                <w:szCs w:val="44"/>
                <w:highlight w:val="none"/>
              </w:rPr>
            </w:pPr>
          </w:p>
        </w:tc>
        <w:tc>
          <w:tcPr>
            <w:tcW w:w="1204" w:type="dxa"/>
            <w:vAlign w:val="center"/>
          </w:tcPr>
          <w:p w14:paraId="7C4D71AF">
            <w:pPr>
              <w:jc w:val="center"/>
              <w:rPr>
                <w:rFonts w:ascii="宋体" w:hAnsi="宋体"/>
                <w:color w:val="auto"/>
                <w:szCs w:val="44"/>
                <w:highlight w:val="none"/>
              </w:rPr>
            </w:pPr>
          </w:p>
        </w:tc>
        <w:tc>
          <w:tcPr>
            <w:tcW w:w="1995" w:type="dxa"/>
            <w:vAlign w:val="center"/>
          </w:tcPr>
          <w:p w14:paraId="43FD0C0D">
            <w:pPr>
              <w:jc w:val="center"/>
              <w:rPr>
                <w:rFonts w:ascii="宋体" w:hAnsi="宋体"/>
                <w:color w:val="auto"/>
                <w:szCs w:val="44"/>
                <w:highlight w:val="none"/>
              </w:rPr>
            </w:pPr>
          </w:p>
        </w:tc>
      </w:tr>
      <w:tr w14:paraId="52E0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0046E093">
            <w:pPr>
              <w:jc w:val="center"/>
              <w:rPr>
                <w:rFonts w:ascii="宋体" w:hAnsi="宋体"/>
                <w:color w:val="auto"/>
                <w:szCs w:val="44"/>
                <w:highlight w:val="none"/>
              </w:rPr>
            </w:pPr>
            <w:r>
              <w:rPr>
                <w:rFonts w:hint="eastAsia" w:ascii="宋体" w:hAnsi="宋体"/>
                <w:color w:val="auto"/>
                <w:szCs w:val="44"/>
                <w:highlight w:val="none"/>
              </w:rPr>
              <w:t>3</w:t>
            </w:r>
          </w:p>
        </w:tc>
        <w:tc>
          <w:tcPr>
            <w:tcW w:w="1753" w:type="dxa"/>
            <w:vAlign w:val="center"/>
          </w:tcPr>
          <w:p w14:paraId="09D1F8F1">
            <w:pPr>
              <w:jc w:val="center"/>
              <w:rPr>
                <w:rFonts w:ascii="宋体" w:hAnsi="宋体"/>
                <w:color w:val="auto"/>
                <w:szCs w:val="44"/>
                <w:highlight w:val="none"/>
              </w:rPr>
            </w:pPr>
          </w:p>
        </w:tc>
        <w:tc>
          <w:tcPr>
            <w:tcW w:w="1313" w:type="dxa"/>
            <w:vAlign w:val="center"/>
          </w:tcPr>
          <w:p w14:paraId="300543E8">
            <w:pPr>
              <w:jc w:val="center"/>
              <w:rPr>
                <w:color w:val="auto"/>
                <w:highlight w:val="none"/>
              </w:rPr>
            </w:pPr>
          </w:p>
        </w:tc>
        <w:tc>
          <w:tcPr>
            <w:tcW w:w="1314" w:type="dxa"/>
            <w:vAlign w:val="center"/>
          </w:tcPr>
          <w:p w14:paraId="22BF0F28">
            <w:pPr>
              <w:jc w:val="center"/>
              <w:rPr>
                <w:rFonts w:ascii="宋体" w:hAnsi="宋体"/>
                <w:color w:val="auto"/>
                <w:szCs w:val="44"/>
                <w:highlight w:val="none"/>
              </w:rPr>
            </w:pPr>
          </w:p>
        </w:tc>
        <w:tc>
          <w:tcPr>
            <w:tcW w:w="1314" w:type="dxa"/>
            <w:vAlign w:val="center"/>
          </w:tcPr>
          <w:p w14:paraId="74F60A9D">
            <w:pPr>
              <w:jc w:val="center"/>
              <w:rPr>
                <w:rFonts w:ascii="宋体" w:hAnsi="宋体"/>
                <w:color w:val="auto"/>
                <w:szCs w:val="44"/>
                <w:highlight w:val="none"/>
              </w:rPr>
            </w:pPr>
          </w:p>
        </w:tc>
        <w:tc>
          <w:tcPr>
            <w:tcW w:w="1313" w:type="dxa"/>
            <w:vAlign w:val="center"/>
          </w:tcPr>
          <w:p w14:paraId="2E0EC579">
            <w:pPr>
              <w:jc w:val="center"/>
              <w:rPr>
                <w:rFonts w:ascii="宋体" w:hAnsi="宋体"/>
                <w:color w:val="auto"/>
                <w:szCs w:val="44"/>
                <w:highlight w:val="none"/>
              </w:rPr>
            </w:pPr>
          </w:p>
        </w:tc>
        <w:tc>
          <w:tcPr>
            <w:tcW w:w="1314" w:type="dxa"/>
            <w:vAlign w:val="center"/>
          </w:tcPr>
          <w:p w14:paraId="5F785B9C">
            <w:pPr>
              <w:jc w:val="center"/>
              <w:rPr>
                <w:rFonts w:ascii="宋体" w:hAnsi="宋体"/>
                <w:color w:val="auto"/>
                <w:szCs w:val="44"/>
                <w:highlight w:val="none"/>
              </w:rPr>
            </w:pPr>
          </w:p>
        </w:tc>
        <w:tc>
          <w:tcPr>
            <w:tcW w:w="1314" w:type="dxa"/>
            <w:vAlign w:val="center"/>
          </w:tcPr>
          <w:p w14:paraId="58C157C1">
            <w:pPr>
              <w:jc w:val="center"/>
              <w:rPr>
                <w:rFonts w:ascii="宋体" w:hAnsi="宋体"/>
                <w:color w:val="auto"/>
                <w:szCs w:val="44"/>
                <w:highlight w:val="none"/>
              </w:rPr>
            </w:pPr>
          </w:p>
        </w:tc>
        <w:tc>
          <w:tcPr>
            <w:tcW w:w="1204" w:type="dxa"/>
            <w:vAlign w:val="center"/>
          </w:tcPr>
          <w:p w14:paraId="0315D28A">
            <w:pPr>
              <w:jc w:val="center"/>
              <w:rPr>
                <w:rFonts w:ascii="宋体" w:hAnsi="宋体"/>
                <w:color w:val="auto"/>
                <w:szCs w:val="44"/>
                <w:highlight w:val="none"/>
              </w:rPr>
            </w:pPr>
          </w:p>
        </w:tc>
        <w:tc>
          <w:tcPr>
            <w:tcW w:w="1995" w:type="dxa"/>
            <w:vAlign w:val="center"/>
          </w:tcPr>
          <w:p w14:paraId="71EF6746">
            <w:pPr>
              <w:jc w:val="center"/>
              <w:rPr>
                <w:rFonts w:ascii="宋体" w:hAnsi="宋体"/>
                <w:color w:val="auto"/>
                <w:szCs w:val="44"/>
                <w:highlight w:val="none"/>
              </w:rPr>
            </w:pPr>
          </w:p>
        </w:tc>
      </w:tr>
      <w:tr w14:paraId="3993B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2ACAE2AE">
            <w:pPr>
              <w:jc w:val="center"/>
              <w:rPr>
                <w:rFonts w:ascii="宋体" w:hAnsi="宋体"/>
                <w:color w:val="auto"/>
                <w:szCs w:val="44"/>
                <w:highlight w:val="none"/>
              </w:rPr>
            </w:pPr>
            <w:r>
              <w:rPr>
                <w:rFonts w:hint="eastAsia" w:ascii="宋体" w:hAnsi="宋体"/>
                <w:color w:val="auto"/>
                <w:szCs w:val="44"/>
                <w:highlight w:val="none"/>
              </w:rPr>
              <w:t>4</w:t>
            </w:r>
          </w:p>
        </w:tc>
        <w:tc>
          <w:tcPr>
            <w:tcW w:w="1753" w:type="dxa"/>
            <w:vAlign w:val="center"/>
          </w:tcPr>
          <w:p w14:paraId="680EEB09">
            <w:pPr>
              <w:jc w:val="center"/>
              <w:rPr>
                <w:rFonts w:ascii="宋体" w:hAnsi="宋体"/>
                <w:color w:val="auto"/>
                <w:szCs w:val="44"/>
                <w:highlight w:val="none"/>
              </w:rPr>
            </w:pPr>
          </w:p>
        </w:tc>
        <w:tc>
          <w:tcPr>
            <w:tcW w:w="1313" w:type="dxa"/>
            <w:vAlign w:val="center"/>
          </w:tcPr>
          <w:p w14:paraId="73782553">
            <w:pPr>
              <w:jc w:val="center"/>
              <w:rPr>
                <w:color w:val="auto"/>
                <w:highlight w:val="none"/>
              </w:rPr>
            </w:pPr>
          </w:p>
        </w:tc>
        <w:tc>
          <w:tcPr>
            <w:tcW w:w="1314" w:type="dxa"/>
            <w:vAlign w:val="center"/>
          </w:tcPr>
          <w:p w14:paraId="21191890">
            <w:pPr>
              <w:jc w:val="center"/>
              <w:rPr>
                <w:rFonts w:ascii="宋体" w:hAnsi="宋体"/>
                <w:color w:val="auto"/>
                <w:szCs w:val="44"/>
                <w:highlight w:val="none"/>
              </w:rPr>
            </w:pPr>
          </w:p>
        </w:tc>
        <w:tc>
          <w:tcPr>
            <w:tcW w:w="1314" w:type="dxa"/>
            <w:vAlign w:val="center"/>
          </w:tcPr>
          <w:p w14:paraId="36B0B1EE">
            <w:pPr>
              <w:jc w:val="center"/>
              <w:rPr>
                <w:rFonts w:ascii="宋体" w:hAnsi="宋体"/>
                <w:color w:val="auto"/>
                <w:szCs w:val="44"/>
                <w:highlight w:val="none"/>
              </w:rPr>
            </w:pPr>
          </w:p>
        </w:tc>
        <w:tc>
          <w:tcPr>
            <w:tcW w:w="1313" w:type="dxa"/>
            <w:vAlign w:val="center"/>
          </w:tcPr>
          <w:p w14:paraId="7D0F60A0">
            <w:pPr>
              <w:jc w:val="center"/>
              <w:rPr>
                <w:rFonts w:ascii="宋体" w:hAnsi="宋体"/>
                <w:color w:val="auto"/>
                <w:szCs w:val="44"/>
                <w:highlight w:val="none"/>
              </w:rPr>
            </w:pPr>
          </w:p>
        </w:tc>
        <w:tc>
          <w:tcPr>
            <w:tcW w:w="1314" w:type="dxa"/>
            <w:vAlign w:val="center"/>
          </w:tcPr>
          <w:p w14:paraId="51BDE490">
            <w:pPr>
              <w:jc w:val="center"/>
              <w:rPr>
                <w:rFonts w:ascii="宋体" w:hAnsi="宋体"/>
                <w:color w:val="auto"/>
                <w:szCs w:val="44"/>
                <w:highlight w:val="none"/>
              </w:rPr>
            </w:pPr>
          </w:p>
        </w:tc>
        <w:tc>
          <w:tcPr>
            <w:tcW w:w="1314" w:type="dxa"/>
            <w:vAlign w:val="center"/>
          </w:tcPr>
          <w:p w14:paraId="0B35F9F2">
            <w:pPr>
              <w:jc w:val="center"/>
              <w:rPr>
                <w:rFonts w:ascii="宋体" w:hAnsi="宋体"/>
                <w:color w:val="auto"/>
                <w:szCs w:val="44"/>
                <w:highlight w:val="none"/>
              </w:rPr>
            </w:pPr>
          </w:p>
        </w:tc>
        <w:tc>
          <w:tcPr>
            <w:tcW w:w="1204" w:type="dxa"/>
            <w:vAlign w:val="center"/>
          </w:tcPr>
          <w:p w14:paraId="4CAB6E65">
            <w:pPr>
              <w:jc w:val="center"/>
              <w:rPr>
                <w:rFonts w:ascii="宋体" w:hAnsi="宋体"/>
                <w:color w:val="auto"/>
                <w:szCs w:val="44"/>
                <w:highlight w:val="none"/>
              </w:rPr>
            </w:pPr>
          </w:p>
        </w:tc>
        <w:tc>
          <w:tcPr>
            <w:tcW w:w="1995" w:type="dxa"/>
            <w:vAlign w:val="center"/>
          </w:tcPr>
          <w:p w14:paraId="244B99DC">
            <w:pPr>
              <w:jc w:val="center"/>
              <w:rPr>
                <w:rFonts w:ascii="宋体" w:hAnsi="宋体"/>
                <w:color w:val="auto"/>
                <w:szCs w:val="44"/>
                <w:highlight w:val="none"/>
              </w:rPr>
            </w:pPr>
          </w:p>
        </w:tc>
      </w:tr>
      <w:tr w14:paraId="2ADD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tcBorders>
              <w:bottom w:val="single" w:color="auto" w:sz="4" w:space="0"/>
            </w:tcBorders>
            <w:vAlign w:val="center"/>
          </w:tcPr>
          <w:p w14:paraId="4ACEF2BB">
            <w:pPr>
              <w:jc w:val="center"/>
              <w:rPr>
                <w:rFonts w:ascii="宋体" w:hAnsi="宋体"/>
                <w:color w:val="auto"/>
                <w:szCs w:val="44"/>
                <w:highlight w:val="none"/>
              </w:rPr>
            </w:pPr>
            <w:r>
              <w:rPr>
                <w:rFonts w:hint="eastAsia" w:ascii="宋体" w:hAnsi="宋体"/>
                <w:color w:val="auto"/>
                <w:szCs w:val="44"/>
                <w:highlight w:val="none"/>
              </w:rPr>
              <w:t>5</w:t>
            </w:r>
          </w:p>
        </w:tc>
        <w:tc>
          <w:tcPr>
            <w:tcW w:w="1753" w:type="dxa"/>
            <w:tcBorders>
              <w:bottom w:val="single" w:color="auto" w:sz="4" w:space="0"/>
            </w:tcBorders>
            <w:vAlign w:val="center"/>
          </w:tcPr>
          <w:p w14:paraId="6755947D">
            <w:pPr>
              <w:jc w:val="center"/>
              <w:rPr>
                <w:rFonts w:ascii="宋体" w:hAnsi="宋体"/>
                <w:color w:val="auto"/>
                <w:szCs w:val="44"/>
                <w:highlight w:val="none"/>
              </w:rPr>
            </w:pPr>
          </w:p>
        </w:tc>
        <w:tc>
          <w:tcPr>
            <w:tcW w:w="1313" w:type="dxa"/>
            <w:tcBorders>
              <w:bottom w:val="single" w:color="auto" w:sz="4" w:space="0"/>
            </w:tcBorders>
            <w:vAlign w:val="center"/>
          </w:tcPr>
          <w:p w14:paraId="2B4A9673">
            <w:pPr>
              <w:jc w:val="center"/>
              <w:rPr>
                <w:color w:val="auto"/>
                <w:highlight w:val="none"/>
              </w:rPr>
            </w:pPr>
          </w:p>
        </w:tc>
        <w:tc>
          <w:tcPr>
            <w:tcW w:w="1314" w:type="dxa"/>
            <w:tcBorders>
              <w:bottom w:val="single" w:color="auto" w:sz="4" w:space="0"/>
            </w:tcBorders>
            <w:vAlign w:val="center"/>
          </w:tcPr>
          <w:p w14:paraId="6378147A">
            <w:pPr>
              <w:jc w:val="center"/>
              <w:rPr>
                <w:rFonts w:ascii="宋体" w:hAnsi="宋体"/>
                <w:color w:val="auto"/>
                <w:szCs w:val="44"/>
                <w:highlight w:val="none"/>
              </w:rPr>
            </w:pPr>
          </w:p>
        </w:tc>
        <w:tc>
          <w:tcPr>
            <w:tcW w:w="1314" w:type="dxa"/>
            <w:tcBorders>
              <w:bottom w:val="single" w:color="auto" w:sz="4" w:space="0"/>
            </w:tcBorders>
            <w:vAlign w:val="center"/>
          </w:tcPr>
          <w:p w14:paraId="5D5EC61F">
            <w:pPr>
              <w:jc w:val="center"/>
              <w:rPr>
                <w:rFonts w:ascii="宋体" w:hAnsi="宋体"/>
                <w:color w:val="auto"/>
                <w:szCs w:val="44"/>
                <w:highlight w:val="none"/>
              </w:rPr>
            </w:pPr>
          </w:p>
        </w:tc>
        <w:tc>
          <w:tcPr>
            <w:tcW w:w="1313" w:type="dxa"/>
            <w:tcBorders>
              <w:bottom w:val="single" w:color="auto" w:sz="4" w:space="0"/>
            </w:tcBorders>
            <w:vAlign w:val="center"/>
          </w:tcPr>
          <w:p w14:paraId="4DE60D7E">
            <w:pPr>
              <w:jc w:val="center"/>
              <w:rPr>
                <w:rFonts w:ascii="宋体" w:hAnsi="宋体"/>
                <w:color w:val="auto"/>
                <w:szCs w:val="44"/>
                <w:highlight w:val="none"/>
              </w:rPr>
            </w:pPr>
          </w:p>
        </w:tc>
        <w:tc>
          <w:tcPr>
            <w:tcW w:w="1314" w:type="dxa"/>
            <w:tcBorders>
              <w:bottom w:val="single" w:color="auto" w:sz="4" w:space="0"/>
            </w:tcBorders>
            <w:vAlign w:val="center"/>
          </w:tcPr>
          <w:p w14:paraId="24016633">
            <w:pPr>
              <w:jc w:val="center"/>
              <w:rPr>
                <w:rFonts w:ascii="宋体" w:hAnsi="宋体"/>
                <w:color w:val="auto"/>
                <w:szCs w:val="44"/>
                <w:highlight w:val="none"/>
              </w:rPr>
            </w:pPr>
          </w:p>
        </w:tc>
        <w:tc>
          <w:tcPr>
            <w:tcW w:w="1314" w:type="dxa"/>
            <w:tcBorders>
              <w:bottom w:val="single" w:color="auto" w:sz="4" w:space="0"/>
            </w:tcBorders>
            <w:vAlign w:val="center"/>
          </w:tcPr>
          <w:p w14:paraId="56F066AF">
            <w:pPr>
              <w:jc w:val="center"/>
              <w:rPr>
                <w:rFonts w:ascii="宋体" w:hAnsi="宋体"/>
                <w:color w:val="auto"/>
                <w:szCs w:val="44"/>
                <w:highlight w:val="none"/>
              </w:rPr>
            </w:pPr>
          </w:p>
        </w:tc>
        <w:tc>
          <w:tcPr>
            <w:tcW w:w="1204" w:type="dxa"/>
            <w:tcBorders>
              <w:bottom w:val="single" w:color="auto" w:sz="4" w:space="0"/>
            </w:tcBorders>
            <w:vAlign w:val="center"/>
          </w:tcPr>
          <w:p w14:paraId="00AEB343">
            <w:pPr>
              <w:jc w:val="center"/>
              <w:rPr>
                <w:rFonts w:ascii="宋体" w:hAnsi="宋体"/>
                <w:color w:val="auto"/>
                <w:szCs w:val="44"/>
                <w:highlight w:val="none"/>
              </w:rPr>
            </w:pPr>
          </w:p>
        </w:tc>
        <w:tc>
          <w:tcPr>
            <w:tcW w:w="1995" w:type="dxa"/>
            <w:tcBorders>
              <w:bottom w:val="single" w:color="auto" w:sz="4" w:space="0"/>
            </w:tcBorders>
            <w:vAlign w:val="center"/>
          </w:tcPr>
          <w:p w14:paraId="1680494B">
            <w:pPr>
              <w:jc w:val="center"/>
              <w:rPr>
                <w:rFonts w:ascii="宋体" w:hAnsi="宋体"/>
                <w:color w:val="auto"/>
                <w:szCs w:val="44"/>
                <w:highlight w:val="none"/>
              </w:rPr>
            </w:pPr>
          </w:p>
        </w:tc>
      </w:tr>
      <w:tr w14:paraId="3CDA9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14:paraId="566AEBE5">
            <w:pPr>
              <w:jc w:val="center"/>
              <w:rPr>
                <w:rFonts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753" w:type="dxa"/>
            <w:tcBorders>
              <w:top w:val="single" w:color="auto" w:sz="4" w:space="0"/>
              <w:left w:val="single" w:color="auto" w:sz="4" w:space="0"/>
              <w:bottom w:val="single" w:color="auto" w:sz="4" w:space="0"/>
              <w:right w:val="single" w:color="auto" w:sz="4" w:space="0"/>
            </w:tcBorders>
            <w:vAlign w:val="center"/>
          </w:tcPr>
          <w:p w14:paraId="57166D59">
            <w:pPr>
              <w:rPr>
                <w:rFonts w:ascii="宋体" w:hAnsi="宋体"/>
                <w:color w:val="auto"/>
                <w:szCs w:val="21"/>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3656E9E3">
            <w:pPr>
              <w:jc w:val="center"/>
              <w:rPr>
                <w:color w:val="auto"/>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14:paraId="4C321DF4">
            <w:pPr>
              <w:jc w:val="center"/>
              <w:rPr>
                <w:rFonts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14:paraId="646B482D">
            <w:pPr>
              <w:jc w:val="center"/>
              <w:rPr>
                <w:rFonts w:ascii="宋体" w:hAnsi="宋体"/>
                <w:color w:val="auto"/>
                <w:szCs w:val="4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096C107C">
            <w:pPr>
              <w:jc w:val="center"/>
              <w:rPr>
                <w:rFonts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14:paraId="515D76E0">
            <w:pPr>
              <w:jc w:val="center"/>
              <w:rPr>
                <w:rFonts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14:paraId="50D5B167">
            <w:pPr>
              <w:jc w:val="center"/>
              <w:rPr>
                <w:rFonts w:ascii="宋体" w:hAnsi="宋体"/>
                <w:color w:val="auto"/>
                <w:szCs w:val="44"/>
                <w:highlight w:val="none"/>
              </w:rPr>
            </w:pPr>
          </w:p>
        </w:tc>
        <w:tc>
          <w:tcPr>
            <w:tcW w:w="1204" w:type="dxa"/>
            <w:tcBorders>
              <w:top w:val="single" w:color="auto" w:sz="4" w:space="0"/>
              <w:left w:val="single" w:color="auto" w:sz="4" w:space="0"/>
              <w:bottom w:val="single" w:color="auto" w:sz="4" w:space="0"/>
              <w:right w:val="single" w:color="auto" w:sz="4" w:space="0"/>
            </w:tcBorders>
            <w:vAlign w:val="center"/>
          </w:tcPr>
          <w:p w14:paraId="1AB02472">
            <w:pPr>
              <w:jc w:val="center"/>
              <w:rPr>
                <w:rFonts w:ascii="宋体" w:hAnsi="宋体"/>
                <w:color w:val="auto"/>
                <w:szCs w:val="44"/>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7C28BF70">
            <w:pPr>
              <w:jc w:val="center"/>
              <w:rPr>
                <w:rFonts w:ascii="宋体" w:hAnsi="宋体"/>
                <w:color w:val="auto"/>
                <w:szCs w:val="44"/>
                <w:highlight w:val="none"/>
              </w:rPr>
            </w:pPr>
          </w:p>
        </w:tc>
      </w:tr>
      <w:tr w14:paraId="600D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3603" w:type="dxa"/>
            <w:gridSpan w:val="10"/>
            <w:tcBorders>
              <w:top w:val="single" w:color="auto" w:sz="4" w:space="0"/>
              <w:left w:val="single" w:color="auto" w:sz="4" w:space="0"/>
              <w:bottom w:val="single" w:color="auto" w:sz="4" w:space="0"/>
              <w:right w:val="single" w:color="auto" w:sz="4" w:space="0"/>
            </w:tcBorders>
            <w:vAlign w:val="center"/>
          </w:tcPr>
          <w:p w14:paraId="40705017">
            <w:pPr>
              <w:jc w:val="left"/>
              <w:rPr>
                <w:rFonts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1A329820">
            <w:pPr>
              <w:jc w:val="left"/>
              <w:rPr>
                <w:rFonts w:ascii="宋体" w:hAnsi="宋体"/>
                <w:color w:val="auto"/>
                <w:szCs w:val="44"/>
                <w:highlight w:val="none"/>
              </w:rPr>
            </w:pPr>
          </w:p>
          <w:p w14:paraId="455C63B0">
            <w:pPr>
              <w:jc w:val="left"/>
              <w:rPr>
                <w:rFonts w:ascii="宋体" w:hAnsi="宋体"/>
                <w:color w:val="auto"/>
                <w:szCs w:val="44"/>
                <w:highlight w:val="none"/>
              </w:rPr>
            </w:pPr>
          </w:p>
          <w:p w14:paraId="1D7D4D4C">
            <w:pPr>
              <w:jc w:val="center"/>
              <w:rPr>
                <w:rFonts w:ascii="宋体" w:hAnsi="宋体"/>
                <w:color w:val="auto"/>
                <w:szCs w:val="44"/>
                <w:highlight w:val="none"/>
              </w:rPr>
            </w:pPr>
          </w:p>
        </w:tc>
      </w:tr>
    </w:tbl>
    <w:p w14:paraId="2ECBDDB7">
      <w:pPr>
        <w:ind w:firstLine="10080" w:firstLineChars="4800"/>
        <w:rPr>
          <w:color w:val="auto"/>
          <w:highlight w:val="none"/>
        </w:rPr>
      </w:pPr>
      <w:r>
        <w:rPr>
          <w:rFonts w:hint="eastAsia"/>
          <w:color w:val="auto"/>
          <w:highlight w:val="none"/>
        </w:rPr>
        <w:t xml:space="preserve">     日期：   　　 年    月　  日</w:t>
      </w:r>
    </w:p>
    <w:p w14:paraId="234014CC">
      <w:pPr>
        <w:widowControl/>
        <w:jc w:val="left"/>
        <w:rPr>
          <w:color w:val="auto"/>
          <w:highlight w:val="none"/>
        </w:rPr>
      </w:pPr>
      <w:r>
        <w:rPr>
          <w:color w:val="auto"/>
          <w:highlight w:val="none"/>
        </w:rPr>
        <w:br w:type="page"/>
      </w:r>
    </w:p>
    <w:p w14:paraId="4CB46A87">
      <w:pPr>
        <w:ind w:firstLine="10080" w:firstLineChars="4800"/>
        <w:rPr>
          <w:color w:val="auto"/>
          <w:highlight w:val="none"/>
        </w:rPr>
      </w:pPr>
    </w:p>
    <w:p w14:paraId="07CB25BF">
      <w:pPr>
        <w:pStyle w:val="37"/>
        <w:ind w:firstLine="118"/>
        <w:rPr>
          <w:color w:val="auto"/>
          <w:highlight w:val="none"/>
        </w:rPr>
      </w:pPr>
      <w:bookmarkStart w:id="1099" w:name="_Toc164716319"/>
      <w:bookmarkStart w:id="1100" w:name="_Toc256000149"/>
      <w:bookmarkStart w:id="1101" w:name="_Toc7897"/>
      <w:bookmarkStart w:id="1102" w:name="_Toc17064"/>
      <w:bookmarkStart w:id="1103" w:name="_Toc148860679"/>
      <w:r>
        <w:rPr>
          <w:rFonts w:hint="eastAsia"/>
          <w:color w:val="auto"/>
          <w:highlight w:val="none"/>
        </w:rPr>
        <w:t>附表A-1</w:t>
      </w:r>
      <w:r>
        <w:rPr>
          <w:color w:val="auto"/>
          <w:highlight w:val="none"/>
        </w:rPr>
        <w:t>6</w:t>
      </w:r>
      <w:r>
        <w:rPr>
          <w:rFonts w:hint="eastAsia"/>
          <w:color w:val="auto"/>
          <w:highlight w:val="none"/>
        </w:rPr>
        <w:t>：详细评审评分汇总表</w:t>
      </w:r>
      <w:bookmarkEnd w:id="1099"/>
      <w:bookmarkEnd w:id="1100"/>
      <w:bookmarkEnd w:id="1101"/>
      <w:bookmarkEnd w:id="1102"/>
      <w:bookmarkEnd w:id="1103"/>
    </w:p>
    <w:p w14:paraId="4166DC80">
      <w:pPr>
        <w:adjustRightInd w:val="0"/>
        <w:snapToGrid w:val="0"/>
        <w:spacing w:before="240" w:beforeLines="100" w:after="240" w:afterLines="100" w:line="440" w:lineRule="exact"/>
        <w:jc w:val="center"/>
        <w:rPr>
          <w:rFonts w:ascii="黑体" w:eastAsia="黑体"/>
          <w:color w:val="auto"/>
          <w:sz w:val="36"/>
          <w:szCs w:val="36"/>
          <w:highlight w:val="none"/>
        </w:rPr>
      </w:pPr>
      <w:r>
        <w:rPr>
          <w:rFonts w:hint="eastAsia" w:ascii="黑体" w:eastAsia="黑体"/>
          <w:color w:val="auto"/>
          <w:sz w:val="36"/>
          <w:szCs w:val="36"/>
          <w:highlight w:val="none"/>
        </w:rPr>
        <w:t>详细评审评分</w:t>
      </w:r>
      <w:r>
        <w:rPr>
          <w:rFonts w:hint="eastAsia" w:ascii="黑体" w:hAnsi="宋体" w:eastAsia="黑体"/>
          <w:color w:val="auto"/>
          <w:sz w:val="36"/>
          <w:szCs w:val="36"/>
          <w:highlight w:val="none"/>
        </w:rPr>
        <w:t>汇总</w:t>
      </w:r>
      <w:r>
        <w:rPr>
          <w:rFonts w:hint="eastAsia" w:ascii="黑体" w:eastAsia="黑体"/>
          <w:color w:val="auto"/>
          <w:sz w:val="36"/>
          <w:szCs w:val="36"/>
          <w:highlight w:val="none"/>
        </w:rPr>
        <w:t>表</w:t>
      </w:r>
    </w:p>
    <w:p w14:paraId="790C7AFC">
      <w:pPr>
        <w:rPr>
          <w:rFonts w:ascii="宋体" w:hAnsi="宋体"/>
          <w:color w:val="auto"/>
          <w:szCs w:val="44"/>
          <w:highlight w:val="none"/>
        </w:rPr>
      </w:pPr>
      <w:r>
        <w:rPr>
          <w:rFonts w:hint="eastAsia" w:ascii="宋体" w:hAnsi="宋体"/>
          <w:color w:val="auto"/>
          <w:szCs w:val="44"/>
          <w:highlight w:val="none"/>
        </w:rPr>
        <w:t>标段名称：</w:t>
      </w:r>
    </w:p>
    <w:p w14:paraId="4B801BC6">
      <w:pPr>
        <w:rPr>
          <w:color w:val="auto"/>
          <w:szCs w:val="44"/>
          <w:highlight w:val="none"/>
        </w:rPr>
      </w:pPr>
      <w:r>
        <w:rPr>
          <w:rFonts w:hint="eastAsia"/>
          <w:color w:val="auto"/>
          <w:szCs w:val="44"/>
          <w:highlight w:val="none"/>
        </w:rPr>
        <w:t>标段唯一标识码：</w:t>
      </w:r>
    </w:p>
    <w:tbl>
      <w:tblPr>
        <w:tblStyle w:val="25"/>
        <w:tblW w:w="14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2963"/>
        <w:gridCol w:w="1843"/>
        <w:gridCol w:w="1418"/>
        <w:gridCol w:w="1417"/>
        <w:gridCol w:w="1276"/>
        <w:gridCol w:w="1614"/>
        <w:gridCol w:w="1221"/>
        <w:gridCol w:w="1298"/>
      </w:tblGrid>
      <w:tr w14:paraId="49AC4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01" w:type="dxa"/>
            <w:vMerge w:val="restart"/>
            <w:vAlign w:val="center"/>
          </w:tcPr>
          <w:p w14:paraId="3C9B1F23">
            <w:pPr>
              <w:jc w:val="center"/>
              <w:rPr>
                <w:rFonts w:ascii="宋体" w:hAnsi="宋体"/>
                <w:b/>
                <w:bCs/>
                <w:color w:val="auto"/>
                <w:szCs w:val="21"/>
                <w:highlight w:val="none"/>
              </w:rPr>
            </w:pPr>
            <w:r>
              <w:rPr>
                <w:rFonts w:hint="eastAsia" w:ascii="宋体" w:hAnsi="宋体"/>
                <w:b/>
                <w:bCs/>
                <w:color w:val="auto"/>
                <w:szCs w:val="21"/>
                <w:highlight w:val="none"/>
              </w:rPr>
              <w:t>序号</w:t>
            </w:r>
          </w:p>
        </w:tc>
        <w:tc>
          <w:tcPr>
            <w:tcW w:w="2963" w:type="dxa"/>
            <w:vMerge w:val="restart"/>
            <w:vAlign w:val="center"/>
          </w:tcPr>
          <w:p w14:paraId="57FD775E">
            <w:pPr>
              <w:jc w:val="center"/>
              <w:rPr>
                <w:rFonts w:ascii="宋体" w:hAnsi="宋体"/>
                <w:b/>
                <w:bCs/>
                <w:color w:val="auto"/>
                <w:szCs w:val="21"/>
                <w:highlight w:val="none"/>
              </w:rPr>
            </w:pPr>
            <w:r>
              <w:rPr>
                <w:rFonts w:hint="eastAsia" w:ascii="宋体" w:hAnsi="宋体"/>
                <w:b/>
                <w:bCs/>
                <w:color w:val="auto"/>
                <w:szCs w:val="21"/>
                <w:highlight w:val="none"/>
              </w:rPr>
              <w:t>投标人名称</w:t>
            </w:r>
          </w:p>
        </w:tc>
        <w:tc>
          <w:tcPr>
            <w:tcW w:w="7568" w:type="dxa"/>
            <w:gridSpan w:val="5"/>
            <w:vAlign w:val="center"/>
          </w:tcPr>
          <w:p w14:paraId="0581BDB7">
            <w:pPr>
              <w:jc w:val="center"/>
              <w:rPr>
                <w:rFonts w:ascii="宋体" w:hAnsi="宋体"/>
                <w:b/>
                <w:bCs/>
                <w:color w:val="auto"/>
                <w:szCs w:val="21"/>
                <w:highlight w:val="none"/>
              </w:rPr>
            </w:pPr>
            <w:r>
              <w:rPr>
                <w:rFonts w:hint="eastAsia" w:ascii="宋体" w:hAnsi="宋体"/>
                <w:b/>
                <w:bCs/>
                <w:color w:val="auto"/>
                <w:szCs w:val="21"/>
                <w:highlight w:val="none"/>
              </w:rPr>
              <w:t>评审类别评审得分</w:t>
            </w:r>
          </w:p>
        </w:tc>
        <w:tc>
          <w:tcPr>
            <w:tcW w:w="1221" w:type="dxa"/>
            <w:vMerge w:val="restart"/>
            <w:vAlign w:val="center"/>
          </w:tcPr>
          <w:p w14:paraId="7EC00CC2">
            <w:pPr>
              <w:jc w:val="center"/>
              <w:rPr>
                <w:rFonts w:ascii="宋体" w:hAnsi="宋体"/>
                <w:b/>
                <w:bCs/>
                <w:color w:val="auto"/>
                <w:szCs w:val="21"/>
                <w:highlight w:val="none"/>
              </w:rPr>
            </w:pPr>
            <w:r>
              <w:rPr>
                <w:rFonts w:hint="eastAsia" w:ascii="宋体" w:hAnsi="宋体"/>
                <w:b/>
                <w:bCs/>
                <w:color w:val="auto"/>
                <w:szCs w:val="21"/>
                <w:highlight w:val="none"/>
              </w:rPr>
              <w:t>评审得分汇总</w:t>
            </w:r>
          </w:p>
        </w:tc>
        <w:tc>
          <w:tcPr>
            <w:tcW w:w="1298" w:type="dxa"/>
            <w:vMerge w:val="restart"/>
            <w:vAlign w:val="center"/>
          </w:tcPr>
          <w:p w14:paraId="2DC2DBF9">
            <w:pPr>
              <w:jc w:val="center"/>
              <w:rPr>
                <w:rFonts w:ascii="宋体" w:hAnsi="宋体"/>
                <w:b/>
                <w:bCs/>
                <w:color w:val="auto"/>
                <w:szCs w:val="21"/>
                <w:highlight w:val="none"/>
              </w:rPr>
            </w:pPr>
            <w:r>
              <w:rPr>
                <w:rFonts w:hint="eastAsia" w:ascii="宋体" w:hAnsi="宋体"/>
                <w:b/>
                <w:bCs/>
                <w:color w:val="auto"/>
                <w:szCs w:val="21"/>
                <w:highlight w:val="none"/>
              </w:rPr>
              <w:t>投标人排名</w:t>
            </w:r>
          </w:p>
        </w:tc>
      </w:tr>
      <w:tr w14:paraId="747D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01" w:type="dxa"/>
            <w:vMerge w:val="continue"/>
            <w:vAlign w:val="center"/>
          </w:tcPr>
          <w:p w14:paraId="78202C7D">
            <w:pPr>
              <w:jc w:val="center"/>
              <w:rPr>
                <w:rFonts w:ascii="宋体" w:hAnsi="宋体"/>
                <w:color w:val="auto"/>
                <w:szCs w:val="21"/>
                <w:highlight w:val="none"/>
              </w:rPr>
            </w:pPr>
          </w:p>
        </w:tc>
        <w:tc>
          <w:tcPr>
            <w:tcW w:w="2963" w:type="dxa"/>
            <w:vMerge w:val="continue"/>
          </w:tcPr>
          <w:p w14:paraId="0740D0F7">
            <w:pPr>
              <w:jc w:val="center"/>
              <w:rPr>
                <w:rFonts w:ascii="宋体" w:hAnsi="宋体"/>
                <w:color w:val="auto"/>
                <w:szCs w:val="21"/>
                <w:highlight w:val="none"/>
              </w:rPr>
            </w:pPr>
          </w:p>
        </w:tc>
        <w:tc>
          <w:tcPr>
            <w:tcW w:w="1843" w:type="dxa"/>
            <w:vAlign w:val="center"/>
          </w:tcPr>
          <w:p w14:paraId="3F6C5165">
            <w:pPr>
              <w:jc w:val="center"/>
              <w:rPr>
                <w:rFonts w:ascii="宋体" w:hAnsi="宋体"/>
                <w:b/>
                <w:bCs/>
                <w:color w:val="auto"/>
                <w:szCs w:val="21"/>
                <w:highlight w:val="none"/>
              </w:rPr>
            </w:pPr>
            <w:r>
              <w:rPr>
                <w:rFonts w:hint="eastAsia"/>
                <w:b/>
                <w:bCs/>
                <w:color w:val="auto"/>
                <w:highlight w:val="none"/>
              </w:rPr>
              <w:t>投标报价</w:t>
            </w:r>
          </w:p>
        </w:tc>
        <w:tc>
          <w:tcPr>
            <w:tcW w:w="1418" w:type="dxa"/>
            <w:vAlign w:val="center"/>
          </w:tcPr>
          <w:p w14:paraId="0C4A2CF2">
            <w:pPr>
              <w:jc w:val="center"/>
              <w:rPr>
                <w:rFonts w:ascii="宋体" w:hAnsi="宋体"/>
                <w:b/>
                <w:bCs/>
                <w:color w:val="auto"/>
                <w:szCs w:val="21"/>
                <w:highlight w:val="none"/>
              </w:rPr>
            </w:pPr>
            <w:r>
              <w:rPr>
                <w:rFonts w:hint="eastAsia" w:ascii="宋体" w:hAnsi="宋体"/>
                <w:b/>
                <w:bCs/>
                <w:color w:val="auto"/>
                <w:szCs w:val="21"/>
                <w:highlight w:val="none"/>
              </w:rPr>
              <w:t>承包人建议书</w:t>
            </w:r>
          </w:p>
        </w:tc>
        <w:tc>
          <w:tcPr>
            <w:tcW w:w="1417" w:type="dxa"/>
            <w:vAlign w:val="center"/>
          </w:tcPr>
          <w:p w14:paraId="53BD8692">
            <w:pPr>
              <w:jc w:val="center"/>
              <w:rPr>
                <w:rFonts w:ascii="宋体" w:hAnsi="宋体"/>
                <w:b/>
                <w:bCs/>
                <w:color w:val="auto"/>
                <w:szCs w:val="21"/>
                <w:highlight w:val="none"/>
              </w:rPr>
            </w:pPr>
            <w:r>
              <w:rPr>
                <w:rFonts w:hint="eastAsia"/>
                <w:b/>
                <w:bCs/>
                <w:color w:val="auto"/>
                <w:highlight w:val="none"/>
              </w:rPr>
              <w:t>承包人实施方案</w:t>
            </w:r>
          </w:p>
        </w:tc>
        <w:tc>
          <w:tcPr>
            <w:tcW w:w="1276" w:type="dxa"/>
            <w:vAlign w:val="center"/>
          </w:tcPr>
          <w:p w14:paraId="536810E3">
            <w:pPr>
              <w:jc w:val="center"/>
              <w:rPr>
                <w:rFonts w:ascii="宋体" w:hAnsi="宋体"/>
                <w:b/>
                <w:bCs/>
                <w:color w:val="auto"/>
                <w:szCs w:val="21"/>
                <w:highlight w:val="none"/>
              </w:rPr>
            </w:pPr>
            <w:r>
              <w:rPr>
                <w:rFonts w:hint="eastAsia"/>
                <w:b/>
                <w:bCs/>
                <w:color w:val="auto"/>
                <w:highlight w:val="none"/>
              </w:rPr>
              <w:t>资信业绩</w:t>
            </w:r>
          </w:p>
        </w:tc>
        <w:tc>
          <w:tcPr>
            <w:tcW w:w="1614" w:type="dxa"/>
            <w:tcBorders>
              <w:right w:val="single" w:color="auto" w:sz="4" w:space="0"/>
            </w:tcBorders>
            <w:vAlign w:val="center"/>
          </w:tcPr>
          <w:p w14:paraId="3137CEC1">
            <w:pPr>
              <w:jc w:val="center"/>
              <w:rPr>
                <w:rFonts w:ascii="宋体" w:hAnsi="宋体"/>
                <w:b/>
                <w:bCs/>
                <w:color w:val="auto"/>
                <w:szCs w:val="21"/>
                <w:highlight w:val="none"/>
              </w:rPr>
            </w:pPr>
            <w:r>
              <w:rPr>
                <w:rFonts w:hint="eastAsia" w:ascii="宋体" w:hAnsi="宋体"/>
                <w:b/>
                <w:bCs/>
                <w:color w:val="auto"/>
                <w:szCs w:val="21"/>
                <w:highlight w:val="none"/>
              </w:rPr>
              <w:t>其他因素</w:t>
            </w:r>
          </w:p>
        </w:tc>
        <w:tc>
          <w:tcPr>
            <w:tcW w:w="1221" w:type="dxa"/>
            <w:vMerge w:val="continue"/>
            <w:vAlign w:val="center"/>
          </w:tcPr>
          <w:p w14:paraId="25232E65">
            <w:pPr>
              <w:jc w:val="center"/>
              <w:rPr>
                <w:rFonts w:ascii="宋体" w:hAnsi="宋体"/>
                <w:color w:val="auto"/>
                <w:szCs w:val="21"/>
                <w:highlight w:val="none"/>
              </w:rPr>
            </w:pPr>
          </w:p>
        </w:tc>
        <w:tc>
          <w:tcPr>
            <w:tcW w:w="1298" w:type="dxa"/>
            <w:vMerge w:val="continue"/>
            <w:vAlign w:val="center"/>
          </w:tcPr>
          <w:p w14:paraId="2B985213">
            <w:pPr>
              <w:jc w:val="center"/>
              <w:rPr>
                <w:rFonts w:ascii="宋体" w:hAnsi="宋体"/>
                <w:color w:val="auto"/>
                <w:szCs w:val="21"/>
                <w:highlight w:val="none"/>
              </w:rPr>
            </w:pPr>
          </w:p>
        </w:tc>
      </w:tr>
      <w:tr w14:paraId="2CE8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4BC9E6FD">
            <w:pPr>
              <w:jc w:val="center"/>
              <w:rPr>
                <w:rFonts w:ascii="宋体" w:hAnsi="宋体"/>
                <w:color w:val="auto"/>
                <w:szCs w:val="21"/>
                <w:highlight w:val="none"/>
              </w:rPr>
            </w:pPr>
            <w:r>
              <w:rPr>
                <w:rFonts w:hint="eastAsia" w:ascii="宋体" w:hAnsi="宋体"/>
                <w:color w:val="auto"/>
                <w:szCs w:val="21"/>
                <w:highlight w:val="none"/>
              </w:rPr>
              <w:t>1</w:t>
            </w:r>
          </w:p>
        </w:tc>
        <w:tc>
          <w:tcPr>
            <w:tcW w:w="2963" w:type="dxa"/>
            <w:vAlign w:val="center"/>
          </w:tcPr>
          <w:p w14:paraId="11AAB41F">
            <w:pPr>
              <w:jc w:val="center"/>
              <w:rPr>
                <w:rFonts w:ascii="宋体" w:hAnsi="宋体"/>
                <w:color w:val="auto"/>
                <w:szCs w:val="21"/>
                <w:highlight w:val="none"/>
              </w:rPr>
            </w:pPr>
          </w:p>
        </w:tc>
        <w:tc>
          <w:tcPr>
            <w:tcW w:w="1843" w:type="dxa"/>
            <w:vAlign w:val="center"/>
          </w:tcPr>
          <w:p w14:paraId="1A206715">
            <w:pPr>
              <w:jc w:val="center"/>
              <w:rPr>
                <w:rFonts w:ascii="宋体" w:hAnsi="宋体"/>
                <w:color w:val="auto"/>
                <w:szCs w:val="21"/>
                <w:highlight w:val="none"/>
              </w:rPr>
            </w:pPr>
          </w:p>
        </w:tc>
        <w:tc>
          <w:tcPr>
            <w:tcW w:w="1418" w:type="dxa"/>
            <w:vAlign w:val="center"/>
          </w:tcPr>
          <w:p w14:paraId="4FB5BE8C">
            <w:pPr>
              <w:jc w:val="center"/>
              <w:rPr>
                <w:rFonts w:ascii="宋体" w:hAnsi="宋体"/>
                <w:color w:val="auto"/>
                <w:szCs w:val="21"/>
                <w:highlight w:val="none"/>
              </w:rPr>
            </w:pPr>
          </w:p>
        </w:tc>
        <w:tc>
          <w:tcPr>
            <w:tcW w:w="1417" w:type="dxa"/>
            <w:vAlign w:val="center"/>
          </w:tcPr>
          <w:p w14:paraId="264F7B63">
            <w:pPr>
              <w:jc w:val="center"/>
              <w:rPr>
                <w:rFonts w:ascii="宋体" w:hAnsi="宋体"/>
                <w:color w:val="auto"/>
                <w:szCs w:val="21"/>
                <w:highlight w:val="none"/>
              </w:rPr>
            </w:pPr>
          </w:p>
        </w:tc>
        <w:tc>
          <w:tcPr>
            <w:tcW w:w="1276" w:type="dxa"/>
            <w:vAlign w:val="center"/>
          </w:tcPr>
          <w:p w14:paraId="1855216E">
            <w:pPr>
              <w:jc w:val="center"/>
              <w:rPr>
                <w:rFonts w:ascii="宋体" w:hAnsi="宋体"/>
                <w:color w:val="auto"/>
                <w:szCs w:val="21"/>
                <w:highlight w:val="none"/>
              </w:rPr>
            </w:pPr>
          </w:p>
        </w:tc>
        <w:tc>
          <w:tcPr>
            <w:tcW w:w="1614" w:type="dxa"/>
            <w:tcBorders>
              <w:right w:val="single" w:color="auto" w:sz="4" w:space="0"/>
            </w:tcBorders>
            <w:vAlign w:val="center"/>
          </w:tcPr>
          <w:p w14:paraId="7D94955D">
            <w:pPr>
              <w:jc w:val="center"/>
              <w:rPr>
                <w:rFonts w:ascii="宋体" w:hAnsi="宋体"/>
                <w:color w:val="auto"/>
                <w:szCs w:val="21"/>
                <w:highlight w:val="none"/>
              </w:rPr>
            </w:pPr>
          </w:p>
        </w:tc>
        <w:tc>
          <w:tcPr>
            <w:tcW w:w="1221" w:type="dxa"/>
            <w:tcBorders>
              <w:right w:val="single" w:color="auto" w:sz="4" w:space="0"/>
            </w:tcBorders>
            <w:vAlign w:val="center"/>
          </w:tcPr>
          <w:p w14:paraId="16F543D3">
            <w:pPr>
              <w:jc w:val="center"/>
              <w:rPr>
                <w:rFonts w:ascii="宋体" w:hAnsi="宋体"/>
                <w:color w:val="auto"/>
                <w:szCs w:val="21"/>
                <w:highlight w:val="none"/>
              </w:rPr>
            </w:pPr>
          </w:p>
        </w:tc>
        <w:tc>
          <w:tcPr>
            <w:tcW w:w="1298" w:type="dxa"/>
            <w:tcBorders>
              <w:right w:val="single" w:color="auto" w:sz="4" w:space="0"/>
            </w:tcBorders>
            <w:vAlign w:val="center"/>
          </w:tcPr>
          <w:p w14:paraId="79073852">
            <w:pPr>
              <w:jc w:val="center"/>
              <w:rPr>
                <w:rFonts w:ascii="宋体" w:hAnsi="宋体"/>
                <w:color w:val="auto"/>
                <w:szCs w:val="21"/>
                <w:highlight w:val="none"/>
              </w:rPr>
            </w:pPr>
          </w:p>
        </w:tc>
      </w:tr>
      <w:tr w14:paraId="2FBF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21B4700D">
            <w:pPr>
              <w:jc w:val="center"/>
              <w:rPr>
                <w:rFonts w:ascii="宋体" w:hAnsi="宋体"/>
                <w:color w:val="auto"/>
                <w:szCs w:val="21"/>
                <w:highlight w:val="none"/>
              </w:rPr>
            </w:pPr>
            <w:r>
              <w:rPr>
                <w:rFonts w:hint="eastAsia" w:ascii="宋体" w:hAnsi="宋体"/>
                <w:color w:val="auto"/>
                <w:szCs w:val="21"/>
                <w:highlight w:val="none"/>
              </w:rPr>
              <w:t>2</w:t>
            </w:r>
          </w:p>
        </w:tc>
        <w:tc>
          <w:tcPr>
            <w:tcW w:w="2963" w:type="dxa"/>
            <w:vAlign w:val="center"/>
          </w:tcPr>
          <w:p w14:paraId="0DEB95EC">
            <w:pPr>
              <w:jc w:val="center"/>
              <w:rPr>
                <w:rFonts w:ascii="宋体" w:hAnsi="宋体"/>
                <w:color w:val="auto"/>
                <w:szCs w:val="21"/>
                <w:highlight w:val="none"/>
              </w:rPr>
            </w:pPr>
          </w:p>
        </w:tc>
        <w:tc>
          <w:tcPr>
            <w:tcW w:w="1843" w:type="dxa"/>
            <w:vAlign w:val="center"/>
          </w:tcPr>
          <w:p w14:paraId="035497B9">
            <w:pPr>
              <w:jc w:val="center"/>
              <w:rPr>
                <w:rFonts w:ascii="宋体" w:hAnsi="宋体"/>
                <w:color w:val="auto"/>
                <w:szCs w:val="21"/>
                <w:highlight w:val="none"/>
              </w:rPr>
            </w:pPr>
          </w:p>
        </w:tc>
        <w:tc>
          <w:tcPr>
            <w:tcW w:w="1418" w:type="dxa"/>
            <w:vAlign w:val="center"/>
          </w:tcPr>
          <w:p w14:paraId="7D4F6F2F">
            <w:pPr>
              <w:jc w:val="center"/>
              <w:rPr>
                <w:rFonts w:ascii="宋体" w:hAnsi="宋体"/>
                <w:color w:val="auto"/>
                <w:szCs w:val="21"/>
                <w:highlight w:val="none"/>
              </w:rPr>
            </w:pPr>
          </w:p>
        </w:tc>
        <w:tc>
          <w:tcPr>
            <w:tcW w:w="1417" w:type="dxa"/>
            <w:vAlign w:val="center"/>
          </w:tcPr>
          <w:p w14:paraId="1C8162DE">
            <w:pPr>
              <w:jc w:val="center"/>
              <w:rPr>
                <w:rFonts w:ascii="宋体" w:hAnsi="宋体"/>
                <w:color w:val="auto"/>
                <w:szCs w:val="21"/>
                <w:highlight w:val="none"/>
              </w:rPr>
            </w:pPr>
          </w:p>
        </w:tc>
        <w:tc>
          <w:tcPr>
            <w:tcW w:w="1276" w:type="dxa"/>
            <w:vAlign w:val="center"/>
          </w:tcPr>
          <w:p w14:paraId="5074D429">
            <w:pPr>
              <w:jc w:val="center"/>
              <w:rPr>
                <w:rFonts w:ascii="宋体" w:hAnsi="宋体"/>
                <w:color w:val="auto"/>
                <w:szCs w:val="21"/>
                <w:highlight w:val="none"/>
              </w:rPr>
            </w:pPr>
          </w:p>
        </w:tc>
        <w:tc>
          <w:tcPr>
            <w:tcW w:w="1614" w:type="dxa"/>
            <w:tcBorders>
              <w:right w:val="single" w:color="auto" w:sz="4" w:space="0"/>
            </w:tcBorders>
            <w:vAlign w:val="center"/>
          </w:tcPr>
          <w:p w14:paraId="67856E9B">
            <w:pPr>
              <w:jc w:val="center"/>
              <w:rPr>
                <w:rFonts w:ascii="宋体" w:hAnsi="宋体"/>
                <w:color w:val="auto"/>
                <w:szCs w:val="21"/>
                <w:highlight w:val="none"/>
              </w:rPr>
            </w:pPr>
          </w:p>
        </w:tc>
        <w:tc>
          <w:tcPr>
            <w:tcW w:w="1221" w:type="dxa"/>
            <w:tcBorders>
              <w:right w:val="single" w:color="auto" w:sz="4" w:space="0"/>
            </w:tcBorders>
            <w:vAlign w:val="center"/>
          </w:tcPr>
          <w:p w14:paraId="23D56571">
            <w:pPr>
              <w:jc w:val="center"/>
              <w:rPr>
                <w:rFonts w:ascii="宋体" w:hAnsi="宋体"/>
                <w:color w:val="auto"/>
                <w:szCs w:val="21"/>
                <w:highlight w:val="none"/>
              </w:rPr>
            </w:pPr>
          </w:p>
        </w:tc>
        <w:tc>
          <w:tcPr>
            <w:tcW w:w="1298" w:type="dxa"/>
            <w:tcBorders>
              <w:right w:val="single" w:color="auto" w:sz="4" w:space="0"/>
            </w:tcBorders>
            <w:vAlign w:val="center"/>
          </w:tcPr>
          <w:p w14:paraId="323E1232">
            <w:pPr>
              <w:jc w:val="center"/>
              <w:rPr>
                <w:rFonts w:ascii="宋体" w:hAnsi="宋体"/>
                <w:color w:val="auto"/>
                <w:szCs w:val="21"/>
                <w:highlight w:val="none"/>
              </w:rPr>
            </w:pPr>
          </w:p>
        </w:tc>
      </w:tr>
      <w:tr w14:paraId="5B91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1E3DF17B">
            <w:pPr>
              <w:jc w:val="center"/>
              <w:rPr>
                <w:rFonts w:ascii="宋体" w:hAnsi="宋体"/>
                <w:color w:val="auto"/>
                <w:szCs w:val="21"/>
                <w:highlight w:val="none"/>
              </w:rPr>
            </w:pPr>
            <w:r>
              <w:rPr>
                <w:rFonts w:hint="eastAsia" w:ascii="宋体" w:hAnsi="宋体"/>
                <w:color w:val="auto"/>
                <w:szCs w:val="21"/>
                <w:highlight w:val="none"/>
              </w:rPr>
              <w:t>3</w:t>
            </w:r>
          </w:p>
        </w:tc>
        <w:tc>
          <w:tcPr>
            <w:tcW w:w="2963" w:type="dxa"/>
            <w:vAlign w:val="center"/>
          </w:tcPr>
          <w:p w14:paraId="12B18AB8">
            <w:pPr>
              <w:jc w:val="center"/>
              <w:rPr>
                <w:rFonts w:ascii="宋体" w:hAnsi="宋体"/>
                <w:color w:val="auto"/>
                <w:szCs w:val="21"/>
                <w:highlight w:val="none"/>
              </w:rPr>
            </w:pPr>
          </w:p>
        </w:tc>
        <w:tc>
          <w:tcPr>
            <w:tcW w:w="1843" w:type="dxa"/>
            <w:vAlign w:val="center"/>
          </w:tcPr>
          <w:p w14:paraId="34DC4A20">
            <w:pPr>
              <w:jc w:val="center"/>
              <w:rPr>
                <w:rFonts w:ascii="宋体" w:hAnsi="宋体"/>
                <w:color w:val="auto"/>
                <w:szCs w:val="21"/>
                <w:highlight w:val="none"/>
              </w:rPr>
            </w:pPr>
          </w:p>
        </w:tc>
        <w:tc>
          <w:tcPr>
            <w:tcW w:w="1418" w:type="dxa"/>
            <w:vAlign w:val="center"/>
          </w:tcPr>
          <w:p w14:paraId="421CC71D">
            <w:pPr>
              <w:jc w:val="center"/>
              <w:rPr>
                <w:rFonts w:ascii="宋体" w:hAnsi="宋体"/>
                <w:color w:val="auto"/>
                <w:szCs w:val="21"/>
                <w:highlight w:val="none"/>
              </w:rPr>
            </w:pPr>
          </w:p>
        </w:tc>
        <w:tc>
          <w:tcPr>
            <w:tcW w:w="1417" w:type="dxa"/>
            <w:vAlign w:val="center"/>
          </w:tcPr>
          <w:p w14:paraId="3073D4A8">
            <w:pPr>
              <w:jc w:val="center"/>
              <w:rPr>
                <w:rFonts w:ascii="宋体" w:hAnsi="宋体"/>
                <w:color w:val="auto"/>
                <w:szCs w:val="21"/>
                <w:highlight w:val="none"/>
              </w:rPr>
            </w:pPr>
          </w:p>
        </w:tc>
        <w:tc>
          <w:tcPr>
            <w:tcW w:w="1276" w:type="dxa"/>
            <w:vAlign w:val="center"/>
          </w:tcPr>
          <w:p w14:paraId="46A10CBF">
            <w:pPr>
              <w:jc w:val="center"/>
              <w:rPr>
                <w:rFonts w:ascii="宋体" w:hAnsi="宋体"/>
                <w:color w:val="auto"/>
                <w:szCs w:val="21"/>
                <w:highlight w:val="none"/>
              </w:rPr>
            </w:pPr>
          </w:p>
        </w:tc>
        <w:tc>
          <w:tcPr>
            <w:tcW w:w="1614" w:type="dxa"/>
            <w:tcBorders>
              <w:right w:val="single" w:color="auto" w:sz="4" w:space="0"/>
            </w:tcBorders>
            <w:vAlign w:val="center"/>
          </w:tcPr>
          <w:p w14:paraId="1A04B195">
            <w:pPr>
              <w:jc w:val="center"/>
              <w:rPr>
                <w:rFonts w:ascii="宋体" w:hAnsi="宋体"/>
                <w:color w:val="auto"/>
                <w:szCs w:val="21"/>
                <w:highlight w:val="none"/>
              </w:rPr>
            </w:pPr>
          </w:p>
        </w:tc>
        <w:tc>
          <w:tcPr>
            <w:tcW w:w="1221" w:type="dxa"/>
            <w:tcBorders>
              <w:right w:val="single" w:color="auto" w:sz="4" w:space="0"/>
            </w:tcBorders>
            <w:vAlign w:val="center"/>
          </w:tcPr>
          <w:p w14:paraId="4C3B19F1">
            <w:pPr>
              <w:jc w:val="center"/>
              <w:rPr>
                <w:rFonts w:ascii="宋体" w:hAnsi="宋体"/>
                <w:color w:val="auto"/>
                <w:szCs w:val="21"/>
                <w:highlight w:val="none"/>
              </w:rPr>
            </w:pPr>
          </w:p>
        </w:tc>
        <w:tc>
          <w:tcPr>
            <w:tcW w:w="1298" w:type="dxa"/>
            <w:tcBorders>
              <w:right w:val="single" w:color="auto" w:sz="4" w:space="0"/>
            </w:tcBorders>
            <w:vAlign w:val="center"/>
          </w:tcPr>
          <w:p w14:paraId="3D22C046">
            <w:pPr>
              <w:jc w:val="center"/>
              <w:rPr>
                <w:rFonts w:ascii="宋体" w:hAnsi="宋体"/>
                <w:color w:val="auto"/>
                <w:szCs w:val="21"/>
                <w:highlight w:val="none"/>
              </w:rPr>
            </w:pPr>
          </w:p>
        </w:tc>
      </w:tr>
      <w:tr w14:paraId="014C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30A2B861">
            <w:pPr>
              <w:jc w:val="center"/>
              <w:rPr>
                <w:rFonts w:ascii="宋体" w:hAnsi="宋体"/>
                <w:color w:val="auto"/>
                <w:szCs w:val="21"/>
                <w:highlight w:val="none"/>
              </w:rPr>
            </w:pPr>
            <w:r>
              <w:rPr>
                <w:rFonts w:hint="eastAsia" w:ascii="宋体" w:hAnsi="宋体"/>
                <w:color w:val="auto"/>
                <w:szCs w:val="21"/>
                <w:highlight w:val="none"/>
              </w:rPr>
              <w:t>4</w:t>
            </w:r>
          </w:p>
        </w:tc>
        <w:tc>
          <w:tcPr>
            <w:tcW w:w="2963" w:type="dxa"/>
            <w:vAlign w:val="center"/>
          </w:tcPr>
          <w:p w14:paraId="17611C7B">
            <w:pPr>
              <w:jc w:val="center"/>
              <w:rPr>
                <w:rFonts w:ascii="宋体" w:hAnsi="宋体"/>
                <w:color w:val="auto"/>
                <w:szCs w:val="21"/>
                <w:highlight w:val="none"/>
              </w:rPr>
            </w:pPr>
          </w:p>
        </w:tc>
        <w:tc>
          <w:tcPr>
            <w:tcW w:w="1843" w:type="dxa"/>
            <w:vAlign w:val="center"/>
          </w:tcPr>
          <w:p w14:paraId="41F8D6A1">
            <w:pPr>
              <w:jc w:val="center"/>
              <w:rPr>
                <w:rFonts w:ascii="宋体" w:hAnsi="宋体"/>
                <w:color w:val="auto"/>
                <w:szCs w:val="21"/>
                <w:highlight w:val="none"/>
              </w:rPr>
            </w:pPr>
          </w:p>
        </w:tc>
        <w:tc>
          <w:tcPr>
            <w:tcW w:w="1418" w:type="dxa"/>
            <w:vAlign w:val="center"/>
          </w:tcPr>
          <w:p w14:paraId="4F434265">
            <w:pPr>
              <w:jc w:val="center"/>
              <w:rPr>
                <w:rFonts w:ascii="宋体" w:hAnsi="宋体"/>
                <w:color w:val="auto"/>
                <w:szCs w:val="21"/>
                <w:highlight w:val="none"/>
              </w:rPr>
            </w:pPr>
          </w:p>
        </w:tc>
        <w:tc>
          <w:tcPr>
            <w:tcW w:w="1417" w:type="dxa"/>
            <w:vAlign w:val="center"/>
          </w:tcPr>
          <w:p w14:paraId="4FB388DA">
            <w:pPr>
              <w:jc w:val="center"/>
              <w:rPr>
                <w:rFonts w:ascii="宋体" w:hAnsi="宋体"/>
                <w:color w:val="auto"/>
                <w:szCs w:val="21"/>
                <w:highlight w:val="none"/>
              </w:rPr>
            </w:pPr>
          </w:p>
        </w:tc>
        <w:tc>
          <w:tcPr>
            <w:tcW w:w="1276" w:type="dxa"/>
            <w:vAlign w:val="center"/>
          </w:tcPr>
          <w:p w14:paraId="20ABED38">
            <w:pPr>
              <w:jc w:val="center"/>
              <w:rPr>
                <w:rFonts w:ascii="宋体" w:hAnsi="宋体"/>
                <w:color w:val="auto"/>
                <w:szCs w:val="21"/>
                <w:highlight w:val="none"/>
              </w:rPr>
            </w:pPr>
          </w:p>
        </w:tc>
        <w:tc>
          <w:tcPr>
            <w:tcW w:w="1614" w:type="dxa"/>
            <w:tcBorders>
              <w:right w:val="single" w:color="auto" w:sz="4" w:space="0"/>
            </w:tcBorders>
            <w:vAlign w:val="center"/>
          </w:tcPr>
          <w:p w14:paraId="4A607ACD">
            <w:pPr>
              <w:jc w:val="center"/>
              <w:rPr>
                <w:rFonts w:ascii="宋体" w:hAnsi="宋体"/>
                <w:color w:val="auto"/>
                <w:szCs w:val="21"/>
                <w:highlight w:val="none"/>
              </w:rPr>
            </w:pPr>
          </w:p>
        </w:tc>
        <w:tc>
          <w:tcPr>
            <w:tcW w:w="1221" w:type="dxa"/>
            <w:tcBorders>
              <w:right w:val="single" w:color="auto" w:sz="4" w:space="0"/>
            </w:tcBorders>
            <w:vAlign w:val="center"/>
          </w:tcPr>
          <w:p w14:paraId="77C92E61">
            <w:pPr>
              <w:jc w:val="center"/>
              <w:rPr>
                <w:rFonts w:ascii="宋体" w:hAnsi="宋体"/>
                <w:color w:val="auto"/>
                <w:szCs w:val="21"/>
                <w:highlight w:val="none"/>
              </w:rPr>
            </w:pPr>
          </w:p>
        </w:tc>
        <w:tc>
          <w:tcPr>
            <w:tcW w:w="1298" w:type="dxa"/>
            <w:tcBorders>
              <w:right w:val="single" w:color="auto" w:sz="4" w:space="0"/>
            </w:tcBorders>
            <w:vAlign w:val="center"/>
          </w:tcPr>
          <w:p w14:paraId="72D3E2E9">
            <w:pPr>
              <w:jc w:val="center"/>
              <w:rPr>
                <w:rFonts w:ascii="宋体" w:hAnsi="宋体"/>
                <w:color w:val="auto"/>
                <w:szCs w:val="21"/>
                <w:highlight w:val="none"/>
              </w:rPr>
            </w:pPr>
          </w:p>
        </w:tc>
      </w:tr>
      <w:tr w14:paraId="739C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628AF9BC">
            <w:pPr>
              <w:jc w:val="center"/>
              <w:rPr>
                <w:rFonts w:ascii="宋体" w:hAnsi="宋体"/>
                <w:color w:val="auto"/>
                <w:szCs w:val="21"/>
                <w:highlight w:val="none"/>
              </w:rPr>
            </w:pPr>
            <w:r>
              <w:rPr>
                <w:rFonts w:hint="eastAsia" w:ascii="宋体" w:hAnsi="宋体"/>
                <w:color w:val="auto"/>
                <w:szCs w:val="21"/>
                <w:highlight w:val="none"/>
              </w:rPr>
              <w:t>5</w:t>
            </w:r>
          </w:p>
        </w:tc>
        <w:tc>
          <w:tcPr>
            <w:tcW w:w="2963" w:type="dxa"/>
            <w:vAlign w:val="center"/>
          </w:tcPr>
          <w:p w14:paraId="5F712E8C">
            <w:pPr>
              <w:jc w:val="center"/>
              <w:rPr>
                <w:rFonts w:ascii="宋体" w:hAnsi="宋体"/>
                <w:color w:val="auto"/>
                <w:szCs w:val="21"/>
                <w:highlight w:val="none"/>
              </w:rPr>
            </w:pPr>
          </w:p>
        </w:tc>
        <w:tc>
          <w:tcPr>
            <w:tcW w:w="1843" w:type="dxa"/>
            <w:vAlign w:val="center"/>
          </w:tcPr>
          <w:p w14:paraId="0D5A22A6">
            <w:pPr>
              <w:jc w:val="center"/>
              <w:rPr>
                <w:rFonts w:ascii="宋体" w:hAnsi="宋体"/>
                <w:color w:val="auto"/>
                <w:szCs w:val="21"/>
                <w:highlight w:val="none"/>
              </w:rPr>
            </w:pPr>
          </w:p>
        </w:tc>
        <w:tc>
          <w:tcPr>
            <w:tcW w:w="1418" w:type="dxa"/>
            <w:vAlign w:val="center"/>
          </w:tcPr>
          <w:p w14:paraId="1A8E91CA">
            <w:pPr>
              <w:jc w:val="center"/>
              <w:rPr>
                <w:rFonts w:ascii="宋体" w:hAnsi="宋体"/>
                <w:color w:val="auto"/>
                <w:szCs w:val="21"/>
                <w:highlight w:val="none"/>
              </w:rPr>
            </w:pPr>
          </w:p>
        </w:tc>
        <w:tc>
          <w:tcPr>
            <w:tcW w:w="1417" w:type="dxa"/>
            <w:vAlign w:val="center"/>
          </w:tcPr>
          <w:p w14:paraId="1759FE3E">
            <w:pPr>
              <w:jc w:val="center"/>
              <w:rPr>
                <w:rFonts w:ascii="宋体" w:hAnsi="宋体"/>
                <w:color w:val="auto"/>
                <w:szCs w:val="21"/>
                <w:highlight w:val="none"/>
              </w:rPr>
            </w:pPr>
          </w:p>
        </w:tc>
        <w:tc>
          <w:tcPr>
            <w:tcW w:w="1276" w:type="dxa"/>
            <w:vAlign w:val="center"/>
          </w:tcPr>
          <w:p w14:paraId="32FA48EB">
            <w:pPr>
              <w:jc w:val="center"/>
              <w:rPr>
                <w:rFonts w:ascii="宋体" w:hAnsi="宋体"/>
                <w:color w:val="auto"/>
                <w:szCs w:val="21"/>
                <w:highlight w:val="none"/>
              </w:rPr>
            </w:pPr>
          </w:p>
        </w:tc>
        <w:tc>
          <w:tcPr>
            <w:tcW w:w="1614" w:type="dxa"/>
            <w:tcBorders>
              <w:right w:val="single" w:color="auto" w:sz="4" w:space="0"/>
            </w:tcBorders>
            <w:vAlign w:val="center"/>
          </w:tcPr>
          <w:p w14:paraId="65DC9A54">
            <w:pPr>
              <w:jc w:val="center"/>
              <w:rPr>
                <w:rFonts w:ascii="宋体" w:hAnsi="宋体"/>
                <w:color w:val="auto"/>
                <w:szCs w:val="21"/>
                <w:highlight w:val="none"/>
              </w:rPr>
            </w:pPr>
          </w:p>
        </w:tc>
        <w:tc>
          <w:tcPr>
            <w:tcW w:w="1221" w:type="dxa"/>
            <w:tcBorders>
              <w:right w:val="single" w:color="auto" w:sz="4" w:space="0"/>
            </w:tcBorders>
            <w:vAlign w:val="center"/>
          </w:tcPr>
          <w:p w14:paraId="71FD03EB">
            <w:pPr>
              <w:jc w:val="center"/>
              <w:rPr>
                <w:rFonts w:ascii="宋体" w:hAnsi="宋体"/>
                <w:color w:val="auto"/>
                <w:szCs w:val="21"/>
                <w:highlight w:val="none"/>
              </w:rPr>
            </w:pPr>
          </w:p>
        </w:tc>
        <w:tc>
          <w:tcPr>
            <w:tcW w:w="1298" w:type="dxa"/>
            <w:tcBorders>
              <w:right w:val="single" w:color="auto" w:sz="4" w:space="0"/>
            </w:tcBorders>
            <w:vAlign w:val="center"/>
          </w:tcPr>
          <w:p w14:paraId="24EC6980">
            <w:pPr>
              <w:jc w:val="center"/>
              <w:rPr>
                <w:rFonts w:ascii="宋体" w:hAnsi="宋体"/>
                <w:color w:val="auto"/>
                <w:szCs w:val="21"/>
                <w:highlight w:val="none"/>
              </w:rPr>
            </w:pPr>
          </w:p>
        </w:tc>
      </w:tr>
      <w:tr w14:paraId="44F9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29BFE871">
            <w:pPr>
              <w:jc w:val="center"/>
              <w:rPr>
                <w:rFonts w:ascii="宋体" w:hAnsi="宋体"/>
                <w:color w:val="auto"/>
                <w:szCs w:val="21"/>
                <w:highlight w:val="none"/>
              </w:rPr>
            </w:pPr>
            <w:r>
              <w:rPr>
                <w:rFonts w:hint="eastAsia" w:ascii="宋体" w:hAnsi="宋体"/>
                <w:color w:val="auto"/>
                <w:szCs w:val="44"/>
                <w:highlight w:val="none"/>
              </w:rPr>
              <w:t>…</w:t>
            </w:r>
          </w:p>
        </w:tc>
        <w:tc>
          <w:tcPr>
            <w:tcW w:w="2963" w:type="dxa"/>
            <w:vAlign w:val="center"/>
          </w:tcPr>
          <w:p w14:paraId="4D1460CD">
            <w:pPr>
              <w:jc w:val="center"/>
              <w:rPr>
                <w:rFonts w:ascii="宋体" w:hAnsi="宋体"/>
                <w:color w:val="auto"/>
                <w:szCs w:val="21"/>
                <w:highlight w:val="none"/>
              </w:rPr>
            </w:pPr>
          </w:p>
        </w:tc>
        <w:tc>
          <w:tcPr>
            <w:tcW w:w="1843" w:type="dxa"/>
            <w:vAlign w:val="center"/>
          </w:tcPr>
          <w:p w14:paraId="00E5E851">
            <w:pPr>
              <w:jc w:val="center"/>
              <w:rPr>
                <w:rFonts w:ascii="宋体" w:hAnsi="宋体"/>
                <w:color w:val="auto"/>
                <w:szCs w:val="21"/>
                <w:highlight w:val="none"/>
              </w:rPr>
            </w:pPr>
          </w:p>
        </w:tc>
        <w:tc>
          <w:tcPr>
            <w:tcW w:w="1418" w:type="dxa"/>
            <w:vAlign w:val="center"/>
          </w:tcPr>
          <w:p w14:paraId="59BDD2F9">
            <w:pPr>
              <w:jc w:val="center"/>
              <w:rPr>
                <w:rFonts w:ascii="宋体" w:hAnsi="宋体"/>
                <w:color w:val="auto"/>
                <w:szCs w:val="21"/>
                <w:highlight w:val="none"/>
              </w:rPr>
            </w:pPr>
          </w:p>
        </w:tc>
        <w:tc>
          <w:tcPr>
            <w:tcW w:w="1417" w:type="dxa"/>
            <w:vAlign w:val="center"/>
          </w:tcPr>
          <w:p w14:paraId="46068A8B">
            <w:pPr>
              <w:jc w:val="center"/>
              <w:rPr>
                <w:rFonts w:ascii="宋体" w:hAnsi="宋体"/>
                <w:color w:val="auto"/>
                <w:szCs w:val="21"/>
                <w:highlight w:val="none"/>
              </w:rPr>
            </w:pPr>
          </w:p>
        </w:tc>
        <w:tc>
          <w:tcPr>
            <w:tcW w:w="1276" w:type="dxa"/>
            <w:vAlign w:val="center"/>
          </w:tcPr>
          <w:p w14:paraId="770956B4">
            <w:pPr>
              <w:jc w:val="center"/>
              <w:rPr>
                <w:rFonts w:ascii="宋体" w:hAnsi="宋体"/>
                <w:color w:val="auto"/>
                <w:szCs w:val="21"/>
                <w:highlight w:val="none"/>
              </w:rPr>
            </w:pPr>
          </w:p>
        </w:tc>
        <w:tc>
          <w:tcPr>
            <w:tcW w:w="1614" w:type="dxa"/>
            <w:tcBorders>
              <w:right w:val="single" w:color="auto" w:sz="4" w:space="0"/>
            </w:tcBorders>
            <w:vAlign w:val="center"/>
          </w:tcPr>
          <w:p w14:paraId="41E827D9">
            <w:pPr>
              <w:jc w:val="center"/>
              <w:rPr>
                <w:rFonts w:ascii="宋体" w:hAnsi="宋体"/>
                <w:color w:val="auto"/>
                <w:szCs w:val="21"/>
                <w:highlight w:val="none"/>
              </w:rPr>
            </w:pPr>
          </w:p>
        </w:tc>
        <w:tc>
          <w:tcPr>
            <w:tcW w:w="1221" w:type="dxa"/>
            <w:tcBorders>
              <w:right w:val="single" w:color="auto" w:sz="4" w:space="0"/>
            </w:tcBorders>
            <w:vAlign w:val="center"/>
          </w:tcPr>
          <w:p w14:paraId="1C1D3EA1">
            <w:pPr>
              <w:jc w:val="center"/>
              <w:rPr>
                <w:rFonts w:ascii="宋体" w:hAnsi="宋体"/>
                <w:color w:val="auto"/>
                <w:szCs w:val="21"/>
                <w:highlight w:val="none"/>
              </w:rPr>
            </w:pPr>
          </w:p>
        </w:tc>
        <w:tc>
          <w:tcPr>
            <w:tcW w:w="1298" w:type="dxa"/>
            <w:tcBorders>
              <w:right w:val="single" w:color="auto" w:sz="4" w:space="0"/>
            </w:tcBorders>
            <w:vAlign w:val="center"/>
          </w:tcPr>
          <w:p w14:paraId="517B78D1">
            <w:pPr>
              <w:jc w:val="center"/>
              <w:rPr>
                <w:rFonts w:ascii="宋体" w:hAnsi="宋体"/>
                <w:color w:val="auto"/>
                <w:szCs w:val="21"/>
                <w:highlight w:val="none"/>
              </w:rPr>
            </w:pPr>
          </w:p>
        </w:tc>
      </w:tr>
      <w:tr w14:paraId="46A8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14051" w:type="dxa"/>
            <w:gridSpan w:val="9"/>
            <w:vAlign w:val="center"/>
          </w:tcPr>
          <w:p w14:paraId="0EA957EE">
            <w:pPr>
              <w:jc w:val="left"/>
              <w:rPr>
                <w:rFonts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282768E9">
            <w:pPr>
              <w:jc w:val="left"/>
              <w:rPr>
                <w:rFonts w:ascii="宋体" w:hAnsi="宋体"/>
                <w:color w:val="auto"/>
                <w:szCs w:val="44"/>
                <w:highlight w:val="none"/>
              </w:rPr>
            </w:pPr>
          </w:p>
          <w:p w14:paraId="776E672C">
            <w:pPr>
              <w:jc w:val="left"/>
              <w:rPr>
                <w:rFonts w:ascii="宋体" w:hAnsi="宋体"/>
                <w:color w:val="auto"/>
                <w:szCs w:val="44"/>
                <w:highlight w:val="none"/>
              </w:rPr>
            </w:pPr>
          </w:p>
          <w:p w14:paraId="17980D3E">
            <w:pPr>
              <w:jc w:val="left"/>
              <w:rPr>
                <w:rFonts w:ascii="宋体" w:hAnsi="宋体"/>
                <w:color w:val="auto"/>
                <w:szCs w:val="44"/>
                <w:highlight w:val="none"/>
              </w:rPr>
            </w:pPr>
          </w:p>
          <w:p w14:paraId="6A16C7F7">
            <w:pPr>
              <w:jc w:val="left"/>
              <w:rPr>
                <w:rFonts w:ascii="宋体" w:hAnsi="宋体"/>
                <w:color w:val="auto"/>
                <w:szCs w:val="44"/>
                <w:highlight w:val="none"/>
              </w:rPr>
            </w:pPr>
          </w:p>
          <w:p w14:paraId="535B6B68">
            <w:pPr>
              <w:jc w:val="left"/>
              <w:rPr>
                <w:rFonts w:ascii="宋体" w:hAnsi="宋体"/>
                <w:color w:val="auto"/>
                <w:szCs w:val="44"/>
                <w:highlight w:val="none"/>
              </w:rPr>
            </w:pPr>
          </w:p>
          <w:p w14:paraId="6AFE77C0">
            <w:pPr>
              <w:jc w:val="left"/>
              <w:rPr>
                <w:rFonts w:ascii="宋体" w:hAnsi="宋体"/>
                <w:color w:val="auto"/>
                <w:szCs w:val="44"/>
                <w:highlight w:val="none"/>
              </w:rPr>
            </w:pPr>
          </w:p>
          <w:p w14:paraId="45EE81B4">
            <w:pPr>
              <w:jc w:val="left"/>
              <w:rPr>
                <w:color w:val="auto"/>
                <w:highlight w:val="none"/>
              </w:rPr>
            </w:pPr>
          </w:p>
        </w:tc>
      </w:tr>
    </w:tbl>
    <w:p w14:paraId="0A9F24D8">
      <w:pPr>
        <w:ind w:firstLine="5250" w:firstLineChars="2500"/>
        <w:jc w:val="right"/>
        <w:rPr>
          <w:color w:val="auto"/>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425" w:num="1"/>
          <w:docGrid w:linePitch="312" w:charSpace="0"/>
        </w:sectPr>
      </w:pPr>
      <w:r>
        <w:rPr>
          <w:rFonts w:hint="eastAsia" w:ascii="宋体" w:hAnsi="宋体"/>
          <w:color w:val="auto"/>
          <w:szCs w:val="44"/>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日期：    年   月  日</w:t>
      </w:r>
    </w:p>
    <w:p w14:paraId="7C463AED">
      <w:pPr>
        <w:pStyle w:val="37"/>
        <w:ind w:firstLine="118"/>
        <w:rPr>
          <w:color w:val="auto"/>
          <w:highlight w:val="none"/>
        </w:rPr>
      </w:pPr>
      <w:bookmarkStart w:id="1104" w:name="_Toc29789"/>
      <w:bookmarkStart w:id="1105" w:name="_Toc150254771"/>
      <w:bookmarkStart w:id="1106" w:name="_Toc164716320"/>
      <w:bookmarkStart w:id="1107" w:name="_Toc256000150"/>
      <w:bookmarkStart w:id="1108" w:name="_Hlk150775555"/>
      <w:r>
        <w:rPr>
          <w:rFonts w:hint="eastAsia"/>
          <w:color w:val="auto"/>
          <w:highlight w:val="none"/>
        </w:rPr>
        <w:t>附表A-1</w:t>
      </w:r>
      <w:r>
        <w:rPr>
          <w:color w:val="auto"/>
          <w:highlight w:val="none"/>
        </w:rPr>
        <w:t>7</w:t>
      </w:r>
      <w:r>
        <w:rPr>
          <w:rFonts w:hint="eastAsia"/>
          <w:color w:val="auto"/>
          <w:highlight w:val="none"/>
        </w:rPr>
        <w:t>：评标结果汇总表</w:t>
      </w:r>
      <w:bookmarkEnd w:id="1104"/>
      <w:bookmarkEnd w:id="1105"/>
      <w:bookmarkEnd w:id="1106"/>
      <w:bookmarkEnd w:id="1107"/>
    </w:p>
    <w:p w14:paraId="40DCEF0D">
      <w:pPr>
        <w:spacing w:after="240" w:afterLines="100"/>
        <w:jc w:val="center"/>
        <w:rPr>
          <w:rFonts w:ascii="黑体" w:eastAsia="黑体"/>
          <w:color w:val="auto"/>
          <w:sz w:val="36"/>
          <w:szCs w:val="36"/>
          <w:highlight w:val="none"/>
        </w:rPr>
      </w:pPr>
    </w:p>
    <w:p w14:paraId="42803A80">
      <w:pPr>
        <w:spacing w:after="240" w:afterLines="100"/>
        <w:jc w:val="center"/>
        <w:rPr>
          <w:rFonts w:ascii="黑体" w:eastAsia="黑体"/>
          <w:color w:val="auto"/>
          <w:sz w:val="36"/>
          <w:szCs w:val="36"/>
          <w:highlight w:val="none"/>
        </w:rPr>
      </w:pPr>
      <w:r>
        <w:rPr>
          <w:rFonts w:hint="eastAsia" w:ascii="黑体" w:eastAsia="黑体"/>
          <w:color w:val="auto"/>
          <w:sz w:val="36"/>
          <w:szCs w:val="36"/>
          <w:highlight w:val="none"/>
        </w:rPr>
        <w:t>评标结果汇总表</w:t>
      </w:r>
    </w:p>
    <w:p w14:paraId="2D727BF3">
      <w:pPr>
        <w:spacing w:line="400" w:lineRule="exact"/>
        <w:jc w:val="center"/>
        <w:rPr>
          <w:rFonts w:ascii="宋体" w:hAnsi="宋体"/>
          <w:color w:val="auto"/>
          <w:szCs w:val="44"/>
          <w:highlight w:val="none"/>
        </w:rPr>
      </w:pPr>
      <w:r>
        <w:rPr>
          <w:rFonts w:hint="eastAsia" w:ascii="黑体" w:hAnsi="宋体" w:eastAsia="黑体"/>
          <w:color w:val="auto"/>
          <w:sz w:val="36"/>
          <w:szCs w:val="36"/>
          <w:highlight w:val="none"/>
        </w:rPr>
        <w:t>（适用于经评审的最低投标价法）</w:t>
      </w:r>
    </w:p>
    <w:p w14:paraId="748E1352">
      <w:pPr>
        <w:rPr>
          <w:rFonts w:ascii="宋体" w:hAnsi="宋体"/>
          <w:color w:val="auto"/>
          <w:szCs w:val="21"/>
          <w:highlight w:val="none"/>
        </w:rPr>
      </w:pPr>
      <w:r>
        <w:rPr>
          <w:rFonts w:hint="eastAsia" w:ascii="宋体" w:hAnsi="宋体"/>
          <w:color w:val="auto"/>
          <w:szCs w:val="21"/>
          <w:highlight w:val="none"/>
        </w:rPr>
        <w:t xml:space="preserve">标段名称： </w:t>
      </w:r>
      <w:r>
        <w:rPr>
          <w:rFonts w:ascii="宋体" w:hAnsi="宋体"/>
          <w:color w:val="auto"/>
          <w:szCs w:val="21"/>
          <w:highlight w:val="none"/>
        </w:rPr>
        <w:t xml:space="preserve"> </w:t>
      </w:r>
    </w:p>
    <w:p w14:paraId="6F177CAB">
      <w:pPr>
        <w:rPr>
          <w:rFonts w:ascii="宋体" w:hAnsi="宋体"/>
          <w:color w:val="auto"/>
          <w:szCs w:val="21"/>
          <w:highlight w:val="none"/>
        </w:rPr>
      </w:pPr>
      <w:r>
        <w:rPr>
          <w:rFonts w:hint="eastAsia" w:ascii="宋体" w:hAnsi="宋体"/>
          <w:color w:val="auto"/>
          <w:szCs w:val="21"/>
          <w:highlight w:val="none"/>
        </w:rPr>
        <w:t xml:space="preserve">标段唯一标识码：　 </w:t>
      </w:r>
      <w:r>
        <w:rPr>
          <w:rFonts w:ascii="宋体" w:hAnsi="宋体"/>
          <w:color w:val="auto"/>
          <w:szCs w:val="21"/>
          <w:highlight w:val="none"/>
        </w:rPr>
        <w:t xml:space="preserve">                                         </w:t>
      </w:r>
      <w:r>
        <w:rPr>
          <w:rFonts w:hint="eastAsia" w:ascii="宋体" w:hAnsi="宋体"/>
          <w:color w:val="auto"/>
          <w:szCs w:val="21"/>
          <w:highlight w:val="none"/>
        </w:rPr>
        <w:t>　 单位：人民币元</w:t>
      </w:r>
    </w:p>
    <w:tbl>
      <w:tblPr>
        <w:tblStyle w:val="2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978"/>
        <w:gridCol w:w="1560"/>
        <w:gridCol w:w="1275"/>
        <w:gridCol w:w="993"/>
        <w:gridCol w:w="1196"/>
        <w:gridCol w:w="1397"/>
      </w:tblGrid>
      <w:tr w14:paraId="6938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68" w:type="dxa"/>
            <w:vMerge w:val="restart"/>
            <w:vAlign w:val="center"/>
          </w:tcPr>
          <w:p w14:paraId="1F020E6E">
            <w:pPr>
              <w:jc w:val="center"/>
              <w:rPr>
                <w:rFonts w:ascii="宋体" w:hAnsi="宋体"/>
                <w:b/>
                <w:bCs/>
                <w:color w:val="auto"/>
                <w:highlight w:val="none"/>
              </w:rPr>
            </w:pPr>
            <w:bookmarkStart w:id="1109" w:name="_Hlk150334502"/>
            <w:r>
              <w:rPr>
                <w:rFonts w:hint="eastAsia" w:ascii="宋体" w:hAnsi="宋体"/>
                <w:b/>
                <w:bCs/>
                <w:color w:val="auto"/>
                <w:highlight w:val="none"/>
              </w:rPr>
              <w:t>投标人名称</w:t>
            </w:r>
          </w:p>
        </w:tc>
        <w:tc>
          <w:tcPr>
            <w:tcW w:w="7399" w:type="dxa"/>
            <w:gridSpan w:val="6"/>
            <w:vAlign w:val="center"/>
          </w:tcPr>
          <w:p w14:paraId="608CABAD">
            <w:pPr>
              <w:jc w:val="center"/>
              <w:rPr>
                <w:rFonts w:ascii="宋体" w:hAnsi="宋体"/>
                <w:b/>
                <w:bCs/>
                <w:color w:val="auto"/>
                <w:highlight w:val="none"/>
              </w:rPr>
            </w:pPr>
            <w:r>
              <w:rPr>
                <w:rFonts w:hint="eastAsia" w:ascii="宋体" w:hAnsi="宋体"/>
                <w:b/>
                <w:bCs/>
                <w:color w:val="auto"/>
                <w:highlight w:val="none"/>
              </w:rPr>
              <w:t>评审项目</w:t>
            </w:r>
          </w:p>
        </w:tc>
      </w:tr>
      <w:tr w14:paraId="3C602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68" w:type="dxa"/>
            <w:vMerge w:val="continue"/>
            <w:vAlign w:val="center"/>
          </w:tcPr>
          <w:p w14:paraId="18A8D991">
            <w:pPr>
              <w:jc w:val="center"/>
              <w:rPr>
                <w:rFonts w:ascii="宋体" w:hAnsi="宋体"/>
                <w:b/>
                <w:bCs/>
                <w:color w:val="auto"/>
                <w:highlight w:val="none"/>
              </w:rPr>
            </w:pPr>
          </w:p>
        </w:tc>
        <w:tc>
          <w:tcPr>
            <w:tcW w:w="978" w:type="dxa"/>
            <w:vAlign w:val="center"/>
          </w:tcPr>
          <w:p w14:paraId="0BFD249E">
            <w:pPr>
              <w:jc w:val="center"/>
              <w:rPr>
                <w:rFonts w:ascii="宋体" w:hAnsi="宋体"/>
                <w:b/>
                <w:bCs/>
                <w:color w:val="auto"/>
                <w:highlight w:val="none"/>
              </w:rPr>
            </w:pPr>
            <w:r>
              <w:rPr>
                <w:rFonts w:hint="eastAsia" w:ascii="宋体" w:hAnsi="宋体"/>
                <w:b/>
                <w:bCs/>
                <w:color w:val="auto"/>
                <w:highlight w:val="none"/>
              </w:rPr>
              <w:t>投标报价</w:t>
            </w:r>
          </w:p>
        </w:tc>
        <w:tc>
          <w:tcPr>
            <w:tcW w:w="1560" w:type="dxa"/>
            <w:vAlign w:val="center"/>
          </w:tcPr>
          <w:p w14:paraId="7FD35B30">
            <w:pPr>
              <w:jc w:val="center"/>
              <w:rPr>
                <w:rFonts w:ascii="宋体" w:hAnsi="宋体"/>
                <w:b/>
                <w:bCs/>
                <w:color w:val="auto"/>
                <w:highlight w:val="none"/>
              </w:rPr>
            </w:pPr>
            <w:r>
              <w:rPr>
                <w:rFonts w:hint="eastAsia" w:ascii="宋体" w:hAnsi="宋体"/>
                <w:b/>
                <w:bCs/>
                <w:color w:val="auto"/>
                <w:szCs w:val="21"/>
                <w:highlight w:val="none"/>
              </w:rPr>
              <w:t>修正后投标报价（如有）</w:t>
            </w:r>
          </w:p>
        </w:tc>
        <w:tc>
          <w:tcPr>
            <w:tcW w:w="1275" w:type="dxa"/>
            <w:vAlign w:val="center"/>
          </w:tcPr>
          <w:p w14:paraId="76071E14">
            <w:pPr>
              <w:jc w:val="center"/>
              <w:rPr>
                <w:rFonts w:ascii="宋体" w:hAnsi="宋体"/>
                <w:b/>
                <w:bCs/>
                <w:color w:val="auto"/>
                <w:highlight w:val="none"/>
              </w:rPr>
            </w:pPr>
            <w:r>
              <w:rPr>
                <w:rFonts w:hint="eastAsia" w:ascii="宋体" w:hAnsi="宋体"/>
                <w:b/>
                <w:bCs/>
                <w:color w:val="auto"/>
                <w:szCs w:val="21"/>
                <w:highlight w:val="none"/>
              </w:rPr>
              <w:t>评标价</w:t>
            </w:r>
          </w:p>
        </w:tc>
        <w:tc>
          <w:tcPr>
            <w:tcW w:w="993" w:type="dxa"/>
            <w:vAlign w:val="center"/>
          </w:tcPr>
          <w:p w14:paraId="500F2B35">
            <w:pPr>
              <w:jc w:val="center"/>
              <w:rPr>
                <w:rFonts w:ascii="宋体" w:hAnsi="宋体"/>
                <w:b/>
                <w:bCs/>
                <w:color w:val="auto"/>
                <w:highlight w:val="none"/>
              </w:rPr>
            </w:pPr>
            <w:r>
              <w:rPr>
                <w:rFonts w:hint="eastAsia" w:ascii="宋体" w:hAnsi="宋体"/>
                <w:b/>
                <w:bCs/>
                <w:color w:val="auto"/>
                <w:highlight w:val="none"/>
              </w:rPr>
              <w:t>最高投标限价</w:t>
            </w:r>
          </w:p>
        </w:tc>
        <w:tc>
          <w:tcPr>
            <w:tcW w:w="1196" w:type="dxa"/>
            <w:vAlign w:val="center"/>
          </w:tcPr>
          <w:p w14:paraId="013179D7">
            <w:pPr>
              <w:jc w:val="center"/>
              <w:rPr>
                <w:rFonts w:ascii="宋体" w:hAnsi="宋体"/>
                <w:b/>
                <w:bCs/>
                <w:color w:val="auto"/>
                <w:highlight w:val="none"/>
              </w:rPr>
            </w:pPr>
            <w:r>
              <w:rPr>
                <w:rFonts w:hint="eastAsia" w:ascii="宋体" w:hAnsi="宋体"/>
                <w:b/>
                <w:bCs/>
                <w:color w:val="auto"/>
                <w:szCs w:val="21"/>
                <w:highlight w:val="none"/>
              </w:rPr>
              <w:t>确定</w:t>
            </w:r>
            <w:r>
              <w:rPr>
                <w:rFonts w:hint="eastAsia" w:ascii="宋体" w:hAnsi="宋体"/>
                <w:b/>
                <w:bCs/>
                <w:color w:val="auto"/>
                <w:highlight w:val="none"/>
              </w:rPr>
              <w:t>有效评标价</w:t>
            </w:r>
          </w:p>
        </w:tc>
        <w:tc>
          <w:tcPr>
            <w:tcW w:w="1397" w:type="dxa"/>
            <w:vAlign w:val="center"/>
          </w:tcPr>
          <w:p w14:paraId="0677EA46">
            <w:pPr>
              <w:jc w:val="center"/>
              <w:rPr>
                <w:rFonts w:ascii="宋体" w:hAnsi="宋体"/>
                <w:b/>
                <w:bCs/>
                <w:color w:val="auto"/>
                <w:highlight w:val="none"/>
              </w:rPr>
            </w:pPr>
            <w:r>
              <w:rPr>
                <w:rFonts w:hint="eastAsia" w:ascii="宋体" w:hAnsi="宋体"/>
                <w:b/>
                <w:bCs/>
                <w:color w:val="auto"/>
                <w:highlight w:val="none"/>
              </w:rPr>
              <w:t>有效评标价排序</w:t>
            </w:r>
          </w:p>
        </w:tc>
      </w:tr>
      <w:tr w14:paraId="6A5F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8" w:type="dxa"/>
            <w:vAlign w:val="center"/>
          </w:tcPr>
          <w:p w14:paraId="647F2D10">
            <w:pPr>
              <w:jc w:val="center"/>
              <w:rPr>
                <w:rFonts w:ascii="宋体" w:hAnsi="宋体"/>
                <w:color w:val="auto"/>
                <w:highlight w:val="none"/>
              </w:rPr>
            </w:pPr>
          </w:p>
        </w:tc>
        <w:tc>
          <w:tcPr>
            <w:tcW w:w="978" w:type="dxa"/>
            <w:vAlign w:val="center"/>
          </w:tcPr>
          <w:p w14:paraId="3E074B58">
            <w:pPr>
              <w:jc w:val="center"/>
              <w:rPr>
                <w:rFonts w:ascii="宋体" w:hAnsi="宋体"/>
                <w:color w:val="auto"/>
                <w:highlight w:val="none"/>
              </w:rPr>
            </w:pPr>
          </w:p>
        </w:tc>
        <w:tc>
          <w:tcPr>
            <w:tcW w:w="1560" w:type="dxa"/>
            <w:vAlign w:val="center"/>
          </w:tcPr>
          <w:p w14:paraId="53B107A9">
            <w:pPr>
              <w:jc w:val="center"/>
              <w:rPr>
                <w:rFonts w:ascii="宋体" w:hAnsi="宋体"/>
                <w:color w:val="auto"/>
                <w:highlight w:val="none"/>
              </w:rPr>
            </w:pPr>
          </w:p>
        </w:tc>
        <w:tc>
          <w:tcPr>
            <w:tcW w:w="1275" w:type="dxa"/>
            <w:vAlign w:val="center"/>
          </w:tcPr>
          <w:p w14:paraId="0FA9790A">
            <w:pPr>
              <w:jc w:val="center"/>
              <w:rPr>
                <w:rFonts w:ascii="宋体" w:hAnsi="宋体"/>
                <w:color w:val="auto"/>
                <w:highlight w:val="none"/>
              </w:rPr>
            </w:pPr>
          </w:p>
        </w:tc>
        <w:tc>
          <w:tcPr>
            <w:tcW w:w="993" w:type="dxa"/>
            <w:vMerge w:val="restart"/>
            <w:vAlign w:val="center"/>
          </w:tcPr>
          <w:p w14:paraId="5301A771">
            <w:pPr>
              <w:jc w:val="center"/>
              <w:rPr>
                <w:rFonts w:ascii="宋体" w:hAnsi="宋体"/>
                <w:color w:val="auto"/>
                <w:highlight w:val="none"/>
              </w:rPr>
            </w:pPr>
          </w:p>
        </w:tc>
        <w:tc>
          <w:tcPr>
            <w:tcW w:w="1196" w:type="dxa"/>
            <w:vMerge w:val="restart"/>
            <w:vAlign w:val="center"/>
          </w:tcPr>
          <w:p w14:paraId="2858DD43">
            <w:pPr>
              <w:jc w:val="center"/>
              <w:rPr>
                <w:rFonts w:ascii="宋体" w:hAnsi="宋体"/>
                <w:color w:val="auto"/>
                <w:highlight w:val="none"/>
              </w:rPr>
            </w:pPr>
          </w:p>
        </w:tc>
        <w:tc>
          <w:tcPr>
            <w:tcW w:w="1397" w:type="dxa"/>
            <w:vAlign w:val="center"/>
          </w:tcPr>
          <w:p w14:paraId="57EA49AF">
            <w:pPr>
              <w:jc w:val="center"/>
              <w:rPr>
                <w:rFonts w:ascii="宋体" w:hAnsi="宋体"/>
                <w:color w:val="auto"/>
                <w:highlight w:val="none"/>
              </w:rPr>
            </w:pPr>
          </w:p>
        </w:tc>
      </w:tr>
      <w:tr w14:paraId="0B82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68" w:type="dxa"/>
            <w:vAlign w:val="center"/>
          </w:tcPr>
          <w:p w14:paraId="563A9A29">
            <w:pPr>
              <w:spacing w:after="120" w:afterLines="50"/>
              <w:jc w:val="center"/>
              <w:rPr>
                <w:rFonts w:ascii="宋体" w:hAnsi="宋体"/>
                <w:color w:val="auto"/>
                <w:szCs w:val="21"/>
                <w:highlight w:val="none"/>
              </w:rPr>
            </w:pPr>
          </w:p>
        </w:tc>
        <w:tc>
          <w:tcPr>
            <w:tcW w:w="978" w:type="dxa"/>
            <w:vAlign w:val="center"/>
          </w:tcPr>
          <w:p w14:paraId="3EA0B634">
            <w:pPr>
              <w:jc w:val="center"/>
              <w:rPr>
                <w:rFonts w:ascii="宋体" w:hAnsi="宋体"/>
                <w:color w:val="auto"/>
                <w:highlight w:val="none"/>
              </w:rPr>
            </w:pPr>
          </w:p>
        </w:tc>
        <w:tc>
          <w:tcPr>
            <w:tcW w:w="1560" w:type="dxa"/>
            <w:vAlign w:val="center"/>
          </w:tcPr>
          <w:p w14:paraId="78913F70">
            <w:pPr>
              <w:jc w:val="center"/>
              <w:rPr>
                <w:rFonts w:ascii="宋体" w:hAnsi="宋体"/>
                <w:color w:val="auto"/>
                <w:highlight w:val="none"/>
              </w:rPr>
            </w:pPr>
          </w:p>
        </w:tc>
        <w:tc>
          <w:tcPr>
            <w:tcW w:w="1275" w:type="dxa"/>
            <w:vAlign w:val="center"/>
          </w:tcPr>
          <w:p w14:paraId="3C226D46">
            <w:pPr>
              <w:jc w:val="center"/>
              <w:rPr>
                <w:rFonts w:ascii="宋体" w:hAnsi="宋体"/>
                <w:color w:val="auto"/>
                <w:highlight w:val="none"/>
              </w:rPr>
            </w:pPr>
          </w:p>
        </w:tc>
        <w:tc>
          <w:tcPr>
            <w:tcW w:w="993" w:type="dxa"/>
            <w:vMerge w:val="continue"/>
            <w:vAlign w:val="center"/>
          </w:tcPr>
          <w:p w14:paraId="5E4CC968">
            <w:pPr>
              <w:jc w:val="center"/>
              <w:rPr>
                <w:rFonts w:ascii="宋体" w:hAnsi="宋体"/>
                <w:color w:val="auto"/>
                <w:highlight w:val="none"/>
              </w:rPr>
            </w:pPr>
          </w:p>
        </w:tc>
        <w:tc>
          <w:tcPr>
            <w:tcW w:w="1196" w:type="dxa"/>
            <w:vMerge w:val="continue"/>
            <w:vAlign w:val="center"/>
          </w:tcPr>
          <w:p w14:paraId="69EE534C">
            <w:pPr>
              <w:jc w:val="center"/>
              <w:rPr>
                <w:rFonts w:ascii="宋体" w:hAnsi="宋体"/>
                <w:color w:val="auto"/>
                <w:highlight w:val="none"/>
              </w:rPr>
            </w:pPr>
          </w:p>
        </w:tc>
        <w:tc>
          <w:tcPr>
            <w:tcW w:w="1397" w:type="dxa"/>
            <w:vAlign w:val="center"/>
          </w:tcPr>
          <w:p w14:paraId="7012C3C0">
            <w:pPr>
              <w:jc w:val="center"/>
              <w:rPr>
                <w:rFonts w:ascii="宋体" w:hAnsi="宋体"/>
                <w:color w:val="auto"/>
                <w:highlight w:val="none"/>
              </w:rPr>
            </w:pPr>
          </w:p>
        </w:tc>
      </w:tr>
      <w:tr w14:paraId="08C2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668" w:type="dxa"/>
            <w:vAlign w:val="center"/>
          </w:tcPr>
          <w:p w14:paraId="10E61E64">
            <w:pPr>
              <w:jc w:val="center"/>
              <w:rPr>
                <w:rFonts w:ascii="宋体" w:hAnsi="宋体"/>
                <w:color w:val="auto"/>
                <w:highlight w:val="none"/>
              </w:rPr>
            </w:pPr>
          </w:p>
        </w:tc>
        <w:tc>
          <w:tcPr>
            <w:tcW w:w="978" w:type="dxa"/>
            <w:vAlign w:val="center"/>
          </w:tcPr>
          <w:p w14:paraId="546A354B">
            <w:pPr>
              <w:jc w:val="center"/>
              <w:rPr>
                <w:rFonts w:ascii="宋体" w:hAnsi="宋体"/>
                <w:color w:val="auto"/>
                <w:highlight w:val="none"/>
              </w:rPr>
            </w:pPr>
          </w:p>
        </w:tc>
        <w:tc>
          <w:tcPr>
            <w:tcW w:w="1560" w:type="dxa"/>
            <w:vAlign w:val="center"/>
          </w:tcPr>
          <w:p w14:paraId="535CD3ED">
            <w:pPr>
              <w:jc w:val="center"/>
              <w:rPr>
                <w:rFonts w:ascii="宋体" w:hAnsi="宋体"/>
                <w:color w:val="auto"/>
                <w:highlight w:val="none"/>
              </w:rPr>
            </w:pPr>
          </w:p>
        </w:tc>
        <w:tc>
          <w:tcPr>
            <w:tcW w:w="1275" w:type="dxa"/>
            <w:vAlign w:val="center"/>
          </w:tcPr>
          <w:p w14:paraId="55C5B951">
            <w:pPr>
              <w:jc w:val="center"/>
              <w:rPr>
                <w:rFonts w:ascii="宋体" w:hAnsi="宋体"/>
                <w:color w:val="auto"/>
                <w:highlight w:val="none"/>
              </w:rPr>
            </w:pPr>
          </w:p>
        </w:tc>
        <w:tc>
          <w:tcPr>
            <w:tcW w:w="993" w:type="dxa"/>
            <w:vMerge w:val="continue"/>
            <w:vAlign w:val="center"/>
          </w:tcPr>
          <w:p w14:paraId="4C7230C4">
            <w:pPr>
              <w:jc w:val="center"/>
              <w:rPr>
                <w:rFonts w:ascii="宋体" w:hAnsi="宋体"/>
                <w:color w:val="auto"/>
                <w:highlight w:val="none"/>
              </w:rPr>
            </w:pPr>
          </w:p>
        </w:tc>
        <w:tc>
          <w:tcPr>
            <w:tcW w:w="1196" w:type="dxa"/>
            <w:vMerge w:val="continue"/>
            <w:vAlign w:val="center"/>
          </w:tcPr>
          <w:p w14:paraId="5AD110EC">
            <w:pPr>
              <w:jc w:val="center"/>
              <w:rPr>
                <w:rFonts w:ascii="宋体" w:hAnsi="宋体"/>
                <w:color w:val="auto"/>
                <w:highlight w:val="none"/>
              </w:rPr>
            </w:pPr>
          </w:p>
        </w:tc>
        <w:tc>
          <w:tcPr>
            <w:tcW w:w="1397" w:type="dxa"/>
            <w:vAlign w:val="center"/>
          </w:tcPr>
          <w:p w14:paraId="1EE177DE">
            <w:pPr>
              <w:jc w:val="center"/>
              <w:rPr>
                <w:rFonts w:ascii="宋体" w:hAnsi="宋体"/>
                <w:color w:val="auto"/>
                <w:highlight w:val="none"/>
              </w:rPr>
            </w:pPr>
          </w:p>
        </w:tc>
      </w:tr>
      <w:tr w14:paraId="3533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668" w:type="dxa"/>
            <w:vAlign w:val="center"/>
          </w:tcPr>
          <w:p w14:paraId="43049A66">
            <w:pPr>
              <w:jc w:val="center"/>
              <w:rPr>
                <w:rFonts w:ascii="宋体" w:hAnsi="宋体"/>
                <w:color w:val="auto"/>
                <w:highlight w:val="none"/>
              </w:rPr>
            </w:pPr>
          </w:p>
        </w:tc>
        <w:tc>
          <w:tcPr>
            <w:tcW w:w="978" w:type="dxa"/>
            <w:vAlign w:val="center"/>
          </w:tcPr>
          <w:p w14:paraId="2492CE1C">
            <w:pPr>
              <w:jc w:val="center"/>
              <w:rPr>
                <w:rFonts w:ascii="宋体" w:hAnsi="宋体"/>
                <w:color w:val="auto"/>
                <w:highlight w:val="none"/>
              </w:rPr>
            </w:pPr>
          </w:p>
        </w:tc>
        <w:tc>
          <w:tcPr>
            <w:tcW w:w="1560" w:type="dxa"/>
            <w:vAlign w:val="center"/>
          </w:tcPr>
          <w:p w14:paraId="206BF740">
            <w:pPr>
              <w:jc w:val="center"/>
              <w:rPr>
                <w:rFonts w:ascii="宋体" w:hAnsi="宋体"/>
                <w:color w:val="auto"/>
                <w:highlight w:val="none"/>
              </w:rPr>
            </w:pPr>
          </w:p>
        </w:tc>
        <w:tc>
          <w:tcPr>
            <w:tcW w:w="1275" w:type="dxa"/>
            <w:vAlign w:val="center"/>
          </w:tcPr>
          <w:p w14:paraId="2CE5CA1C">
            <w:pPr>
              <w:jc w:val="center"/>
              <w:rPr>
                <w:rFonts w:ascii="宋体" w:hAnsi="宋体"/>
                <w:color w:val="auto"/>
                <w:highlight w:val="none"/>
              </w:rPr>
            </w:pPr>
          </w:p>
        </w:tc>
        <w:tc>
          <w:tcPr>
            <w:tcW w:w="993" w:type="dxa"/>
            <w:vMerge w:val="continue"/>
            <w:vAlign w:val="center"/>
          </w:tcPr>
          <w:p w14:paraId="5A4450EE">
            <w:pPr>
              <w:jc w:val="center"/>
              <w:rPr>
                <w:rFonts w:ascii="宋体" w:hAnsi="宋体"/>
                <w:color w:val="auto"/>
                <w:highlight w:val="none"/>
              </w:rPr>
            </w:pPr>
          </w:p>
        </w:tc>
        <w:tc>
          <w:tcPr>
            <w:tcW w:w="1196" w:type="dxa"/>
            <w:vMerge w:val="continue"/>
            <w:vAlign w:val="center"/>
          </w:tcPr>
          <w:p w14:paraId="6DBCCC4E">
            <w:pPr>
              <w:jc w:val="center"/>
              <w:rPr>
                <w:rFonts w:ascii="宋体" w:hAnsi="宋体"/>
                <w:color w:val="auto"/>
                <w:highlight w:val="none"/>
              </w:rPr>
            </w:pPr>
          </w:p>
        </w:tc>
        <w:tc>
          <w:tcPr>
            <w:tcW w:w="1397" w:type="dxa"/>
            <w:vAlign w:val="center"/>
          </w:tcPr>
          <w:p w14:paraId="00DE0593">
            <w:pPr>
              <w:jc w:val="center"/>
              <w:rPr>
                <w:rFonts w:ascii="宋体" w:hAnsi="宋体"/>
                <w:color w:val="auto"/>
                <w:highlight w:val="none"/>
              </w:rPr>
            </w:pPr>
          </w:p>
        </w:tc>
      </w:tr>
      <w:tr w14:paraId="2C17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668" w:type="dxa"/>
            <w:vAlign w:val="center"/>
          </w:tcPr>
          <w:p w14:paraId="0F03C0B5">
            <w:pPr>
              <w:jc w:val="center"/>
              <w:rPr>
                <w:rFonts w:ascii="宋体" w:hAnsi="宋体"/>
                <w:color w:val="auto"/>
                <w:highlight w:val="none"/>
              </w:rPr>
            </w:pPr>
          </w:p>
        </w:tc>
        <w:tc>
          <w:tcPr>
            <w:tcW w:w="978" w:type="dxa"/>
            <w:vAlign w:val="center"/>
          </w:tcPr>
          <w:p w14:paraId="36902B7B">
            <w:pPr>
              <w:jc w:val="center"/>
              <w:rPr>
                <w:rFonts w:ascii="宋体" w:hAnsi="宋体"/>
                <w:color w:val="auto"/>
                <w:highlight w:val="none"/>
              </w:rPr>
            </w:pPr>
          </w:p>
        </w:tc>
        <w:tc>
          <w:tcPr>
            <w:tcW w:w="1560" w:type="dxa"/>
            <w:vAlign w:val="center"/>
          </w:tcPr>
          <w:p w14:paraId="2FAC8A21">
            <w:pPr>
              <w:jc w:val="center"/>
              <w:rPr>
                <w:rFonts w:ascii="宋体" w:hAnsi="宋体"/>
                <w:color w:val="auto"/>
                <w:highlight w:val="none"/>
              </w:rPr>
            </w:pPr>
          </w:p>
        </w:tc>
        <w:tc>
          <w:tcPr>
            <w:tcW w:w="1275" w:type="dxa"/>
            <w:vAlign w:val="center"/>
          </w:tcPr>
          <w:p w14:paraId="2DAAB967">
            <w:pPr>
              <w:jc w:val="center"/>
              <w:rPr>
                <w:rFonts w:ascii="宋体" w:hAnsi="宋体"/>
                <w:color w:val="auto"/>
                <w:highlight w:val="none"/>
              </w:rPr>
            </w:pPr>
          </w:p>
        </w:tc>
        <w:tc>
          <w:tcPr>
            <w:tcW w:w="993" w:type="dxa"/>
            <w:vMerge w:val="continue"/>
            <w:vAlign w:val="center"/>
          </w:tcPr>
          <w:p w14:paraId="50589C74">
            <w:pPr>
              <w:jc w:val="center"/>
              <w:rPr>
                <w:rFonts w:ascii="宋体" w:hAnsi="宋体"/>
                <w:color w:val="auto"/>
                <w:highlight w:val="none"/>
              </w:rPr>
            </w:pPr>
          </w:p>
        </w:tc>
        <w:tc>
          <w:tcPr>
            <w:tcW w:w="1196" w:type="dxa"/>
            <w:vMerge w:val="continue"/>
            <w:vAlign w:val="center"/>
          </w:tcPr>
          <w:p w14:paraId="390EDDDF">
            <w:pPr>
              <w:jc w:val="center"/>
              <w:rPr>
                <w:rFonts w:ascii="宋体" w:hAnsi="宋体"/>
                <w:color w:val="auto"/>
                <w:highlight w:val="none"/>
              </w:rPr>
            </w:pPr>
          </w:p>
        </w:tc>
        <w:tc>
          <w:tcPr>
            <w:tcW w:w="1397" w:type="dxa"/>
            <w:vAlign w:val="center"/>
          </w:tcPr>
          <w:p w14:paraId="661FCAC4">
            <w:pPr>
              <w:jc w:val="center"/>
              <w:rPr>
                <w:rFonts w:ascii="宋体" w:hAnsi="宋体"/>
                <w:color w:val="auto"/>
                <w:highlight w:val="none"/>
              </w:rPr>
            </w:pPr>
          </w:p>
        </w:tc>
      </w:tr>
      <w:tr w14:paraId="5C3A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067" w:type="dxa"/>
            <w:gridSpan w:val="7"/>
            <w:vAlign w:val="center"/>
          </w:tcPr>
          <w:p w14:paraId="5A64E520">
            <w:pPr>
              <w:rPr>
                <w:rFonts w:ascii="宋体" w:hAnsi="宋体"/>
                <w:color w:val="auto"/>
                <w:highlight w:val="none"/>
              </w:rPr>
            </w:pPr>
            <w:r>
              <w:rPr>
                <w:rFonts w:hint="eastAsia" w:ascii="宋体" w:hAnsi="宋体"/>
                <w:color w:val="auto"/>
                <w:highlight w:val="none"/>
              </w:rPr>
              <w:t>评标委员会成员签名：</w:t>
            </w:r>
          </w:p>
          <w:p w14:paraId="69CC37D5">
            <w:pPr>
              <w:rPr>
                <w:rFonts w:ascii="宋体" w:hAnsi="宋体"/>
                <w:color w:val="auto"/>
                <w:highlight w:val="none"/>
              </w:rPr>
            </w:pPr>
          </w:p>
          <w:p w14:paraId="4B7C0C9C">
            <w:pPr>
              <w:rPr>
                <w:rFonts w:ascii="宋体" w:hAnsi="宋体"/>
                <w:color w:val="auto"/>
                <w:highlight w:val="none"/>
              </w:rPr>
            </w:pPr>
          </w:p>
          <w:p w14:paraId="7B55657B">
            <w:pPr>
              <w:rPr>
                <w:rFonts w:ascii="宋体" w:hAnsi="宋体"/>
                <w:color w:val="auto"/>
                <w:highlight w:val="none"/>
              </w:rPr>
            </w:pPr>
          </w:p>
          <w:p w14:paraId="5E451F9A">
            <w:pPr>
              <w:rPr>
                <w:rFonts w:ascii="宋体" w:hAnsi="宋体"/>
                <w:color w:val="auto"/>
                <w:highlight w:val="none"/>
              </w:rPr>
            </w:pPr>
          </w:p>
          <w:p w14:paraId="73AE93DF">
            <w:pPr>
              <w:rPr>
                <w:rFonts w:ascii="宋体" w:hAnsi="宋体"/>
                <w:color w:val="auto"/>
                <w:highlight w:val="none"/>
              </w:rPr>
            </w:pPr>
          </w:p>
          <w:p w14:paraId="4AB849E6">
            <w:pPr>
              <w:rPr>
                <w:rFonts w:ascii="宋体" w:hAnsi="宋体"/>
                <w:color w:val="auto"/>
                <w:highlight w:val="none"/>
              </w:rPr>
            </w:pPr>
          </w:p>
          <w:p w14:paraId="0682D075">
            <w:pPr>
              <w:rPr>
                <w:rFonts w:ascii="宋体" w:hAnsi="宋体"/>
                <w:color w:val="auto"/>
                <w:highlight w:val="none"/>
              </w:rPr>
            </w:pPr>
          </w:p>
        </w:tc>
      </w:tr>
      <w:bookmarkEnd w:id="1109"/>
    </w:tbl>
    <w:p w14:paraId="406B2DAA">
      <w:pPr>
        <w:jc w:val="right"/>
        <w:rPr>
          <w:color w:val="auto"/>
          <w:highlight w:val="none"/>
        </w:rPr>
      </w:pPr>
      <w:r>
        <w:rPr>
          <w:rFonts w:hint="eastAsia" w:ascii="宋体" w:hAnsi="宋体"/>
          <w:color w:val="auto"/>
          <w:szCs w:val="21"/>
          <w:highlight w:val="none"/>
        </w:rPr>
        <w:t xml:space="preserve">日期：  </w:t>
      </w:r>
      <w:r>
        <w:rPr>
          <w:rFonts w:ascii="宋体" w:hAnsi="宋体"/>
          <w:color w:val="auto"/>
          <w:szCs w:val="21"/>
          <w:highlight w:val="none"/>
        </w:rPr>
        <w:t xml:space="preserve">    </w:t>
      </w:r>
      <w:r>
        <w:rPr>
          <w:rFonts w:hint="eastAsia" w:ascii="宋体" w:hAnsi="宋体"/>
          <w:color w:val="auto"/>
          <w:szCs w:val="21"/>
          <w:highlight w:val="none"/>
        </w:rPr>
        <w:t xml:space="preserve">  年 </w:t>
      </w:r>
      <w:r>
        <w:rPr>
          <w:rFonts w:ascii="宋体" w:hAnsi="宋体"/>
          <w:color w:val="auto"/>
          <w:szCs w:val="21"/>
          <w:highlight w:val="none"/>
        </w:rPr>
        <w:t xml:space="preserve">    </w:t>
      </w:r>
      <w:r>
        <w:rPr>
          <w:rFonts w:hint="eastAsia" w:ascii="宋体" w:hAnsi="宋体"/>
          <w:color w:val="auto"/>
          <w:szCs w:val="21"/>
          <w:highlight w:val="none"/>
        </w:rPr>
        <w:t xml:space="preserve">  月 </w:t>
      </w:r>
      <w:r>
        <w:rPr>
          <w:rFonts w:ascii="宋体" w:hAnsi="宋体"/>
          <w:color w:val="auto"/>
          <w:szCs w:val="21"/>
          <w:highlight w:val="none"/>
        </w:rPr>
        <w:t xml:space="preserve">    </w:t>
      </w:r>
      <w:r>
        <w:rPr>
          <w:rFonts w:hint="eastAsia" w:ascii="宋体" w:hAnsi="宋体"/>
          <w:color w:val="auto"/>
          <w:szCs w:val="21"/>
          <w:highlight w:val="none"/>
        </w:rPr>
        <w:t xml:space="preserve"> 日</w:t>
      </w:r>
    </w:p>
    <w:p w14:paraId="32494A80">
      <w:pPr>
        <w:widowControl/>
        <w:jc w:val="left"/>
        <w:rPr>
          <w:color w:val="auto"/>
          <w:highlight w:val="none"/>
        </w:rPr>
      </w:pPr>
      <w:r>
        <w:rPr>
          <w:color w:val="auto"/>
          <w:highlight w:val="none"/>
        </w:rPr>
        <w:br w:type="page"/>
      </w:r>
      <w:bookmarkEnd w:id="1108"/>
    </w:p>
    <w:p w14:paraId="7A7B5B60">
      <w:pPr>
        <w:ind w:firstLine="5250" w:firstLineChars="2500"/>
        <w:rPr>
          <w:color w:val="auto"/>
          <w:highlight w:val="none"/>
        </w:rPr>
        <w:sectPr>
          <w:pgSz w:w="11906" w:h="16838"/>
          <w:pgMar w:top="1440" w:right="1797" w:bottom="1440" w:left="1797" w:header="851" w:footer="992" w:gutter="0"/>
          <w:pgBorders>
            <w:top w:val="none" w:sz="0" w:space="0"/>
            <w:left w:val="none" w:sz="0" w:space="0"/>
            <w:bottom w:val="none" w:sz="0" w:space="0"/>
            <w:right w:val="none" w:sz="0" w:space="0"/>
          </w:pgBorders>
          <w:cols w:space="425" w:num="1"/>
          <w:docGrid w:linePitch="312" w:charSpace="0"/>
        </w:sectPr>
      </w:pPr>
    </w:p>
    <w:p w14:paraId="287B1851">
      <w:pPr>
        <w:pStyle w:val="37"/>
        <w:ind w:firstLine="118"/>
        <w:rPr>
          <w:color w:val="auto"/>
          <w:highlight w:val="none"/>
        </w:rPr>
      </w:pPr>
      <w:bookmarkStart w:id="1110" w:name="_Toc148860680"/>
      <w:bookmarkStart w:id="1111" w:name="_Toc31061"/>
      <w:bookmarkStart w:id="1112" w:name="_Toc27153"/>
      <w:bookmarkStart w:id="1113" w:name="_Toc256000151"/>
      <w:bookmarkStart w:id="1114" w:name="_Toc164716321"/>
      <w:r>
        <w:rPr>
          <w:rFonts w:hint="eastAsia"/>
          <w:color w:val="auto"/>
          <w:highlight w:val="none"/>
        </w:rPr>
        <w:t>附表A-1</w:t>
      </w:r>
      <w:r>
        <w:rPr>
          <w:color w:val="auto"/>
          <w:highlight w:val="none"/>
        </w:rPr>
        <w:t>8</w:t>
      </w:r>
      <w:r>
        <w:rPr>
          <w:rFonts w:hint="eastAsia"/>
          <w:color w:val="auto"/>
          <w:highlight w:val="none"/>
        </w:rPr>
        <w:t>：推荐中标候选人一览表</w:t>
      </w:r>
      <w:bookmarkEnd w:id="1110"/>
      <w:bookmarkEnd w:id="1111"/>
      <w:bookmarkEnd w:id="1112"/>
      <w:bookmarkEnd w:id="1113"/>
      <w:bookmarkEnd w:id="1114"/>
    </w:p>
    <w:p w14:paraId="322E67A2">
      <w:pPr>
        <w:spacing w:after="312" w:afterLines="100"/>
        <w:jc w:val="center"/>
        <w:rPr>
          <w:rFonts w:ascii="黑体" w:eastAsia="黑体"/>
          <w:color w:val="auto"/>
          <w:sz w:val="36"/>
          <w:szCs w:val="36"/>
          <w:highlight w:val="none"/>
        </w:rPr>
      </w:pPr>
    </w:p>
    <w:p w14:paraId="37A460E6">
      <w:pPr>
        <w:adjustRightInd w:val="0"/>
        <w:snapToGrid w:val="0"/>
        <w:spacing w:before="240" w:beforeLines="100" w:after="240" w:afterLines="100" w:line="440" w:lineRule="exact"/>
        <w:jc w:val="center"/>
        <w:rPr>
          <w:rFonts w:ascii="黑体" w:eastAsia="黑体"/>
          <w:color w:val="auto"/>
          <w:sz w:val="36"/>
          <w:szCs w:val="36"/>
          <w:highlight w:val="none"/>
        </w:rPr>
      </w:pPr>
      <w:r>
        <w:rPr>
          <w:rFonts w:hint="eastAsia" w:ascii="黑体" w:eastAsia="黑体"/>
          <w:color w:val="auto"/>
          <w:sz w:val="36"/>
          <w:szCs w:val="36"/>
          <w:highlight w:val="none"/>
        </w:rPr>
        <w:t>推荐</w:t>
      </w:r>
      <w:r>
        <w:rPr>
          <w:rFonts w:hint="eastAsia" w:ascii="黑体" w:hAnsi="宋体" w:eastAsia="黑体"/>
          <w:color w:val="auto"/>
          <w:sz w:val="36"/>
          <w:szCs w:val="36"/>
          <w:highlight w:val="none"/>
        </w:rPr>
        <w:t>中标</w:t>
      </w:r>
      <w:r>
        <w:rPr>
          <w:rFonts w:hint="eastAsia" w:ascii="黑体" w:eastAsia="黑体"/>
          <w:color w:val="auto"/>
          <w:sz w:val="36"/>
          <w:szCs w:val="36"/>
          <w:highlight w:val="none"/>
        </w:rPr>
        <w:t>候选人一览表</w:t>
      </w:r>
    </w:p>
    <w:p w14:paraId="5E4D477B">
      <w:pPr>
        <w:rPr>
          <w:rFonts w:ascii="宋体" w:hAnsi="宋体"/>
          <w:color w:val="auto"/>
          <w:szCs w:val="44"/>
          <w:highlight w:val="none"/>
        </w:rPr>
      </w:pPr>
      <w:r>
        <w:rPr>
          <w:rFonts w:hint="eastAsia" w:ascii="宋体" w:hAnsi="宋体"/>
          <w:color w:val="auto"/>
          <w:szCs w:val="44"/>
          <w:highlight w:val="none"/>
        </w:rPr>
        <w:t>标段名称：</w:t>
      </w:r>
    </w:p>
    <w:p w14:paraId="700939AB">
      <w:pPr>
        <w:rPr>
          <w:color w:val="auto"/>
          <w:szCs w:val="44"/>
          <w:highlight w:val="none"/>
        </w:rPr>
      </w:pPr>
      <w:r>
        <w:rPr>
          <w:rFonts w:hint="eastAsia"/>
          <w:color w:val="auto"/>
          <w:szCs w:val="44"/>
          <w:highlight w:val="none"/>
        </w:rPr>
        <w:t>标段唯一标识码：</w:t>
      </w:r>
      <w:r>
        <w:rPr>
          <w:color w:val="auto"/>
          <w:szCs w:val="44"/>
          <w:highlight w:val="none"/>
        </w:rPr>
        <w:t xml:space="preserve">                                                </w:t>
      </w:r>
      <w:r>
        <w:rPr>
          <w:rFonts w:hint="eastAsia"/>
          <w:color w:val="auto"/>
          <w:szCs w:val="44"/>
          <w:highlight w:val="none"/>
        </w:rPr>
        <w:t>单位：人民币元</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581"/>
        <w:gridCol w:w="1429"/>
        <w:gridCol w:w="1466"/>
        <w:gridCol w:w="1905"/>
        <w:gridCol w:w="1274"/>
      </w:tblGrid>
      <w:tr w14:paraId="4969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962" w:type="dxa"/>
            <w:vAlign w:val="center"/>
          </w:tcPr>
          <w:p w14:paraId="56031D53">
            <w:pPr>
              <w:jc w:val="center"/>
              <w:rPr>
                <w:b/>
                <w:bCs/>
                <w:color w:val="auto"/>
                <w:highlight w:val="none"/>
              </w:rPr>
            </w:pPr>
            <w:r>
              <w:rPr>
                <w:rFonts w:hint="eastAsia"/>
                <w:b/>
                <w:bCs/>
                <w:color w:val="auto"/>
                <w:highlight w:val="none"/>
              </w:rPr>
              <w:t>排名</w:t>
            </w:r>
          </w:p>
        </w:tc>
        <w:tc>
          <w:tcPr>
            <w:tcW w:w="1831" w:type="dxa"/>
            <w:vAlign w:val="center"/>
          </w:tcPr>
          <w:p w14:paraId="267E87E4">
            <w:pPr>
              <w:jc w:val="center"/>
              <w:rPr>
                <w:b/>
                <w:bCs/>
                <w:color w:val="auto"/>
                <w:highlight w:val="none"/>
              </w:rPr>
            </w:pPr>
            <w:r>
              <w:rPr>
                <w:rFonts w:hint="eastAsia"/>
                <w:b/>
                <w:bCs/>
                <w:color w:val="auto"/>
                <w:highlight w:val="none"/>
              </w:rPr>
              <w:t>投标人名称</w:t>
            </w:r>
          </w:p>
        </w:tc>
        <w:tc>
          <w:tcPr>
            <w:tcW w:w="1646" w:type="dxa"/>
            <w:vAlign w:val="center"/>
          </w:tcPr>
          <w:p w14:paraId="4914C52E">
            <w:pPr>
              <w:jc w:val="center"/>
              <w:rPr>
                <w:b/>
                <w:bCs/>
                <w:color w:val="auto"/>
                <w:highlight w:val="none"/>
              </w:rPr>
            </w:pPr>
            <w:r>
              <w:rPr>
                <w:rFonts w:hint="eastAsia"/>
                <w:b/>
                <w:bCs/>
                <w:color w:val="auto"/>
                <w:highlight w:val="none"/>
              </w:rPr>
              <w:t>投标报价</w:t>
            </w:r>
          </w:p>
        </w:tc>
        <w:tc>
          <w:tcPr>
            <w:tcW w:w="1646" w:type="dxa"/>
            <w:vAlign w:val="center"/>
          </w:tcPr>
          <w:p w14:paraId="63A4488F">
            <w:pPr>
              <w:jc w:val="center"/>
              <w:rPr>
                <w:b/>
                <w:bCs/>
                <w:color w:val="auto"/>
                <w:highlight w:val="none"/>
              </w:rPr>
            </w:pPr>
            <w:r>
              <w:rPr>
                <w:rFonts w:hint="eastAsia"/>
                <w:b/>
                <w:bCs/>
                <w:color w:val="auto"/>
                <w:highlight w:val="none"/>
              </w:rPr>
              <w:t>评审得分（评标价）</w:t>
            </w:r>
          </w:p>
        </w:tc>
        <w:tc>
          <w:tcPr>
            <w:tcW w:w="2226" w:type="dxa"/>
            <w:vAlign w:val="center"/>
          </w:tcPr>
          <w:p w14:paraId="70E4CF24">
            <w:pPr>
              <w:jc w:val="center"/>
              <w:rPr>
                <w:b/>
                <w:bCs/>
                <w:color w:val="auto"/>
                <w:highlight w:val="none"/>
              </w:rPr>
            </w:pPr>
            <w:r>
              <w:rPr>
                <w:rFonts w:hint="eastAsia"/>
                <w:b/>
                <w:bCs/>
                <w:color w:val="auto"/>
                <w:highlight w:val="none"/>
              </w:rPr>
              <w:t>是否被推荐为中标候选人</w:t>
            </w:r>
          </w:p>
        </w:tc>
        <w:tc>
          <w:tcPr>
            <w:tcW w:w="1458" w:type="dxa"/>
            <w:vAlign w:val="center"/>
          </w:tcPr>
          <w:p w14:paraId="0118B2FC">
            <w:pPr>
              <w:jc w:val="center"/>
              <w:rPr>
                <w:b/>
                <w:bCs/>
                <w:color w:val="auto"/>
                <w:highlight w:val="none"/>
              </w:rPr>
            </w:pPr>
            <w:r>
              <w:rPr>
                <w:rFonts w:hint="eastAsia"/>
                <w:b/>
                <w:bCs/>
                <w:color w:val="auto"/>
                <w:highlight w:val="none"/>
              </w:rPr>
              <w:t>推荐理由</w:t>
            </w:r>
          </w:p>
        </w:tc>
      </w:tr>
      <w:tr w14:paraId="5931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962" w:type="dxa"/>
            <w:vAlign w:val="center"/>
          </w:tcPr>
          <w:p w14:paraId="37F8CF9B">
            <w:pPr>
              <w:jc w:val="center"/>
              <w:rPr>
                <w:color w:val="auto"/>
                <w:highlight w:val="none"/>
              </w:rPr>
            </w:pPr>
            <w:r>
              <w:rPr>
                <w:rFonts w:hint="eastAsia"/>
                <w:color w:val="auto"/>
                <w:highlight w:val="none"/>
              </w:rPr>
              <w:t>1</w:t>
            </w:r>
          </w:p>
        </w:tc>
        <w:tc>
          <w:tcPr>
            <w:tcW w:w="1831" w:type="dxa"/>
            <w:vAlign w:val="center"/>
          </w:tcPr>
          <w:p w14:paraId="1A3254A0">
            <w:pPr>
              <w:jc w:val="center"/>
              <w:rPr>
                <w:color w:val="auto"/>
                <w:highlight w:val="none"/>
              </w:rPr>
            </w:pPr>
          </w:p>
        </w:tc>
        <w:tc>
          <w:tcPr>
            <w:tcW w:w="1646" w:type="dxa"/>
            <w:vAlign w:val="center"/>
          </w:tcPr>
          <w:p w14:paraId="62B562C1">
            <w:pPr>
              <w:jc w:val="center"/>
              <w:rPr>
                <w:color w:val="auto"/>
                <w:highlight w:val="none"/>
              </w:rPr>
            </w:pPr>
          </w:p>
        </w:tc>
        <w:tc>
          <w:tcPr>
            <w:tcW w:w="1646" w:type="dxa"/>
            <w:vAlign w:val="center"/>
          </w:tcPr>
          <w:p w14:paraId="57AA989A">
            <w:pPr>
              <w:jc w:val="center"/>
              <w:rPr>
                <w:color w:val="auto"/>
                <w:highlight w:val="none"/>
              </w:rPr>
            </w:pPr>
          </w:p>
        </w:tc>
        <w:tc>
          <w:tcPr>
            <w:tcW w:w="2226" w:type="dxa"/>
            <w:vAlign w:val="center"/>
          </w:tcPr>
          <w:p w14:paraId="60923801">
            <w:pPr>
              <w:jc w:val="center"/>
              <w:rPr>
                <w:color w:val="auto"/>
                <w:highlight w:val="none"/>
              </w:rPr>
            </w:pPr>
          </w:p>
        </w:tc>
        <w:tc>
          <w:tcPr>
            <w:tcW w:w="1458" w:type="dxa"/>
            <w:vAlign w:val="center"/>
          </w:tcPr>
          <w:p w14:paraId="0DA46D7A">
            <w:pPr>
              <w:jc w:val="center"/>
              <w:rPr>
                <w:color w:val="auto"/>
                <w:highlight w:val="none"/>
              </w:rPr>
            </w:pPr>
          </w:p>
        </w:tc>
      </w:tr>
      <w:tr w14:paraId="74F7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962" w:type="dxa"/>
            <w:vAlign w:val="center"/>
          </w:tcPr>
          <w:p w14:paraId="34811982">
            <w:pPr>
              <w:jc w:val="center"/>
              <w:rPr>
                <w:color w:val="auto"/>
                <w:highlight w:val="none"/>
              </w:rPr>
            </w:pPr>
            <w:r>
              <w:rPr>
                <w:rFonts w:hint="eastAsia"/>
                <w:color w:val="auto"/>
                <w:highlight w:val="none"/>
              </w:rPr>
              <w:t>2</w:t>
            </w:r>
          </w:p>
        </w:tc>
        <w:tc>
          <w:tcPr>
            <w:tcW w:w="1831" w:type="dxa"/>
            <w:vAlign w:val="center"/>
          </w:tcPr>
          <w:p w14:paraId="2E7B1B7A">
            <w:pPr>
              <w:jc w:val="center"/>
              <w:rPr>
                <w:color w:val="auto"/>
                <w:highlight w:val="none"/>
              </w:rPr>
            </w:pPr>
          </w:p>
        </w:tc>
        <w:tc>
          <w:tcPr>
            <w:tcW w:w="1646" w:type="dxa"/>
            <w:vAlign w:val="center"/>
          </w:tcPr>
          <w:p w14:paraId="0E8047F2">
            <w:pPr>
              <w:jc w:val="center"/>
              <w:rPr>
                <w:color w:val="auto"/>
                <w:highlight w:val="none"/>
              </w:rPr>
            </w:pPr>
          </w:p>
        </w:tc>
        <w:tc>
          <w:tcPr>
            <w:tcW w:w="1646" w:type="dxa"/>
            <w:vAlign w:val="center"/>
          </w:tcPr>
          <w:p w14:paraId="7DDC059C">
            <w:pPr>
              <w:jc w:val="center"/>
              <w:rPr>
                <w:color w:val="auto"/>
                <w:highlight w:val="none"/>
              </w:rPr>
            </w:pPr>
          </w:p>
        </w:tc>
        <w:tc>
          <w:tcPr>
            <w:tcW w:w="2226" w:type="dxa"/>
            <w:vAlign w:val="center"/>
          </w:tcPr>
          <w:p w14:paraId="0F4F4EC3">
            <w:pPr>
              <w:jc w:val="center"/>
              <w:rPr>
                <w:color w:val="auto"/>
                <w:highlight w:val="none"/>
              </w:rPr>
            </w:pPr>
          </w:p>
        </w:tc>
        <w:tc>
          <w:tcPr>
            <w:tcW w:w="1458" w:type="dxa"/>
            <w:vAlign w:val="center"/>
          </w:tcPr>
          <w:p w14:paraId="1217DE94">
            <w:pPr>
              <w:jc w:val="center"/>
              <w:rPr>
                <w:color w:val="auto"/>
                <w:highlight w:val="none"/>
              </w:rPr>
            </w:pPr>
          </w:p>
        </w:tc>
      </w:tr>
      <w:tr w14:paraId="0540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962" w:type="dxa"/>
            <w:vAlign w:val="center"/>
          </w:tcPr>
          <w:p w14:paraId="381957B5">
            <w:pPr>
              <w:jc w:val="center"/>
              <w:rPr>
                <w:color w:val="auto"/>
                <w:highlight w:val="none"/>
              </w:rPr>
            </w:pPr>
            <w:r>
              <w:rPr>
                <w:rFonts w:hint="eastAsia"/>
                <w:color w:val="auto"/>
                <w:highlight w:val="none"/>
              </w:rPr>
              <w:t>3</w:t>
            </w:r>
          </w:p>
        </w:tc>
        <w:tc>
          <w:tcPr>
            <w:tcW w:w="1831" w:type="dxa"/>
            <w:vAlign w:val="center"/>
          </w:tcPr>
          <w:p w14:paraId="1C6DA5E6">
            <w:pPr>
              <w:jc w:val="center"/>
              <w:rPr>
                <w:color w:val="auto"/>
                <w:highlight w:val="none"/>
              </w:rPr>
            </w:pPr>
          </w:p>
        </w:tc>
        <w:tc>
          <w:tcPr>
            <w:tcW w:w="1646" w:type="dxa"/>
            <w:vAlign w:val="center"/>
          </w:tcPr>
          <w:p w14:paraId="5F8AED3F">
            <w:pPr>
              <w:jc w:val="center"/>
              <w:rPr>
                <w:color w:val="auto"/>
                <w:highlight w:val="none"/>
              </w:rPr>
            </w:pPr>
          </w:p>
        </w:tc>
        <w:tc>
          <w:tcPr>
            <w:tcW w:w="1646" w:type="dxa"/>
            <w:vAlign w:val="center"/>
          </w:tcPr>
          <w:p w14:paraId="2F07E89D">
            <w:pPr>
              <w:jc w:val="center"/>
              <w:rPr>
                <w:color w:val="auto"/>
                <w:highlight w:val="none"/>
              </w:rPr>
            </w:pPr>
          </w:p>
        </w:tc>
        <w:tc>
          <w:tcPr>
            <w:tcW w:w="2226" w:type="dxa"/>
            <w:vAlign w:val="center"/>
          </w:tcPr>
          <w:p w14:paraId="60C12CF3">
            <w:pPr>
              <w:jc w:val="center"/>
              <w:rPr>
                <w:color w:val="auto"/>
                <w:highlight w:val="none"/>
              </w:rPr>
            </w:pPr>
          </w:p>
        </w:tc>
        <w:tc>
          <w:tcPr>
            <w:tcW w:w="1458" w:type="dxa"/>
            <w:vAlign w:val="center"/>
          </w:tcPr>
          <w:p w14:paraId="13943A52">
            <w:pPr>
              <w:jc w:val="center"/>
              <w:rPr>
                <w:color w:val="auto"/>
                <w:highlight w:val="none"/>
              </w:rPr>
            </w:pPr>
          </w:p>
        </w:tc>
      </w:tr>
      <w:tr w14:paraId="705C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962" w:type="dxa"/>
            <w:vAlign w:val="center"/>
          </w:tcPr>
          <w:p w14:paraId="2CF7B8AD">
            <w:pPr>
              <w:jc w:val="center"/>
              <w:rPr>
                <w:color w:val="auto"/>
                <w:highlight w:val="none"/>
              </w:rPr>
            </w:pPr>
            <w:r>
              <w:rPr>
                <w:rFonts w:hint="eastAsia"/>
                <w:color w:val="auto"/>
                <w:highlight w:val="none"/>
              </w:rPr>
              <w:t>4</w:t>
            </w:r>
          </w:p>
        </w:tc>
        <w:tc>
          <w:tcPr>
            <w:tcW w:w="1831" w:type="dxa"/>
            <w:vAlign w:val="center"/>
          </w:tcPr>
          <w:p w14:paraId="48D962D7">
            <w:pPr>
              <w:jc w:val="center"/>
              <w:rPr>
                <w:color w:val="auto"/>
                <w:highlight w:val="none"/>
              </w:rPr>
            </w:pPr>
          </w:p>
        </w:tc>
        <w:tc>
          <w:tcPr>
            <w:tcW w:w="1646" w:type="dxa"/>
            <w:vAlign w:val="center"/>
          </w:tcPr>
          <w:p w14:paraId="2C4A1F82">
            <w:pPr>
              <w:jc w:val="center"/>
              <w:rPr>
                <w:color w:val="auto"/>
                <w:highlight w:val="none"/>
              </w:rPr>
            </w:pPr>
          </w:p>
        </w:tc>
        <w:tc>
          <w:tcPr>
            <w:tcW w:w="1646" w:type="dxa"/>
            <w:vAlign w:val="center"/>
          </w:tcPr>
          <w:p w14:paraId="42517F3B">
            <w:pPr>
              <w:jc w:val="center"/>
              <w:rPr>
                <w:color w:val="auto"/>
                <w:highlight w:val="none"/>
              </w:rPr>
            </w:pPr>
          </w:p>
        </w:tc>
        <w:tc>
          <w:tcPr>
            <w:tcW w:w="2226" w:type="dxa"/>
            <w:vAlign w:val="center"/>
          </w:tcPr>
          <w:p w14:paraId="29C288F2">
            <w:pPr>
              <w:jc w:val="center"/>
              <w:rPr>
                <w:color w:val="auto"/>
                <w:highlight w:val="none"/>
              </w:rPr>
            </w:pPr>
          </w:p>
        </w:tc>
        <w:tc>
          <w:tcPr>
            <w:tcW w:w="1458" w:type="dxa"/>
            <w:vAlign w:val="center"/>
          </w:tcPr>
          <w:p w14:paraId="00D7CC37">
            <w:pPr>
              <w:jc w:val="center"/>
              <w:rPr>
                <w:color w:val="auto"/>
                <w:highlight w:val="none"/>
              </w:rPr>
            </w:pPr>
          </w:p>
        </w:tc>
      </w:tr>
      <w:tr w14:paraId="62D6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962" w:type="dxa"/>
            <w:vAlign w:val="center"/>
          </w:tcPr>
          <w:p w14:paraId="5AB38727">
            <w:pPr>
              <w:jc w:val="center"/>
              <w:rPr>
                <w:color w:val="auto"/>
                <w:highlight w:val="none"/>
              </w:rPr>
            </w:pPr>
            <w:r>
              <w:rPr>
                <w:rFonts w:hint="eastAsia"/>
                <w:color w:val="auto"/>
                <w:highlight w:val="none"/>
              </w:rPr>
              <w:t>5</w:t>
            </w:r>
          </w:p>
        </w:tc>
        <w:tc>
          <w:tcPr>
            <w:tcW w:w="1831" w:type="dxa"/>
            <w:vAlign w:val="center"/>
          </w:tcPr>
          <w:p w14:paraId="58E37C2C">
            <w:pPr>
              <w:jc w:val="center"/>
              <w:rPr>
                <w:color w:val="auto"/>
                <w:highlight w:val="none"/>
              </w:rPr>
            </w:pPr>
          </w:p>
        </w:tc>
        <w:tc>
          <w:tcPr>
            <w:tcW w:w="1646" w:type="dxa"/>
            <w:vAlign w:val="center"/>
          </w:tcPr>
          <w:p w14:paraId="7FE1627F">
            <w:pPr>
              <w:jc w:val="center"/>
              <w:rPr>
                <w:color w:val="auto"/>
                <w:highlight w:val="none"/>
              </w:rPr>
            </w:pPr>
          </w:p>
        </w:tc>
        <w:tc>
          <w:tcPr>
            <w:tcW w:w="1646" w:type="dxa"/>
            <w:vAlign w:val="center"/>
          </w:tcPr>
          <w:p w14:paraId="38168698">
            <w:pPr>
              <w:jc w:val="center"/>
              <w:rPr>
                <w:color w:val="auto"/>
                <w:highlight w:val="none"/>
              </w:rPr>
            </w:pPr>
          </w:p>
        </w:tc>
        <w:tc>
          <w:tcPr>
            <w:tcW w:w="2226" w:type="dxa"/>
            <w:vAlign w:val="center"/>
          </w:tcPr>
          <w:p w14:paraId="3E971FD1">
            <w:pPr>
              <w:jc w:val="center"/>
              <w:rPr>
                <w:color w:val="auto"/>
                <w:highlight w:val="none"/>
              </w:rPr>
            </w:pPr>
          </w:p>
        </w:tc>
        <w:tc>
          <w:tcPr>
            <w:tcW w:w="1458" w:type="dxa"/>
            <w:vAlign w:val="center"/>
          </w:tcPr>
          <w:p w14:paraId="6E2C0C59">
            <w:pPr>
              <w:jc w:val="center"/>
              <w:rPr>
                <w:color w:val="auto"/>
                <w:highlight w:val="none"/>
              </w:rPr>
            </w:pPr>
          </w:p>
        </w:tc>
      </w:tr>
      <w:tr w14:paraId="43AB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962" w:type="dxa"/>
            <w:vAlign w:val="center"/>
          </w:tcPr>
          <w:p w14:paraId="4C6E9D87">
            <w:pPr>
              <w:jc w:val="center"/>
              <w:rPr>
                <w:color w:val="auto"/>
                <w:highlight w:val="none"/>
              </w:rPr>
            </w:pPr>
            <w:r>
              <w:rPr>
                <w:rFonts w:hint="eastAsia" w:ascii="宋体" w:hAnsi="宋体"/>
                <w:color w:val="auto"/>
                <w:highlight w:val="none"/>
              </w:rPr>
              <w:t>…</w:t>
            </w:r>
          </w:p>
        </w:tc>
        <w:tc>
          <w:tcPr>
            <w:tcW w:w="1831" w:type="dxa"/>
            <w:vAlign w:val="center"/>
          </w:tcPr>
          <w:p w14:paraId="252C27BF">
            <w:pPr>
              <w:jc w:val="center"/>
              <w:rPr>
                <w:color w:val="auto"/>
                <w:highlight w:val="none"/>
              </w:rPr>
            </w:pPr>
          </w:p>
        </w:tc>
        <w:tc>
          <w:tcPr>
            <w:tcW w:w="1646" w:type="dxa"/>
            <w:vAlign w:val="center"/>
          </w:tcPr>
          <w:p w14:paraId="61A050D5">
            <w:pPr>
              <w:jc w:val="center"/>
              <w:rPr>
                <w:color w:val="auto"/>
                <w:highlight w:val="none"/>
              </w:rPr>
            </w:pPr>
          </w:p>
        </w:tc>
        <w:tc>
          <w:tcPr>
            <w:tcW w:w="1646" w:type="dxa"/>
            <w:vAlign w:val="center"/>
          </w:tcPr>
          <w:p w14:paraId="3C4FE869">
            <w:pPr>
              <w:jc w:val="center"/>
              <w:rPr>
                <w:color w:val="auto"/>
                <w:highlight w:val="none"/>
              </w:rPr>
            </w:pPr>
          </w:p>
        </w:tc>
        <w:tc>
          <w:tcPr>
            <w:tcW w:w="2226" w:type="dxa"/>
            <w:vAlign w:val="center"/>
          </w:tcPr>
          <w:p w14:paraId="1A4346CD">
            <w:pPr>
              <w:jc w:val="center"/>
              <w:rPr>
                <w:color w:val="auto"/>
                <w:highlight w:val="none"/>
              </w:rPr>
            </w:pPr>
          </w:p>
        </w:tc>
        <w:tc>
          <w:tcPr>
            <w:tcW w:w="1458" w:type="dxa"/>
            <w:vAlign w:val="center"/>
          </w:tcPr>
          <w:p w14:paraId="7C42C890">
            <w:pPr>
              <w:jc w:val="center"/>
              <w:rPr>
                <w:color w:val="auto"/>
                <w:highlight w:val="none"/>
              </w:rPr>
            </w:pPr>
          </w:p>
        </w:tc>
      </w:tr>
      <w:tr w14:paraId="23C58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9769" w:type="dxa"/>
            <w:gridSpan w:val="6"/>
            <w:vAlign w:val="center"/>
          </w:tcPr>
          <w:p w14:paraId="2CF9121B">
            <w:pPr>
              <w:jc w:val="left"/>
              <w:rPr>
                <w:rFonts w:ascii="宋体" w:hAnsi="宋体"/>
                <w:color w:val="auto"/>
                <w:szCs w:val="44"/>
                <w:highlight w:val="none"/>
              </w:rPr>
            </w:pPr>
            <w:r>
              <w:rPr>
                <w:rFonts w:hint="eastAsia"/>
                <w:color w:val="auto"/>
                <w:highlight w:val="none"/>
              </w:rPr>
              <w:t>评标委员会全体成员签名：</w:t>
            </w:r>
            <w:r>
              <w:rPr>
                <w:color w:val="auto"/>
                <w:highlight w:val="none"/>
              </w:rPr>
              <w:t xml:space="preserve"> </w:t>
            </w:r>
          </w:p>
          <w:p w14:paraId="02B8BE1A">
            <w:pPr>
              <w:jc w:val="left"/>
              <w:rPr>
                <w:rFonts w:ascii="宋体" w:hAnsi="宋体"/>
                <w:color w:val="auto"/>
                <w:szCs w:val="44"/>
                <w:highlight w:val="none"/>
              </w:rPr>
            </w:pPr>
          </w:p>
          <w:p w14:paraId="220845ED">
            <w:pPr>
              <w:jc w:val="left"/>
              <w:rPr>
                <w:rFonts w:ascii="宋体" w:hAnsi="宋体"/>
                <w:color w:val="auto"/>
                <w:szCs w:val="44"/>
                <w:highlight w:val="none"/>
              </w:rPr>
            </w:pPr>
          </w:p>
          <w:p w14:paraId="6EAA33D7">
            <w:pPr>
              <w:jc w:val="left"/>
              <w:rPr>
                <w:rFonts w:ascii="宋体" w:hAnsi="宋体"/>
                <w:color w:val="auto"/>
                <w:szCs w:val="44"/>
                <w:highlight w:val="none"/>
              </w:rPr>
            </w:pPr>
          </w:p>
          <w:p w14:paraId="05FDB569">
            <w:pPr>
              <w:jc w:val="left"/>
              <w:rPr>
                <w:rFonts w:ascii="宋体" w:hAnsi="宋体"/>
                <w:color w:val="auto"/>
                <w:szCs w:val="44"/>
                <w:highlight w:val="none"/>
              </w:rPr>
            </w:pPr>
          </w:p>
          <w:p w14:paraId="392482E0">
            <w:pPr>
              <w:jc w:val="left"/>
              <w:rPr>
                <w:rFonts w:ascii="宋体" w:hAnsi="宋体"/>
                <w:color w:val="auto"/>
                <w:szCs w:val="44"/>
                <w:highlight w:val="none"/>
              </w:rPr>
            </w:pPr>
          </w:p>
          <w:p w14:paraId="6D9FA5A4">
            <w:pPr>
              <w:jc w:val="left"/>
              <w:rPr>
                <w:rFonts w:ascii="宋体" w:hAnsi="宋体"/>
                <w:color w:val="auto"/>
                <w:szCs w:val="44"/>
                <w:highlight w:val="none"/>
              </w:rPr>
            </w:pPr>
          </w:p>
          <w:p w14:paraId="2E15A063">
            <w:pPr>
              <w:jc w:val="left"/>
              <w:rPr>
                <w:color w:val="auto"/>
                <w:highlight w:val="none"/>
              </w:rPr>
            </w:pPr>
          </w:p>
        </w:tc>
      </w:tr>
    </w:tbl>
    <w:p w14:paraId="43228E9C">
      <w:pPr>
        <w:widowControl/>
        <w:spacing w:line="430" w:lineRule="exact"/>
        <w:ind w:firstLine="420" w:firstLineChars="200"/>
        <w:jc w:val="right"/>
        <w:rPr>
          <w:color w:val="auto"/>
          <w:highlight w:val="none"/>
        </w:rPr>
      </w:pPr>
      <w:r>
        <w:rPr>
          <w:rFonts w:hint="eastAsia"/>
          <w:color w:val="auto"/>
          <w:highlight w:val="none"/>
        </w:rPr>
        <w:t xml:space="preserve">日期：    年   月 </w:t>
      </w:r>
      <w:r>
        <w:rPr>
          <w:color w:val="auto"/>
          <w:highlight w:val="none"/>
        </w:rPr>
        <w:t xml:space="preserve">    </w:t>
      </w:r>
      <w:r>
        <w:rPr>
          <w:rFonts w:hint="eastAsia"/>
          <w:color w:val="auto"/>
          <w:highlight w:val="none"/>
        </w:rPr>
        <w:t xml:space="preserve"> 日</w:t>
      </w:r>
    </w:p>
    <w:p w14:paraId="6075E60A">
      <w:pPr>
        <w:rPr>
          <w:color w:val="auto"/>
          <w:highlight w:val="none"/>
        </w:rPr>
        <w:sectPr>
          <w:foot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552709D">
      <w:pPr>
        <w:bidi w:val="0"/>
        <w:rPr>
          <w:rFonts w:hint="eastAsia"/>
          <w:color w:val="auto"/>
          <w:highlight w:val="none"/>
        </w:rPr>
      </w:pPr>
      <w:bookmarkStart w:id="1115" w:name="_Toc152264507"/>
    </w:p>
    <w:p w14:paraId="08C22B7B">
      <w:pPr>
        <w:bidi w:val="0"/>
        <w:rPr>
          <w:rFonts w:hint="eastAsia"/>
          <w:color w:val="auto"/>
          <w:highlight w:val="none"/>
        </w:rPr>
      </w:pPr>
    </w:p>
    <w:p w14:paraId="325E11A5">
      <w:pPr>
        <w:bidi w:val="0"/>
        <w:rPr>
          <w:rFonts w:hint="eastAsia"/>
          <w:color w:val="auto"/>
          <w:highlight w:val="none"/>
        </w:rPr>
      </w:pPr>
    </w:p>
    <w:p w14:paraId="666CDF23">
      <w:pPr>
        <w:bidi w:val="0"/>
        <w:rPr>
          <w:rFonts w:hint="eastAsia"/>
          <w:color w:val="auto"/>
          <w:highlight w:val="none"/>
        </w:rPr>
      </w:pPr>
    </w:p>
    <w:p w14:paraId="4B4AF37E">
      <w:pPr>
        <w:bidi w:val="0"/>
        <w:rPr>
          <w:rFonts w:hint="eastAsia"/>
          <w:color w:val="auto"/>
          <w:highlight w:val="none"/>
        </w:rPr>
      </w:pPr>
    </w:p>
    <w:p w14:paraId="6B6DB57D">
      <w:pPr>
        <w:bidi w:val="0"/>
        <w:rPr>
          <w:rFonts w:hint="eastAsia"/>
          <w:color w:val="auto"/>
          <w:highlight w:val="none"/>
        </w:rPr>
      </w:pPr>
    </w:p>
    <w:p w14:paraId="6B32987E">
      <w:pPr>
        <w:bidi w:val="0"/>
        <w:rPr>
          <w:rFonts w:hint="eastAsia"/>
          <w:color w:val="auto"/>
          <w:highlight w:val="none"/>
        </w:rPr>
      </w:pPr>
    </w:p>
    <w:p w14:paraId="516A2D5D">
      <w:pPr>
        <w:bidi w:val="0"/>
        <w:rPr>
          <w:rFonts w:hint="eastAsia"/>
          <w:color w:val="auto"/>
          <w:highlight w:val="none"/>
        </w:rPr>
      </w:pPr>
    </w:p>
    <w:p w14:paraId="590D2507">
      <w:pPr>
        <w:bidi w:val="0"/>
        <w:rPr>
          <w:rFonts w:hint="eastAsia"/>
          <w:color w:val="auto"/>
          <w:highlight w:val="none"/>
        </w:rPr>
      </w:pPr>
    </w:p>
    <w:p w14:paraId="58E5FB56">
      <w:pPr>
        <w:bidi w:val="0"/>
        <w:rPr>
          <w:rFonts w:hint="eastAsia"/>
          <w:color w:val="auto"/>
          <w:highlight w:val="none"/>
        </w:rPr>
      </w:pPr>
    </w:p>
    <w:p w14:paraId="18CF7485">
      <w:pPr>
        <w:bidi w:val="0"/>
        <w:rPr>
          <w:rFonts w:hint="eastAsia"/>
          <w:color w:val="auto"/>
          <w:highlight w:val="none"/>
        </w:rPr>
      </w:pPr>
    </w:p>
    <w:p w14:paraId="58CD018B">
      <w:pPr>
        <w:bidi w:val="0"/>
        <w:rPr>
          <w:rFonts w:hint="eastAsia"/>
          <w:color w:val="auto"/>
          <w:highlight w:val="none"/>
        </w:rPr>
      </w:pPr>
    </w:p>
    <w:p w14:paraId="3AF5781B">
      <w:pPr>
        <w:bidi w:val="0"/>
        <w:rPr>
          <w:rFonts w:hint="eastAsia"/>
          <w:color w:val="auto"/>
          <w:highlight w:val="none"/>
        </w:rPr>
      </w:pPr>
    </w:p>
    <w:p w14:paraId="41C7DA55">
      <w:pPr>
        <w:bidi w:val="0"/>
        <w:rPr>
          <w:rFonts w:hint="eastAsia"/>
          <w:color w:val="auto"/>
          <w:highlight w:val="none"/>
        </w:rPr>
      </w:pPr>
    </w:p>
    <w:p w14:paraId="25553CB2">
      <w:pPr>
        <w:bidi w:val="0"/>
        <w:rPr>
          <w:rFonts w:hint="eastAsia"/>
          <w:color w:val="auto"/>
          <w:highlight w:val="none"/>
        </w:rPr>
      </w:pPr>
    </w:p>
    <w:p w14:paraId="6C12BD0C">
      <w:pPr>
        <w:bidi w:val="0"/>
        <w:rPr>
          <w:rFonts w:hint="eastAsia"/>
          <w:color w:val="auto"/>
          <w:highlight w:val="none"/>
        </w:rPr>
      </w:pPr>
    </w:p>
    <w:p w14:paraId="3DC61CFC">
      <w:pPr>
        <w:bidi w:val="0"/>
        <w:rPr>
          <w:rFonts w:hint="eastAsia"/>
          <w:color w:val="auto"/>
          <w:highlight w:val="none"/>
        </w:rPr>
      </w:pPr>
    </w:p>
    <w:p w14:paraId="11AD5BB2">
      <w:pPr>
        <w:pStyle w:val="2"/>
        <w:spacing w:before="120" w:after="120" w:line="400" w:lineRule="exact"/>
        <w:jc w:val="center"/>
        <w:rPr>
          <w:rFonts w:ascii="黑体" w:hAnsi="黑体" w:eastAsia="黑体"/>
          <w:b w:val="0"/>
          <w:bCs w:val="0"/>
          <w:color w:val="auto"/>
          <w:sz w:val="32"/>
          <w:highlight w:val="none"/>
        </w:rPr>
      </w:pPr>
      <w:bookmarkStart w:id="1116" w:name="_Toc256000152"/>
      <w:bookmarkStart w:id="1117" w:name="_Toc21722"/>
      <w:r>
        <w:rPr>
          <w:rFonts w:hint="eastAsia" w:ascii="黑体" w:hAnsi="黑体" w:eastAsia="黑体"/>
          <w:b w:val="0"/>
          <w:bCs w:val="0"/>
          <w:color w:val="auto"/>
          <w:sz w:val="32"/>
          <w:highlight w:val="none"/>
        </w:rPr>
        <w:t>第四章  合同条款及格式</w:t>
      </w:r>
      <w:bookmarkEnd w:id="1115"/>
      <w:bookmarkEnd w:id="1116"/>
      <w:bookmarkEnd w:id="1117"/>
    </w:p>
    <w:p w14:paraId="6645643A">
      <w:pPr>
        <w:jc w:val="center"/>
        <w:rPr>
          <w:rFonts w:ascii="黑体" w:eastAsia="黑体"/>
          <w:color w:val="auto"/>
          <w:sz w:val="30"/>
          <w:szCs w:val="30"/>
          <w:highlight w:val="none"/>
        </w:rPr>
      </w:pPr>
    </w:p>
    <w:p w14:paraId="6F958B7E">
      <w:pPr>
        <w:jc w:val="center"/>
        <w:rPr>
          <w:rFonts w:ascii="黑体" w:eastAsia="黑体"/>
          <w:color w:val="auto"/>
          <w:sz w:val="30"/>
          <w:szCs w:val="30"/>
          <w:highlight w:val="none"/>
        </w:rPr>
      </w:pPr>
    </w:p>
    <w:p w14:paraId="36BDCCC0">
      <w:pPr>
        <w:jc w:val="center"/>
        <w:rPr>
          <w:rFonts w:ascii="黑体" w:eastAsia="黑体"/>
          <w:color w:val="auto"/>
          <w:sz w:val="30"/>
          <w:szCs w:val="30"/>
          <w:highlight w:val="none"/>
        </w:rPr>
      </w:pPr>
    </w:p>
    <w:p w14:paraId="43C47D89">
      <w:pPr>
        <w:jc w:val="center"/>
        <w:rPr>
          <w:rFonts w:ascii="黑体" w:eastAsia="黑体"/>
          <w:color w:val="auto"/>
          <w:sz w:val="30"/>
          <w:szCs w:val="30"/>
          <w:highlight w:val="none"/>
        </w:rPr>
      </w:pPr>
    </w:p>
    <w:p w14:paraId="7CA13878">
      <w:pPr>
        <w:jc w:val="center"/>
        <w:rPr>
          <w:rFonts w:ascii="黑体" w:eastAsia="黑体"/>
          <w:color w:val="auto"/>
          <w:sz w:val="30"/>
          <w:szCs w:val="30"/>
          <w:highlight w:val="none"/>
        </w:rPr>
      </w:pPr>
    </w:p>
    <w:p w14:paraId="66601392">
      <w:pPr>
        <w:jc w:val="center"/>
        <w:rPr>
          <w:rFonts w:ascii="黑体" w:eastAsia="黑体"/>
          <w:color w:val="auto"/>
          <w:sz w:val="30"/>
          <w:szCs w:val="30"/>
          <w:highlight w:val="none"/>
        </w:rPr>
      </w:pPr>
    </w:p>
    <w:p w14:paraId="7685CE02">
      <w:pPr>
        <w:jc w:val="center"/>
        <w:rPr>
          <w:rFonts w:ascii="黑体" w:eastAsia="黑体"/>
          <w:color w:val="auto"/>
          <w:sz w:val="30"/>
          <w:szCs w:val="30"/>
          <w:highlight w:val="none"/>
        </w:rPr>
      </w:pPr>
    </w:p>
    <w:p w14:paraId="56D578BD">
      <w:pPr>
        <w:spacing w:line="320" w:lineRule="exact"/>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7995B0D">
      <w:pPr>
        <w:pStyle w:val="39"/>
        <w:widowControl/>
        <w:adjustRightInd w:val="0"/>
        <w:snapToGrid w:val="0"/>
        <w:spacing w:after="50" w:line="360" w:lineRule="auto"/>
        <w:jc w:val="center"/>
        <w:outlineLvl w:val="2"/>
        <w:rPr>
          <w:rFonts w:ascii="华文中宋" w:hAnsi="华文中宋" w:eastAsia="华文中宋"/>
          <w:b/>
          <w:bCs/>
          <w:color w:val="auto"/>
          <w:kern w:val="44"/>
          <w:sz w:val="44"/>
          <w:szCs w:val="52"/>
          <w:highlight w:val="none"/>
          <w:lang w:val="zh-CN"/>
        </w:rPr>
      </w:pPr>
      <w:bookmarkStart w:id="1118" w:name="_Toc9328"/>
      <w:bookmarkStart w:id="1119" w:name="_Toc26968"/>
      <w:bookmarkStart w:id="1120" w:name="_Toc256000153"/>
      <w:bookmarkStart w:id="1121" w:name="_Toc6388"/>
      <w:bookmarkStart w:id="1122" w:name="_Toc3729"/>
      <w:bookmarkStart w:id="1123" w:name="_Toc54862164"/>
      <w:r>
        <w:rPr>
          <w:rFonts w:hint="eastAsia" w:ascii="华文中宋" w:hAnsi="华文中宋" w:eastAsia="华文中宋"/>
          <w:b/>
          <w:bCs/>
          <w:color w:val="auto"/>
          <w:kern w:val="44"/>
          <w:sz w:val="44"/>
          <w:szCs w:val="52"/>
          <w:highlight w:val="none"/>
          <w:lang w:val="zh-CN"/>
        </w:rPr>
        <w:t>第一部分</w:t>
      </w:r>
      <w:r>
        <w:rPr>
          <w:rFonts w:ascii="华文中宋" w:hAnsi="华文中宋" w:eastAsia="华文中宋"/>
          <w:b/>
          <w:bCs/>
          <w:color w:val="auto"/>
          <w:kern w:val="44"/>
          <w:sz w:val="44"/>
          <w:szCs w:val="52"/>
          <w:highlight w:val="none"/>
          <w:lang w:val="zh-CN"/>
        </w:rPr>
        <w:t xml:space="preserve"> </w:t>
      </w:r>
      <w:r>
        <w:rPr>
          <w:rFonts w:hint="eastAsia" w:ascii="华文中宋" w:hAnsi="华文中宋" w:eastAsia="华文中宋"/>
          <w:b/>
          <w:bCs/>
          <w:color w:val="auto"/>
          <w:kern w:val="44"/>
          <w:sz w:val="44"/>
          <w:szCs w:val="52"/>
          <w:highlight w:val="none"/>
          <w:lang w:val="zh-CN"/>
        </w:rPr>
        <w:t>合同协议书</w:t>
      </w:r>
      <w:bookmarkEnd w:id="1118"/>
      <w:bookmarkEnd w:id="1119"/>
      <w:bookmarkEnd w:id="1120"/>
      <w:bookmarkEnd w:id="1121"/>
      <w:bookmarkEnd w:id="1122"/>
      <w:bookmarkEnd w:id="1123"/>
    </w:p>
    <w:p w14:paraId="39DDAFB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44" w:firstLineChars="200"/>
        <w:textAlignment w:val="baseline"/>
        <w:rPr>
          <w:rFonts w:hint="eastAsia" w:eastAsia="宋体"/>
          <w:color w:val="auto"/>
          <w:highlight w:val="none"/>
          <w:lang w:eastAsia="zh-CN"/>
        </w:rPr>
      </w:pPr>
      <w:r>
        <w:rPr>
          <w:color w:val="auto"/>
          <w:spacing w:val="-19"/>
          <w:highlight w:val="none"/>
        </w:rPr>
        <w:t>发包人（全称</w:t>
      </w:r>
      <w:r>
        <w:rPr>
          <w:color w:val="auto"/>
          <w:spacing w:val="-2"/>
          <w:highlight w:val="none"/>
        </w:rPr>
        <w:t>）：</w:t>
      </w:r>
      <w:r>
        <w:rPr>
          <w:rFonts w:hint="eastAsia"/>
          <w:color w:val="auto"/>
          <w:spacing w:val="-19"/>
          <w:highlight w:val="none"/>
          <w:u w:val="single"/>
          <w:lang w:eastAsia="zh-CN"/>
        </w:rPr>
        <w:t>营口国盛中济产业开发建设有限公司</w:t>
      </w:r>
    </w:p>
    <w:p w14:paraId="5E629D8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44" w:firstLineChars="200"/>
        <w:textAlignment w:val="baseline"/>
        <w:rPr>
          <w:color w:val="auto"/>
          <w:highlight w:val="none"/>
          <w:u w:val="single" w:color="auto"/>
        </w:rPr>
      </w:pPr>
      <w:r>
        <w:rPr>
          <w:color w:val="auto"/>
          <w:spacing w:val="-19"/>
          <w:highlight w:val="none"/>
        </w:rPr>
        <w:t>承包人（全称</w:t>
      </w:r>
      <w:r>
        <w:rPr>
          <w:color w:val="auto"/>
          <w:spacing w:val="-1"/>
          <w:highlight w:val="none"/>
        </w:rPr>
        <w:t>）：</w:t>
      </w:r>
      <w:r>
        <w:rPr>
          <w:rFonts w:hint="eastAsia"/>
          <w:color w:val="auto"/>
          <w:spacing w:val="-1"/>
          <w:highlight w:val="none"/>
          <w:u w:val="single"/>
          <w:lang w:val="en-US" w:eastAsia="zh-CN"/>
        </w:rPr>
        <w:t xml:space="preserve">联合体牵头人：                     </w:t>
      </w:r>
      <w:r>
        <w:rPr>
          <w:color w:val="auto"/>
          <w:highlight w:val="none"/>
          <w:u w:val="single" w:color="auto"/>
        </w:rPr>
        <w:t xml:space="preserve">  </w:t>
      </w:r>
    </w:p>
    <w:p w14:paraId="45EE099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1720" w:firstLineChars="1000"/>
        <w:textAlignment w:val="baseline"/>
        <w:rPr>
          <w:color w:val="auto"/>
          <w:spacing w:val="-19"/>
          <w:highlight w:val="none"/>
        </w:rPr>
      </w:pPr>
      <w:r>
        <w:rPr>
          <w:rFonts w:hint="eastAsia"/>
          <w:color w:val="auto"/>
          <w:spacing w:val="-19"/>
          <w:highlight w:val="none"/>
          <w:lang w:val="en-US" w:eastAsia="zh-CN"/>
        </w:rPr>
        <w:t>联合体成员：</w:t>
      </w:r>
      <w:r>
        <w:rPr>
          <w:rFonts w:hint="eastAsia"/>
          <w:color w:val="auto"/>
          <w:spacing w:val="-1"/>
          <w:highlight w:val="none"/>
          <w:u w:val="single"/>
          <w:lang w:val="en-US" w:eastAsia="zh-CN"/>
        </w:rPr>
        <w:t xml:space="preserve">                     </w:t>
      </w:r>
      <w:r>
        <w:rPr>
          <w:color w:val="auto"/>
          <w:highlight w:val="none"/>
          <w:u w:val="single" w:color="auto"/>
        </w:rPr>
        <w:t xml:space="preserve">  </w:t>
      </w:r>
    </w:p>
    <w:p w14:paraId="6F0EDC91">
      <w:pPr>
        <w:pStyle w:val="9"/>
        <w:keepNext w:val="0"/>
        <w:keepLines w:val="0"/>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jc w:val="both"/>
        <w:textAlignment w:val="baseline"/>
        <w:rPr>
          <w:color w:val="auto"/>
          <w:highlight w:val="none"/>
        </w:rPr>
      </w:pPr>
      <w:r>
        <w:rPr>
          <w:color w:val="auto"/>
          <w:spacing w:val="-5"/>
          <w:highlight w:val="none"/>
        </w:rPr>
        <w:t>根据《中华人民共和国民法典》、《中华人民共和国建筑法》及有关法律规定，遵循平等、自愿、公</w:t>
      </w:r>
      <w:r>
        <w:rPr>
          <w:color w:val="auto"/>
          <w:spacing w:val="-2"/>
          <w:highlight w:val="none"/>
        </w:rPr>
        <w:t>平和诚实信用的原则，双方就</w:t>
      </w:r>
      <w:r>
        <w:rPr>
          <w:rFonts w:hint="eastAsia"/>
          <w:color w:val="auto"/>
          <w:spacing w:val="-3"/>
          <w:highlight w:val="none"/>
          <w:u w:val="single" w:color="auto"/>
          <w:lang w:eastAsia="zh-CN"/>
        </w:rPr>
        <w:t>中济智造产业基础设施配套项目一期EPC工程总承包</w:t>
      </w:r>
      <w:r>
        <w:rPr>
          <w:color w:val="auto"/>
          <w:spacing w:val="-1"/>
          <w:highlight w:val="none"/>
        </w:rPr>
        <w:t>的工程总承包及有关事项协商一致，</w:t>
      </w:r>
      <w:r>
        <w:rPr>
          <w:color w:val="auto"/>
          <w:spacing w:val="-2"/>
          <w:highlight w:val="none"/>
        </w:rPr>
        <w:t>共同达成如下协议：</w:t>
      </w:r>
    </w:p>
    <w:p w14:paraId="213C6E9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0"/>
        <w:rPr>
          <w:color w:val="auto"/>
          <w:highlight w:val="none"/>
        </w:rPr>
      </w:pPr>
      <w:bookmarkStart w:id="1124" w:name="_Toc4706"/>
      <w:r>
        <w:rPr>
          <w:color w:val="auto"/>
          <w:spacing w:val="-4"/>
          <w:highlight w:val="none"/>
        </w:rPr>
        <w:t>一、工程概况</w:t>
      </w:r>
      <w:bookmarkEnd w:id="1124"/>
    </w:p>
    <w:p w14:paraId="5DA8997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1.</w:t>
      </w:r>
      <w:r>
        <w:rPr>
          <w:color w:val="auto"/>
          <w:spacing w:val="-41"/>
          <w:highlight w:val="none"/>
        </w:rPr>
        <w:t xml:space="preserve"> </w:t>
      </w:r>
      <w:r>
        <w:rPr>
          <w:color w:val="auto"/>
          <w:spacing w:val="-3"/>
          <w:highlight w:val="none"/>
        </w:rPr>
        <w:t>工程名称：</w:t>
      </w:r>
      <w:r>
        <w:rPr>
          <w:color w:val="auto"/>
          <w:spacing w:val="-38"/>
          <w:highlight w:val="none"/>
          <w:u w:val="single" w:color="auto"/>
        </w:rPr>
        <w:t xml:space="preserve"> </w:t>
      </w:r>
      <w:r>
        <w:rPr>
          <w:rFonts w:hint="eastAsia"/>
          <w:color w:val="auto"/>
          <w:spacing w:val="-4"/>
          <w:highlight w:val="none"/>
          <w:u w:val="single" w:color="auto"/>
          <w:lang w:eastAsia="zh-CN"/>
        </w:rPr>
        <w:t>中济智造产业基础设施配套项目一期</w:t>
      </w:r>
      <w:r>
        <w:rPr>
          <w:color w:val="auto"/>
          <w:spacing w:val="-4"/>
          <w:highlight w:val="none"/>
          <w:u w:val="single" w:color="auto"/>
        </w:rPr>
        <w:t>EPC 工程总承包</w:t>
      </w:r>
      <w:r>
        <w:rPr>
          <w:color w:val="auto"/>
          <w:spacing w:val="-4"/>
          <w:highlight w:val="none"/>
        </w:rPr>
        <w:t>。</w:t>
      </w:r>
    </w:p>
    <w:p w14:paraId="0A8CBAD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2. 工程地点：</w:t>
      </w:r>
      <w:r>
        <w:rPr>
          <w:color w:val="auto"/>
          <w:highlight w:val="none"/>
          <w:u w:val="single" w:color="auto"/>
        </w:rPr>
        <w:t xml:space="preserve">  辽宁省营口市北海新区滨海</w:t>
      </w:r>
      <w:r>
        <w:rPr>
          <w:color w:val="auto"/>
          <w:spacing w:val="-1"/>
          <w:highlight w:val="none"/>
          <w:u w:val="single" w:color="auto"/>
        </w:rPr>
        <w:t xml:space="preserve">公路以西，辽东湾以东 </w:t>
      </w:r>
      <w:r>
        <w:rPr>
          <w:color w:val="auto"/>
          <w:spacing w:val="-1"/>
          <w:highlight w:val="none"/>
        </w:rPr>
        <w:t>。</w:t>
      </w:r>
    </w:p>
    <w:p w14:paraId="0C5429B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3. 工程审批、核准或备案文号：</w:t>
      </w:r>
      <w:r>
        <w:rPr>
          <w:color w:val="auto"/>
          <w:spacing w:val="-1"/>
          <w:highlight w:val="none"/>
          <w:u w:val="single" w:color="auto"/>
        </w:rPr>
        <w:t xml:space="preserve"> /     </w:t>
      </w:r>
      <w:r>
        <w:rPr>
          <w:color w:val="auto"/>
          <w:spacing w:val="-1"/>
          <w:highlight w:val="none"/>
        </w:rPr>
        <w:t>。</w:t>
      </w:r>
    </w:p>
    <w:p w14:paraId="76C72D5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4. 资金来源：</w:t>
      </w:r>
      <w:r>
        <w:rPr>
          <w:color w:val="auto"/>
          <w:spacing w:val="5"/>
          <w:highlight w:val="none"/>
          <w:u w:val="single" w:color="auto"/>
        </w:rPr>
        <w:t xml:space="preserve">   </w:t>
      </w:r>
      <w:r>
        <w:rPr>
          <w:color w:val="auto"/>
          <w:spacing w:val="-2"/>
          <w:highlight w:val="none"/>
          <w:u w:val="single" w:color="auto"/>
        </w:rPr>
        <w:t>企业自筹</w:t>
      </w:r>
      <w:r>
        <w:rPr>
          <w:color w:val="auto"/>
          <w:highlight w:val="none"/>
          <w:u w:val="single" w:color="auto"/>
        </w:rPr>
        <w:t xml:space="preserve">                        </w:t>
      </w:r>
      <w:r>
        <w:rPr>
          <w:color w:val="auto"/>
          <w:spacing w:val="-2"/>
          <w:highlight w:val="none"/>
        </w:rPr>
        <w:t>。</w:t>
      </w:r>
    </w:p>
    <w:p w14:paraId="385D10AE">
      <w:pPr>
        <w:keepNext w:val="0"/>
        <w:keepLines w:val="0"/>
        <w:pageBreakBefore w:val="0"/>
        <w:widowControl w:val="0"/>
        <w:numPr>
          <w:ilvl w:val="0"/>
          <w:numId w:val="0"/>
        </w:numPr>
        <w:suppressLineNumbers w:val="0"/>
        <w:kinsoku w:val="0"/>
        <w:wordWrap/>
        <w:overflowPunct/>
        <w:topLinePunct/>
        <w:autoSpaceDE w:val="0"/>
        <w:autoSpaceDN w:val="0"/>
        <w:bidi w:val="0"/>
        <w:adjustRightInd w:val="0"/>
        <w:snapToGrid w:val="0"/>
        <w:spacing w:before="0" w:beforeAutospacing="0" w:after="0" w:afterAutospacing="0" w:line="360" w:lineRule="auto"/>
        <w:ind w:right="0" w:rightChars="0" w:firstLine="408" w:firstLineChars="200"/>
        <w:jc w:val="both"/>
        <w:textAlignment w:val="baseline"/>
        <w:rPr>
          <w:rFonts w:hint="default" w:ascii="黑体" w:hAnsi="宋体" w:eastAsia="黑体" w:cs="黑体"/>
          <w:color w:val="auto"/>
          <w:szCs w:val="21"/>
          <w:highlight w:val="none"/>
          <w:u w:val="single"/>
        </w:rPr>
      </w:pPr>
      <w:r>
        <w:rPr>
          <w:color w:val="auto"/>
          <w:spacing w:val="-3"/>
          <w:highlight w:val="none"/>
        </w:rPr>
        <w:t>5. 工程内容及规模：</w:t>
      </w:r>
      <w:r>
        <w:rPr>
          <w:rFonts w:hint="eastAsia" w:ascii="宋体" w:hAnsi="宋体" w:cs="宋体"/>
          <w:color w:val="auto"/>
          <w:kern w:val="0"/>
          <w:sz w:val="21"/>
          <w:szCs w:val="21"/>
          <w:highlight w:val="none"/>
          <w:u w:val="single"/>
          <w:lang w:eastAsia="zh-CN"/>
        </w:rPr>
        <w:t>规划用地面积353.42亩，总建筑面积：131358.69㎡，其中叶片厂房建筑面积：85560㎡，整机厂房建筑面积：15361㎡，储能装备制造及箱变厂房建筑面积：7300㎡，机舱罩厂房建筑面积：4750㎡，1#化学品库建筑面积：1020㎡，2#化学品库建筑面积：420㎡，1#垃圾站建筑面积：1020㎡，食堂宿舍建筑面积：9980㎡，门卫建筑面积：140㎡，1#生产厂房建筑面积：5378.69㎡，化学品库建筑面积：325㎡，2#垃圾站建筑面积104㎡。</w:t>
      </w:r>
    </w:p>
    <w:p w14:paraId="13A6E20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6.</w:t>
      </w:r>
      <w:r>
        <w:rPr>
          <w:color w:val="auto"/>
          <w:spacing w:val="-39"/>
          <w:highlight w:val="none"/>
        </w:rPr>
        <w:t xml:space="preserve"> </w:t>
      </w:r>
      <w:r>
        <w:rPr>
          <w:color w:val="auto"/>
          <w:spacing w:val="-3"/>
          <w:highlight w:val="none"/>
        </w:rPr>
        <w:t>工程承包范围：</w:t>
      </w:r>
      <w:r>
        <w:rPr>
          <w:rFonts w:hint="eastAsia" w:ascii="宋体" w:hAnsi="宋体" w:eastAsia="Arial" w:cs="宋体"/>
          <w:snapToGrid w:val="0"/>
          <w:color w:val="auto"/>
          <w:kern w:val="0"/>
          <w:sz w:val="21"/>
          <w:szCs w:val="21"/>
          <w:highlight w:val="none"/>
          <w:u w:val="single"/>
          <w:lang w:val="en-US" w:eastAsia="zh-CN" w:bidi="ar-SA"/>
        </w:rPr>
        <w:t>总建筑面积：131358.69㎡，规划建设叶片厂房、整机厂房、储能装备制造及箱变厂房、机舱罩厂房、1#化学品库、2#化学品库、1#垃圾站、食堂宿舍、门卫、1#生产厂房、化学品库、2#垃圾站等。施工图设计范围:包含但不限于建设范围内施工图设计，地基处理、场平设计、产业园施工图设计(含建筑、结构、给排水系统、水消防工程、暖通工程、电气工程、弱电工程专项设计)、景观设计及施工图预算编制，现场设代、配合实验、验收等； 建安工程及室外配套工程范围:包含不限于基础工程(含桩基础、独立基础等)、土建工程、装修工程、安装工程(钢结构安装、给排水系统、水消防工程、暖通工程、电气工程、弱电工程)、室外配套工程(道路工程、电力工程、弱电工程、照明工程、控制工程、消防报警工程、给水外线工程、雨污水外线工程、消防外线工程)、专项工程(地基处理、降排水、基坑支护等)建筑施工图所示的全部工程内容</w:t>
      </w:r>
      <w:r>
        <w:rPr>
          <w:rFonts w:hint="eastAsia"/>
          <w:color w:val="auto"/>
          <w:spacing w:val="-3"/>
          <w:highlight w:val="none"/>
          <w:u w:val="single" w:color="auto"/>
        </w:rPr>
        <w:t>。</w:t>
      </w:r>
      <w:r>
        <w:rPr>
          <w:color w:val="auto"/>
          <w:spacing w:val="-1"/>
          <w:highlight w:val="none"/>
          <w:u w:val="single" w:color="auto"/>
        </w:rPr>
        <w:t xml:space="preserve"> </w:t>
      </w:r>
    </w:p>
    <w:p w14:paraId="699997C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0"/>
        <w:rPr>
          <w:color w:val="auto"/>
          <w:highlight w:val="none"/>
        </w:rPr>
      </w:pPr>
      <w:bookmarkStart w:id="1125" w:name="_Toc21351"/>
      <w:r>
        <w:rPr>
          <w:color w:val="auto"/>
          <w:spacing w:val="-2"/>
          <w:highlight w:val="none"/>
        </w:rPr>
        <w:t>二、合同工期</w:t>
      </w:r>
      <w:bookmarkEnd w:id="1125"/>
    </w:p>
    <w:p w14:paraId="0F501C1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计划开始工作日期：</w:t>
      </w:r>
      <w:r>
        <w:rPr>
          <w:rFonts w:hint="eastAsia"/>
          <w:color w:val="auto"/>
          <w:spacing w:val="1"/>
          <w:highlight w:val="none"/>
          <w:u w:val="single" w:color="auto"/>
          <w:lang w:val="en-US" w:eastAsia="zh-CN"/>
        </w:rPr>
        <w:t xml:space="preserve">     年</w:t>
      </w:r>
      <w:r>
        <w:rPr>
          <w:color w:val="auto"/>
          <w:spacing w:val="1"/>
          <w:highlight w:val="none"/>
          <w:u w:val="single" w:color="auto"/>
        </w:rPr>
        <w:t xml:space="preserve"> </w:t>
      </w:r>
      <w:r>
        <w:rPr>
          <w:rFonts w:hint="eastAsia"/>
          <w:color w:val="auto"/>
          <w:spacing w:val="1"/>
          <w:highlight w:val="none"/>
          <w:u w:val="single" w:color="auto"/>
          <w:lang w:val="en-US" w:eastAsia="zh-CN"/>
        </w:rPr>
        <w:t xml:space="preserve"> </w:t>
      </w:r>
      <w:r>
        <w:rPr>
          <w:color w:val="auto"/>
          <w:spacing w:val="1"/>
          <w:highlight w:val="none"/>
          <w:u w:val="single" w:color="auto"/>
        </w:rPr>
        <w:t xml:space="preserve"> </w:t>
      </w:r>
      <w:r>
        <w:rPr>
          <w:rFonts w:hint="eastAsia"/>
          <w:color w:val="auto"/>
          <w:spacing w:val="1"/>
          <w:highlight w:val="none"/>
          <w:u w:val="single" w:color="auto"/>
          <w:lang w:val="en-US" w:eastAsia="zh-CN"/>
        </w:rPr>
        <w:t>月</w:t>
      </w:r>
      <w:r>
        <w:rPr>
          <w:color w:val="auto"/>
          <w:spacing w:val="1"/>
          <w:highlight w:val="none"/>
          <w:u w:val="single" w:color="auto"/>
        </w:rPr>
        <w:t xml:space="preserve"> </w:t>
      </w:r>
      <w:r>
        <w:rPr>
          <w:rFonts w:hint="eastAsia"/>
          <w:color w:val="auto"/>
          <w:spacing w:val="1"/>
          <w:highlight w:val="none"/>
          <w:u w:val="single" w:color="auto"/>
          <w:lang w:val="en-US" w:eastAsia="zh-CN"/>
        </w:rPr>
        <w:t xml:space="preserve">  </w:t>
      </w:r>
      <w:r>
        <w:rPr>
          <w:color w:val="auto"/>
          <w:spacing w:val="1"/>
          <w:highlight w:val="none"/>
          <w:u w:val="single" w:color="auto"/>
        </w:rPr>
        <w:t xml:space="preserve"> </w:t>
      </w:r>
      <w:r>
        <w:rPr>
          <w:rFonts w:hint="eastAsia"/>
          <w:color w:val="auto"/>
          <w:spacing w:val="1"/>
          <w:highlight w:val="none"/>
          <w:u w:val="single" w:color="auto"/>
          <w:lang w:val="en-US" w:eastAsia="zh-CN"/>
        </w:rPr>
        <w:t>日</w:t>
      </w:r>
      <w:r>
        <w:rPr>
          <w:color w:val="auto"/>
          <w:spacing w:val="-1"/>
          <w:highlight w:val="none"/>
          <w:u w:val="single" w:color="auto"/>
        </w:rPr>
        <w:t>。</w:t>
      </w:r>
    </w:p>
    <w:p w14:paraId="2E215B6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计划竣工日期：</w:t>
      </w:r>
      <w:r>
        <w:rPr>
          <w:rFonts w:hint="eastAsia"/>
          <w:color w:val="auto"/>
          <w:spacing w:val="1"/>
          <w:highlight w:val="none"/>
          <w:u w:val="single" w:color="auto"/>
          <w:lang w:val="en-US" w:eastAsia="zh-CN"/>
        </w:rPr>
        <w:t xml:space="preserve">      年</w:t>
      </w:r>
      <w:r>
        <w:rPr>
          <w:color w:val="auto"/>
          <w:spacing w:val="1"/>
          <w:highlight w:val="none"/>
          <w:u w:val="single" w:color="auto"/>
        </w:rPr>
        <w:t xml:space="preserve"> </w:t>
      </w:r>
      <w:r>
        <w:rPr>
          <w:rFonts w:hint="eastAsia"/>
          <w:color w:val="auto"/>
          <w:spacing w:val="1"/>
          <w:highlight w:val="none"/>
          <w:u w:val="single" w:color="auto"/>
          <w:lang w:val="en-US" w:eastAsia="zh-CN"/>
        </w:rPr>
        <w:t xml:space="preserve"> </w:t>
      </w:r>
      <w:r>
        <w:rPr>
          <w:color w:val="auto"/>
          <w:spacing w:val="1"/>
          <w:highlight w:val="none"/>
          <w:u w:val="single" w:color="auto"/>
        </w:rPr>
        <w:t xml:space="preserve"> </w:t>
      </w:r>
      <w:r>
        <w:rPr>
          <w:rFonts w:hint="eastAsia"/>
          <w:color w:val="auto"/>
          <w:spacing w:val="1"/>
          <w:highlight w:val="none"/>
          <w:u w:val="single" w:color="auto"/>
          <w:lang w:val="en-US" w:eastAsia="zh-CN"/>
        </w:rPr>
        <w:t>月</w:t>
      </w:r>
      <w:r>
        <w:rPr>
          <w:color w:val="auto"/>
          <w:spacing w:val="1"/>
          <w:highlight w:val="none"/>
          <w:u w:val="single" w:color="auto"/>
        </w:rPr>
        <w:t xml:space="preserve"> </w:t>
      </w:r>
      <w:r>
        <w:rPr>
          <w:rFonts w:hint="eastAsia"/>
          <w:color w:val="auto"/>
          <w:spacing w:val="1"/>
          <w:highlight w:val="none"/>
          <w:u w:val="single" w:color="auto"/>
          <w:lang w:val="en-US" w:eastAsia="zh-CN"/>
        </w:rPr>
        <w:t xml:space="preserve">  </w:t>
      </w:r>
      <w:r>
        <w:rPr>
          <w:color w:val="auto"/>
          <w:spacing w:val="1"/>
          <w:highlight w:val="none"/>
          <w:u w:val="single" w:color="auto"/>
        </w:rPr>
        <w:t xml:space="preserve"> </w:t>
      </w:r>
      <w:r>
        <w:rPr>
          <w:rFonts w:hint="eastAsia"/>
          <w:color w:val="auto"/>
          <w:spacing w:val="1"/>
          <w:highlight w:val="none"/>
          <w:u w:val="single" w:color="auto"/>
          <w:lang w:val="en-US" w:eastAsia="zh-CN"/>
        </w:rPr>
        <w:t>日</w:t>
      </w:r>
      <w:r>
        <w:rPr>
          <w:color w:val="auto"/>
          <w:spacing w:val="-1"/>
          <w:highlight w:val="none"/>
          <w:u w:val="single" w:color="auto"/>
        </w:rPr>
        <w:t>。</w:t>
      </w:r>
    </w:p>
    <w:p w14:paraId="3E8E804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工期总日历天数：</w:t>
      </w:r>
      <w:r>
        <w:rPr>
          <w:color w:val="auto"/>
          <w:spacing w:val="1"/>
          <w:highlight w:val="none"/>
          <w:u w:val="single" w:color="auto"/>
        </w:rPr>
        <w:t xml:space="preserve">  </w:t>
      </w:r>
      <w:r>
        <w:rPr>
          <w:rFonts w:hint="eastAsia"/>
          <w:color w:val="auto"/>
          <w:spacing w:val="1"/>
          <w:highlight w:val="none"/>
          <w:u w:val="single" w:color="auto"/>
          <w:lang w:val="en-US" w:eastAsia="zh-CN"/>
        </w:rPr>
        <w:t>730天（实际开工日期以开工令为准）</w:t>
      </w:r>
      <w:r>
        <w:rPr>
          <w:color w:val="auto"/>
          <w:spacing w:val="1"/>
          <w:highlight w:val="none"/>
          <w:u w:val="single" w:color="auto"/>
        </w:rPr>
        <w:t xml:space="preserve"> </w:t>
      </w:r>
      <w:r>
        <w:rPr>
          <w:color w:val="auto"/>
          <w:spacing w:val="-2"/>
          <w:highlight w:val="none"/>
          <w:u w:val="single" w:color="auto"/>
        </w:rPr>
        <w:t>。</w:t>
      </w:r>
    </w:p>
    <w:p w14:paraId="5EA0702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0"/>
        <w:rPr>
          <w:color w:val="auto"/>
          <w:highlight w:val="none"/>
        </w:rPr>
      </w:pPr>
      <w:bookmarkStart w:id="1126" w:name="_Toc171"/>
      <w:r>
        <w:rPr>
          <w:color w:val="auto"/>
          <w:spacing w:val="-2"/>
          <w:highlight w:val="none"/>
        </w:rPr>
        <w:t>三、质量标准</w:t>
      </w:r>
      <w:bookmarkEnd w:id="1126"/>
    </w:p>
    <w:p w14:paraId="03270C6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设计要求的质量标准：</w:t>
      </w:r>
      <w:r>
        <w:rPr>
          <w:color w:val="auto"/>
          <w:spacing w:val="-1"/>
          <w:highlight w:val="none"/>
          <w:u w:val="single" w:color="auto"/>
        </w:rPr>
        <w:t>符合国家、行业设计规范和标准。</w:t>
      </w:r>
    </w:p>
    <w:p w14:paraId="0F62B1E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施工要求的质量标准：</w:t>
      </w:r>
      <w:r>
        <w:rPr>
          <w:color w:val="auto"/>
          <w:highlight w:val="none"/>
          <w:u w:val="single" w:color="auto"/>
        </w:rPr>
        <w:t>符合现行国家有关工程施</w:t>
      </w:r>
      <w:r>
        <w:rPr>
          <w:color w:val="auto"/>
          <w:spacing w:val="-1"/>
          <w:highlight w:val="none"/>
          <w:u w:val="single" w:color="auto"/>
        </w:rPr>
        <w:t>工质量验收规范。</w:t>
      </w:r>
    </w:p>
    <w:p w14:paraId="6F2C939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0"/>
        <w:rPr>
          <w:color w:val="auto"/>
          <w:highlight w:val="none"/>
        </w:rPr>
      </w:pPr>
      <w:bookmarkStart w:id="1127" w:name="_Toc9243"/>
      <w:r>
        <w:rPr>
          <w:color w:val="auto"/>
          <w:spacing w:val="-2"/>
          <w:highlight w:val="none"/>
        </w:rPr>
        <w:t>四、签约合同价与合同价格形式</w:t>
      </w:r>
      <w:bookmarkEnd w:id="1127"/>
    </w:p>
    <w:p w14:paraId="23D2194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1. 签约合同价（含税）为：</w:t>
      </w:r>
    </w:p>
    <w:p w14:paraId="20DA23F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8" w:firstLineChars="200"/>
        <w:textAlignment w:val="baseline"/>
        <w:rPr>
          <w:color w:val="auto"/>
          <w:highlight w:val="none"/>
        </w:rPr>
      </w:pPr>
      <w:r>
        <w:rPr>
          <w:color w:val="auto"/>
          <w:spacing w:val="-8"/>
          <w:highlight w:val="none"/>
        </w:rPr>
        <w:t xml:space="preserve">人民币（大写) </w:t>
      </w:r>
      <w:r>
        <w:rPr>
          <w:rFonts w:hint="eastAsia"/>
          <w:color w:val="auto"/>
          <w:spacing w:val="-1"/>
          <w:highlight w:val="none"/>
          <w:u w:val="single"/>
          <w:lang w:val="en-US" w:eastAsia="zh-CN"/>
        </w:rPr>
        <w:t xml:space="preserve">                     </w:t>
      </w:r>
      <w:r>
        <w:rPr>
          <w:color w:val="auto"/>
          <w:highlight w:val="none"/>
          <w:u w:val="single" w:color="auto"/>
        </w:rPr>
        <w:t xml:space="preserve">  </w:t>
      </w:r>
      <w:r>
        <w:rPr>
          <w:rFonts w:hint="eastAsia"/>
          <w:color w:val="auto"/>
          <w:highlight w:val="none"/>
          <w:u w:val="single" w:color="auto"/>
          <w:lang w:val="en-US" w:eastAsia="zh-CN"/>
        </w:rPr>
        <w:t xml:space="preserve"> </w:t>
      </w:r>
      <w:r>
        <w:rPr>
          <w:color w:val="auto"/>
          <w:spacing w:val="16"/>
          <w:highlight w:val="none"/>
        </w:rPr>
        <w:t xml:space="preserve"> </w:t>
      </w:r>
      <w:r>
        <w:rPr>
          <w:color w:val="auto"/>
          <w:spacing w:val="-8"/>
          <w:highlight w:val="none"/>
        </w:rPr>
        <w:t>(¥</w:t>
      </w:r>
      <w:r>
        <w:rPr>
          <w:rFonts w:hint="eastAsia"/>
          <w:color w:val="auto"/>
          <w:highlight w:val="none"/>
          <w:u w:val="single" w:color="auto"/>
          <w:lang w:val="en-US" w:eastAsia="zh-CN"/>
        </w:rPr>
        <w:t xml:space="preserve"> </w:t>
      </w:r>
      <w:r>
        <w:rPr>
          <w:rFonts w:hint="eastAsia"/>
          <w:color w:val="auto"/>
          <w:spacing w:val="-1"/>
          <w:highlight w:val="none"/>
          <w:u w:val="single"/>
          <w:lang w:val="en-US" w:eastAsia="zh-CN"/>
        </w:rPr>
        <w:t xml:space="preserve">                     </w:t>
      </w:r>
      <w:r>
        <w:rPr>
          <w:color w:val="auto"/>
          <w:highlight w:val="none"/>
          <w:u w:val="single" w:color="auto"/>
        </w:rPr>
        <w:t xml:space="preserve">  </w:t>
      </w:r>
      <w:r>
        <w:rPr>
          <w:color w:val="auto"/>
          <w:spacing w:val="-8"/>
          <w:highlight w:val="none"/>
        </w:rPr>
        <w:t>元）。</w:t>
      </w:r>
    </w:p>
    <w:p w14:paraId="1282C54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具体构成详见价格清单。其中：</w:t>
      </w:r>
    </w:p>
    <w:p w14:paraId="3A18AE78">
      <w:pPr>
        <w:pStyle w:val="9"/>
        <w:pageBreakBefore w:val="0"/>
        <w:widowControl/>
        <w:numPr>
          <w:ilvl w:val="0"/>
          <w:numId w:val="3"/>
        </w:numPr>
        <w:kinsoku w:val="0"/>
        <w:wordWrap/>
        <w:overflowPunct/>
        <w:topLinePunct/>
        <w:autoSpaceDE w:val="0"/>
        <w:autoSpaceDN w:val="0"/>
        <w:bidi w:val="0"/>
        <w:adjustRightInd w:val="0"/>
        <w:snapToGrid w:val="0"/>
        <w:spacing w:line="360" w:lineRule="auto"/>
        <w:ind w:left="0" w:leftChars="0" w:right="0" w:rightChars="0" w:firstLine="364" w:firstLineChars="200"/>
        <w:textAlignment w:val="baseline"/>
        <w:rPr>
          <w:color w:val="auto"/>
          <w:spacing w:val="-10"/>
          <w:highlight w:val="none"/>
        </w:rPr>
      </w:pPr>
      <w:r>
        <w:rPr>
          <w:rFonts w:hint="eastAsia"/>
          <w:color w:val="auto"/>
          <w:spacing w:val="-14"/>
          <w:highlight w:val="none"/>
          <w:lang w:val="en-US" w:eastAsia="zh-CN"/>
        </w:rPr>
        <w:t>暂定</w:t>
      </w:r>
      <w:r>
        <w:rPr>
          <w:color w:val="auto"/>
          <w:spacing w:val="-14"/>
          <w:highlight w:val="none"/>
        </w:rPr>
        <w:t>设计费（含税</w:t>
      </w:r>
      <w:r>
        <w:rPr>
          <w:color w:val="auto"/>
          <w:spacing w:val="-10"/>
          <w:highlight w:val="none"/>
        </w:rPr>
        <w:t>）：</w:t>
      </w:r>
    </w:p>
    <w:p w14:paraId="0FEE9ED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rFonts w:hint="default" w:ascii="宋体" w:hAnsi="宋体" w:eastAsia="宋体" w:cs="宋体"/>
          <w:i w:val="0"/>
          <w:iCs w:val="0"/>
          <w:caps w:val="0"/>
          <w:color w:val="auto"/>
          <w:spacing w:val="0"/>
          <w:sz w:val="24"/>
          <w:szCs w:val="24"/>
          <w:highlight w:val="none"/>
          <w:shd w:val="clear" w:color="auto" w:fill="FFFFFF"/>
          <w:lang w:val="en-US" w:eastAsia="zh-CN"/>
        </w:rPr>
      </w:pPr>
      <w:r>
        <w:rPr>
          <w:color w:val="auto"/>
          <w:spacing w:val="-1"/>
          <w:highlight w:val="none"/>
        </w:rPr>
        <w:t xml:space="preserve">人民币（大写) </w:t>
      </w:r>
      <w:r>
        <w:rPr>
          <w:rFonts w:hint="eastAsia"/>
          <w:color w:val="auto"/>
          <w:spacing w:val="-1"/>
          <w:highlight w:val="none"/>
          <w:u w:val="single"/>
          <w:lang w:val="en-US" w:eastAsia="zh-CN"/>
        </w:rPr>
        <w:t xml:space="preserve">                     </w:t>
      </w:r>
      <w:r>
        <w:rPr>
          <w:color w:val="auto"/>
          <w:highlight w:val="none"/>
          <w:u w:val="single" w:color="auto"/>
        </w:rPr>
        <w:t xml:space="preserve">  </w:t>
      </w:r>
      <w:r>
        <w:rPr>
          <w:color w:val="auto"/>
          <w:spacing w:val="-2"/>
          <w:highlight w:val="none"/>
          <w:u w:val="single" w:color="auto"/>
        </w:rPr>
        <w:t xml:space="preserve"> </w:t>
      </w:r>
      <w:r>
        <w:rPr>
          <w:color w:val="auto"/>
          <w:spacing w:val="-2"/>
          <w:highlight w:val="none"/>
        </w:rPr>
        <w:t xml:space="preserve"> (¥</w:t>
      </w:r>
      <w:r>
        <w:rPr>
          <w:color w:val="auto"/>
          <w:spacing w:val="-104"/>
          <w:highlight w:val="none"/>
        </w:rPr>
        <w:t xml:space="preserve"> </w:t>
      </w:r>
      <w:r>
        <w:rPr>
          <w:color w:val="auto"/>
          <w:highlight w:val="none"/>
          <w:u w:val="single" w:color="auto"/>
        </w:rPr>
        <w:t xml:space="preserve"> </w:t>
      </w:r>
      <w:r>
        <w:rPr>
          <w:rFonts w:hint="eastAsia"/>
          <w:color w:val="auto"/>
          <w:spacing w:val="-1"/>
          <w:highlight w:val="none"/>
          <w:u w:val="single"/>
          <w:lang w:val="en-US" w:eastAsia="zh-CN"/>
        </w:rPr>
        <w:t xml:space="preserve">                     </w:t>
      </w:r>
      <w:r>
        <w:rPr>
          <w:color w:val="auto"/>
          <w:highlight w:val="none"/>
          <w:u w:val="single" w:color="auto"/>
        </w:rPr>
        <w:t xml:space="preserve">  </w:t>
      </w:r>
      <w:r>
        <w:rPr>
          <w:color w:val="auto"/>
          <w:spacing w:val="-2"/>
          <w:highlight w:val="none"/>
        </w:rPr>
        <w:t>元</w:t>
      </w:r>
      <w:r>
        <w:rPr>
          <w:color w:val="auto"/>
          <w:spacing w:val="-31"/>
          <w:highlight w:val="none"/>
        </w:rPr>
        <w:t>）；</w:t>
      </w:r>
      <w:r>
        <w:rPr>
          <w:color w:val="auto"/>
          <w:spacing w:val="-2"/>
          <w:highlight w:val="none"/>
        </w:rPr>
        <w:t>适用税率：</w:t>
      </w:r>
      <w:r>
        <w:rPr>
          <w:color w:val="auto"/>
          <w:spacing w:val="-2"/>
          <w:highlight w:val="none"/>
          <w:u w:val="single" w:color="auto"/>
        </w:rPr>
        <w:t xml:space="preserve"> </w:t>
      </w:r>
      <w:r>
        <w:rPr>
          <w:rFonts w:hint="eastAsia"/>
          <w:color w:val="auto"/>
          <w:spacing w:val="-2"/>
          <w:highlight w:val="none"/>
          <w:u w:val="single" w:color="auto"/>
          <w:lang w:val="en-US" w:eastAsia="zh-CN"/>
        </w:rPr>
        <w:t>6</w:t>
      </w:r>
      <w:r>
        <w:rPr>
          <w:color w:val="auto"/>
          <w:spacing w:val="-2"/>
          <w:highlight w:val="none"/>
          <w:u w:val="single" w:color="auto"/>
        </w:rPr>
        <w:t xml:space="preserve"> </w:t>
      </w:r>
      <w:r>
        <w:rPr>
          <w:color w:val="auto"/>
          <w:spacing w:val="-102"/>
          <w:highlight w:val="none"/>
        </w:rPr>
        <w:t xml:space="preserve"> </w:t>
      </w:r>
      <w:r>
        <w:rPr>
          <w:color w:val="auto"/>
          <w:spacing w:val="-2"/>
          <w:highlight w:val="none"/>
        </w:rPr>
        <w:t>%，税金为人民币（大</w:t>
      </w:r>
      <w:r>
        <w:rPr>
          <w:color w:val="auto"/>
          <w:spacing w:val="-19"/>
          <w:highlight w:val="none"/>
        </w:rPr>
        <w:t>写)</w:t>
      </w:r>
      <w:r>
        <w:rPr>
          <w:color w:val="auto"/>
          <w:highlight w:val="none"/>
          <w:u w:val="single" w:color="auto"/>
        </w:rPr>
        <w:t xml:space="preserve"> </w:t>
      </w:r>
      <w:r>
        <w:rPr>
          <w:rFonts w:hint="eastAsia"/>
          <w:color w:val="auto"/>
          <w:spacing w:val="-1"/>
          <w:highlight w:val="none"/>
          <w:u w:val="single"/>
          <w:lang w:val="en-US" w:eastAsia="zh-CN"/>
        </w:rPr>
        <w:t xml:space="preserve">                     </w:t>
      </w:r>
      <w:r>
        <w:rPr>
          <w:color w:val="auto"/>
          <w:highlight w:val="none"/>
          <w:u w:val="single" w:color="auto"/>
        </w:rPr>
        <w:t xml:space="preserve">   </w:t>
      </w:r>
      <w:r>
        <w:rPr>
          <w:color w:val="auto"/>
          <w:spacing w:val="-19"/>
          <w:highlight w:val="none"/>
        </w:rPr>
        <w:t>(¥</w:t>
      </w:r>
      <w:r>
        <w:rPr>
          <w:color w:val="auto"/>
          <w:highlight w:val="none"/>
          <w:u w:val="single" w:color="auto"/>
        </w:rPr>
        <w:t xml:space="preserve"> </w:t>
      </w:r>
      <w:r>
        <w:rPr>
          <w:rFonts w:hint="eastAsia"/>
          <w:color w:val="auto"/>
          <w:spacing w:val="-1"/>
          <w:highlight w:val="none"/>
          <w:u w:val="single"/>
          <w:lang w:val="en-US" w:eastAsia="zh-CN"/>
        </w:rPr>
        <w:t xml:space="preserve">                     </w:t>
      </w:r>
      <w:r>
        <w:rPr>
          <w:color w:val="auto"/>
          <w:highlight w:val="none"/>
          <w:u w:val="single" w:color="auto"/>
        </w:rPr>
        <w:t xml:space="preserve">  </w:t>
      </w:r>
      <w:r>
        <w:rPr>
          <w:rFonts w:hint="eastAsia"/>
          <w:color w:val="auto"/>
          <w:highlight w:val="none"/>
          <w:u w:val="single" w:color="auto"/>
        </w:rPr>
        <w:t xml:space="preserve"> </w:t>
      </w:r>
      <w:r>
        <w:rPr>
          <w:color w:val="auto"/>
          <w:spacing w:val="-95"/>
          <w:highlight w:val="none"/>
        </w:rPr>
        <w:t xml:space="preserve"> </w:t>
      </w:r>
      <w:r>
        <w:rPr>
          <w:color w:val="auto"/>
          <w:spacing w:val="-19"/>
          <w:highlight w:val="none"/>
        </w:rPr>
        <w:t>元</w:t>
      </w:r>
      <w:r>
        <w:rPr>
          <w:color w:val="auto"/>
          <w:spacing w:val="-32"/>
          <w:highlight w:val="none"/>
        </w:rPr>
        <w:t>）</w:t>
      </w:r>
      <w:r>
        <w:rPr>
          <w:rFonts w:hint="eastAsia"/>
          <w:color w:val="auto"/>
          <w:spacing w:val="-1"/>
          <w:highlight w:val="none"/>
          <w:lang w:eastAsia="zh-CN"/>
        </w:rPr>
        <w:t>，</w:t>
      </w:r>
      <w:r>
        <w:rPr>
          <w:rFonts w:hint="eastAsia"/>
          <w:color w:val="auto"/>
          <w:spacing w:val="-1"/>
          <w:highlight w:val="none"/>
          <w:lang w:val="en-US" w:eastAsia="zh-CN"/>
        </w:rPr>
        <w:t>最终结算价以最终竣工结算价为基价，依据《勘察设计收费标准2002版》及第三方审计</w:t>
      </w:r>
      <w:r>
        <w:rPr>
          <w:rFonts w:hint="default"/>
          <w:color w:val="auto"/>
          <w:spacing w:val="-1"/>
          <w:highlight w:val="none"/>
          <w:lang w:val="en-US" w:eastAsia="zh-CN"/>
        </w:rPr>
        <w:t>机构出具的正式审计报告相关规则，核定设计费基准金额后，在此基准金额基础上下浮</w:t>
      </w:r>
      <w:r>
        <w:rPr>
          <w:rFonts w:hint="eastAsia"/>
          <w:color w:val="auto"/>
          <w:spacing w:val="-1"/>
          <w:highlight w:val="none"/>
          <w:u w:val="single"/>
          <w:lang w:val="en-US" w:eastAsia="zh-CN"/>
        </w:rPr>
        <w:t xml:space="preserve">     </w:t>
      </w:r>
      <w:r>
        <w:rPr>
          <w:rFonts w:hint="eastAsia"/>
          <w:color w:val="auto"/>
          <w:spacing w:val="-1"/>
          <w:highlight w:val="none"/>
          <w:lang w:val="en-US" w:eastAsia="zh-CN"/>
        </w:rPr>
        <w:t>作为设计费最终结算价。</w:t>
      </w:r>
    </w:p>
    <w:p w14:paraId="2CAAD92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工程勘察设计费计价依据：按照国家计委、建设部发布（2002</w:t>
      </w:r>
      <w:r>
        <w:rPr>
          <w:color w:val="auto"/>
          <w:spacing w:val="-25"/>
          <w:highlight w:val="none"/>
        </w:rPr>
        <w:t xml:space="preserve"> </w:t>
      </w:r>
      <w:r>
        <w:rPr>
          <w:color w:val="auto"/>
          <w:spacing w:val="-2"/>
          <w:highlight w:val="none"/>
        </w:rPr>
        <w:t>年修订本）《工程勘察设计收费标准》</w:t>
      </w:r>
      <w:r>
        <w:rPr>
          <w:color w:val="auto"/>
          <w:highlight w:val="none"/>
        </w:rPr>
        <w:t xml:space="preserve"> </w:t>
      </w:r>
      <w:r>
        <w:rPr>
          <w:color w:val="auto"/>
          <w:spacing w:val="-3"/>
          <w:highlight w:val="none"/>
        </w:rPr>
        <w:t>和政府有关文件的规定计取。</w:t>
      </w:r>
    </w:p>
    <w:p w14:paraId="7B146914">
      <w:pPr>
        <w:pStyle w:val="9"/>
        <w:pageBreakBefore w:val="0"/>
        <w:widowControl/>
        <w:numPr>
          <w:ilvl w:val="0"/>
          <w:numId w:val="3"/>
        </w:numPr>
        <w:kinsoku w:val="0"/>
        <w:wordWrap/>
        <w:overflowPunct/>
        <w:topLinePunct/>
        <w:autoSpaceDE w:val="0"/>
        <w:autoSpaceDN w:val="0"/>
        <w:bidi w:val="0"/>
        <w:adjustRightInd w:val="0"/>
        <w:snapToGrid w:val="0"/>
        <w:spacing w:line="360" w:lineRule="auto"/>
        <w:ind w:left="0" w:leftChars="0" w:right="0" w:rightChars="0" w:firstLine="364" w:firstLineChars="200"/>
        <w:textAlignment w:val="baseline"/>
        <w:rPr>
          <w:color w:val="auto"/>
          <w:spacing w:val="-10"/>
          <w:highlight w:val="none"/>
        </w:rPr>
      </w:pPr>
      <w:r>
        <w:rPr>
          <w:rFonts w:hint="eastAsia"/>
          <w:color w:val="auto"/>
          <w:spacing w:val="-14"/>
          <w:highlight w:val="none"/>
          <w:lang w:val="en-US" w:eastAsia="zh-CN"/>
        </w:rPr>
        <w:t>暂定</w:t>
      </w:r>
      <w:r>
        <w:rPr>
          <w:color w:val="auto"/>
          <w:spacing w:val="-14"/>
          <w:highlight w:val="none"/>
        </w:rPr>
        <w:t>工程费（含税</w:t>
      </w:r>
      <w:r>
        <w:rPr>
          <w:color w:val="auto"/>
          <w:spacing w:val="-10"/>
          <w:highlight w:val="none"/>
        </w:rPr>
        <w:t>）：</w:t>
      </w:r>
    </w:p>
    <w:p w14:paraId="3C30154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hint="eastAsia" w:eastAsia="宋体"/>
          <w:color w:val="auto"/>
          <w:spacing w:val="-3"/>
          <w:highlight w:val="none"/>
          <w:lang w:eastAsia="zh-CN"/>
        </w:rPr>
      </w:pPr>
      <w:r>
        <w:rPr>
          <w:color w:val="auto"/>
          <w:spacing w:val="-2"/>
          <w:highlight w:val="none"/>
        </w:rPr>
        <w:t>人民币（大写)</w:t>
      </w:r>
      <w:r>
        <w:rPr>
          <w:color w:val="auto"/>
          <w:spacing w:val="-2"/>
          <w:highlight w:val="none"/>
          <w:u w:val="single" w:color="auto"/>
        </w:rPr>
        <w:t xml:space="preserve"> </w:t>
      </w:r>
      <w:r>
        <w:rPr>
          <w:rFonts w:hint="eastAsia"/>
          <w:color w:val="auto"/>
          <w:spacing w:val="-1"/>
          <w:highlight w:val="none"/>
          <w:u w:val="single"/>
          <w:lang w:val="en-US" w:eastAsia="zh-CN"/>
        </w:rPr>
        <w:t xml:space="preserve">                     </w:t>
      </w:r>
      <w:r>
        <w:rPr>
          <w:color w:val="auto"/>
          <w:highlight w:val="none"/>
          <w:u w:val="single" w:color="auto"/>
        </w:rPr>
        <w:t xml:space="preserve">  </w:t>
      </w:r>
      <w:r>
        <w:rPr>
          <w:color w:val="auto"/>
          <w:spacing w:val="-2"/>
          <w:highlight w:val="none"/>
          <w:u w:val="single" w:color="auto"/>
        </w:rPr>
        <w:t xml:space="preserve"> </w:t>
      </w:r>
      <w:r>
        <w:rPr>
          <w:color w:val="auto"/>
          <w:spacing w:val="-2"/>
          <w:highlight w:val="none"/>
        </w:rPr>
        <w:t xml:space="preserve"> (¥</w:t>
      </w:r>
      <w:r>
        <w:rPr>
          <w:color w:val="auto"/>
          <w:highlight w:val="none"/>
          <w:u w:val="single" w:color="auto"/>
        </w:rPr>
        <w:t xml:space="preserve"> </w:t>
      </w:r>
      <w:r>
        <w:rPr>
          <w:rFonts w:hint="eastAsia"/>
          <w:color w:val="auto"/>
          <w:spacing w:val="-1"/>
          <w:highlight w:val="none"/>
          <w:u w:val="single"/>
          <w:lang w:val="en-US" w:eastAsia="zh-CN"/>
        </w:rPr>
        <w:t xml:space="preserve">                     </w:t>
      </w:r>
      <w:r>
        <w:rPr>
          <w:color w:val="auto"/>
          <w:highlight w:val="none"/>
          <w:u w:val="single" w:color="auto"/>
        </w:rPr>
        <w:t xml:space="preserve">   </w:t>
      </w:r>
      <w:r>
        <w:rPr>
          <w:color w:val="auto"/>
          <w:spacing w:val="-94"/>
          <w:highlight w:val="none"/>
        </w:rPr>
        <w:t xml:space="preserve"> </w:t>
      </w:r>
      <w:r>
        <w:rPr>
          <w:color w:val="auto"/>
          <w:spacing w:val="-2"/>
          <w:highlight w:val="none"/>
        </w:rPr>
        <w:t>元</w:t>
      </w:r>
      <w:r>
        <w:rPr>
          <w:color w:val="auto"/>
          <w:spacing w:val="-23"/>
          <w:highlight w:val="none"/>
        </w:rPr>
        <w:t>）；</w:t>
      </w:r>
      <w:r>
        <w:rPr>
          <w:color w:val="auto"/>
          <w:spacing w:val="-2"/>
          <w:highlight w:val="none"/>
        </w:rPr>
        <w:t>适用税率：</w:t>
      </w:r>
      <w:r>
        <w:rPr>
          <w:color w:val="auto"/>
          <w:spacing w:val="-2"/>
          <w:highlight w:val="none"/>
          <w:u w:val="single" w:color="auto"/>
        </w:rPr>
        <w:t xml:space="preserve"> </w:t>
      </w:r>
      <w:r>
        <w:rPr>
          <w:rFonts w:hint="eastAsia"/>
          <w:color w:val="auto"/>
          <w:spacing w:val="-2"/>
          <w:highlight w:val="none"/>
          <w:u w:val="single" w:color="auto"/>
          <w:lang w:val="en-US" w:eastAsia="zh-CN"/>
        </w:rPr>
        <w:t>9</w:t>
      </w:r>
      <w:r>
        <w:rPr>
          <w:color w:val="auto"/>
          <w:spacing w:val="-2"/>
          <w:highlight w:val="none"/>
          <w:u w:val="single" w:color="auto"/>
        </w:rPr>
        <w:t xml:space="preserve">  </w:t>
      </w:r>
      <w:r>
        <w:rPr>
          <w:color w:val="auto"/>
          <w:spacing w:val="-102"/>
          <w:highlight w:val="none"/>
        </w:rPr>
        <w:t xml:space="preserve"> </w:t>
      </w:r>
      <w:r>
        <w:rPr>
          <w:color w:val="auto"/>
          <w:spacing w:val="-2"/>
          <w:highlight w:val="none"/>
        </w:rPr>
        <w:t>%，税金为人民币（大</w:t>
      </w:r>
      <w:r>
        <w:rPr>
          <w:color w:val="auto"/>
          <w:highlight w:val="none"/>
        </w:rPr>
        <w:t xml:space="preserve"> </w:t>
      </w:r>
      <w:r>
        <w:rPr>
          <w:color w:val="auto"/>
          <w:spacing w:val="-15"/>
          <w:highlight w:val="none"/>
        </w:rPr>
        <w:t>写)</w:t>
      </w:r>
      <w:r>
        <w:rPr>
          <w:color w:val="auto"/>
          <w:highlight w:val="none"/>
          <w:u w:val="single" w:color="auto"/>
        </w:rPr>
        <w:t xml:space="preserve"> </w:t>
      </w:r>
      <w:r>
        <w:rPr>
          <w:rFonts w:hint="eastAsia"/>
          <w:color w:val="auto"/>
          <w:spacing w:val="-1"/>
          <w:highlight w:val="none"/>
          <w:u w:val="single"/>
          <w:lang w:val="en-US" w:eastAsia="zh-CN"/>
        </w:rPr>
        <w:t xml:space="preserve">                     </w:t>
      </w:r>
      <w:r>
        <w:rPr>
          <w:color w:val="auto"/>
          <w:highlight w:val="none"/>
          <w:u w:val="single" w:color="auto"/>
        </w:rPr>
        <w:t xml:space="preserve">  </w:t>
      </w:r>
      <w:r>
        <w:rPr>
          <w:color w:val="auto"/>
          <w:spacing w:val="-3"/>
          <w:highlight w:val="none"/>
          <w:u w:val="single" w:color="auto"/>
        </w:rPr>
        <w:t xml:space="preserve"> </w:t>
      </w:r>
      <w:r>
        <w:rPr>
          <w:color w:val="auto"/>
          <w:spacing w:val="-3"/>
          <w:highlight w:val="none"/>
        </w:rPr>
        <w:t xml:space="preserve">(¥ </w:t>
      </w:r>
      <w:r>
        <w:rPr>
          <w:color w:val="auto"/>
          <w:spacing w:val="-3"/>
          <w:highlight w:val="none"/>
          <w:u w:val="single"/>
        </w:rPr>
        <w:t xml:space="preserve"> </w:t>
      </w:r>
      <w:r>
        <w:rPr>
          <w:rFonts w:hint="eastAsia"/>
          <w:color w:val="auto"/>
          <w:spacing w:val="-1"/>
          <w:highlight w:val="none"/>
          <w:u w:val="single"/>
          <w:lang w:val="en-US" w:eastAsia="zh-CN"/>
        </w:rPr>
        <w:t xml:space="preserve">                     </w:t>
      </w:r>
      <w:r>
        <w:rPr>
          <w:color w:val="auto"/>
          <w:highlight w:val="none"/>
          <w:u w:val="single" w:color="auto"/>
        </w:rPr>
        <w:t xml:space="preserve">  </w:t>
      </w:r>
      <w:r>
        <w:rPr>
          <w:color w:val="auto"/>
          <w:spacing w:val="-3"/>
          <w:highlight w:val="none"/>
        </w:rPr>
        <w:t>元）</w:t>
      </w:r>
      <w:r>
        <w:rPr>
          <w:rFonts w:hint="eastAsia"/>
          <w:color w:val="auto"/>
          <w:spacing w:val="-3"/>
          <w:highlight w:val="none"/>
          <w:lang w:eastAsia="zh-CN"/>
        </w:rPr>
        <w:t>。</w:t>
      </w:r>
    </w:p>
    <w:p w14:paraId="46A0B90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spacing w:val="-3"/>
          <w:highlight w:val="none"/>
        </w:rPr>
      </w:pPr>
      <w:r>
        <w:rPr>
          <w:color w:val="auto"/>
          <w:spacing w:val="-3"/>
          <w:highlight w:val="none"/>
        </w:rPr>
        <w:t>（</w:t>
      </w:r>
      <w:r>
        <w:rPr>
          <w:rFonts w:hint="eastAsia"/>
          <w:color w:val="auto"/>
          <w:spacing w:val="-3"/>
          <w:highlight w:val="none"/>
          <w:lang w:val="en-US" w:eastAsia="zh-CN"/>
        </w:rPr>
        <w:t>3</w:t>
      </w:r>
      <w:r>
        <w:rPr>
          <w:color w:val="auto"/>
          <w:spacing w:val="-3"/>
          <w:highlight w:val="none"/>
        </w:rPr>
        <w:t xml:space="preserve">） </w:t>
      </w:r>
      <w:r>
        <w:rPr>
          <w:rFonts w:hint="eastAsia"/>
          <w:color w:val="auto"/>
          <w:spacing w:val="-3"/>
          <w:highlight w:val="none"/>
          <w:lang w:val="en-US" w:eastAsia="zh-CN"/>
        </w:rPr>
        <w:t>暂列金额</w:t>
      </w:r>
      <w:r>
        <w:rPr>
          <w:color w:val="auto"/>
          <w:spacing w:val="-3"/>
          <w:highlight w:val="none"/>
        </w:rPr>
        <w:t>（含税）：</w:t>
      </w:r>
      <w:r>
        <w:rPr>
          <w:color w:val="auto"/>
          <w:spacing w:val="-1"/>
          <w:highlight w:val="none"/>
        </w:rPr>
        <w:t xml:space="preserve">人民币（大写) </w:t>
      </w:r>
      <w:r>
        <w:rPr>
          <w:rFonts w:hint="eastAsia"/>
          <w:color w:val="auto"/>
          <w:spacing w:val="-1"/>
          <w:highlight w:val="none"/>
          <w:u w:val="single"/>
          <w:lang w:val="en-US" w:eastAsia="zh-CN"/>
        </w:rPr>
        <w:t xml:space="preserve">             </w:t>
      </w:r>
      <w:r>
        <w:rPr>
          <w:color w:val="auto"/>
          <w:highlight w:val="none"/>
          <w:u w:val="single" w:color="auto"/>
        </w:rPr>
        <w:t xml:space="preserve"> </w:t>
      </w:r>
      <w:r>
        <w:rPr>
          <w:color w:val="auto"/>
          <w:spacing w:val="-2"/>
          <w:highlight w:val="none"/>
          <w:u w:val="single" w:color="auto"/>
        </w:rPr>
        <w:t xml:space="preserve">  </w:t>
      </w:r>
      <w:r>
        <w:rPr>
          <w:color w:val="auto"/>
          <w:spacing w:val="-2"/>
          <w:highlight w:val="none"/>
        </w:rPr>
        <w:t xml:space="preserve"> (¥</w:t>
      </w:r>
      <w:r>
        <w:rPr>
          <w:color w:val="auto"/>
          <w:spacing w:val="-104"/>
          <w:highlight w:val="none"/>
        </w:rPr>
        <w:t xml:space="preserve"> </w:t>
      </w:r>
      <w:r>
        <w:rPr>
          <w:color w:val="auto"/>
          <w:highlight w:val="none"/>
          <w:u w:val="single" w:color="auto"/>
        </w:rPr>
        <w:t xml:space="preserve"> </w:t>
      </w:r>
      <w:r>
        <w:rPr>
          <w:rFonts w:hint="eastAsia"/>
          <w:color w:val="auto"/>
          <w:spacing w:val="-1"/>
          <w:highlight w:val="none"/>
          <w:u w:val="single"/>
          <w:lang w:val="en-US" w:eastAsia="zh-CN"/>
        </w:rPr>
        <w:t xml:space="preserve">                     </w:t>
      </w:r>
      <w:r>
        <w:rPr>
          <w:color w:val="auto"/>
          <w:highlight w:val="none"/>
          <w:u w:val="single" w:color="auto"/>
        </w:rPr>
        <w:t xml:space="preserve">  </w:t>
      </w:r>
      <w:r>
        <w:rPr>
          <w:color w:val="auto"/>
          <w:spacing w:val="-94"/>
          <w:highlight w:val="none"/>
        </w:rPr>
        <w:t xml:space="preserve"> </w:t>
      </w:r>
      <w:r>
        <w:rPr>
          <w:color w:val="auto"/>
          <w:spacing w:val="-2"/>
          <w:highlight w:val="none"/>
        </w:rPr>
        <w:t>元</w:t>
      </w:r>
      <w:r>
        <w:rPr>
          <w:color w:val="auto"/>
          <w:spacing w:val="-31"/>
          <w:highlight w:val="none"/>
        </w:rPr>
        <w:t>）</w:t>
      </w:r>
    </w:p>
    <w:p w14:paraId="4F17E55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2. 合同价格形式</w:t>
      </w:r>
      <w:r>
        <w:rPr>
          <w:color w:val="auto"/>
          <w:spacing w:val="-7"/>
          <w:highlight w:val="none"/>
        </w:rPr>
        <w:t>：</w:t>
      </w:r>
      <w:r>
        <w:rPr>
          <w:color w:val="auto"/>
          <w:spacing w:val="-7"/>
          <w:highlight w:val="none"/>
          <w:u w:val="single" w:color="auto"/>
        </w:rPr>
        <w:t>本合同采用定额计价，按辽宁省</w:t>
      </w:r>
      <w:r>
        <w:rPr>
          <w:rFonts w:hint="eastAsia"/>
          <w:color w:val="auto"/>
          <w:spacing w:val="-7"/>
          <w:highlight w:val="none"/>
          <w:u w:val="single" w:color="auto"/>
          <w:lang w:val="en-US" w:eastAsia="zh-CN"/>
        </w:rPr>
        <w:t>2024</w:t>
      </w:r>
      <w:r>
        <w:rPr>
          <w:color w:val="auto"/>
          <w:spacing w:val="-7"/>
          <w:highlight w:val="none"/>
          <w:u w:val="single" w:color="auto"/>
        </w:rPr>
        <w:t>《房屋建筑与装饰工程定</w:t>
      </w:r>
      <w:r>
        <w:rPr>
          <w:color w:val="auto"/>
          <w:spacing w:val="-8"/>
          <w:highlight w:val="none"/>
          <w:u w:val="single" w:color="auto"/>
        </w:rPr>
        <w:t>额》、《通用安装工</w:t>
      </w:r>
      <w:r>
        <w:rPr>
          <w:color w:val="auto"/>
          <w:spacing w:val="-17"/>
          <w:highlight w:val="none"/>
          <w:u w:val="single" w:color="auto"/>
        </w:rPr>
        <w:t>程定额》、《市政工程定额》、《园林绿化工程定额》、《绿色建</w:t>
      </w:r>
      <w:r>
        <w:rPr>
          <w:color w:val="auto"/>
          <w:spacing w:val="-18"/>
          <w:highlight w:val="none"/>
          <w:u w:val="single" w:color="auto"/>
        </w:rPr>
        <w:t>筑工程定额》、《装配式建筑工程定额》及相关</w:t>
      </w:r>
      <w:r>
        <w:rPr>
          <w:color w:val="auto"/>
          <w:highlight w:val="none"/>
        </w:rPr>
        <w:t xml:space="preserve"> </w:t>
      </w:r>
      <w:r>
        <w:rPr>
          <w:color w:val="auto"/>
          <w:highlight w:val="none"/>
          <w:u w:val="single" w:color="auto"/>
        </w:rPr>
        <w:t>配套文件</w:t>
      </w:r>
      <w:r>
        <w:rPr>
          <w:rFonts w:hint="eastAsia"/>
          <w:color w:val="auto"/>
          <w:highlight w:val="none"/>
          <w:u w:val="single" w:color="auto"/>
          <w:lang w:val="en-US" w:eastAsia="zh-CN"/>
        </w:rPr>
        <w:t>下浮</w:t>
      </w:r>
      <w:r>
        <w:rPr>
          <w:rFonts w:hint="eastAsia"/>
          <w:color w:val="auto"/>
          <w:spacing w:val="-1"/>
          <w:highlight w:val="none"/>
          <w:u w:val="single"/>
          <w:lang w:val="en-US" w:eastAsia="zh-CN"/>
        </w:rPr>
        <w:t xml:space="preserve">        </w:t>
      </w:r>
      <w:r>
        <w:rPr>
          <w:rFonts w:hint="eastAsia"/>
          <w:color w:val="auto"/>
          <w:highlight w:val="none"/>
          <w:u w:val="single" w:color="auto"/>
          <w:lang w:val="en-US" w:eastAsia="zh-CN"/>
        </w:rPr>
        <w:t>进行</w:t>
      </w:r>
      <w:r>
        <w:rPr>
          <w:color w:val="auto"/>
          <w:highlight w:val="none"/>
          <w:u w:val="single" w:color="auto"/>
        </w:rPr>
        <w:t>计价,以上所列定额对现场实际不适用的，或套用定额有争议的</w:t>
      </w:r>
      <w:r>
        <w:rPr>
          <w:color w:val="auto"/>
          <w:spacing w:val="-1"/>
          <w:highlight w:val="none"/>
          <w:u w:val="single" w:color="auto"/>
        </w:rPr>
        <w:t>，双方进行协商。</w:t>
      </w:r>
    </w:p>
    <w:p w14:paraId="6C9B95B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hint="eastAsia"/>
          <w:color w:val="auto"/>
          <w:highlight w:val="none"/>
        </w:rPr>
      </w:pPr>
      <w:r>
        <w:rPr>
          <w:rFonts w:hint="eastAsia"/>
          <w:color w:val="auto"/>
          <w:highlight w:val="none"/>
        </w:rPr>
        <w:t>材料价格</w:t>
      </w:r>
      <w:r>
        <w:rPr>
          <w:rFonts w:hint="eastAsia"/>
          <w:color w:val="auto"/>
          <w:highlight w:val="none"/>
          <w:lang w:val="en-US" w:eastAsia="zh-CN"/>
        </w:rPr>
        <w:t>参照施工</w:t>
      </w:r>
      <w:r>
        <w:rPr>
          <w:rFonts w:hint="eastAsia"/>
          <w:color w:val="auto"/>
          <w:highlight w:val="none"/>
        </w:rPr>
        <w:t>期营口市造价信息的材料价格</w:t>
      </w:r>
      <w:r>
        <w:rPr>
          <w:rFonts w:hint="eastAsia"/>
          <w:color w:val="auto"/>
          <w:highlight w:val="none"/>
          <w:lang w:eastAsia="zh-CN"/>
        </w:rPr>
        <w:t>。</w:t>
      </w:r>
      <w:r>
        <w:rPr>
          <w:rFonts w:hint="eastAsia"/>
          <w:color w:val="auto"/>
          <w:highlight w:val="none"/>
        </w:rPr>
        <w:t>材料价格在营口市造价信息中都没有的，</w:t>
      </w:r>
      <w:r>
        <w:rPr>
          <w:rFonts w:hint="eastAsia"/>
          <w:color w:val="auto"/>
          <w:highlight w:val="none"/>
          <w:lang w:val="en-US" w:eastAsia="zh-CN"/>
        </w:rPr>
        <w:t>参照沈阳地区信息价，两个地区信息价都没有的再</w:t>
      </w:r>
      <w:r>
        <w:rPr>
          <w:rFonts w:hint="eastAsia"/>
          <w:color w:val="auto"/>
          <w:highlight w:val="none"/>
        </w:rPr>
        <w:t>由发包方或监理单位会同承包方经市场调查、询价后，共同确定品牌</w:t>
      </w:r>
      <w:r>
        <w:rPr>
          <w:rFonts w:hint="eastAsia"/>
          <w:color w:val="auto"/>
          <w:highlight w:val="none"/>
          <w:lang w:val="en-US" w:eastAsia="zh-CN"/>
        </w:rPr>
        <w:t>及</w:t>
      </w:r>
      <w:r>
        <w:rPr>
          <w:rFonts w:hint="eastAsia"/>
          <w:color w:val="auto"/>
          <w:highlight w:val="none"/>
        </w:rPr>
        <w:t>采购单价。</w:t>
      </w:r>
    </w:p>
    <w:p w14:paraId="73A35DD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合同当事人对合同价格形式的其他约定：</w:t>
      </w:r>
      <w:r>
        <w:rPr>
          <w:rFonts w:hint="eastAsia"/>
          <w:color w:val="auto"/>
          <w:highlight w:val="none"/>
          <w:u w:val="single" w:color="auto"/>
          <w:lang w:val="en-US" w:eastAsia="zh-CN"/>
        </w:rPr>
        <w:t>暂定合同总价，工程量据实结算</w:t>
      </w:r>
      <w:r>
        <w:rPr>
          <w:color w:val="auto"/>
          <w:spacing w:val="-1"/>
          <w:highlight w:val="none"/>
          <w:u w:val="single" w:color="auto"/>
        </w:rPr>
        <w:t>。</w:t>
      </w:r>
    </w:p>
    <w:p w14:paraId="29D2F60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0"/>
        <w:rPr>
          <w:color w:val="auto"/>
          <w:highlight w:val="none"/>
        </w:rPr>
      </w:pPr>
      <w:bookmarkStart w:id="1128" w:name="_Toc902"/>
      <w:r>
        <w:rPr>
          <w:color w:val="auto"/>
          <w:spacing w:val="-1"/>
          <w:highlight w:val="none"/>
        </w:rPr>
        <w:t>五、工程总承包项目经理</w:t>
      </w:r>
      <w:bookmarkEnd w:id="1128"/>
    </w:p>
    <w:p w14:paraId="0BCC4F7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工程总承包项目经理：</w:t>
      </w:r>
      <w:r>
        <w:rPr>
          <w:color w:val="auto"/>
          <w:highlight w:val="none"/>
          <w:u w:val="single" w:color="auto"/>
        </w:rPr>
        <w:t xml:space="preserve">         </w:t>
      </w:r>
      <w:r>
        <w:rPr>
          <w:color w:val="auto"/>
          <w:spacing w:val="-1"/>
          <w:highlight w:val="none"/>
          <w:u w:val="single" w:color="auto"/>
        </w:rPr>
        <w:t xml:space="preserve">           </w:t>
      </w:r>
      <w:r>
        <w:rPr>
          <w:color w:val="auto"/>
          <w:spacing w:val="-1"/>
          <w:highlight w:val="none"/>
        </w:rPr>
        <w:t>。</w:t>
      </w:r>
    </w:p>
    <w:p w14:paraId="6885FE0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0"/>
        <w:rPr>
          <w:color w:val="auto"/>
          <w:highlight w:val="none"/>
        </w:rPr>
      </w:pPr>
      <w:bookmarkStart w:id="1129" w:name="_Toc26048"/>
      <w:r>
        <w:rPr>
          <w:color w:val="auto"/>
          <w:spacing w:val="-2"/>
          <w:highlight w:val="none"/>
        </w:rPr>
        <w:t>六、合同文件构成</w:t>
      </w:r>
      <w:bookmarkEnd w:id="1129"/>
    </w:p>
    <w:p w14:paraId="5A2E17E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本协议书与下列文件一起构成合同文件：</w:t>
      </w:r>
    </w:p>
    <w:p w14:paraId="4379C1B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rFonts w:hint="eastAsia"/>
          <w:color w:val="auto"/>
          <w:spacing w:val="-13"/>
          <w:highlight w:val="none"/>
        </w:rPr>
      </w:pPr>
      <w:r>
        <w:rPr>
          <w:rFonts w:hint="eastAsia"/>
          <w:color w:val="auto"/>
          <w:spacing w:val="-13"/>
          <w:highlight w:val="none"/>
        </w:rPr>
        <w:t>（1）协议书；</w:t>
      </w:r>
    </w:p>
    <w:p w14:paraId="24A90C7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rFonts w:hint="eastAsia"/>
          <w:color w:val="auto"/>
          <w:spacing w:val="-13"/>
          <w:highlight w:val="none"/>
        </w:rPr>
      </w:pPr>
      <w:r>
        <w:rPr>
          <w:rFonts w:hint="eastAsia"/>
          <w:color w:val="auto"/>
          <w:spacing w:val="-13"/>
          <w:highlight w:val="none"/>
        </w:rPr>
        <w:t>（2）专用合同条款及其附件；</w:t>
      </w:r>
    </w:p>
    <w:p w14:paraId="64124E0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rFonts w:hint="eastAsia"/>
          <w:color w:val="auto"/>
          <w:spacing w:val="-13"/>
          <w:highlight w:val="none"/>
        </w:rPr>
      </w:pPr>
      <w:r>
        <w:rPr>
          <w:rFonts w:hint="eastAsia"/>
          <w:color w:val="auto"/>
          <w:spacing w:val="-13"/>
          <w:highlight w:val="none"/>
        </w:rPr>
        <w:t>（3）技术标准和要求；</w:t>
      </w:r>
    </w:p>
    <w:p w14:paraId="150A1F9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rFonts w:hint="eastAsia"/>
          <w:color w:val="auto"/>
          <w:spacing w:val="-13"/>
          <w:highlight w:val="none"/>
        </w:rPr>
      </w:pPr>
      <w:r>
        <w:rPr>
          <w:rFonts w:hint="eastAsia"/>
          <w:color w:val="auto"/>
          <w:spacing w:val="-13"/>
          <w:highlight w:val="none"/>
        </w:rPr>
        <w:t>（4）图纸；</w:t>
      </w:r>
    </w:p>
    <w:p w14:paraId="0CE0A1B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rFonts w:hint="eastAsia"/>
          <w:color w:val="auto"/>
          <w:spacing w:val="-13"/>
          <w:highlight w:val="none"/>
        </w:rPr>
      </w:pPr>
      <w:r>
        <w:rPr>
          <w:rFonts w:hint="eastAsia"/>
          <w:color w:val="auto"/>
          <w:spacing w:val="-13"/>
          <w:highlight w:val="none"/>
        </w:rPr>
        <w:t>（5）通用合同条款；</w:t>
      </w:r>
    </w:p>
    <w:p w14:paraId="5E9D68D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rFonts w:hint="eastAsia"/>
          <w:color w:val="auto"/>
          <w:spacing w:val="-13"/>
          <w:highlight w:val="none"/>
        </w:rPr>
      </w:pPr>
      <w:r>
        <w:rPr>
          <w:rFonts w:hint="eastAsia"/>
          <w:color w:val="auto"/>
          <w:spacing w:val="-13"/>
          <w:highlight w:val="none"/>
        </w:rPr>
        <w:t>（6）招标文件；（如有）</w:t>
      </w:r>
    </w:p>
    <w:p w14:paraId="7BE0150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rFonts w:hint="eastAsia"/>
          <w:color w:val="auto"/>
          <w:spacing w:val="-13"/>
          <w:highlight w:val="none"/>
        </w:rPr>
      </w:pPr>
      <w:r>
        <w:rPr>
          <w:rFonts w:hint="eastAsia"/>
          <w:color w:val="auto"/>
          <w:spacing w:val="-13"/>
          <w:highlight w:val="none"/>
        </w:rPr>
        <w:t>（7）中标通知书；（如有）</w:t>
      </w:r>
    </w:p>
    <w:p w14:paraId="2E62F5D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rFonts w:hint="eastAsia"/>
          <w:color w:val="auto"/>
          <w:spacing w:val="-13"/>
          <w:highlight w:val="none"/>
        </w:rPr>
      </w:pPr>
      <w:r>
        <w:rPr>
          <w:rFonts w:hint="eastAsia"/>
          <w:color w:val="auto"/>
          <w:spacing w:val="-13"/>
          <w:highlight w:val="none"/>
        </w:rPr>
        <w:t>（8）投标文件；（如有）</w:t>
      </w:r>
    </w:p>
    <w:p w14:paraId="1B2385C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rFonts w:hint="eastAsia"/>
          <w:color w:val="auto"/>
          <w:spacing w:val="-13"/>
          <w:highlight w:val="none"/>
        </w:rPr>
      </w:pPr>
      <w:r>
        <w:rPr>
          <w:rFonts w:hint="eastAsia"/>
          <w:color w:val="auto"/>
          <w:spacing w:val="-13"/>
          <w:highlight w:val="none"/>
        </w:rPr>
        <w:t>（9）已标价工程量清单或预算书；</w:t>
      </w:r>
    </w:p>
    <w:p w14:paraId="752CE21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color w:val="auto"/>
          <w:highlight w:val="none"/>
        </w:rPr>
      </w:pPr>
      <w:r>
        <w:rPr>
          <w:rFonts w:hint="eastAsia"/>
          <w:color w:val="auto"/>
          <w:spacing w:val="-13"/>
          <w:highlight w:val="none"/>
        </w:rPr>
        <w:t>（10</w:t>
      </w:r>
      <w:r>
        <w:rPr>
          <w:rFonts w:hint="eastAsia"/>
          <w:color w:val="auto"/>
          <w:spacing w:val="-13"/>
          <w:highlight w:val="none"/>
          <w:lang w:eastAsia="zh-CN"/>
        </w:rPr>
        <w:t>）</w:t>
      </w:r>
      <w:r>
        <w:rPr>
          <w:color w:val="auto"/>
          <w:spacing w:val="-3"/>
          <w:highlight w:val="none"/>
        </w:rPr>
        <w:t>双方约定的其他合同文件。</w:t>
      </w:r>
    </w:p>
    <w:p w14:paraId="15A0DFC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上述各项合同文件包括双方就该项合同文件所作出的补充和修改，属于同一类内容的合同</w:t>
      </w:r>
      <w:r>
        <w:rPr>
          <w:color w:val="auto"/>
          <w:spacing w:val="-1"/>
          <w:highlight w:val="none"/>
        </w:rPr>
        <w:t>文件应以最新签署的为准。专用合同条件及其附件须经合</w:t>
      </w:r>
      <w:r>
        <w:rPr>
          <w:color w:val="auto"/>
          <w:spacing w:val="-2"/>
          <w:highlight w:val="none"/>
        </w:rPr>
        <w:t>同当事人签字或盖章。</w:t>
      </w:r>
    </w:p>
    <w:p w14:paraId="52AC1D4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0"/>
        <w:rPr>
          <w:color w:val="auto"/>
          <w:highlight w:val="none"/>
        </w:rPr>
      </w:pPr>
      <w:bookmarkStart w:id="1130" w:name="_Toc25739"/>
      <w:r>
        <w:rPr>
          <w:color w:val="auto"/>
          <w:spacing w:val="-2"/>
          <w:highlight w:val="none"/>
        </w:rPr>
        <w:t>七、承诺</w:t>
      </w:r>
      <w:bookmarkEnd w:id="1130"/>
    </w:p>
    <w:p w14:paraId="021F4F8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1. 发包人承诺按照法律规定履行项目审批手续、筹集工程建设资金并按照合同约定的期限和方式支</w:t>
      </w:r>
      <w:r>
        <w:rPr>
          <w:color w:val="auto"/>
          <w:spacing w:val="-6"/>
          <w:highlight w:val="none"/>
        </w:rPr>
        <w:t>付合同价款。</w:t>
      </w:r>
    </w:p>
    <w:p w14:paraId="329922A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2. 承包人承诺按照法律规定及合同约定组织完成工</w:t>
      </w:r>
      <w:r>
        <w:rPr>
          <w:color w:val="auto"/>
          <w:spacing w:val="-4"/>
          <w:highlight w:val="none"/>
        </w:rPr>
        <w:t>程的设计、采购和施工等工作，</w:t>
      </w:r>
      <w:r>
        <w:rPr>
          <w:color w:val="auto"/>
          <w:spacing w:val="-58"/>
          <w:highlight w:val="none"/>
        </w:rPr>
        <w:t xml:space="preserve"> </w:t>
      </w:r>
      <w:r>
        <w:rPr>
          <w:color w:val="auto"/>
          <w:spacing w:val="-4"/>
          <w:highlight w:val="none"/>
        </w:rPr>
        <w:t>确保工程质量和</w:t>
      </w:r>
      <w:r>
        <w:rPr>
          <w:color w:val="auto"/>
          <w:spacing w:val="-1"/>
          <w:highlight w:val="none"/>
        </w:rPr>
        <w:t>安全，不进行转包及违法分包，并在缺陷责任期及保修期内承担相应的工程维</w:t>
      </w:r>
      <w:r>
        <w:rPr>
          <w:color w:val="auto"/>
          <w:spacing w:val="-2"/>
          <w:highlight w:val="none"/>
        </w:rPr>
        <w:t>修责任。</w:t>
      </w:r>
    </w:p>
    <w:p w14:paraId="2C06014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0"/>
        <w:rPr>
          <w:color w:val="auto"/>
          <w:highlight w:val="none"/>
        </w:rPr>
      </w:pPr>
      <w:bookmarkStart w:id="1131" w:name="_Toc17136"/>
      <w:r>
        <w:rPr>
          <w:color w:val="auto"/>
          <w:spacing w:val="-2"/>
          <w:highlight w:val="none"/>
        </w:rPr>
        <w:t>八、订立时间</w:t>
      </w:r>
      <w:bookmarkEnd w:id="1131"/>
    </w:p>
    <w:p w14:paraId="56D381B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color w:val="auto"/>
          <w:highlight w:val="none"/>
        </w:rPr>
      </w:pPr>
      <w:r>
        <w:rPr>
          <w:color w:val="auto"/>
          <w:spacing w:val="-6"/>
          <w:highlight w:val="none"/>
        </w:rPr>
        <w:t>本合同于</w:t>
      </w:r>
      <w:r>
        <w:rPr>
          <w:color w:val="auto"/>
          <w:highlight w:val="none"/>
          <w:u w:val="single" w:color="auto"/>
        </w:rPr>
        <w:t xml:space="preserve">        </w:t>
      </w:r>
      <w:r>
        <w:rPr>
          <w:color w:val="auto"/>
          <w:spacing w:val="-94"/>
          <w:highlight w:val="none"/>
        </w:rPr>
        <w:t xml:space="preserve"> </w:t>
      </w:r>
      <w:r>
        <w:rPr>
          <w:color w:val="auto"/>
          <w:spacing w:val="-6"/>
          <w:highlight w:val="none"/>
        </w:rPr>
        <w:t>年</w:t>
      </w:r>
      <w:r>
        <w:rPr>
          <w:color w:val="auto"/>
          <w:spacing w:val="-6"/>
          <w:highlight w:val="none"/>
          <w:u w:val="single" w:color="auto"/>
        </w:rPr>
        <w:t xml:space="preserve">     </w:t>
      </w:r>
      <w:r>
        <w:rPr>
          <w:color w:val="auto"/>
          <w:spacing w:val="-92"/>
          <w:highlight w:val="none"/>
        </w:rPr>
        <w:t xml:space="preserve"> </w:t>
      </w:r>
      <w:r>
        <w:rPr>
          <w:color w:val="auto"/>
          <w:spacing w:val="-6"/>
          <w:highlight w:val="none"/>
        </w:rPr>
        <w:t>月</w:t>
      </w:r>
      <w:r>
        <w:rPr>
          <w:color w:val="auto"/>
          <w:highlight w:val="none"/>
          <w:u w:val="single" w:color="auto"/>
        </w:rPr>
        <w:t xml:space="preserve">     </w:t>
      </w:r>
      <w:r>
        <w:rPr>
          <w:color w:val="auto"/>
          <w:spacing w:val="-61"/>
          <w:highlight w:val="none"/>
        </w:rPr>
        <w:t xml:space="preserve"> </w:t>
      </w:r>
      <w:r>
        <w:rPr>
          <w:color w:val="auto"/>
          <w:spacing w:val="-6"/>
          <w:highlight w:val="none"/>
        </w:rPr>
        <w:t>日订立。</w:t>
      </w:r>
    </w:p>
    <w:p w14:paraId="042A6BD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0"/>
        <w:rPr>
          <w:color w:val="auto"/>
          <w:highlight w:val="none"/>
        </w:rPr>
      </w:pPr>
      <w:bookmarkStart w:id="1132" w:name="_Toc30180"/>
      <w:r>
        <w:rPr>
          <w:color w:val="auto"/>
          <w:spacing w:val="-2"/>
          <w:highlight w:val="none"/>
        </w:rPr>
        <w:t>九、订立地点</w:t>
      </w:r>
      <w:bookmarkEnd w:id="1132"/>
    </w:p>
    <w:p w14:paraId="0B3CDD7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color w:val="auto"/>
          <w:highlight w:val="none"/>
        </w:rPr>
      </w:pPr>
      <w:r>
        <w:rPr>
          <w:color w:val="auto"/>
          <w:spacing w:val="-6"/>
          <w:highlight w:val="none"/>
        </w:rPr>
        <w:t>本合同在</w:t>
      </w:r>
      <w:r>
        <w:rPr>
          <w:color w:val="auto"/>
          <w:highlight w:val="none"/>
          <w:u w:val="single" w:color="auto"/>
        </w:rPr>
        <w:t xml:space="preserve">  </w:t>
      </w:r>
      <w:r>
        <w:rPr>
          <w:rFonts w:hint="eastAsia"/>
          <w:color w:val="auto"/>
          <w:highlight w:val="none"/>
          <w:u w:val="single" w:color="auto"/>
          <w:lang w:val="en-US" w:eastAsia="zh-CN"/>
        </w:rPr>
        <w:t>营口市</w:t>
      </w:r>
      <w:r>
        <w:rPr>
          <w:color w:val="auto"/>
          <w:highlight w:val="none"/>
          <w:u w:val="single" w:color="auto"/>
        </w:rPr>
        <w:t xml:space="preserve">   </w:t>
      </w:r>
      <w:r>
        <w:rPr>
          <w:color w:val="auto"/>
          <w:spacing w:val="-90"/>
          <w:highlight w:val="none"/>
        </w:rPr>
        <w:t xml:space="preserve"> </w:t>
      </w:r>
      <w:r>
        <w:rPr>
          <w:color w:val="auto"/>
          <w:spacing w:val="-6"/>
          <w:highlight w:val="none"/>
        </w:rPr>
        <w:t>订立。</w:t>
      </w:r>
    </w:p>
    <w:p w14:paraId="0A688AB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0"/>
        <w:rPr>
          <w:color w:val="auto"/>
          <w:highlight w:val="none"/>
        </w:rPr>
      </w:pPr>
      <w:bookmarkStart w:id="1133" w:name="_Toc5971"/>
      <w:r>
        <w:rPr>
          <w:color w:val="auto"/>
          <w:spacing w:val="-2"/>
          <w:highlight w:val="none"/>
        </w:rPr>
        <w:t>十、争议解决</w:t>
      </w:r>
      <w:bookmarkEnd w:id="1133"/>
    </w:p>
    <w:p w14:paraId="3E9618B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本合同项下如发生争议，双方应友好协商解决，协商不成的，任何一方均有权向合同签订地</w:t>
      </w:r>
      <w:r>
        <w:rPr>
          <w:color w:val="auto"/>
          <w:spacing w:val="-1"/>
          <w:highlight w:val="none"/>
        </w:rPr>
        <w:t>法院诉</w:t>
      </w:r>
      <w:r>
        <w:rPr>
          <w:color w:val="auto"/>
          <w:spacing w:val="-8"/>
          <w:highlight w:val="none"/>
        </w:rPr>
        <w:t>讼解决。</w:t>
      </w:r>
    </w:p>
    <w:p w14:paraId="74190B8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0"/>
        <w:rPr>
          <w:color w:val="auto"/>
          <w:highlight w:val="none"/>
        </w:rPr>
      </w:pPr>
      <w:bookmarkStart w:id="1134" w:name="_Toc22035"/>
      <w:r>
        <w:rPr>
          <w:color w:val="auto"/>
          <w:spacing w:val="-3"/>
          <w:highlight w:val="none"/>
        </w:rPr>
        <w:t>十一、合同生效</w:t>
      </w:r>
      <w:bookmarkEnd w:id="1134"/>
    </w:p>
    <w:p w14:paraId="74E0BED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本合同经双方签字或盖章后成立，并自</w:t>
      </w:r>
      <w:r>
        <w:rPr>
          <w:color w:val="auto"/>
          <w:highlight w:val="none"/>
          <w:u w:val="single" w:color="auto"/>
        </w:rPr>
        <w:t>双方法定代表人或授权代表签署并加盖单位公章或合</w:t>
      </w:r>
      <w:r>
        <w:rPr>
          <w:color w:val="auto"/>
          <w:spacing w:val="-1"/>
          <w:highlight w:val="none"/>
          <w:u w:val="single" w:color="auto"/>
        </w:rPr>
        <w:t>同专用</w:t>
      </w:r>
      <w:r>
        <w:rPr>
          <w:color w:val="auto"/>
          <w:spacing w:val="-6"/>
          <w:highlight w:val="none"/>
          <w:u w:val="single" w:color="auto"/>
        </w:rPr>
        <w:t>章之日起</w:t>
      </w:r>
      <w:r>
        <w:rPr>
          <w:color w:val="auto"/>
          <w:spacing w:val="-6"/>
          <w:highlight w:val="none"/>
        </w:rPr>
        <w:t>生效。</w:t>
      </w:r>
    </w:p>
    <w:p w14:paraId="72DBE1A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0"/>
        <w:rPr>
          <w:color w:val="auto"/>
          <w:highlight w:val="none"/>
        </w:rPr>
      </w:pPr>
      <w:bookmarkStart w:id="1135" w:name="_Toc31452"/>
      <w:r>
        <w:rPr>
          <w:color w:val="auto"/>
          <w:spacing w:val="-2"/>
          <w:highlight w:val="none"/>
        </w:rPr>
        <w:t>十二、合同份数</w:t>
      </w:r>
      <w:bookmarkEnd w:id="1135"/>
    </w:p>
    <w:p w14:paraId="08FCFC6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sectPr>
          <w:headerReference r:id="rId17" w:type="default"/>
          <w:footerReference r:id="rId18" w:type="default"/>
          <w:pgSz w:w="11906" w:h="16839"/>
          <w:pgMar w:top="1134" w:right="1191" w:bottom="1134" w:left="1020" w:header="0" w:footer="993" w:gutter="0"/>
          <w:pgNumType w:fmt="decimal"/>
          <w:cols w:space="720" w:num="1"/>
          <w:rtlGutter w:val="0"/>
          <w:docGrid w:linePitch="0" w:charSpace="0"/>
        </w:sectPr>
      </w:pPr>
      <w:r>
        <w:rPr>
          <w:color w:val="auto"/>
          <w:spacing w:val="-1"/>
          <w:highlight w:val="none"/>
        </w:rPr>
        <w:t>本合同一式</w:t>
      </w:r>
      <w:r>
        <w:rPr>
          <w:color w:val="auto"/>
          <w:spacing w:val="-1"/>
          <w:highlight w:val="none"/>
          <w:u w:val="single" w:color="auto"/>
        </w:rPr>
        <w:t>捌</w:t>
      </w:r>
      <w:r>
        <w:rPr>
          <w:color w:val="auto"/>
          <w:spacing w:val="-1"/>
          <w:highlight w:val="none"/>
        </w:rPr>
        <w:t>份，均具有同等法律效力，发包人执</w:t>
      </w:r>
      <w:r>
        <w:rPr>
          <w:color w:val="auto"/>
          <w:spacing w:val="-1"/>
          <w:highlight w:val="none"/>
          <w:u w:val="single"/>
        </w:rPr>
        <w:t>肆</w:t>
      </w:r>
      <w:r>
        <w:rPr>
          <w:color w:val="auto"/>
          <w:spacing w:val="-1"/>
          <w:highlight w:val="none"/>
        </w:rPr>
        <w:t>份，</w:t>
      </w:r>
      <w:r>
        <w:rPr>
          <w:color w:val="auto"/>
          <w:spacing w:val="-2"/>
          <w:highlight w:val="none"/>
        </w:rPr>
        <w:t>承包人执</w:t>
      </w:r>
      <w:r>
        <w:rPr>
          <w:color w:val="auto"/>
          <w:spacing w:val="-2"/>
          <w:highlight w:val="none"/>
          <w:u w:val="single"/>
        </w:rPr>
        <w:t>肆</w:t>
      </w:r>
      <w:r>
        <w:rPr>
          <w:color w:val="auto"/>
          <w:spacing w:val="-2"/>
          <w:highlight w:val="none"/>
        </w:rPr>
        <w:t>份。</w:t>
      </w:r>
    </w:p>
    <w:p w14:paraId="34D7E101">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sectPr>
          <w:headerReference r:id="rId19" w:type="default"/>
          <w:footerReference r:id="rId20" w:type="default"/>
          <w:pgSz w:w="11906" w:h="16839"/>
          <w:pgMar w:top="1134" w:right="1191" w:bottom="1134" w:left="1020" w:header="0" w:footer="993" w:gutter="0"/>
          <w:pgNumType w:fmt="decimal"/>
          <w:cols w:equalWidth="0" w:num="1">
            <w:col w:w="11799"/>
          </w:cols>
          <w:rtlGutter w:val="0"/>
          <w:docGrid w:linePitch="0" w:charSpace="0"/>
        </w:sectPr>
      </w:pPr>
    </w:p>
    <w:p w14:paraId="69522D0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76" w:firstLineChars="200"/>
        <w:textAlignment w:val="baseline"/>
        <w:rPr>
          <w:rFonts w:hint="eastAsia" w:eastAsia="宋体"/>
          <w:color w:val="auto"/>
          <w:highlight w:val="none"/>
          <w:lang w:val="en-US" w:eastAsia="zh-CN"/>
        </w:rPr>
      </w:pPr>
      <w:r>
        <w:rPr>
          <w:color w:val="auto"/>
          <w:spacing w:val="-11"/>
          <w:highlight w:val="none"/>
        </w:rPr>
        <w:t>发包人</w:t>
      </w:r>
      <w:r>
        <w:rPr>
          <w:color w:val="auto"/>
          <w:spacing w:val="-17"/>
          <w:highlight w:val="none"/>
        </w:rPr>
        <w:t>：（</w:t>
      </w:r>
      <w:r>
        <w:rPr>
          <w:color w:val="auto"/>
          <w:spacing w:val="-11"/>
          <w:highlight w:val="none"/>
        </w:rPr>
        <w:t>公章）</w:t>
      </w:r>
    </w:p>
    <w:p w14:paraId="134ABEE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spacing w:val="-5"/>
          <w:highlight w:val="none"/>
        </w:rPr>
      </w:pPr>
    </w:p>
    <w:p w14:paraId="21774F4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法定代表人或其委托代理人：</w:t>
      </w:r>
      <w:r>
        <w:rPr>
          <w:color w:val="auto"/>
          <w:spacing w:val="6"/>
          <w:highlight w:val="none"/>
        </w:rPr>
        <w:t xml:space="preserve"> </w:t>
      </w:r>
      <w:r>
        <w:rPr>
          <w:color w:val="auto"/>
          <w:spacing w:val="-6"/>
          <w:highlight w:val="none"/>
        </w:rPr>
        <w:t>（签字）</w:t>
      </w:r>
    </w:p>
    <w:p w14:paraId="0BE5FCF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spacing w:val="-2"/>
          <w:highlight w:val="none"/>
        </w:rPr>
      </w:pPr>
    </w:p>
    <w:p w14:paraId="265B157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统一社会信用代码：</w:t>
      </w:r>
      <w:r>
        <w:rPr>
          <w:rFonts w:hint="eastAsia" w:ascii="宋体" w:hAnsi="宋体" w:eastAsia="宋体" w:cs="宋体"/>
          <w:color w:val="auto"/>
          <w:highlight w:val="none"/>
          <w:u w:val="single" w:color="auto"/>
          <w:lang w:val="en-US" w:eastAsia="zh-CN"/>
        </w:rPr>
        <w:t>91210881MAE26QE82H</w:t>
      </w:r>
    </w:p>
    <w:p w14:paraId="7245EEA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地址：</w:t>
      </w:r>
      <w:r>
        <w:rPr>
          <w:rFonts w:hint="eastAsia" w:ascii="宋体" w:hAnsi="宋体" w:cs="宋体"/>
          <w:color w:val="auto"/>
          <w:highlight w:val="none"/>
          <w:u w:val="single" w:color="auto"/>
          <w:lang w:val="en-US" w:eastAsia="zh-CN"/>
        </w:rPr>
        <w:t>辽宁省营口市北海经济开发区管理委员会1033室</w:t>
      </w:r>
    </w:p>
    <w:p w14:paraId="3817CA2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邮政编码：</w:t>
      </w:r>
      <w:r>
        <w:rPr>
          <w:rFonts w:hint="eastAsia" w:ascii="宋体" w:hAnsi="宋体" w:eastAsia="宋体" w:cs="宋体"/>
          <w:color w:val="auto"/>
          <w:highlight w:val="none"/>
          <w:u w:val="single" w:color="auto"/>
          <w:lang w:val="en-US" w:eastAsia="zh-CN"/>
        </w:rPr>
        <w:t>1</w:t>
      </w:r>
      <w:r>
        <w:rPr>
          <w:rFonts w:hint="eastAsia" w:cs="宋体"/>
          <w:color w:val="auto"/>
          <w:highlight w:val="none"/>
          <w:u w:val="single" w:color="auto"/>
          <w:lang w:val="en-US" w:eastAsia="zh-CN"/>
        </w:rPr>
        <w:t>1</w:t>
      </w:r>
      <w:r>
        <w:rPr>
          <w:rFonts w:hint="eastAsia" w:ascii="宋体" w:hAnsi="宋体" w:eastAsia="宋体" w:cs="宋体"/>
          <w:color w:val="auto"/>
          <w:highlight w:val="none"/>
          <w:u w:val="single" w:color="auto"/>
          <w:lang w:val="en-US" w:eastAsia="zh-CN"/>
        </w:rPr>
        <w:t>5211</w:t>
      </w:r>
    </w:p>
    <w:p w14:paraId="068525E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法定代表人：</w:t>
      </w:r>
      <w:r>
        <w:rPr>
          <w:rFonts w:hint="eastAsia" w:ascii="宋体" w:hAnsi="宋体" w:eastAsia="宋体" w:cs="宋体"/>
          <w:color w:val="auto"/>
          <w:highlight w:val="none"/>
          <w:u w:val="single" w:color="auto"/>
          <w:lang w:val="en-US" w:eastAsia="zh-CN"/>
        </w:rPr>
        <w:t>赵阳</w:t>
      </w:r>
      <w:r>
        <w:rPr>
          <w:color w:val="auto"/>
          <w:highlight w:val="none"/>
          <w:u w:val="single" w:color="auto"/>
        </w:rPr>
        <w:t xml:space="preserve">  </w:t>
      </w:r>
    </w:p>
    <w:p w14:paraId="0A5CB58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委托代理人：</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p w14:paraId="30815D7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44" w:firstLineChars="200"/>
        <w:textAlignment w:val="baseline"/>
        <w:rPr>
          <w:rFonts w:hint="default"/>
          <w:color w:val="auto"/>
          <w:highlight w:val="none"/>
          <w:lang w:val="en-US"/>
        </w:rPr>
      </w:pPr>
      <w:r>
        <w:rPr>
          <w:color w:val="auto"/>
          <w:spacing w:val="-19"/>
          <w:highlight w:val="none"/>
        </w:rPr>
        <w:t>电话：</w:t>
      </w:r>
      <w:r>
        <w:rPr>
          <w:rFonts w:hint="eastAsia" w:cs="宋体"/>
          <w:color w:val="auto"/>
          <w:highlight w:val="none"/>
          <w:u w:val="single" w:color="auto"/>
          <w:lang w:val="en-US" w:eastAsia="zh-CN"/>
        </w:rPr>
        <w:t>0417-6578092</w:t>
      </w:r>
    </w:p>
    <w:p w14:paraId="7B1E04B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color w:val="auto"/>
          <w:highlight w:val="none"/>
        </w:rPr>
      </w:pPr>
      <w:r>
        <w:rPr>
          <w:color w:val="auto"/>
          <w:spacing w:val="-13"/>
          <w:highlight w:val="none"/>
        </w:rPr>
        <w:t>传真：</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r>
        <w:rPr>
          <w:rFonts w:hint="eastAsia"/>
          <w:color w:val="auto"/>
          <w:highlight w:val="none"/>
          <w:u w:val="single" w:color="auto"/>
          <w:lang w:val="en-US" w:eastAsia="zh-CN"/>
        </w:rPr>
        <w:t xml:space="preserve"> </w:t>
      </w:r>
      <w:r>
        <w:rPr>
          <w:color w:val="auto"/>
          <w:highlight w:val="none"/>
          <w:u w:val="single" w:color="auto"/>
        </w:rPr>
        <w:t xml:space="preserve">   </w:t>
      </w:r>
    </w:p>
    <w:p w14:paraId="349B8C3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2" w:firstLineChars="200"/>
        <w:textAlignment w:val="baseline"/>
        <w:rPr>
          <w:color w:val="auto"/>
          <w:highlight w:val="none"/>
        </w:rPr>
      </w:pPr>
      <w:r>
        <w:rPr>
          <w:color w:val="auto"/>
          <w:spacing w:val="-7"/>
          <w:highlight w:val="none"/>
        </w:rPr>
        <w:t>电子信箱：</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p w14:paraId="5FB49A9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开户银行：</w:t>
      </w:r>
      <w:r>
        <w:rPr>
          <w:rFonts w:hint="eastAsia" w:cs="宋体"/>
          <w:color w:val="auto"/>
          <w:highlight w:val="none"/>
          <w:u w:val="single" w:color="auto"/>
          <w:lang w:val="en-US" w:eastAsia="zh-CN"/>
        </w:rPr>
        <w:t xml:space="preserve">              </w:t>
      </w:r>
      <w:r>
        <w:rPr>
          <w:color w:val="auto"/>
          <w:highlight w:val="none"/>
          <w:u w:val="single" w:color="auto"/>
        </w:rPr>
        <w:t xml:space="preserve">   </w:t>
      </w:r>
    </w:p>
    <w:p w14:paraId="368AD81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u w:val="single" w:color="auto"/>
        </w:rPr>
      </w:pPr>
      <w:r>
        <w:rPr>
          <w:color w:val="auto"/>
          <w:spacing w:val="-4"/>
          <w:highlight w:val="none"/>
        </w:rPr>
        <w:t>账号：</w:t>
      </w:r>
      <w:r>
        <w:rPr>
          <w:color w:val="auto"/>
          <w:highlight w:val="none"/>
          <w:u w:val="single" w:color="auto"/>
        </w:rPr>
        <w:t xml:space="preserve"> </w:t>
      </w:r>
      <w:r>
        <w:rPr>
          <w:rFonts w:hint="eastAsia" w:cs="宋体"/>
          <w:color w:val="auto"/>
          <w:highlight w:val="none"/>
          <w:u w:val="single" w:color="auto"/>
          <w:lang w:val="en-US" w:eastAsia="zh-CN"/>
        </w:rPr>
        <w:t xml:space="preserve">           </w:t>
      </w:r>
      <w:r>
        <w:rPr>
          <w:rFonts w:hint="eastAsia" w:ascii="宋体" w:hAnsi="宋体" w:eastAsia="宋体" w:cs="宋体"/>
          <w:color w:val="auto"/>
          <w:highlight w:val="none"/>
          <w:u w:val="single" w:color="auto"/>
          <w:lang w:val="en-US" w:eastAsia="zh-CN"/>
        </w:rPr>
        <w:t xml:space="preserve"> </w:t>
      </w:r>
      <w:r>
        <w:rPr>
          <w:color w:val="auto"/>
          <w:highlight w:val="none"/>
          <w:u w:val="single" w:color="auto"/>
        </w:rPr>
        <w:t xml:space="preserve">      </w:t>
      </w:r>
    </w:p>
    <w:p w14:paraId="20F0B5F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u w:val="single" w:color="auto"/>
        </w:rPr>
      </w:pPr>
    </w:p>
    <w:p w14:paraId="593F76CC">
      <w:pPr>
        <w:pageBreakBefore w:val="0"/>
        <w:widowControl/>
        <w:kinsoku w:val="0"/>
        <w:wordWrap/>
        <w:overflowPunct/>
        <w:topLinePunct/>
        <w:autoSpaceDE w:val="0"/>
        <w:autoSpaceDN w:val="0"/>
        <w:bidi w:val="0"/>
        <w:adjustRightInd w:val="0"/>
        <w:snapToGrid w:val="0"/>
        <w:spacing w:line="360" w:lineRule="auto"/>
        <w:ind w:left="0" w:leftChars="0" w:right="0" w:rightChars="0" w:firstLine="40" w:firstLineChars="200"/>
        <w:textAlignment w:val="baseline"/>
        <w:rPr>
          <w:rFonts w:ascii="Arial"/>
          <w:color w:val="auto"/>
          <w:sz w:val="2"/>
          <w:highlight w:val="none"/>
        </w:rPr>
      </w:pPr>
      <w:r>
        <w:rPr>
          <w:rFonts w:ascii="Arial" w:hAnsi="Arial" w:eastAsia="Arial" w:cs="Arial"/>
          <w:color w:val="auto"/>
          <w:sz w:val="2"/>
          <w:szCs w:val="2"/>
          <w:highlight w:val="none"/>
        </w:rPr>
        <w:br w:type="column"/>
      </w:r>
    </w:p>
    <w:p w14:paraId="60C0CED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76" w:firstLineChars="200"/>
        <w:textAlignment w:val="baseline"/>
        <w:rPr>
          <w:color w:val="auto"/>
          <w:highlight w:val="none"/>
        </w:rPr>
      </w:pPr>
      <w:r>
        <w:rPr>
          <w:color w:val="auto"/>
          <w:spacing w:val="-11"/>
          <w:highlight w:val="none"/>
        </w:rPr>
        <w:t>承包人</w:t>
      </w:r>
      <w:r>
        <w:rPr>
          <w:color w:val="auto"/>
          <w:spacing w:val="-15"/>
          <w:highlight w:val="none"/>
        </w:rPr>
        <w:t>：（</w:t>
      </w:r>
      <w:r>
        <w:rPr>
          <w:color w:val="auto"/>
          <w:spacing w:val="-11"/>
          <w:highlight w:val="none"/>
        </w:rPr>
        <w:t>公章）</w:t>
      </w:r>
    </w:p>
    <w:p w14:paraId="12B363D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spacing w:val="-5"/>
          <w:highlight w:val="none"/>
        </w:rPr>
      </w:pPr>
    </w:p>
    <w:p w14:paraId="7215FFD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法定代表人或其委托代理人：</w:t>
      </w:r>
      <w:r>
        <w:rPr>
          <w:color w:val="auto"/>
          <w:spacing w:val="6"/>
          <w:highlight w:val="none"/>
        </w:rPr>
        <w:t xml:space="preserve"> </w:t>
      </w:r>
      <w:r>
        <w:rPr>
          <w:color w:val="auto"/>
          <w:spacing w:val="-6"/>
          <w:highlight w:val="none"/>
        </w:rPr>
        <w:t>（签字）</w:t>
      </w:r>
    </w:p>
    <w:p w14:paraId="4C6547F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spacing w:val="-2"/>
          <w:highlight w:val="none"/>
        </w:rPr>
      </w:pPr>
    </w:p>
    <w:p w14:paraId="168763C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统一社会信用代码：</w:t>
      </w:r>
      <w:r>
        <w:rPr>
          <w:rFonts w:hint="eastAsia"/>
          <w:color w:val="auto"/>
          <w:spacing w:val="-1"/>
          <w:highlight w:val="none"/>
          <w:u w:val="single"/>
          <w:lang w:val="en-US" w:eastAsia="zh-CN"/>
        </w:rPr>
        <w:t xml:space="preserve">                     </w:t>
      </w:r>
      <w:r>
        <w:rPr>
          <w:color w:val="auto"/>
          <w:highlight w:val="none"/>
          <w:u w:val="single" w:color="auto"/>
        </w:rPr>
        <w:t xml:space="preserve">  </w:t>
      </w:r>
    </w:p>
    <w:p w14:paraId="03EA7E9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地址：</w:t>
      </w:r>
      <w:r>
        <w:rPr>
          <w:rFonts w:hint="eastAsia"/>
          <w:color w:val="auto"/>
          <w:spacing w:val="-1"/>
          <w:highlight w:val="none"/>
          <w:u w:val="single"/>
          <w:lang w:val="en-US" w:eastAsia="zh-CN"/>
        </w:rPr>
        <w:t xml:space="preserve">                     </w:t>
      </w:r>
      <w:r>
        <w:rPr>
          <w:color w:val="auto"/>
          <w:highlight w:val="none"/>
          <w:u w:val="single" w:color="auto"/>
        </w:rPr>
        <w:t xml:space="preserve">  </w:t>
      </w:r>
    </w:p>
    <w:p w14:paraId="78529B0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邮政编码：</w:t>
      </w:r>
      <w:r>
        <w:rPr>
          <w:rFonts w:hint="eastAsia"/>
          <w:color w:val="auto"/>
          <w:spacing w:val="-1"/>
          <w:highlight w:val="none"/>
          <w:u w:val="single"/>
          <w:lang w:val="en-US" w:eastAsia="zh-CN"/>
        </w:rPr>
        <w:t xml:space="preserve">                     </w:t>
      </w:r>
      <w:r>
        <w:rPr>
          <w:color w:val="auto"/>
          <w:highlight w:val="none"/>
          <w:u w:val="single" w:color="auto"/>
        </w:rPr>
        <w:t xml:space="preserve">   </w:t>
      </w:r>
    </w:p>
    <w:p w14:paraId="30CE8CF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法定代表人：</w:t>
      </w:r>
      <w:r>
        <w:rPr>
          <w:rFonts w:hint="eastAsia"/>
          <w:color w:val="auto"/>
          <w:spacing w:val="-1"/>
          <w:highlight w:val="none"/>
          <w:u w:val="single"/>
          <w:lang w:val="en-US" w:eastAsia="zh-CN"/>
        </w:rPr>
        <w:t xml:space="preserve">                     </w:t>
      </w:r>
      <w:r>
        <w:rPr>
          <w:color w:val="auto"/>
          <w:highlight w:val="none"/>
          <w:u w:val="single" w:color="auto"/>
        </w:rPr>
        <w:t xml:space="preserve">   </w:t>
      </w:r>
    </w:p>
    <w:p w14:paraId="15FED24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委托代理人：</w:t>
      </w:r>
      <w:r>
        <w:rPr>
          <w:rFonts w:hint="eastAsia"/>
          <w:color w:val="auto"/>
          <w:spacing w:val="-1"/>
          <w:highlight w:val="none"/>
          <w:u w:val="single"/>
          <w:lang w:val="en-US" w:eastAsia="zh-CN"/>
        </w:rPr>
        <w:t xml:space="preserve">                     </w:t>
      </w:r>
      <w:r>
        <w:rPr>
          <w:color w:val="auto"/>
          <w:highlight w:val="none"/>
          <w:u w:val="single" w:color="auto"/>
        </w:rPr>
        <w:t xml:space="preserve">  </w:t>
      </w:r>
    </w:p>
    <w:p w14:paraId="27C34D3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44" w:firstLineChars="200"/>
        <w:textAlignment w:val="baseline"/>
        <w:rPr>
          <w:color w:val="auto"/>
          <w:highlight w:val="none"/>
        </w:rPr>
      </w:pPr>
      <w:r>
        <w:rPr>
          <w:color w:val="auto"/>
          <w:spacing w:val="-19"/>
          <w:highlight w:val="none"/>
        </w:rPr>
        <w:t>电话：</w:t>
      </w:r>
      <w:r>
        <w:rPr>
          <w:rFonts w:hint="eastAsia"/>
          <w:color w:val="auto"/>
          <w:spacing w:val="-1"/>
          <w:highlight w:val="none"/>
          <w:u w:val="single"/>
          <w:lang w:val="en-US" w:eastAsia="zh-CN"/>
        </w:rPr>
        <w:t xml:space="preserve">                     </w:t>
      </w:r>
      <w:r>
        <w:rPr>
          <w:color w:val="auto"/>
          <w:highlight w:val="none"/>
          <w:u w:val="single" w:color="auto"/>
        </w:rPr>
        <w:t xml:space="preserve">  </w:t>
      </w:r>
    </w:p>
    <w:p w14:paraId="7507678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color w:val="auto"/>
          <w:highlight w:val="none"/>
        </w:rPr>
      </w:pPr>
      <w:r>
        <w:rPr>
          <w:color w:val="auto"/>
          <w:spacing w:val="-13"/>
          <w:highlight w:val="none"/>
        </w:rPr>
        <w:t>传真：</w:t>
      </w:r>
      <w:r>
        <w:rPr>
          <w:rFonts w:hint="eastAsia"/>
          <w:color w:val="auto"/>
          <w:spacing w:val="-1"/>
          <w:highlight w:val="none"/>
          <w:u w:val="single"/>
          <w:lang w:val="en-US" w:eastAsia="zh-CN"/>
        </w:rPr>
        <w:t xml:space="preserve">                     </w:t>
      </w:r>
      <w:r>
        <w:rPr>
          <w:color w:val="auto"/>
          <w:highlight w:val="none"/>
          <w:u w:val="single" w:color="auto"/>
        </w:rPr>
        <w:t xml:space="preserve">  </w:t>
      </w:r>
    </w:p>
    <w:p w14:paraId="5399C40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2" w:firstLineChars="200"/>
        <w:textAlignment w:val="baseline"/>
        <w:rPr>
          <w:color w:val="auto"/>
          <w:highlight w:val="none"/>
        </w:rPr>
      </w:pPr>
      <w:r>
        <w:rPr>
          <w:color w:val="auto"/>
          <w:spacing w:val="-7"/>
          <w:highlight w:val="none"/>
        </w:rPr>
        <w:t>电子信箱：</w:t>
      </w:r>
      <w:r>
        <w:rPr>
          <w:rFonts w:hint="eastAsia"/>
          <w:color w:val="auto"/>
          <w:spacing w:val="-1"/>
          <w:highlight w:val="none"/>
          <w:u w:val="single"/>
          <w:lang w:val="en-US" w:eastAsia="zh-CN"/>
        </w:rPr>
        <w:t xml:space="preserve">                     </w:t>
      </w:r>
      <w:r>
        <w:rPr>
          <w:color w:val="auto"/>
          <w:highlight w:val="none"/>
          <w:u w:val="single" w:color="auto"/>
        </w:rPr>
        <w:t xml:space="preserve">  </w:t>
      </w:r>
    </w:p>
    <w:p w14:paraId="66CCEEA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开户银行：</w:t>
      </w:r>
      <w:r>
        <w:rPr>
          <w:rFonts w:hint="eastAsia"/>
          <w:color w:val="auto"/>
          <w:spacing w:val="-1"/>
          <w:highlight w:val="none"/>
          <w:u w:val="single"/>
          <w:lang w:val="en-US" w:eastAsia="zh-CN"/>
        </w:rPr>
        <w:t xml:space="preserve">                     </w:t>
      </w:r>
      <w:r>
        <w:rPr>
          <w:color w:val="auto"/>
          <w:highlight w:val="none"/>
          <w:u w:val="single" w:color="auto"/>
        </w:rPr>
        <w:t xml:space="preserve">  </w:t>
      </w:r>
    </w:p>
    <w:p w14:paraId="036EEC6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u w:val="single" w:color="auto"/>
        </w:rPr>
      </w:pPr>
      <w:r>
        <w:rPr>
          <w:color w:val="auto"/>
          <w:spacing w:val="-4"/>
          <w:highlight w:val="none"/>
        </w:rPr>
        <w:t>账号：</w:t>
      </w:r>
      <w:r>
        <w:rPr>
          <w:rFonts w:hint="eastAsia"/>
          <w:color w:val="auto"/>
          <w:spacing w:val="-1"/>
          <w:highlight w:val="none"/>
          <w:u w:val="single"/>
          <w:lang w:val="en-US" w:eastAsia="zh-CN"/>
        </w:rPr>
        <w:t xml:space="preserve">                     </w:t>
      </w:r>
      <w:r>
        <w:rPr>
          <w:color w:val="auto"/>
          <w:highlight w:val="none"/>
          <w:u w:val="single" w:color="auto"/>
        </w:rPr>
        <w:t xml:space="preserve">  </w:t>
      </w:r>
      <w:r>
        <w:rPr>
          <w:rFonts w:hint="eastAsia" w:ascii="宋体" w:hAnsi="宋体" w:eastAsia="宋体" w:cs="宋体"/>
          <w:color w:val="auto"/>
          <w:highlight w:val="none"/>
          <w:u w:val="single" w:color="auto"/>
          <w:lang w:val="en-US" w:eastAsia="zh-CN"/>
        </w:rPr>
        <w:t xml:space="preserve"> </w:t>
      </w:r>
      <w:r>
        <w:rPr>
          <w:color w:val="auto"/>
          <w:highlight w:val="none"/>
          <w:u w:val="single" w:color="auto"/>
        </w:rPr>
        <w:t xml:space="preserve"> </w:t>
      </w:r>
    </w:p>
    <w:p w14:paraId="52C46AA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76" w:firstLineChars="200"/>
        <w:textAlignment w:val="baseline"/>
        <w:rPr>
          <w:color w:val="auto"/>
          <w:spacing w:val="-11"/>
          <w:highlight w:val="none"/>
        </w:rPr>
      </w:pPr>
    </w:p>
    <w:p w14:paraId="75AE888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76" w:firstLineChars="200"/>
        <w:textAlignment w:val="baseline"/>
        <w:rPr>
          <w:color w:val="auto"/>
          <w:spacing w:val="-11"/>
          <w:highlight w:val="none"/>
        </w:rPr>
      </w:pPr>
    </w:p>
    <w:p w14:paraId="048C742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76" w:firstLineChars="200"/>
        <w:textAlignment w:val="baseline"/>
        <w:rPr>
          <w:color w:val="auto"/>
          <w:highlight w:val="none"/>
        </w:rPr>
      </w:pPr>
      <w:r>
        <w:rPr>
          <w:color w:val="auto"/>
          <w:spacing w:val="-11"/>
          <w:highlight w:val="none"/>
        </w:rPr>
        <w:t>承包人</w:t>
      </w:r>
      <w:r>
        <w:rPr>
          <w:color w:val="auto"/>
          <w:spacing w:val="-15"/>
          <w:highlight w:val="none"/>
        </w:rPr>
        <w:t>：（</w:t>
      </w:r>
      <w:r>
        <w:rPr>
          <w:color w:val="auto"/>
          <w:spacing w:val="-11"/>
          <w:highlight w:val="none"/>
        </w:rPr>
        <w:t>公章）</w:t>
      </w:r>
    </w:p>
    <w:p w14:paraId="11D2C0B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spacing w:val="-5"/>
          <w:highlight w:val="none"/>
        </w:rPr>
      </w:pPr>
    </w:p>
    <w:p w14:paraId="293CEAA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法定代表人或其委托代理人：</w:t>
      </w:r>
      <w:r>
        <w:rPr>
          <w:color w:val="auto"/>
          <w:spacing w:val="6"/>
          <w:highlight w:val="none"/>
        </w:rPr>
        <w:t xml:space="preserve"> </w:t>
      </w:r>
      <w:r>
        <w:rPr>
          <w:color w:val="auto"/>
          <w:spacing w:val="-6"/>
          <w:highlight w:val="none"/>
        </w:rPr>
        <w:t>（签字）</w:t>
      </w:r>
    </w:p>
    <w:p w14:paraId="113BC6F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spacing w:val="-2"/>
          <w:highlight w:val="none"/>
        </w:rPr>
      </w:pPr>
    </w:p>
    <w:p w14:paraId="48E32AB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统一社会信用代码：</w:t>
      </w:r>
      <w:r>
        <w:rPr>
          <w:rFonts w:hint="eastAsia"/>
          <w:color w:val="auto"/>
          <w:spacing w:val="-1"/>
          <w:highlight w:val="none"/>
          <w:u w:val="single"/>
          <w:lang w:val="en-US" w:eastAsia="zh-CN"/>
        </w:rPr>
        <w:t xml:space="preserve">                     </w:t>
      </w:r>
      <w:r>
        <w:rPr>
          <w:color w:val="auto"/>
          <w:highlight w:val="none"/>
          <w:u w:val="single" w:color="auto"/>
        </w:rPr>
        <w:t xml:space="preserve">  </w:t>
      </w:r>
    </w:p>
    <w:p w14:paraId="65D6149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地址：</w:t>
      </w:r>
      <w:r>
        <w:rPr>
          <w:rFonts w:hint="eastAsia"/>
          <w:color w:val="auto"/>
          <w:spacing w:val="-1"/>
          <w:highlight w:val="none"/>
          <w:u w:val="single"/>
          <w:lang w:val="en-US" w:eastAsia="zh-CN"/>
        </w:rPr>
        <w:t xml:space="preserve">                     </w:t>
      </w:r>
      <w:r>
        <w:rPr>
          <w:color w:val="auto"/>
          <w:highlight w:val="none"/>
          <w:u w:val="single" w:color="auto"/>
        </w:rPr>
        <w:t xml:space="preserve">  </w:t>
      </w:r>
    </w:p>
    <w:p w14:paraId="6FD4BD5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邮政编码：</w:t>
      </w:r>
      <w:r>
        <w:rPr>
          <w:rFonts w:hint="eastAsia"/>
          <w:color w:val="auto"/>
          <w:spacing w:val="-1"/>
          <w:highlight w:val="none"/>
          <w:u w:val="single"/>
          <w:lang w:val="en-US" w:eastAsia="zh-CN"/>
        </w:rPr>
        <w:t xml:space="preserve">                     </w:t>
      </w:r>
      <w:r>
        <w:rPr>
          <w:color w:val="auto"/>
          <w:highlight w:val="none"/>
          <w:u w:val="single" w:color="auto"/>
        </w:rPr>
        <w:t xml:space="preserve">   </w:t>
      </w:r>
    </w:p>
    <w:p w14:paraId="2E2FA6F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法定代表人：</w:t>
      </w:r>
      <w:r>
        <w:rPr>
          <w:rFonts w:hint="eastAsia"/>
          <w:color w:val="auto"/>
          <w:spacing w:val="-1"/>
          <w:highlight w:val="none"/>
          <w:u w:val="single"/>
          <w:lang w:val="en-US" w:eastAsia="zh-CN"/>
        </w:rPr>
        <w:t xml:space="preserve">                     </w:t>
      </w:r>
      <w:r>
        <w:rPr>
          <w:color w:val="auto"/>
          <w:highlight w:val="none"/>
          <w:u w:val="single" w:color="auto"/>
        </w:rPr>
        <w:t xml:space="preserve">  </w:t>
      </w:r>
    </w:p>
    <w:p w14:paraId="7CA7DE3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委托代理人：</w:t>
      </w:r>
      <w:r>
        <w:rPr>
          <w:rFonts w:hint="eastAsia"/>
          <w:color w:val="auto"/>
          <w:spacing w:val="-1"/>
          <w:highlight w:val="none"/>
          <w:u w:val="single"/>
          <w:lang w:val="en-US" w:eastAsia="zh-CN"/>
        </w:rPr>
        <w:t xml:space="preserve">                     </w:t>
      </w:r>
      <w:r>
        <w:rPr>
          <w:color w:val="auto"/>
          <w:highlight w:val="none"/>
          <w:u w:val="single" w:color="auto"/>
        </w:rPr>
        <w:t xml:space="preserve">  </w:t>
      </w:r>
    </w:p>
    <w:p w14:paraId="7CB8E6E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44" w:firstLineChars="200"/>
        <w:textAlignment w:val="baseline"/>
        <w:rPr>
          <w:color w:val="auto"/>
          <w:highlight w:val="none"/>
        </w:rPr>
      </w:pPr>
      <w:r>
        <w:rPr>
          <w:color w:val="auto"/>
          <w:spacing w:val="-19"/>
          <w:highlight w:val="none"/>
        </w:rPr>
        <w:t>电话：</w:t>
      </w:r>
      <w:r>
        <w:rPr>
          <w:rFonts w:hint="eastAsia"/>
          <w:color w:val="auto"/>
          <w:spacing w:val="-1"/>
          <w:highlight w:val="none"/>
          <w:u w:val="single"/>
          <w:lang w:val="en-US" w:eastAsia="zh-CN"/>
        </w:rPr>
        <w:t xml:space="preserve">                     </w:t>
      </w:r>
      <w:r>
        <w:rPr>
          <w:color w:val="auto"/>
          <w:highlight w:val="none"/>
          <w:u w:val="single" w:color="auto"/>
        </w:rPr>
        <w:t xml:space="preserve">  </w:t>
      </w:r>
    </w:p>
    <w:p w14:paraId="18F09F2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color w:val="auto"/>
          <w:highlight w:val="none"/>
        </w:rPr>
      </w:pPr>
      <w:r>
        <w:rPr>
          <w:color w:val="auto"/>
          <w:spacing w:val="-13"/>
          <w:highlight w:val="none"/>
        </w:rPr>
        <w:t>传真：</w:t>
      </w:r>
      <w:r>
        <w:rPr>
          <w:rFonts w:hint="eastAsia"/>
          <w:color w:val="auto"/>
          <w:spacing w:val="-1"/>
          <w:highlight w:val="none"/>
          <w:u w:val="single"/>
          <w:lang w:val="en-US" w:eastAsia="zh-CN"/>
        </w:rPr>
        <w:t xml:space="preserve">                     </w:t>
      </w:r>
      <w:r>
        <w:rPr>
          <w:color w:val="auto"/>
          <w:highlight w:val="none"/>
          <w:u w:val="single" w:color="auto"/>
        </w:rPr>
        <w:t xml:space="preserve">  </w:t>
      </w:r>
    </w:p>
    <w:p w14:paraId="2E2D3C8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2" w:firstLineChars="200"/>
        <w:textAlignment w:val="baseline"/>
        <w:rPr>
          <w:color w:val="auto"/>
          <w:highlight w:val="none"/>
        </w:rPr>
      </w:pPr>
      <w:r>
        <w:rPr>
          <w:color w:val="auto"/>
          <w:spacing w:val="-7"/>
          <w:highlight w:val="none"/>
        </w:rPr>
        <w:t>电子信箱：</w:t>
      </w:r>
      <w:r>
        <w:rPr>
          <w:rFonts w:hint="eastAsia"/>
          <w:color w:val="auto"/>
          <w:spacing w:val="-1"/>
          <w:highlight w:val="none"/>
          <w:u w:val="single"/>
          <w:lang w:val="en-US" w:eastAsia="zh-CN"/>
        </w:rPr>
        <w:t xml:space="preserve">                     </w:t>
      </w:r>
      <w:r>
        <w:rPr>
          <w:color w:val="auto"/>
          <w:highlight w:val="none"/>
          <w:u w:val="single" w:color="auto"/>
        </w:rPr>
        <w:t xml:space="preserve">  </w:t>
      </w:r>
    </w:p>
    <w:p w14:paraId="274274AD">
      <w:pPr>
        <w:pStyle w:val="9"/>
        <w:keepNext w:val="0"/>
        <w:keepLines w:val="0"/>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hint="default" w:eastAsia="宋体"/>
          <w:color w:val="auto"/>
          <w:highlight w:val="none"/>
          <w:u w:val="single"/>
          <w:lang w:val="en-US" w:eastAsia="zh-CN"/>
        </w:rPr>
      </w:pPr>
      <w:r>
        <w:rPr>
          <w:color w:val="auto"/>
          <w:spacing w:val="-2"/>
          <w:highlight w:val="none"/>
        </w:rPr>
        <w:t>开户银行：</w:t>
      </w:r>
      <w:r>
        <w:rPr>
          <w:rFonts w:hint="eastAsia"/>
          <w:color w:val="auto"/>
          <w:spacing w:val="-1"/>
          <w:highlight w:val="none"/>
          <w:u w:val="single"/>
          <w:lang w:val="en-US" w:eastAsia="zh-CN"/>
        </w:rPr>
        <w:t xml:space="preserve">                     </w:t>
      </w:r>
      <w:r>
        <w:rPr>
          <w:color w:val="auto"/>
          <w:highlight w:val="none"/>
          <w:u w:val="single" w:color="auto"/>
        </w:rPr>
        <w:t xml:space="preserve">  </w:t>
      </w:r>
    </w:p>
    <w:p w14:paraId="0BCDCA86">
      <w:pPr>
        <w:keepNext w:val="0"/>
        <w:keepLines w:val="0"/>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rFonts w:hint="default" w:eastAsia="宋体"/>
          <w:color w:val="auto"/>
          <w:highlight w:val="none"/>
          <w:lang w:val="en-US" w:eastAsia="zh-CN"/>
        </w:rPr>
        <w:sectPr>
          <w:type w:val="continuous"/>
          <w:pgSz w:w="11906" w:h="16839"/>
          <w:pgMar w:top="1134" w:right="1191" w:bottom="1134" w:left="1020" w:header="0" w:footer="993" w:gutter="0"/>
          <w:pgNumType w:fmt="decimal"/>
          <w:cols w:equalWidth="0" w:num="2">
            <w:col w:w="5094" w:space="100"/>
            <w:col w:w="4501"/>
          </w:cols>
          <w:rtlGutter w:val="0"/>
          <w:docGrid w:linePitch="0" w:charSpace="0"/>
        </w:sectPr>
      </w:pPr>
      <w:r>
        <w:rPr>
          <w:color w:val="auto"/>
          <w:spacing w:val="-4"/>
          <w:highlight w:val="none"/>
        </w:rPr>
        <w:t>账号：</w:t>
      </w:r>
      <w:r>
        <w:rPr>
          <w:rFonts w:hint="eastAsia"/>
          <w:color w:val="auto"/>
          <w:spacing w:val="-1"/>
          <w:highlight w:val="none"/>
          <w:u w:val="single"/>
          <w:lang w:val="en-US" w:eastAsia="zh-CN"/>
        </w:rPr>
        <w:t xml:space="preserve">                     </w:t>
      </w:r>
      <w:r>
        <w:rPr>
          <w:color w:val="auto"/>
          <w:highlight w:val="none"/>
          <w:u w:val="single" w:color="auto"/>
        </w:rPr>
        <w:t xml:space="preserve"> </w:t>
      </w:r>
    </w:p>
    <w:p w14:paraId="09A7DEFF">
      <w:pPr>
        <w:pStyle w:val="39"/>
        <w:widowControl/>
        <w:adjustRightInd w:val="0"/>
        <w:snapToGrid w:val="0"/>
        <w:spacing w:after="50" w:line="360" w:lineRule="auto"/>
        <w:jc w:val="center"/>
        <w:outlineLvl w:val="2"/>
        <w:rPr>
          <w:rFonts w:ascii="华文中宋" w:hAnsi="华文中宋" w:eastAsia="华文中宋"/>
          <w:b/>
          <w:bCs/>
          <w:color w:val="auto"/>
          <w:kern w:val="44"/>
          <w:sz w:val="44"/>
          <w:szCs w:val="52"/>
          <w:highlight w:val="none"/>
          <w:lang w:val="zh-CN"/>
        </w:rPr>
      </w:pPr>
      <w:bookmarkStart w:id="1136" w:name="_Toc256000164"/>
      <w:bookmarkStart w:id="1137" w:name="_Toc5718"/>
      <w:bookmarkStart w:id="1138" w:name="_Toc30945"/>
      <w:bookmarkStart w:id="1139" w:name="_Toc28936"/>
      <w:bookmarkStart w:id="1140" w:name="_Toc54862176"/>
      <w:bookmarkStart w:id="1141" w:name="_Toc13028"/>
      <w:r>
        <w:rPr>
          <w:rFonts w:hint="eastAsia" w:ascii="华文中宋" w:hAnsi="华文中宋" w:eastAsia="华文中宋"/>
          <w:b/>
          <w:bCs/>
          <w:color w:val="auto"/>
          <w:kern w:val="44"/>
          <w:sz w:val="44"/>
          <w:szCs w:val="52"/>
          <w:highlight w:val="none"/>
          <w:lang w:val="zh-CN"/>
        </w:rPr>
        <w:t>第二部分</w:t>
      </w:r>
      <w:r>
        <w:rPr>
          <w:rFonts w:ascii="华文中宋" w:hAnsi="华文中宋" w:eastAsia="华文中宋"/>
          <w:b/>
          <w:bCs/>
          <w:color w:val="auto"/>
          <w:kern w:val="44"/>
          <w:sz w:val="44"/>
          <w:szCs w:val="52"/>
          <w:highlight w:val="none"/>
          <w:lang w:val="zh-CN"/>
        </w:rPr>
        <w:t xml:space="preserve"> </w:t>
      </w:r>
      <w:r>
        <w:rPr>
          <w:rFonts w:hint="eastAsia" w:ascii="华文中宋" w:hAnsi="华文中宋" w:eastAsia="华文中宋"/>
          <w:b/>
          <w:bCs/>
          <w:color w:val="auto"/>
          <w:kern w:val="44"/>
          <w:sz w:val="44"/>
          <w:szCs w:val="52"/>
          <w:highlight w:val="none"/>
          <w:lang w:val="zh-CN"/>
        </w:rPr>
        <w:t>通用合同条件</w:t>
      </w:r>
      <w:bookmarkEnd w:id="1136"/>
      <w:bookmarkEnd w:id="1137"/>
      <w:bookmarkEnd w:id="1138"/>
      <w:bookmarkEnd w:id="1139"/>
      <w:bookmarkEnd w:id="1140"/>
      <w:bookmarkEnd w:id="1141"/>
    </w:p>
    <w:p w14:paraId="639F9F5D">
      <w:pPr>
        <w:adjustRightInd w:val="0"/>
        <w:snapToGrid w:val="0"/>
        <w:spacing w:line="360" w:lineRule="auto"/>
        <w:rPr>
          <w:rFonts w:ascii="黑体" w:hAnsi="黑体" w:eastAsia="黑体"/>
          <w:color w:val="auto"/>
          <w:sz w:val="24"/>
          <w:highlight w:val="none"/>
        </w:rPr>
      </w:pPr>
      <w:bookmarkStart w:id="1142" w:name="_Toc161228626"/>
      <w:bookmarkStart w:id="1143" w:name="_Toc10156"/>
      <w:bookmarkStart w:id="1144" w:name="_Ref508893699"/>
      <w:bookmarkStart w:id="1145" w:name="_Toc256000089"/>
      <w:bookmarkStart w:id="1146" w:name="_Ref509040831"/>
      <w:bookmarkStart w:id="1147" w:name="_Ref509040826"/>
      <w:bookmarkStart w:id="1148" w:name="_Toc54862177"/>
      <w:bookmarkStart w:id="1149" w:name="_Toc27833"/>
      <w:bookmarkStart w:id="1150" w:name="_Toc25028"/>
      <w:bookmarkStart w:id="1151" w:name="_Toc15462"/>
      <w:r>
        <w:rPr>
          <w:rFonts w:hint="eastAsia" w:ascii="黑体" w:hAnsi="黑体" w:eastAsia="黑体"/>
          <w:color w:val="auto"/>
          <w:sz w:val="24"/>
          <w:highlight w:val="none"/>
        </w:rPr>
        <w:t>第1条 一般约定</w:t>
      </w:r>
      <w:bookmarkEnd w:id="1142"/>
    </w:p>
    <w:p w14:paraId="53AE56AB">
      <w:pPr>
        <w:adjustRightInd w:val="0"/>
        <w:snapToGrid w:val="0"/>
        <w:spacing w:line="360" w:lineRule="auto"/>
        <w:rPr>
          <w:rFonts w:ascii="宋体" w:hAnsi="宋体"/>
          <w:b/>
          <w:color w:val="auto"/>
          <w:sz w:val="24"/>
          <w:highlight w:val="none"/>
        </w:rPr>
      </w:pPr>
      <w:bookmarkStart w:id="1152" w:name="_Toc145081541"/>
      <w:bookmarkStart w:id="1153" w:name="_Ref523741474"/>
      <w:bookmarkStart w:id="1154" w:name="_Ref523741471"/>
      <w:bookmarkStart w:id="1155" w:name="_Toc54862178"/>
      <w:r>
        <w:rPr>
          <w:rFonts w:hint="eastAsia" w:ascii="宋体" w:hAnsi="宋体" w:eastAsia="宋体"/>
          <w:b/>
          <w:color w:val="auto"/>
          <w:sz w:val="24"/>
          <w:highlight w:val="none"/>
        </w:rPr>
        <w:t>1.1词语定义和解释</w:t>
      </w:r>
      <w:bookmarkEnd w:id="1152"/>
      <w:bookmarkEnd w:id="1153"/>
      <w:bookmarkEnd w:id="1154"/>
      <w:bookmarkEnd w:id="1155"/>
    </w:p>
    <w:p w14:paraId="5ABACE2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合同协议书、通用合同条件、专用合同条件中的下列词语应具有本款所赋予的含义：</w:t>
      </w:r>
    </w:p>
    <w:p w14:paraId="28A08BD8">
      <w:pPr>
        <w:widowControl/>
        <w:adjustRightInd w:val="0"/>
        <w:snapToGrid w:val="0"/>
        <w:spacing w:line="360" w:lineRule="auto"/>
        <w:ind w:firstLine="420" w:firstLineChars="200"/>
        <w:rPr>
          <w:rFonts w:ascii="宋体" w:hAnsi="宋体" w:cs="宋体"/>
          <w:color w:val="auto"/>
          <w:kern w:val="0"/>
          <w:szCs w:val="20"/>
          <w:highlight w:val="none"/>
          <w:lang w:bidi="ar"/>
        </w:rPr>
      </w:pPr>
      <w:bookmarkStart w:id="1156" w:name="_Ref4757289"/>
      <w:bookmarkStart w:id="1157" w:name="_Ref521288340"/>
      <w:r>
        <w:rPr>
          <w:rFonts w:hint="eastAsia" w:ascii="宋体" w:hAnsi="宋体" w:cs="宋体"/>
          <w:color w:val="auto"/>
          <w:kern w:val="0"/>
          <w:szCs w:val="20"/>
          <w:highlight w:val="none"/>
          <w:lang w:bidi="ar"/>
        </w:rPr>
        <w:t>1.1.1合同</w:t>
      </w:r>
      <w:bookmarkEnd w:id="1156"/>
    </w:p>
    <w:p w14:paraId="01C4A3AC">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1.1.1.1合同：是指根据法律规定和合同当事人约定具有约束力的文件，构成合同的文件包括合同协议书、中标通知书（如果有）、投标函及其附录（如果有）、专用合同条件及其附件、通用合同条件、《发包人要求》、承包人建议书、价格清单以及双方约定的其他合同文件。</w:t>
      </w:r>
    </w:p>
    <w:p w14:paraId="773ED770">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1.1.1.2合同协议书：是指构成合同的由发包人和承包人共同签署的称为“合同协议书”的书面文件。</w:t>
      </w:r>
    </w:p>
    <w:p w14:paraId="1F86F555">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1.1.1.3中标通知书：是指构成合同的由发包人通知承包人中标的书面文件。中标通知书随附的澄清、说明、补正事项纪要等，是中标通知书的组成部分。</w:t>
      </w:r>
    </w:p>
    <w:p w14:paraId="56F69A0E">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1.1.1.4投标函：是指构成合同的由承包人填写并签署的用于投标的称为“投标函”的文件。</w:t>
      </w:r>
    </w:p>
    <w:p w14:paraId="18A98696">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1.1.1.5投标函附录：是指构成合同的附在投标函后的称为“投标函附录”的文件。</w:t>
      </w:r>
    </w:p>
    <w:p w14:paraId="213BE19E">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1.1.1.6《发包人要求》：指构成合同文件组成部分的名为《发包人要求》的文件，其中列明工程的目的、范围、设计与其他技术标准和要求，以及合同双方当事人约定对其所作的修改或补充。</w:t>
      </w:r>
    </w:p>
    <w:p w14:paraId="5967D245">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1.1.1.7项目清单：是指发包人提供的载明工程总承包项目勘察费（如果有）、设计费、建筑安装工程费、设备购置费、暂估价、暂列金额和双方约定的其他费用的名称和相应数量等内容的项目明细。</w:t>
      </w:r>
    </w:p>
    <w:p w14:paraId="4D0E9A63">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1.1.1.8价格清单：指构成合同文件组成部分的由承包人按发包人提供的项目清单规定的格式和要求填写并标明价格的清单。</w:t>
      </w:r>
    </w:p>
    <w:p w14:paraId="0602236E">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1.1.1.9承包人建议书：指构成合同文件组成部分的名为承包人建议书的文件。承包人建议书由承包人随投标函一起提交。</w:t>
      </w:r>
    </w:p>
    <w:p w14:paraId="46248222">
      <w:pPr>
        <w:tabs>
          <w:tab w:val="left" w:pos="1134"/>
        </w:tabs>
        <w:adjustRightInd w:val="0"/>
        <w:snapToGrid w:val="0"/>
        <w:spacing w:line="360" w:lineRule="auto"/>
        <w:ind w:firstLine="420" w:firstLineChars="200"/>
        <w:rPr>
          <w:rFonts w:ascii="宋体" w:hAnsi="宋体" w:cs="宋体"/>
          <w:color w:val="auto"/>
          <w:highlight w:val="none"/>
        </w:rPr>
      </w:pPr>
      <w:bookmarkStart w:id="1158" w:name="_Ref4415300"/>
      <w:r>
        <w:rPr>
          <w:rFonts w:hint="eastAsia" w:ascii="宋体" w:hAnsi="宋体" w:cs="宋体"/>
          <w:color w:val="auto"/>
          <w:highlight w:val="none"/>
        </w:rPr>
        <w:t>1.1.1.10其他合同文件：是指经合同当事人约定的与工程实施有关的具有合同约束力的文件或书面协议。合同当事人可以在专用合同条件中进行约定。</w:t>
      </w:r>
      <w:bookmarkEnd w:id="1158"/>
    </w:p>
    <w:p w14:paraId="1057AE86">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159" w:name="_Ref4757418"/>
      <w:r>
        <w:rPr>
          <w:rFonts w:hint="eastAsia" w:ascii="宋体" w:hAnsi="宋体" w:cs="宋体"/>
          <w:color w:val="auto"/>
          <w:kern w:val="0"/>
          <w:szCs w:val="20"/>
          <w:highlight w:val="none"/>
          <w:lang w:bidi="ar"/>
        </w:rPr>
        <w:t>1.1.2合同当事人及其他相关方</w:t>
      </w:r>
      <w:bookmarkEnd w:id="1159"/>
    </w:p>
    <w:p w14:paraId="006BAF10">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1.1.2.1合同当事人：是指发包人和（或）承包人。</w:t>
      </w:r>
    </w:p>
    <w:p w14:paraId="3230BE1D">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1.1.2.2发包人：是指与承包人订立合同协议书的当事人及取得该当事人资格的合法继</w:t>
      </w:r>
      <w:r>
        <w:rPr>
          <w:rFonts w:hint="eastAsia" w:ascii="宋体" w:hAnsi="宋体" w:cs="宋体"/>
          <w:color w:val="auto"/>
          <w:highlight w:val="none"/>
          <w:lang w:val="en-US" w:eastAsia="zh-CN"/>
        </w:rPr>
        <w:t>承</w:t>
      </w:r>
      <w:r>
        <w:rPr>
          <w:rFonts w:hint="eastAsia" w:ascii="宋体" w:hAnsi="宋体" w:cs="宋体"/>
          <w:color w:val="auto"/>
          <w:highlight w:val="none"/>
        </w:rPr>
        <w:t>人。本合同中“因发包人原因”里的“发包人”包括发包人及所有发包人人员。</w:t>
      </w:r>
    </w:p>
    <w:p w14:paraId="7DF78BE6">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1.1.2.3承包人：是指与发包人订立合同协议书的当事人及取得该当事人资格的合法继</w:t>
      </w:r>
      <w:r>
        <w:rPr>
          <w:rFonts w:hint="eastAsia" w:ascii="宋体" w:hAnsi="宋体" w:cs="宋体"/>
          <w:color w:val="auto"/>
          <w:highlight w:val="none"/>
          <w:lang w:val="en-US" w:eastAsia="zh-CN"/>
        </w:rPr>
        <w:t>承</w:t>
      </w:r>
      <w:r>
        <w:rPr>
          <w:rFonts w:hint="eastAsia" w:ascii="宋体" w:hAnsi="宋体" w:cs="宋体"/>
          <w:color w:val="auto"/>
          <w:highlight w:val="none"/>
        </w:rPr>
        <w:t>人。</w:t>
      </w:r>
    </w:p>
    <w:p w14:paraId="34D93046">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1.1.2.4联合体：是指经发包人同意由两个或两个以上法人或者其他组织组成的，作为承包人的临时机构。</w:t>
      </w:r>
    </w:p>
    <w:p w14:paraId="46FE56A3">
      <w:pPr>
        <w:tabs>
          <w:tab w:val="left" w:pos="1134"/>
        </w:tabs>
        <w:adjustRightInd w:val="0"/>
        <w:snapToGrid w:val="0"/>
        <w:spacing w:line="360" w:lineRule="auto"/>
        <w:ind w:firstLine="420" w:firstLineChars="200"/>
        <w:rPr>
          <w:rFonts w:ascii="宋体" w:hAnsi="宋体" w:cs="宋体"/>
          <w:color w:val="auto"/>
          <w:highlight w:val="none"/>
        </w:rPr>
      </w:pPr>
      <w:bookmarkStart w:id="1160" w:name="_Ref4420046"/>
      <w:r>
        <w:rPr>
          <w:rFonts w:hint="eastAsia" w:ascii="宋体" w:hAnsi="宋体" w:cs="宋体"/>
          <w:color w:val="auto"/>
          <w:highlight w:val="none"/>
        </w:rPr>
        <w:t>1.1.2.5发包人代表：是指由发包人任命并派驻工作现场，在发包人授权范围内行使发包人权利和履行发包人义务的人。</w:t>
      </w:r>
    </w:p>
    <w:p w14:paraId="44C8670F">
      <w:pPr>
        <w:tabs>
          <w:tab w:val="left" w:pos="1134"/>
        </w:tabs>
        <w:adjustRightInd w:val="0"/>
        <w:snapToGrid w:val="0"/>
        <w:spacing w:line="360" w:lineRule="auto"/>
        <w:ind w:firstLine="420" w:firstLineChars="200"/>
        <w:rPr>
          <w:rFonts w:ascii="宋体" w:hAnsi="宋体" w:cs="宋体"/>
          <w:color w:val="auto"/>
          <w:highlight w:val="none"/>
        </w:rPr>
      </w:pPr>
      <w:bookmarkStart w:id="1161" w:name="_Ref4756982"/>
      <w:r>
        <w:rPr>
          <w:rFonts w:hint="eastAsia" w:ascii="宋体" w:hAnsi="宋体" w:cs="宋体"/>
          <w:color w:val="auto"/>
          <w:highlight w:val="none"/>
        </w:rPr>
        <w:t>1.1.2.6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bookmarkEnd w:id="1160"/>
      <w:bookmarkEnd w:id="1161"/>
    </w:p>
    <w:p w14:paraId="0607FF98">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1.1.2.7工程总承包项目经理：是指由承包人任命的，在承包人授权范围内负责合同履行的管理，且按照法律规定具有相应资格的项目负责人。</w:t>
      </w:r>
    </w:p>
    <w:p w14:paraId="70073935">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1.1.2.8设计负责人：是指承包人指定负责组织、指导、协调设计工作并具有相应资格的人员。</w:t>
      </w:r>
    </w:p>
    <w:p w14:paraId="4C387542">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1.1.2.9采购负责人：是指承包人指定负责组织、指导、协调采购工作的人员。</w:t>
      </w:r>
    </w:p>
    <w:p w14:paraId="557A4D99">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1.1.2.10施工负责人：是指承包人指定负责组织、指导、协调施工工作并具有相应资格的人员。</w:t>
      </w:r>
    </w:p>
    <w:p w14:paraId="60B06475">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1.1.2.11分包人：是指按照法律规定和合同约定，分包部分工程或工作，并与承包人订立分包合同的具有相应资质或资格的法人或其他组织。</w:t>
      </w:r>
    </w:p>
    <w:p w14:paraId="763895DD">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162" w:name="_Ref4758319"/>
      <w:r>
        <w:rPr>
          <w:rFonts w:hint="eastAsia" w:ascii="宋体" w:hAnsi="宋体" w:cs="宋体"/>
          <w:color w:val="auto"/>
          <w:kern w:val="0"/>
          <w:szCs w:val="20"/>
          <w:highlight w:val="none"/>
          <w:lang w:bidi="ar"/>
        </w:rPr>
        <w:t>1.1.3工程和设备</w:t>
      </w:r>
      <w:bookmarkEnd w:id="1162"/>
    </w:p>
    <w:p w14:paraId="6BD2D133">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1.1.3.1工程：是指与合同协议书中工程承包范围对应的永久工程和（或）临时工程。</w:t>
      </w:r>
    </w:p>
    <w:p w14:paraId="65ECC951">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1.1.3.2工程实施：是指进行工程的设计、采购、施工和竣工以及对工程任何缺陷的修复。</w:t>
      </w:r>
    </w:p>
    <w:p w14:paraId="32C256F1">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1.1.3.3永久工程：是指按合同约定建造并移交给发包人的工程，包括工程设备。</w:t>
      </w:r>
    </w:p>
    <w:p w14:paraId="6335149E">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1.1.3.4临时工程：是指为完成合同约定的永久工程所修建的各类临时性工程，不包括施工设备。</w:t>
      </w:r>
    </w:p>
    <w:p w14:paraId="6097A2B0">
      <w:pPr>
        <w:tabs>
          <w:tab w:val="left" w:pos="1134"/>
        </w:tabs>
        <w:adjustRightInd w:val="0"/>
        <w:snapToGrid w:val="0"/>
        <w:spacing w:line="360" w:lineRule="auto"/>
        <w:ind w:firstLine="420" w:firstLineChars="200"/>
        <w:rPr>
          <w:rFonts w:ascii="宋体" w:hAnsi="宋体" w:cs="宋体"/>
          <w:color w:val="auto"/>
          <w:highlight w:val="none"/>
        </w:rPr>
      </w:pPr>
      <w:bookmarkStart w:id="1163" w:name="_Ref4419825"/>
      <w:r>
        <w:rPr>
          <w:rFonts w:hint="eastAsia" w:ascii="宋体" w:hAnsi="宋体" w:cs="宋体"/>
          <w:color w:val="auto"/>
          <w:highlight w:val="none"/>
        </w:rPr>
        <w:t>1.1.3.5单位/区段工程：是指在专用合同条件中指明特定范围的，能单独接收并使用的永久工程。</w:t>
      </w:r>
      <w:bookmarkEnd w:id="1163"/>
    </w:p>
    <w:p w14:paraId="553F0856">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1.1.3.6工程设备：指构成永久工程的机电设备、仪器装置、运载工具及其他类似的设备和装置，包括其配件及备品、备件、易损易耗件等。</w:t>
      </w:r>
    </w:p>
    <w:p w14:paraId="048D179B">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1.1.3.7施工设备：指为完成合同约定的各项工作所需的设备、器具和其他物品，不包括工程设备、临时工程和材料。</w:t>
      </w:r>
    </w:p>
    <w:p w14:paraId="62E65A45">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1.1.3.8临时设施：指为完成合同约定的各项工作所服务的临时性生产和生活设施。</w:t>
      </w:r>
    </w:p>
    <w:p w14:paraId="0283AB96">
      <w:pPr>
        <w:tabs>
          <w:tab w:val="left" w:pos="1134"/>
        </w:tabs>
        <w:adjustRightInd w:val="0"/>
        <w:snapToGrid w:val="0"/>
        <w:spacing w:line="360" w:lineRule="auto"/>
        <w:ind w:firstLine="420" w:firstLineChars="200"/>
        <w:rPr>
          <w:rFonts w:ascii="宋体" w:hAnsi="宋体" w:cs="宋体"/>
          <w:color w:val="auto"/>
          <w:highlight w:val="none"/>
        </w:rPr>
      </w:pPr>
      <w:bookmarkStart w:id="1164" w:name="_Ref4420577"/>
      <w:r>
        <w:rPr>
          <w:rFonts w:hint="eastAsia" w:ascii="宋体" w:hAnsi="宋体" w:cs="宋体"/>
          <w:color w:val="auto"/>
          <w:highlight w:val="none"/>
        </w:rPr>
        <w:t>1.1.3.9施工现场：是指用于工程施工的场所，以及在专用合同条件中指明作为施工场所组成部分的其他场所，包括永久占地和临时占地。</w:t>
      </w:r>
      <w:bookmarkEnd w:id="1164"/>
    </w:p>
    <w:p w14:paraId="65D976CF">
      <w:pPr>
        <w:tabs>
          <w:tab w:val="left" w:pos="1134"/>
        </w:tabs>
        <w:adjustRightInd w:val="0"/>
        <w:snapToGrid w:val="0"/>
        <w:spacing w:line="360" w:lineRule="auto"/>
        <w:ind w:firstLine="420" w:firstLineChars="200"/>
        <w:rPr>
          <w:rFonts w:ascii="宋体" w:hAnsi="宋体" w:cs="宋体"/>
          <w:color w:val="auto"/>
          <w:highlight w:val="none"/>
        </w:rPr>
      </w:pPr>
      <w:bookmarkStart w:id="1165" w:name="_Ref4420746"/>
      <w:r>
        <w:rPr>
          <w:rFonts w:hint="eastAsia" w:ascii="宋体" w:hAnsi="宋体" w:cs="宋体"/>
          <w:color w:val="auto"/>
          <w:highlight w:val="none"/>
        </w:rPr>
        <w:t>1.1.3.10永久占地：是指专用合同条件中指明为实施工程需永久占用的土地。</w:t>
      </w:r>
      <w:bookmarkEnd w:id="1165"/>
    </w:p>
    <w:p w14:paraId="49D79A65">
      <w:pPr>
        <w:tabs>
          <w:tab w:val="left" w:pos="1134"/>
        </w:tabs>
        <w:adjustRightInd w:val="0"/>
        <w:snapToGrid w:val="0"/>
        <w:spacing w:line="360" w:lineRule="auto"/>
        <w:ind w:firstLine="420" w:firstLineChars="200"/>
        <w:rPr>
          <w:rFonts w:ascii="宋体" w:hAnsi="宋体" w:cs="宋体"/>
          <w:color w:val="auto"/>
          <w:highlight w:val="none"/>
        </w:rPr>
      </w:pPr>
      <w:bookmarkStart w:id="1166" w:name="_Ref4420821"/>
      <w:r>
        <w:rPr>
          <w:rFonts w:hint="eastAsia" w:ascii="宋体" w:hAnsi="宋体" w:cs="宋体"/>
          <w:color w:val="auto"/>
          <w:highlight w:val="none"/>
        </w:rPr>
        <w:t>1.1.3.11临时占地：是指专用合同条件中指明为实施工程需临时占用的土地。</w:t>
      </w:r>
      <w:bookmarkEnd w:id="1166"/>
    </w:p>
    <w:p w14:paraId="63B32FD8">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1.1.4日期和期限</w:t>
      </w:r>
    </w:p>
    <w:p w14:paraId="443EFEC4">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1.1.4.1开始工作通知：指工程师按第8.1.2项[开始工作通知]的约定通知承包人开始工作的函件。</w:t>
      </w:r>
    </w:p>
    <w:p w14:paraId="5FA5E759">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1.1.4.2开始工作日期：包括计划开始工作日期和实际开始工作日期。计划开始工作日期是指合同协议书约定的开始工作日期；实际开始工作日期是指工程师按照第8.1款[开始工作]约定发出的符合法律规定的开始工作通知中载明的开始工作日期。</w:t>
      </w:r>
    </w:p>
    <w:p w14:paraId="50008DC1">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1.1.4.3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14:paraId="71FAB306">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1.1.4.4竣工日期：包括计划竣工日期和实际竣工日期。计划竣工日期是指合同协议书约定的竣工日期；实际竣工日期按照第8.2款[竣工日期]的约定确定。</w:t>
      </w:r>
    </w:p>
    <w:p w14:paraId="65491375">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1.1.4.5工期：是指在合同协议书约定的承包人完成合同工作所需的期限，包括按照合同约定所作的期限变更及按合同约定承包人有权取得的工期延长。</w:t>
      </w:r>
    </w:p>
    <w:p w14:paraId="7B5066F2">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1.1.4.6缺陷责任期：是指发包人预留工程质量保证金以保证承包人履行第11.3款[缺陷调查]下质量缺陷责任的期限。</w:t>
      </w:r>
    </w:p>
    <w:p w14:paraId="7DF76BB6">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1.1.4.7保修期：是指承包人按照合同约定和法律规定对工程质量承担保修责任的期限，该期限自缺陷责任期起算之日起计算。</w:t>
      </w:r>
    </w:p>
    <w:p w14:paraId="4AFED88E">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1.1.4.8基准日期：招标发包的工程以投标截止日前28天的日期为基准日期，直接发包的工程以合同订立日前28天的日期为基准日期。</w:t>
      </w:r>
    </w:p>
    <w:p w14:paraId="48F41473">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1.1.4.9天：除特别指明外，均指日历天。合同中按天计算时间的，开始当天不计入，从次日开始计算。期限最后一天的截止时间为当天24:00。</w:t>
      </w:r>
    </w:p>
    <w:p w14:paraId="54D06404">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1.1.4.10竣工试验：是指在工程竣工验收前，根据第9条[竣工试验]要求进行的试验。</w:t>
      </w:r>
    </w:p>
    <w:p w14:paraId="4254A2E4">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1.1.4.11竣工验收：是指承包人完成了合同约定的各项内容后，发包人按合同要求进行的验收。</w:t>
      </w:r>
    </w:p>
    <w:p w14:paraId="79472AC2">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1.1.4.12竣工后试验：是指在工程竣工验收后，根据第12条[竣工后试验]约定进行的试验。</w:t>
      </w:r>
    </w:p>
    <w:p w14:paraId="12A28E71">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1.1.5合同价格和费用</w:t>
      </w:r>
    </w:p>
    <w:p w14:paraId="03E1CD2C">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1.1.5.1签约合同价：是指发包人和承包人在合同协议书中确定的总金额，包括暂估价及暂列金额等。</w:t>
      </w:r>
    </w:p>
    <w:p w14:paraId="7335FB75">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1.1.5.2合同价格：是指发包人用于支付承包人按照合同约定完成承包范围内全部工作的金额，包括合同履行过程中按合同约定发生的价格变化。</w:t>
      </w:r>
    </w:p>
    <w:p w14:paraId="307535EB">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1.1.5.3费用：是指为履行合同所发生的或将要发生的所有合理开支，包括管理费和应分摊的其他费用，但不包括利润。</w:t>
      </w:r>
    </w:p>
    <w:p w14:paraId="04CBA40B">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1.1.5.4人工费：是指支付给直接从事建筑安装工程施工作业的建筑工人的各项费用。</w:t>
      </w:r>
    </w:p>
    <w:p w14:paraId="3FDCD6F2">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1.1.5.5暂估价：</w:t>
      </w:r>
      <w:bookmarkStart w:id="1167" w:name="_Hlk18973781"/>
      <w:r>
        <w:rPr>
          <w:rFonts w:hint="eastAsia" w:ascii="宋体" w:hAnsi="宋体" w:cs="宋体"/>
          <w:color w:val="auto"/>
          <w:highlight w:val="none"/>
        </w:rPr>
        <w:t>是指发包人在项目清单中给定的，用于支付必然发生但暂时不能确定价格的专业服务、材料、设备、专业工程的金额。</w:t>
      </w:r>
      <w:bookmarkEnd w:id="1167"/>
    </w:p>
    <w:p w14:paraId="4400835C">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1.1.5.6暂列金额：是指发包人在项目清单中给定的，用于在订立协议书时尚未确定或不可预见变更的设计、施工及其所需材料、工程设备、服务等的金额，包括以计日工方式支付的金额。</w:t>
      </w:r>
    </w:p>
    <w:p w14:paraId="01027F98">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1.1.5.7计日工：是指合同履行过程中，承包人完成发包人提出的零星工作或需要采用计日工计价的变更工作时，按合同中约定的单价计价的一种方式。</w:t>
      </w:r>
    </w:p>
    <w:p w14:paraId="669DBBEE">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1.1.5.8质量保证金：是指按第14.6款[质量保证金]约定承包人用于保证其在缺陷责任期内履行缺陷修复义务的担保。</w:t>
      </w:r>
    </w:p>
    <w:p w14:paraId="0ACA393D">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1.1.6其他</w:t>
      </w:r>
    </w:p>
    <w:p w14:paraId="60EFB742">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1.1.6.1书面形式：指合同文件、信函、电报、传真、数据电文、电子邮件、会议纪要等可以有形地表现所载内容的形式。</w:t>
      </w:r>
    </w:p>
    <w:p w14:paraId="56D85AAC">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1.1.6.2承包人文件：指由承包人根据合同约定应提交的所有图纸、手册、模型、计算书、软件、函件、洽商性文件和其他技术性文件。</w:t>
      </w:r>
    </w:p>
    <w:p w14:paraId="6B951BD0">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1.1.6.3变更：指根据第13条[变更与调整]的约定，经指示或批准对《发包人要求》或工程所做的改变。</w:t>
      </w:r>
    </w:p>
    <w:bookmarkEnd w:id="1157"/>
    <w:p w14:paraId="5487758E">
      <w:pPr>
        <w:adjustRightInd w:val="0"/>
        <w:snapToGrid w:val="0"/>
        <w:spacing w:line="360" w:lineRule="auto"/>
        <w:rPr>
          <w:rFonts w:ascii="宋体" w:hAnsi="宋体"/>
          <w:b/>
          <w:color w:val="auto"/>
          <w:sz w:val="24"/>
          <w:highlight w:val="none"/>
        </w:rPr>
      </w:pPr>
      <w:bookmarkStart w:id="1168" w:name="_Toc161228627"/>
      <w:bookmarkStart w:id="1169" w:name="_Toc54862179"/>
      <w:bookmarkStart w:id="1170" w:name="_Ref509042101"/>
      <w:bookmarkStart w:id="1171" w:name="_Ref509042104"/>
      <w:bookmarkStart w:id="1172" w:name="_Toc145081542"/>
      <w:bookmarkStart w:id="1173" w:name="_Ref522730353"/>
      <w:bookmarkStart w:id="1174" w:name="_Ref522730349"/>
      <w:r>
        <w:rPr>
          <w:rFonts w:hint="eastAsia" w:ascii="宋体" w:hAnsi="宋体" w:eastAsia="宋体"/>
          <w:b/>
          <w:color w:val="auto"/>
          <w:sz w:val="24"/>
          <w:highlight w:val="none"/>
        </w:rPr>
        <w:t>1.2语言文字</w:t>
      </w:r>
      <w:bookmarkEnd w:id="1168"/>
      <w:bookmarkEnd w:id="1169"/>
      <w:bookmarkEnd w:id="1170"/>
      <w:bookmarkEnd w:id="1171"/>
      <w:bookmarkEnd w:id="1172"/>
    </w:p>
    <w:p w14:paraId="22F1ABD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合同文件以中国的汉语简体语言文字编写、解释和说明。专用术语使用外文的，应附有中文注释。合同当事人在专用合同条件约定使用两种及以上语言时，汉语为优先解释和说明合同的语言。</w:t>
      </w:r>
    </w:p>
    <w:p w14:paraId="19B0BFC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与合同有关的联络应使用专用合同条件约定的语言。如没有约定，则应使用中国的汉语简体语言文字。</w:t>
      </w:r>
    </w:p>
    <w:p w14:paraId="4F58216C">
      <w:pPr>
        <w:adjustRightInd w:val="0"/>
        <w:snapToGrid w:val="0"/>
        <w:spacing w:line="360" w:lineRule="auto"/>
        <w:rPr>
          <w:rFonts w:ascii="宋体" w:hAnsi="宋体"/>
          <w:b/>
          <w:color w:val="auto"/>
          <w:sz w:val="24"/>
          <w:highlight w:val="none"/>
        </w:rPr>
      </w:pPr>
      <w:bookmarkStart w:id="1175" w:name="_Toc54862180"/>
      <w:bookmarkStart w:id="1176" w:name="_Toc161228628"/>
      <w:bookmarkStart w:id="1177" w:name="_Ref531949543"/>
      <w:bookmarkStart w:id="1178" w:name="_Ref531949539"/>
      <w:bookmarkStart w:id="1179" w:name="_Toc145081543"/>
      <w:r>
        <w:rPr>
          <w:rFonts w:hint="eastAsia" w:ascii="宋体" w:hAnsi="宋体" w:eastAsia="宋体"/>
          <w:b/>
          <w:color w:val="auto"/>
          <w:sz w:val="24"/>
          <w:highlight w:val="none"/>
        </w:rPr>
        <w:t>1.3法律</w:t>
      </w:r>
      <w:bookmarkEnd w:id="1175"/>
      <w:bookmarkEnd w:id="1176"/>
      <w:bookmarkEnd w:id="1177"/>
      <w:bookmarkEnd w:id="1178"/>
      <w:bookmarkEnd w:id="1179"/>
    </w:p>
    <w:p w14:paraId="09C04C5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合同所称法律是指中华人民共和国法律、行政法规、部门规章，以及工程所在地的地方法规、自治条例、单行条例和地方政府规章等。</w:t>
      </w:r>
    </w:p>
    <w:p w14:paraId="74B05AA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合同当事人可以在专用合同条件中约定合同适用的其他规范性文件。</w:t>
      </w:r>
    </w:p>
    <w:p w14:paraId="20CC5607">
      <w:pPr>
        <w:adjustRightInd w:val="0"/>
        <w:snapToGrid w:val="0"/>
        <w:spacing w:line="360" w:lineRule="auto"/>
        <w:rPr>
          <w:rFonts w:ascii="宋体" w:hAnsi="宋体"/>
          <w:b/>
          <w:color w:val="auto"/>
          <w:sz w:val="24"/>
          <w:highlight w:val="none"/>
        </w:rPr>
      </w:pPr>
      <w:bookmarkStart w:id="1180" w:name="_Ref531949594"/>
      <w:bookmarkStart w:id="1181" w:name="_Ref531949589"/>
      <w:bookmarkStart w:id="1182" w:name="_Toc161228629"/>
      <w:bookmarkStart w:id="1183" w:name="_Toc145081544"/>
      <w:bookmarkStart w:id="1184" w:name="_Toc54862181"/>
      <w:r>
        <w:rPr>
          <w:rFonts w:hint="eastAsia" w:ascii="宋体" w:hAnsi="宋体" w:eastAsia="宋体"/>
          <w:b/>
          <w:color w:val="auto"/>
          <w:sz w:val="24"/>
          <w:highlight w:val="none"/>
        </w:rPr>
        <w:t>1.4标准和规范</w:t>
      </w:r>
      <w:bookmarkEnd w:id="1180"/>
      <w:bookmarkEnd w:id="1181"/>
      <w:bookmarkEnd w:id="1182"/>
      <w:bookmarkEnd w:id="1183"/>
      <w:bookmarkEnd w:id="1184"/>
    </w:p>
    <w:p w14:paraId="52F4BCEC">
      <w:pPr>
        <w:tabs>
          <w:tab w:val="left" w:pos="851"/>
        </w:tabs>
        <w:adjustRightInd w:val="0"/>
        <w:snapToGrid w:val="0"/>
        <w:spacing w:line="360" w:lineRule="auto"/>
        <w:ind w:firstLine="420" w:firstLineChars="200"/>
        <w:rPr>
          <w:rFonts w:ascii="宋体" w:hAnsi="宋体" w:cs="宋体"/>
          <w:color w:val="auto"/>
          <w:highlight w:val="none"/>
        </w:rPr>
      </w:pPr>
      <w:bookmarkStart w:id="1185" w:name="_Ref4420991"/>
      <w:r>
        <w:rPr>
          <w:rFonts w:hint="eastAsia" w:ascii="宋体" w:hAnsi="宋体" w:cs="宋体"/>
          <w:color w:val="auto"/>
          <w:highlight w:val="none"/>
        </w:rPr>
        <w:t>1.4.1适用于工程的国家标准、行业标准、工程所在地的地方性标准，以及相应的规范、规程等，合同当事人有特别要求的，应在专用合同条件中约定。</w:t>
      </w:r>
      <w:bookmarkEnd w:id="1185"/>
    </w:p>
    <w:p w14:paraId="0BFEAF94">
      <w:pPr>
        <w:tabs>
          <w:tab w:val="left" w:pos="851"/>
        </w:tabs>
        <w:adjustRightInd w:val="0"/>
        <w:snapToGrid w:val="0"/>
        <w:spacing w:line="360" w:lineRule="auto"/>
        <w:ind w:firstLine="420" w:firstLineChars="200"/>
        <w:rPr>
          <w:rFonts w:ascii="宋体" w:hAnsi="宋体" w:cs="宋体"/>
          <w:color w:val="auto"/>
          <w:highlight w:val="none"/>
        </w:rPr>
      </w:pPr>
      <w:bookmarkStart w:id="1186" w:name="_Ref531949642"/>
      <w:r>
        <w:rPr>
          <w:rFonts w:hint="eastAsia" w:ascii="宋体" w:hAnsi="宋体" w:cs="宋体"/>
          <w:color w:val="auto"/>
          <w:highlight w:val="none"/>
        </w:rPr>
        <w:t>1.4.2发包人要求使用国外标准、规范的，发包人负责提供原文版本和中文译本，并在专用合同条件中约定提供标准规范的名称、份数和时间。</w:t>
      </w:r>
      <w:bookmarkEnd w:id="1186"/>
    </w:p>
    <w:p w14:paraId="623B4E64">
      <w:pPr>
        <w:tabs>
          <w:tab w:val="left" w:pos="851"/>
        </w:tabs>
        <w:adjustRightInd w:val="0"/>
        <w:snapToGrid w:val="0"/>
        <w:spacing w:line="360" w:lineRule="auto"/>
        <w:ind w:firstLine="420" w:firstLineChars="200"/>
        <w:rPr>
          <w:rFonts w:ascii="宋体" w:hAnsi="宋体" w:cs="宋体"/>
          <w:color w:val="auto"/>
          <w:highlight w:val="none"/>
        </w:rPr>
      </w:pPr>
      <w:bookmarkStart w:id="1187" w:name="_Ref531949657"/>
      <w:r>
        <w:rPr>
          <w:rFonts w:hint="eastAsia" w:ascii="宋体" w:hAnsi="宋体" w:cs="宋体"/>
          <w:color w:val="auto"/>
          <w:highlight w:val="none"/>
        </w:rPr>
        <w:t>1.4.3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bookmarkEnd w:id="1187"/>
    </w:p>
    <w:p w14:paraId="4FE28C45">
      <w:pPr>
        <w:tabs>
          <w:tab w:val="left" w:pos="851"/>
        </w:tabs>
        <w:adjustRightInd w:val="0"/>
        <w:snapToGrid w:val="0"/>
        <w:spacing w:line="360" w:lineRule="auto"/>
        <w:ind w:firstLine="420" w:firstLineChars="200"/>
        <w:rPr>
          <w:rFonts w:ascii="宋体" w:hAnsi="宋体" w:cs="宋体"/>
          <w:color w:val="auto"/>
          <w:highlight w:val="none"/>
        </w:rPr>
      </w:pPr>
      <w:bookmarkStart w:id="1188" w:name="_Ref4421272"/>
      <w:r>
        <w:rPr>
          <w:rFonts w:hint="eastAsia" w:ascii="宋体" w:hAnsi="宋体" w:cs="宋体"/>
          <w:color w:val="auto"/>
          <w:highlight w:val="none"/>
        </w:rPr>
        <w:t>1.4.4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bookmarkEnd w:id="1188"/>
    </w:p>
    <w:p w14:paraId="1C4221F3">
      <w:pPr>
        <w:adjustRightInd w:val="0"/>
        <w:snapToGrid w:val="0"/>
        <w:spacing w:line="360" w:lineRule="auto"/>
        <w:rPr>
          <w:rFonts w:ascii="宋体" w:hAnsi="宋体"/>
          <w:b/>
          <w:color w:val="auto"/>
          <w:sz w:val="24"/>
          <w:highlight w:val="none"/>
        </w:rPr>
      </w:pPr>
      <w:bookmarkStart w:id="1189" w:name="_Ref4421717"/>
      <w:bookmarkStart w:id="1190" w:name="_Toc145081545"/>
      <w:bookmarkStart w:id="1191" w:name="_Toc161228630"/>
      <w:bookmarkStart w:id="1192" w:name="_Toc54862182"/>
      <w:r>
        <w:rPr>
          <w:rFonts w:hint="eastAsia" w:ascii="宋体" w:hAnsi="宋体" w:eastAsia="宋体"/>
          <w:b/>
          <w:color w:val="auto"/>
          <w:sz w:val="24"/>
          <w:highlight w:val="none"/>
        </w:rPr>
        <w:t>1.5合同文件的优先顺序</w:t>
      </w:r>
      <w:bookmarkEnd w:id="1173"/>
      <w:bookmarkEnd w:id="1174"/>
      <w:bookmarkEnd w:id="1189"/>
      <w:bookmarkEnd w:id="1190"/>
      <w:bookmarkEnd w:id="1191"/>
      <w:bookmarkEnd w:id="1192"/>
    </w:p>
    <w:p w14:paraId="5CF91D82">
      <w:pPr>
        <w:adjustRightInd w:val="0"/>
        <w:snapToGrid w:val="0"/>
        <w:spacing w:line="360" w:lineRule="auto"/>
        <w:ind w:firstLine="420" w:firstLineChars="200"/>
        <w:rPr>
          <w:rFonts w:ascii="宋体" w:hAnsi="宋体" w:cs="宋体"/>
          <w:color w:val="auto"/>
          <w:szCs w:val="21"/>
          <w:highlight w:val="none"/>
        </w:rPr>
      </w:pPr>
      <w:bookmarkStart w:id="1193" w:name="_Ref531948776"/>
      <w:r>
        <w:rPr>
          <w:rFonts w:hint="eastAsia" w:ascii="宋体" w:hAnsi="宋体" w:cs="宋体"/>
          <w:color w:val="auto"/>
          <w:szCs w:val="21"/>
          <w:highlight w:val="none"/>
        </w:rPr>
        <w:t>组成合同的各项文件应互相解释，互为说明。除专用合同条件另有约定外，</w:t>
      </w:r>
      <w:bookmarkEnd w:id="1193"/>
      <w:r>
        <w:rPr>
          <w:rFonts w:hint="eastAsia" w:ascii="宋体" w:hAnsi="宋体" w:cs="宋体"/>
          <w:color w:val="auto"/>
          <w:szCs w:val="21"/>
          <w:highlight w:val="none"/>
        </w:rPr>
        <w:t>解释合同文件的优先顺序如下：</w:t>
      </w:r>
    </w:p>
    <w:p w14:paraId="29DAFE3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（1）合同协议书；</w:t>
      </w:r>
    </w:p>
    <w:p w14:paraId="40122CD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（2）中标通知书（如果有）；</w:t>
      </w:r>
    </w:p>
    <w:p w14:paraId="23F8630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（3）投标函及投标函附录（如果有）；</w:t>
      </w:r>
    </w:p>
    <w:p w14:paraId="0419015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（4）专用合同条件及《发包人要求》等附件；</w:t>
      </w:r>
    </w:p>
    <w:p w14:paraId="4DA8369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（5）通用合同条件；</w:t>
      </w:r>
    </w:p>
    <w:p w14:paraId="369EF1F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（6）承包人建议书；</w:t>
      </w:r>
    </w:p>
    <w:p w14:paraId="2558CD5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（7）价格清单；</w:t>
      </w:r>
    </w:p>
    <w:p w14:paraId="5A22E6C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（8）双方约定的其他合同文件。</w:t>
      </w:r>
    </w:p>
    <w:p w14:paraId="0A4E8BF7">
      <w:pPr>
        <w:adjustRightInd w:val="0"/>
        <w:snapToGrid w:val="0"/>
        <w:spacing w:line="360" w:lineRule="auto"/>
        <w:ind w:firstLine="420" w:firstLineChars="200"/>
        <w:rPr>
          <w:rFonts w:ascii="宋体" w:hAnsi="宋体" w:cs="宋体"/>
          <w:color w:val="auto"/>
          <w:szCs w:val="21"/>
          <w:highlight w:val="none"/>
        </w:rPr>
      </w:pPr>
      <w:bookmarkStart w:id="1194" w:name="_Hlk18951547"/>
      <w:r>
        <w:rPr>
          <w:rFonts w:hint="eastAsia" w:ascii="宋体" w:hAnsi="宋体" w:cs="宋体"/>
          <w:color w:val="auto"/>
          <w:szCs w:val="21"/>
          <w:highlight w:val="none"/>
        </w:rPr>
        <w:t>上述各项合同文件包括合同当事人就该项合同文件所作出的补充和修改，属于同一类内容的文件，应以最新签署的为准</w:t>
      </w:r>
      <w:bookmarkEnd w:id="1194"/>
      <w:r>
        <w:rPr>
          <w:rFonts w:hint="eastAsia" w:ascii="宋体" w:hAnsi="宋体" w:cs="宋体"/>
          <w:color w:val="auto"/>
          <w:szCs w:val="21"/>
          <w:highlight w:val="none"/>
        </w:rPr>
        <w:t>。</w:t>
      </w:r>
    </w:p>
    <w:p w14:paraId="3EB5CE8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在合同订立及履行过程中形成的与合同有关的文件均构成合同文件组成部分，并根据其性质确定优先解释顺序。</w:t>
      </w:r>
    </w:p>
    <w:p w14:paraId="5A4CBF1C">
      <w:pPr>
        <w:adjustRightInd w:val="0"/>
        <w:snapToGrid w:val="0"/>
        <w:spacing w:line="360" w:lineRule="auto"/>
        <w:rPr>
          <w:rFonts w:ascii="宋体" w:hAnsi="宋体"/>
          <w:b/>
          <w:color w:val="auto"/>
          <w:sz w:val="24"/>
          <w:highlight w:val="none"/>
        </w:rPr>
      </w:pPr>
      <w:bookmarkStart w:id="1195" w:name="_Ref4422060"/>
      <w:bookmarkStart w:id="1196" w:name="_Toc54862183"/>
      <w:bookmarkStart w:id="1197" w:name="_Toc161228631"/>
      <w:bookmarkStart w:id="1198" w:name="_Toc145081546"/>
      <w:bookmarkStart w:id="1199" w:name="_Ref11917818"/>
      <w:bookmarkStart w:id="1200" w:name="_Ref531949822"/>
      <w:bookmarkStart w:id="1201" w:name="_Ref531949803"/>
      <w:bookmarkStart w:id="1202" w:name="_Ref531949807"/>
      <w:r>
        <w:rPr>
          <w:rFonts w:hint="eastAsia" w:ascii="宋体" w:hAnsi="宋体" w:eastAsia="宋体"/>
          <w:b/>
          <w:color w:val="auto"/>
          <w:sz w:val="24"/>
          <w:highlight w:val="none"/>
        </w:rPr>
        <w:t>1.6文件的提供和</w:t>
      </w:r>
      <w:bookmarkEnd w:id="1195"/>
      <w:r>
        <w:rPr>
          <w:rFonts w:hint="eastAsia" w:ascii="宋体" w:hAnsi="宋体" w:eastAsia="宋体"/>
          <w:b/>
          <w:color w:val="auto"/>
          <w:sz w:val="24"/>
          <w:highlight w:val="none"/>
        </w:rPr>
        <w:t>照管</w:t>
      </w:r>
      <w:bookmarkEnd w:id="1196"/>
      <w:bookmarkEnd w:id="1197"/>
      <w:bookmarkEnd w:id="1198"/>
      <w:bookmarkEnd w:id="1199"/>
    </w:p>
    <w:p w14:paraId="20FE1083">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203" w:name="_Ref4421991"/>
      <w:r>
        <w:rPr>
          <w:rFonts w:hint="eastAsia" w:ascii="宋体" w:hAnsi="宋体" w:cs="宋体"/>
          <w:color w:val="auto"/>
          <w:kern w:val="0"/>
          <w:szCs w:val="20"/>
          <w:highlight w:val="none"/>
          <w:lang w:bidi="ar"/>
        </w:rPr>
        <w:t>1.6.1发包人文件的提供</w:t>
      </w:r>
      <w:bookmarkEnd w:id="1203"/>
    </w:p>
    <w:p w14:paraId="054ADDE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8.7.1项[因发包人原因导致工期延误]约定办理。</w:t>
      </w:r>
    </w:p>
    <w:p w14:paraId="0CF450B5">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204" w:name="_Ref4422317"/>
      <w:r>
        <w:rPr>
          <w:rFonts w:hint="eastAsia" w:ascii="宋体" w:hAnsi="宋体" w:cs="宋体"/>
          <w:color w:val="auto"/>
          <w:kern w:val="0"/>
          <w:szCs w:val="20"/>
          <w:highlight w:val="none"/>
          <w:lang w:bidi="ar"/>
        </w:rPr>
        <w:t>1.6.2承包人文件的提供</w:t>
      </w:r>
      <w:bookmarkEnd w:id="1204"/>
    </w:p>
    <w:p w14:paraId="1E5322A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除专用合同条件另有约定外，承包人文件应包含下列内容，并用第1.2款[语言文字]约定的语言制作：</w:t>
      </w:r>
    </w:p>
    <w:p w14:paraId="204042E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（1）《发包人要求》中规定的相关文件；</w:t>
      </w:r>
    </w:p>
    <w:p w14:paraId="45DB604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（2）满足工程相关行政审批手续所必</w:t>
      </w:r>
      <w:r>
        <w:rPr>
          <w:rFonts w:hint="eastAsia" w:ascii="宋体" w:hAnsi="宋体" w:cs="宋体"/>
          <w:color w:val="auto"/>
          <w:szCs w:val="21"/>
          <w:highlight w:val="none"/>
          <w:lang w:val="en-US" w:eastAsia="zh-CN"/>
        </w:rPr>
        <w:t>需</w:t>
      </w:r>
      <w:r>
        <w:rPr>
          <w:rFonts w:hint="eastAsia" w:ascii="宋体" w:hAnsi="宋体" w:cs="宋体"/>
          <w:color w:val="auto"/>
          <w:szCs w:val="21"/>
          <w:highlight w:val="none"/>
        </w:rPr>
        <w:t>的应由承包人负责的相关文件；</w:t>
      </w:r>
    </w:p>
    <w:p w14:paraId="0B31EB4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（3）第5.4款[竣工文件]与第5.5款[操作和维修手册]中要求的相关文件。</w:t>
      </w:r>
    </w:p>
    <w:p w14:paraId="309FBF9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5.2款[承包人文件审查]和第5.4款[竣工文件]的约定。</w:t>
      </w:r>
    </w:p>
    <w:p w14:paraId="41A9FFAF">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1.6.3文件错误的通知</w:t>
      </w:r>
    </w:p>
    <w:p w14:paraId="70606D6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任何一方发现文件中存在明显的错误或疏忽，应及时通知另一方。</w:t>
      </w:r>
    </w:p>
    <w:p w14:paraId="48F7515A">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205" w:name="_Ref4678410"/>
      <w:bookmarkStart w:id="1206" w:name="_Ref11957673"/>
      <w:r>
        <w:rPr>
          <w:rFonts w:hint="eastAsia" w:ascii="宋体" w:hAnsi="宋体" w:cs="宋体"/>
          <w:color w:val="auto"/>
          <w:kern w:val="0"/>
          <w:szCs w:val="20"/>
          <w:highlight w:val="none"/>
          <w:lang w:bidi="ar"/>
        </w:rPr>
        <w:t>1.6.4文件的</w:t>
      </w:r>
      <w:bookmarkEnd w:id="1205"/>
      <w:r>
        <w:rPr>
          <w:rFonts w:hint="eastAsia" w:ascii="宋体" w:hAnsi="宋体" w:cs="宋体"/>
          <w:color w:val="auto"/>
          <w:kern w:val="0"/>
          <w:szCs w:val="20"/>
          <w:highlight w:val="none"/>
          <w:lang w:bidi="ar"/>
        </w:rPr>
        <w:t>照管</w:t>
      </w:r>
      <w:bookmarkEnd w:id="1206"/>
    </w:p>
    <w:p w14:paraId="278B368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14:paraId="7BE7989A">
      <w:pPr>
        <w:adjustRightInd w:val="0"/>
        <w:snapToGrid w:val="0"/>
        <w:spacing w:line="360" w:lineRule="auto"/>
        <w:rPr>
          <w:rFonts w:ascii="宋体" w:hAnsi="宋体"/>
          <w:b/>
          <w:color w:val="auto"/>
          <w:sz w:val="24"/>
          <w:highlight w:val="none"/>
        </w:rPr>
      </w:pPr>
      <w:bookmarkStart w:id="1207" w:name="_Ref4415170"/>
      <w:bookmarkStart w:id="1208" w:name="_Toc54862184"/>
      <w:bookmarkStart w:id="1209" w:name="_Toc161228632"/>
      <w:bookmarkStart w:id="1210" w:name="_Toc145081547"/>
      <w:r>
        <w:rPr>
          <w:rFonts w:hint="eastAsia" w:ascii="宋体" w:hAnsi="宋体" w:eastAsia="宋体"/>
          <w:b/>
          <w:color w:val="auto"/>
          <w:sz w:val="24"/>
          <w:highlight w:val="none"/>
        </w:rPr>
        <w:t>1.7联络</w:t>
      </w:r>
      <w:bookmarkEnd w:id="1207"/>
      <w:bookmarkEnd w:id="1208"/>
      <w:bookmarkEnd w:id="1209"/>
      <w:bookmarkEnd w:id="1210"/>
    </w:p>
    <w:p w14:paraId="117CAD4D">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1.7.1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p>
    <w:p w14:paraId="208CBBD3">
      <w:pPr>
        <w:tabs>
          <w:tab w:val="left" w:pos="851"/>
        </w:tabs>
        <w:adjustRightInd w:val="0"/>
        <w:snapToGrid w:val="0"/>
        <w:spacing w:line="360" w:lineRule="auto"/>
        <w:ind w:firstLine="420" w:firstLineChars="200"/>
        <w:rPr>
          <w:rFonts w:ascii="宋体" w:hAnsi="宋体" w:cs="宋体"/>
          <w:color w:val="auto"/>
          <w:highlight w:val="none"/>
        </w:rPr>
      </w:pPr>
      <w:bookmarkStart w:id="1211" w:name="_Ref531949897"/>
      <w:r>
        <w:rPr>
          <w:rFonts w:hint="eastAsia" w:ascii="宋体" w:hAnsi="宋体" w:cs="宋体"/>
          <w:color w:val="auto"/>
          <w:highlight w:val="none"/>
        </w:rPr>
        <w:t>1.7.2发包人和承包人应在专用合同条件中约定各自的送达方式和收件地址。任何一方合同当事人指定的送达方式或收件地址发生变动的，应提前3天以书面形式通知对方。</w:t>
      </w:r>
      <w:bookmarkEnd w:id="1211"/>
    </w:p>
    <w:p w14:paraId="476AB6B9">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1.7.3发包人和承包人应当及时签收另一方通过约定的送达方式送达至收件地址的来往文件。拒不签收的，由此增加的费用和（或）延误的工期由拒绝接收一方承担。</w:t>
      </w:r>
    </w:p>
    <w:p w14:paraId="7A241B17">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1.7.4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14:paraId="6D0D1085">
      <w:pPr>
        <w:adjustRightInd w:val="0"/>
        <w:snapToGrid w:val="0"/>
        <w:spacing w:line="360" w:lineRule="auto"/>
        <w:rPr>
          <w:rFonts w:ascii="宋体" w:hAnsi="宋体"/>
          <w:b/>
          <w:color w:val="auto"/>
          <w:sz w:val="24"/>
          <w:highlight w:val="none"/>
        </w:rPr>
      </w:pPr>
      <w:bookmarkStart w:id="1212" w:name="_Toc54862185"/>
      <w:bookmarkStart w:id="1213" w:name="_Toc161228633"/>
      <w:bookmarkStart w:id="1214" w:name="_Toc145081548"/>
      <w:r>
        <w:rPr>
          <w:rFonts w:hint="eastAsia" w:ascii="宋体" w:hAnsi="宋体" w:eastAsia="宋体"/>
          <w:b/>
          <w:color w:val="auto"/>
          <w:sz w:val="24"/>
          <w:highlight w:val="none"/>
        </w:rPr>
        <w:t>1.8严禁贿赂</w:t>
      </w:r>
      <w:bookmarkEnd w:id="1200"/>
      <w:bookmarkEnd w:id="1201"/>
      <w:bookmarkEnd w:id="1202"/>
      <w:bookmarkEnd w:id="1212"/>
      <w:bookmarkEnd w:id="1213"/>
      <w:bookmarkEnd w:id="1214"/>
    </w:p>
    <w:p w14:paraId="57AC3B8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合同当事人不得以贿赂或变相贿赂的方式，谋取非法利益或损害对方权益。因一方合同当事人的贿赂造成对方损失的，应赔偿损失，并承担相应的法律责任。</w:t>
      </w:r>
    </w:p>
    <w:p w14:paraId="05283E1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承包人不得与工程师或发包人聘请的第三方串通损害发包人利益。未经发包人书面同意，承包人不得为工程师提供合同约定以外的通讯设备、交通工具及其他任何形式的利益，不得向工程师支付报酬。</w:t>
      </w:r>
    </w:p>
    <w:p w14:paraId="70037083">
      <w:pPr>
        <w:adjustRightInd w:val="0"/>
        <w:snapToGrid w:val="0"/>
        <w:spacing w:line="360" w:lineRule="auto"/>
        <w:rPr>
          <w:rFonts w:ascii="宋体" w:hAnsi="宋体"/>
          <w:b/>
          <w:color w:val="auto"/>
          <w:sz w:val="24"/>
          <w:highlight w:val="none"/>
        </w:rPr>
      </w:pPr>
      <w:bookmarkStart w:id="1215" w:name="_Toc145081549"/>
      <w:bookmarkStart w:id="1216" w:name="_Toc161228634"/>
      <w:bookmarkStart w:id="1217" w:name="_Toc54862186"/>
      <w:r>
        <w:rPr>
          <w:rFonts w:hint="eastAsia" w:ascii="宋体" w:hAnsi="宋体" w:eastAsia="宋体"/>
          <w:b/>
          <w:color w:val="auto"/>
          <w:sz w:val="24"/>
          <w:highlight w:val="none"/>
        </w:rPr>
        <w:t>1.9化石、文物</w:t>
      </w:r>
      <w:bookmarkEnd w:id="1215"/>
      <w:bookmarkEnd w:id="1216"/>
      <w:bookmarkEnd w:id="1217"/>
    </w:p>
    <w:p w14:paraId="2262D87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14:paraId="0157CA8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发包人、工程师和承包人应按有关政府行政管理部门要求采取妥善的保护措施，由此增加的费用和（或）延误的工期由发包人承担。</w:t>
      </w:r>
    </w:p>
    <w:p w14:paraId="38FBE87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承包人发现文物后不及时报告或隐瞒不报，致使文物丢失或损坏的，应赔偿损失，并承担相应的法律责任。</w:t>
      </w:r>
    </w:p>
    <w:p w14:paraId="3C7C8349">
      <w:pPr>
        <w:adjustRightInd w:val="0"/>
        <w:snapToGrid w:val="0"/>
        <w:spacing w:line="360" w:lineRule="auto"/>
        <w:rPr>
          <w:rFonts w:ascii="宋体" w:hAnsi="宋体"/>
          <w:b/>
          <w:color w:val="auto"/>
          <w:sz w:val="24"/>
          <w:highlight w:val="none"/>
        </w:rPr>
      </w:pPr>
      <w:bookmarkStart w:id="1218" w:name="_Ref531949766"/>
      <w:bookmarkStart w:id="1219" w:name="_Toc161228635"/>
      <w:bookmarkStart w:id="1220" w:name="_Toc54862187"/>
      <w:bookmarkStart w:id="1221" w:name="_Toc145081550"/>
      <w:bookmarkStart w:id="1222" w:name="_Ref4423426"/>
      <w:bookmarkStart w:id="1223" w:name="_Ref531949770"/>
      <w:bookmarkStart w:id="1224" w:name="_Ref531949855"/>
      <w:bookmarkStart w:id="1225" w:name="_Ref531949841"/>
      <w:bookmarkStart w:id="1226" w:name="_Ref531949826"/>
      <w:r>
        <w:rPr>
          <w:rFonts w:hint="eastAsia" w:ascii="宋体" w:hAnsi="宋体" w:eastAsia="宋体"/>
          <w:b/>
          <w:color w:val="auto"/>
          <w:sz w:val="24"/>
          <w:highlight w:val="none"/>
        </w:rPr>
        <w:t>1.10知识产权</w:t>
      </w:r>
      <w:bookmarkEnd w:id="1218"/>
      <w:bookmarkEnd w:id="1219"/>
      <w:bookmarkEnd w:id="1220"/>
      <w:bookmarkEnd w:id="1221"/>
      <w:bookmarkEnd w:id="1222"/>
      <w:bookmarkEnd w:id="1223"/>
    </w:p>
    <w:p w14:paraId="342A0BAC">
      <w:pPr>
        <w:tabs>
          <w:tab w:val="left" w:pos="851"/>
        </w:tabs>
        <w:adjustRightInd w:val="0"/>
        <w:snapToGrid w:val="0"/>
        <w:spacing w:line="360" w:lineRule="auto"/>
        <w:ind w:firstLine="420" w:firstLineChars="200"/>
        <w:rPr>
          <w:rFonts w:ascii="宋体" w:hAnsi="宋体" w:cs="宋体"/>
          <w:color w:val="auto"/>
          <w:highlight w:val="none"/>
        </w:rPr>
      </w:pPr>
      <w:bookmarkStart w:id="1227" w:name="_Ref4423563"/>
      <w:r>
        <w:rPr>
          <w:rFonts w:hint="eastAsia" w:ascii="宋体" w:hAnsi="宋体" w:cs="宋体"/>
          <w:color w:val="auto"/>
          <w:highlight w:val="none"/>
        </w:rPr>
        <w:t>1.10.1除专用合同条件另有约定外，由发包人（或以发包人名义）编制的《发包人要求》和其他文件，就合同当事人之间而言，其著作权和其他知识产权应归发包人所有。承包人可以为实现合同目的而复制、使用此类文件，但不能用于与合同无关的其他事项。未经发包人书面同意，承包人不得为了合同以外的目的而复制、使用上述文件或将之提供给任何第三方。</w:t>
      </w:r>
      <w:bookmarkEnd w:id="1227"/>
    </w:p>
    <w:p w14:paraId="7B2564BD">
      <w:pPr>
        <w:tabs>
          <w:tab w:val="left" w:pos="851"/>
        </w:tabs>
        <w:adjustRightInd w:val="0"/>
        <w:snapToGrid w:val="0"/>
        <w:spacing w:line="360" w:lineRule="auto"/>
        <w:ind w:firstLine="420" w:firstLineChars="200"/>
        <w:rPr>
          <w:rFonts w:ascii="宋体" w:hAnsi="宋体" w:cs="宋体"/>
          <w:color w:val="auto"/>
          <w:highlight w:val="none"/>
        </w:rPr>
      </w:pPr>
      <w:bookmarkStart w:id="1228" w:name="_Ref4423604"/>
      <w:r>
        <w:rPr>
          <w:rFonts w:hint="eastAsia" w:ascii="宋体" w:hAnsi="宋体" w:cs="宋体"/>
          <w:color w:val="auto"/>
          <w:highlight w:val="none"/>
        </w:rPr>
        <w:t>1.10.2除专用合同条件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bookmarkEnd w:id="1228"/>
    </w:p>
    <w:p w14:paraId="513627B8">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1.10.3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p>
    <w:p w14:paraId="4C6E802B">
      <w:pPr>
        <w:tabs>
          <w:tab w:val="left" w:pos="851"/>
        </w:tabs>
        <w:adjustRightInd w:val="0"/>
        <w:snapToGrid w:val="0"/>
        <w:spacing w:line="360" w:lineRule="auto"/>
        <w:ind w:firstLine="420" w:firstLineChars="200"/>
        <w:rPr>
          <w:rFonts w:ascii="宋体" w:hAnsi="宋体" w:cs="宋体"/>
          <w:color w:val="auto"/>
          <w:highlight w:val="none"/>
        </w:rPr>
      </w:pPr>
      <w:bookmarkStart w:id="1229" w:name="_Ref4423695"/>
      <w:r>
        <w:rPr>
          <w:rFonts w:hint="eastAsia" w:ascii="宋体" w:hAnsi="宋体" w:cs="宋体"/>
          <w:color w:val="auto"/>
          <w:highlight w:val="none"/>
        </w:rPr>
        <w:t>1.10.4除专用合同条件另有约定外，承包人在投标文件中采用的专利、专有技术、商业软件、技术秘密的使用费已包含在签约合同价中。</w:t>
      </w:r>
      <w:bookmarkEnd w:id="1229"/>
    </w:p>
    <w:p w14:paraId="64D262F2">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1.10.5合同当事人可就本合同涉及的合同一方或合同双方（含一方或双方相关的专利商或第三方设计单位）的技术专利、建筑设计方案、专有技术、设计文件著作权等知识产权，订立知识产权及保密协议，作为本合同的组成部分。</w:t>
      </w:r>
    </w:p>
    <w:p w14:paraId="1A86EFA7">
      <w:pPr>
        <w:adjustRightInd w:val="0"/>
        <w:snapToGrid w:val="0"/>
        <w:spacing w:line="360" w:lineRule="auto"/>
        <w:rPr>
          <w:rFonts w:ascii="宋体" w:hAnsi="宋体"/>
          <w:b/>
          <w:color w:val="auto"/>
          <w:sz w:val="24"/>
          <w:highlight w:val="none"/>
        </w:rPr>
      </w:pPr>
      <w:bookmarkStart w:id="1230" w:name="_Toc145081551"/>
      <w:bookmarkStart w:id="1231" w:name="_Ref4423898"/>
      <w:bookmarkStart w:id="1232" w:name="_Toc54862188"/>
      <w:bookmarkStart w:id="1233" w:name="_Toc161228636"/>
      <w:bookmarkStart w:id="1234" w:name="_Ref4423873"/>
      <w:r>
        <w:rPr>
          <w:rFonts w:hint="eastAsia" w:ascii="宋体" w:hAnsi="宋体" w:eastAsia="宋体"/>
          <w:b/>
          <w:color w:val="auto"/>
          <w:sz w:val="24"/>
          <w:highlight w:val="none"/>
        </w:rPr>
        <w:t>1.11保密</w:t>
      </w:r>
      <w:bookmarkEnd w:id="1224"/>
      <w:bookmarkEnd w:id="1225"/>
      <w:bookmarkEnd w:id="1226"/>
      <w:bookmarkEnd w:id="1230"/>
      <w:bookmarkEnd w:id="1231"/>
      <w:bookmarkEnd w:id="1232"/>
      <w:bookmarkEnd w:id="1233"/>
      <w:bookmarkEnd w:id="1234"/>
    </w:p>
    <w:p w14:paraId="26FE7D7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合同当事人一方对在订立和履行合同过程中知悉的另一方的商业秘密、技术秘密，以及任何一方明确要求保密的其</w:t>
      </w:r>
      <w:r>
        <w:rPr>
          <w:rFonts w:hint="eastAsia" w:ascii="宋体" w:hAnsi="宋体" w:cs="宋体"/>
          <w:color w:val="auto"/>
          <w:szCs w:val="21"/>
          <w:highlight w:val="none"/>
          <w:lang w:val="en-US" w:eastAsia="zh-CN"/>
        </w:rPr>
        <w:t>他</w:t>
      </w:r>
      <w:r>
        <w:rPr>
          <w:rFonts w:hint="eastAsia" w:ascii="宋体" w:hAnsi="宋体" w:cs="宋体"/>
          <w:color w:val="auto"/>
          <w:szCs w:val="21"/>
          <w:highlight w:val="none"/>
        </w:rPr>
        <w:t>信息，负有保密责任。</w:t>
      </w:r>
    </w:p>
    <w:p w14:paraId="7203349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除法律规定或合同另有约定外，未经对方同意，任何一方当事人不得将对方提供的文件、技术秘密以及声明需要保密的资料信息等商业秘密泄露给第三方或者用于本合同以外的目的。</w:t>
      </w:r>
    </w:p>
    <w:p w14:paraId="2A00B12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14:paraId="601DC40A">
      <w:pPr>
        <w:adjustRightInd w:val="0"/>
        <w:snapToGrid w:val="0"/>
        <w:spacing w:line="360" w:lineRule="auto"/>
        <w:rPr>
          <w:rFonts w:ascii="宋体" w:hAnsi="宋体"/>
          <w:b/>
          <w:color w:val="auto"/>
          <w:sz w:val="24"/>
          <w:highlight w:val="none"/>
        </w:rPr>
      </w:pPr>
      <w:bookmarkStart w:id="1235" w:name="_Toc145081552"/>
      <w:bookmarkStart w:id="1236" w:name="_Toc161228637"/>
      <w:bookmarkStart w:id="1237" w:name="_Ref532336812"/>
      <w:bookmarkStart w:id="1238" w:name="_Toc54862189"/>
      <w:r>
        <w:rPr>
          <w:rFonts w:hint="eastAsia" w:ascii="宋体" w:hAnsi="宋体" w:eastAsia="宋体"/>
          <w:b/>
          <w:color w:val="auto"/>
          <w:sz w:val="24"/>
          <w:highlight w:val="none"/>
        </w:rPr>
        <w:t>1.12</w:t>
      </w:r>
      <w:bookmarkStart w:id="1239" w:name="_Hlk55215423"/>
      <w:r>
        <w:rPr>
          <w:rFonts w:hint="eastAsia" w:ascii="宋体" w:hAnsi="宋体" w:eastAsia="宋体"/>
          <w:b/>
          <w:color w:val="auto"/>
          <w:sz w:val="24"/>
          <w:highlight w:val="none"/>
        </w:rPr>
        <w:t>《发包人要求》和基础资料中的错误</w:t>
      </w:r>
      <w:bookmarkEnd w:id="1235"/>
      <w:bookmarkEnd w:id="1236"/>
      <w:bookmarkEnd w:id="1237"/>
      <w:bookmarkEnd w:id="1238"/>
      <w:bookmarkEnd w:id="1239"/>
    </w:p>
    <w:p w14:paraId="55884DE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承包人应尽早认真阅读、复核《发包人要求》以及其提供的基础资料，发现错误的，应及时书面通知发包人补正。发包人作相应修改的，按照第13条[变更与调整</w:t>
      </w:r>
      <w:bookmarkStart w:id="1240" w:name="_Ref523403409"/>
      <w:bookmarkStart w:id="1241" w:name="_Ref523403776"/>
      <w:r>
        <w:rPr>
          <w:rFonts w:hint="eastAsia" w:ascii="宋体" w:hAnsi="宋体" w:cs="宋体"/>
          <w:color w:val="auto"/>
          <w:szCs w:val="21"/>
          <w:highlight w:val="none"/>
        </w:rPr>
        <w:t>]的约定处理。</w:t>
      </w:r>
    </w:p>
    <w:p w14:paraId="3476D24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《发包人要求》或其提供的基础资料中的错误导致承包人增加费用和（或）工期延误的，发包人应承担由此增加的费用和（或）工期延误，并向承包人支付合理利润。</w:t>
      </w:r>
    </w:p>
    <w:bookmarkEnd w:id="1240"/>
    <w:bookmarkEnd w:id="1241"/>
    <w:p w14:paraId="3E627DA9">
      <w:pPr>
        <w:adjustRightInd w:val="0"/>
        <w:snapToGrid w:val="0"/>
        <w:spacing w:line="360" w:lineRule="auto"/>
        <w:rPr>
          <w:rFonts w:ascii="宋体" w:hAnsi="宋体"/>
          <w:b/>
          <w:color w:val="auto"/>
          <w:sz w:val="24"/>
          <w:highlight w:val="none"/>
        </w:rPr>
      </w:pPr>
      <w:bookmarkStart w:id="1242" w:name="_Toc145081553"/>
      <w:bookmarkStart w:id="1243" w:name="_Toc161228638"/>
      <w:bookmarkStart w:id="1244" w:name="_Ref531949933"/>
      <w:bookmarkStart w:id="1245" w:name="_Toc54862190"/>
      <w:bookmarkStart w:id="1246" w:name="_Ref531949937"/>
      <w:r>
        <w:rPr>
          <w:rFonts w:hint="eastAsia" w:ascii="宋体" w:hAnsi="宋体" w:eastAsia="宋体"/>
          <w:b/>
          <w:color w:val="auto"/>
          <w:sz w:val="24"/>
          <w:highlight w:val="none"/>
        </w:rPr>
        <w:t>1.13责任限制</w:t>
      </w:r>
      <w:bookmarkEnd w:id="1242"/>
      <w:bookmarkEnd w:id="1243"/>
      <w:bookmarkEnd w:id="1244"/>
      <w:bookmarkEnd w:id="1245"/>
      <w:bookmarkEnd w:id="1246"/>
    </w:p>
    <w:p w14:paraId="401DC57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对发包人的赔偿责任不应超过专用合同条件约定的赔偿最高限额。若专用合同条件未约定，则承包人对发包人的赔偿责任不应超过签约合同价。但对于因欺诈、犯罪、故意、重大过失、人身伤害等不当行为造成的损失，赔偿的责任限度不受上述最高限额的限制。</w:t>
      </w:r>
    </w:p>
    <w:p w14:paraId="089002FE">
      <w:pPr>
        <w:adjustRightInd w:val="0"/>
        <w:snapToGrid w:val="0"/>
        <w:spacing w:line="360" w:lineRule="auto"/>
        <w:rPr>
          <w:rFonts w:ascii="宋体" w:hAnsi="宋体"/>
          <w:b/>
          <w:color w:val="auto"/>
          <w:sz w:val="24"/>
          <w:highlight w:val="none"/>
        </w:rPr>
      </w:pPr>
      <w:bookmarkStart w:id="1247" w:name="_Toc145081554"/>
      <w:bookmarkStart w:id="1248" w:name="_Toc161228639"/>
      <w:bookmarkStart w:id="1249" w:name="_Toc54862191"/>
      <w:bookmarkStart w:id="1250" w:name="_Hlk51506160"/>
      <w:r>
        <w:rPr>
          <w:rFonts w:hint="eastAsia" w:ascii="宋体" w:hAnsi="宋体" w:eastAsia="宋体"/>
          <w:b/>
          <w:color w:val="auto"/>
          <w:sz w:val="24"/>
          <w:highlight w:val="none"/>
        </w:rPr>
        <w:t>1.14建筑信息模型技术的应用</w:t>
      </w:r>
      <w:bookmarkEnd w:id="1247"/>
      <w:bookmarkEnd w:id="1248"/>
      <w:bookmarkEnd w:id="1249"/>
    </w:p>
    <w:bookmarkEnd w:id="1250"/>
    <w:p w14:paraId="17B5D9D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14:paraId="654F05A9">
      <w:pPr>
        <w:adjustRightInd w:val="0"/>
        <w:snapToGrid w:val="0"/>
        <w:spacing w:line="360" w:lineRule="auto"/>
        <w:rPr>
          <w:rFonts w:ascii="黑体" w:hAnsi="黑体" w:eastAsia="黑体"/>
          <w:color w:val="auto"/>
          <w:sz w:val="24"/>
          <w:highlight w:val="none"/>
        </w:rPr>
      </w:pPr>
      <w:bookmarkStart w:id="1251" w:name="_Toc54862192"/>
      <w:bookmarkStart w:id="1252" w:name="_Toc161228640"/>
      <w:bookmarkStart w:id="1253" w:name="_Ref4796511"/>
      <w:r>
        <w:rPr>
          <w:rFonts w:hint="eastAsia" w:ascii="黑体" w:hAnsi="黑体" w:eastAsia="黑体"/>
          <w:color w:val="auto"/>
          <w:sz w:val="24"/>
          <w:highlight w:val="none"/>
        </w:rPr>
        <w:t>第2条 发包人</w:t>
      </w:r>
      <w:bookmarkEnd w:id="1251"/>
      <w:bookmarkEnd w:id="1252"/>
      <w:bookmarkEnd w:id="1253"/>
    </w:p>
    <w:p w14:paraId="06B77D85">
      <w:pPr>
        <w:adjustRightInd w:val="0"/>
        <w:snapToGrid w:val="0"/>
        <w:spacing w:line="360" w:lineRule="auto"/>
        <w:rPr>
          <w:rFonts w:ascii="宋体" w:hAnsi="宋体"/>
          <w:b/>
          <w:color w:val="auto"/>
          <w:sz w:val="24"/>
          <w:highlight w:val="none"/>
        </w:rPr>
      </w:pPr>
      <w:bookmarkStart w:id="1254" w:name="_Toc161228641"/>
      <w:bookmarkStart w:id="1255" w:name="_Toc145081556"/>
      <w:bookmarkStart w:id="1256" w:name="_Toc54862193"/>
      <w:r>
        <w:rPr>
          <w:rFonts w:hint="eastAsia" w:ascii="宋体" w:hAnsi="宋体" w:eastAsia="宋体"/>
          <w:b/>
          <w:color w:val="auto"/>
          <w:sz w:val="24"/>
          <w:highlight w:val="none"/>
        </w:rPr>
        <w:t>2.1遵守法律</w:t>
      </w:r>
      <w:bookmarkEnd w:id="1254"/>
      <w:bookmarkEnd w:id="1255"/>
      <w:bookmarkEnd w:id="1256"/>
    </w:p>
    <w:p w14:paraId="339AEE0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在履行合同过程中应遵守法律，并承担因发包人违反法律给承包人造成的任何费用和损失。发包人不得以任何理由，要求承包人在工程实施过程中违反法律、行政法规以及建设工程质量、安全、环保标准，任意压缩合理工期或者降低工程质量。</w:t>
      </w:r>
    </w:p>
    <w:p w14:paraId="0578BDEC">
      <w:pPr>
        <w:adjustRightInd w:val="0"/>
        <w:snapToGrid w:val="0"/>
        <w:spacing w:line="360" w:lineRule="auto"/>
        <w:rPr>
          <w:rFonts w:ascii="宋体" w:hAnsi="宋体"/>
          <w:b/>
          <w:color w:val="auto"/>
          <w:sz w:val="24"/>
          <w:highlight w:val="none"/>
        </w:rPr>
      </w:pPr>
      <w:bookmarkStart w:id="1257" w:name="_Toc161228642"/>
      <w:bookmarkStart w:id="1258" w:name="_Toc145081557"/>
      <w:bookmarkStart w:id="1259" w:name="_Ref11917995"/>
      <w:bookmarkStart w:id="1260" w:name="_Toc54862194"/>
      <w:bookmarkStart w:id="1261" w:name="_Ref11917977"/>
      <w:r>
        <w:rPr>
          <w:rFonts w:hint="eastAsia" w:ascii="宋体" w:hAnsi="宋体" w:eastAsia="宋体"/>
          <w:b/>
          <w:color w:val="auto"/>
          <w:sz w:val="24"/>
          <w:highlight w:val="none"/>
        </w:rPr>
        <w:t>2.2提供施工现场和工作条件</w:t>
      </w:r>
      <w:bookmarkEnd w:id="1257"/>
      <w:bookmarkEnd w:id="1258"/>
      <w:bookmarkEnd w:id="1259"/>
      <w:bookmarkEnd w:id="1260"/>
      <w:bookmarkEnd w:id="1261"/>
      <w:bookmarkStart w:id="1262" w:name="_Toc51505125"/>
      <w:bookmarkEnd w:id="1262"/>
      <w:bookmarkStart w:id="1263" w:name="_Toc51505124"/>
      <w:bookmarkEnd w:id="1263"/>
      <w:bookmarkStart w:id="1264" w:name="_Toc54862195"/>
      <w:bookmarkEnd w:id="1264"/>
      <w:bookmarkStart w:id="1265" w:name="_Toc51505123"/>
      <w:bookmarkEnd w:id="1265"/>
      <w:bookmarkStart w:id="1266" w:name="_Toc54862196"/>
      <w:bookmarkEnd w:id="1266"/>
      <w:bookmarkStart w:id="1267" w:name="_Toc54862197"/>
      <w:bookmarkEnd w:id="1267"/>
      <w:bookmarkStart w:id="1268" w:name="_Ref531950085"/>
    </w:p>
    <w:p w14:paraId="142E981B">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2.2.1提供施工</w:t>
      </w:r>
      <w:bookmarkEnd w:id="1268"/>
      <w:r>
        <w:rPr>
          <w:rFonts w:hint="eastAsia" w:ascii="宋体" w:hAnsi="宋体" w:cs="宋体"/>
          <w:color w:val="auto"/>
          <w:kern w:val="0"/>
          <w:szCs w:val="20"/>
          <w:highlight w:val="none"/>
          <w:lang w:bidi="ar"/>
        </w:rPr>
        <w:t>现场</w:t>
      </w:r>
    </w:p>
    <w:p w14:paraId="1E5C338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7天前向承包人移交施工现场，但承包人未能按照第4.2款[履约担保]提供履约担保的除外。</w:t>
      </w:r>
    </w:p>
    <w:p w14:paraId="4D5F92E2">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269" w:name="_Ref531950101"/>
      <w:r>
        <w:rPr>
          <w:rFonts w:hint="eastAsia" w:ascii="宋体" w:hAnsi="宋体" w:cs="宋体"/>
          <w:color w:val="auto"/>
          <w:kern w:val="0"/>
          <w:szCs w:val="20"/>
          <w:highlight w:val="none"/>
          <w:lang w:bidi="ar"/>
        </w:rPr>
        <w:t>2.2.2提供工作条件</w:t>
      </w:r>
      <w:bookmarkEnd w:id="1269"/>
    </w:p>
    <w:p w14:paraId="78BD207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发包人应按专用合同条件约定向承包人提供工作条件。专用合同条件对此没有约定的，发包人应负责提供开展本合同相关工作所需要的条件，包括：</w:t>
      </w:r>
    </w:p>
    <w:p w14:paraId="6BD6EAB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（1）将施工用水、电力、通讯线路等施工所必需的条件接至施工现场内；</w:t>
      </w:r>
    </w:p>
    <w:p w14:paraId="59A67A0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（2）保证向承包人提供正常施工所需要的进入施工现场的交通条件；</w:t>
      </w:r>
    </w:p>
    <w:p w14:paraId="0047186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（3）协调处理施工现场周围地下管线和邻近建筑物、构筑物、古树名木、文物、化石及坟墓等的保护工作，并承担相关费用；</w:t>
      </w:r>
    </w:p>
    <w:p w14:paraId="6405FC0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（4）对工程现场临近发包人正在使用、运行或由发包人用于生产的建筑物、构筑物、生产装置、设施、设备等，设置隔离设施，</w:t>
      </w:r>
      <w:r>
        <w:rPr>
          <w:rFonts w:hint="eastAsia" w:ascii="宋体" w:hAnsi="宋体" w:cs="宋体"/>
          <w:color w:val="auto"/>
          <w:szCs w:val="21"/>
          <w:highlight w:val="none"/>
          <w:lang w:val="en-US" w:eastAsia="zh-CN"/>
        </w:rPr>
        <w:t>树</w:t>
      </w:r>
      <w:r>
        <w:rPr>
          <w:rFonts w:hint="eastAsia" w:ascii="宋体" w:hAnsi="宋体" w:cs="宋体"/>
          <w:color w:val="auto"/>
          <w:szCs w:val="21"/>
          <w:highlight w:val="none"/>
        </w:rPr>
        <w:t>立禁止入内、禁止动火的明显标志，并以书面形式通知承包人须遵守的安全规定和位置范围；</w:t>
      </w:r>
    </w:p>
    <w:p w14:paraId="2C048A9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（5）按照专用合同条件约定应提供的其他设施和条件。</w:t>
      </w:r>
    </w:p>
    <w:p w14:paraId="431D2C03">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2.2.3逾期提供的责任</w:t>
      </w:r>
    </w:p>
    <w:p w14:paraId="47E5FE6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因发包人原因未能按合同约定及时向承包人提供施工现场和施工条件的，由发包人承担由此增加的费用和（或）延误的工期。</w:t>
      </w:r>
    </w:p>
    <w:p w14:paraId="1D49E5BF">
      <w:pPr>
        <w:adjustRightInd w:val="0"/>
        <w:snapToGrid w:val="0"/>
        <w:spacing w:line="360" w:lineRule="auto"/>
        <w:rPr>
          <w:rFonts w:ascii="宋体" w:hAnsi="宋体"/>
          <w:b/>
          <w:color w:val="auto"/>
          <w:sz w:val="24"/>
          <w:highlight w:val="none"/>
        </w:rPr>
      </w:pPr>
      <w:bookmarkStart w:id="1270" w:name="_Ref11956647"/>
      <w:bookmarkStart w:id="1271" w:name="_Toc145081558"/>
      <w:bookmarkStart w:id="1272" w:name="_Ref11918025"/>
      <w:bookmarkStart w:id="1273" w:name="_Ref11918036"/>
      <w:bookmarkStart w:id="1274" w:name="_Toc54862198"/>
      <w:bookmarkStart w:id="1275" w:name="_Toc161228643"/>
      <w:bookmarkStart w:id="1276" w:name="_Ref11956654"/>
      <w:r>
        <w:rPr>
          <w:rFonts w:hint="eastAsia" w:ascii="宋体" w:hAnsi="宋体" w:eastAsia="宋体"/>
          <w:b/>
          <w:color w:val="auto"/>
          <w:sz w:val="24"/>
          <w:highlight w:val="none"/>
        </w:rPr>
        <w:t>2.3提供基础资料</w:t>
      </w:r>
      <w:bookmarkEnd w:id="1270"/>
      <w:bookmarkEnd w:id="1271"/>
      <w:bookmarkEnd w:id="1272"/>
      <w:bookmarkEnd w:id="1273"/>
      <w:bookmarkEnd w:id="1274"/>
      <w:bookmarkEnd w:id="1275"/>
      <w:bookmarkEnd w:id="1276"/>
    </w:p>
    <w:p w14:paraId="5270F9CE">
      <w:pPr>
        <w:adjustRightInd w:val="0"/>
        <w:snapToGrid w:val="0"/>
        <w:spacing w:line="360" w:lineRule="auto"/>
        <w:ind w:firstLine="420" w:firstLineChars="200"/>
        <w:rPr>
          <w:rFonts w:ascii="宋体" w:hAnsi="宋体" w:cs="宋体"/>
          <w:color w:val="auto"/>
          <w:szCs w:val="21"/>
          <w:highlight w:val="none"/>
        </w:rPr>
      </w:pPr>
      <w:bookmarkStart w:id="1277" w:name="_Hlk51506429"/>
      <w:r>
        <w:rPr>
          <w:rFonts w:hint="eastAsia" w:ascii="宋体" w:hAnsi="宋体" w:cs="宋体"/>
          <w:color w:val="auto"/>
          <w:szCs w:val="21"/>
          <w:highlight w:val="none"/>
        </w:rPr>
        <w:t>发包人应按专用合同条件和《发包人要求》中的约定向承包人提供</w:t>
      </w:r>
      <w:bookmarkEnd w:id="1277"/>
      <w:r>
        <w:rPr>
          <w:rFonts w:hint="eastAsia" w:ascii="宋体" w:hAnsi="宋体" w:cs="宋体"/>
          <w:color w:val="auto"/>
          <w:szCs w:val="21"/>
          <w:highlight w:val="none"/>
        </w:rPr>
        <w:t>施工现场及工程实施所必需的毗邻区域内的供水、排水、供电、供气、供热、通信、广播电视等地上、地下管线和设施资料，气象和水文观测资料，地质勘察资料，相邻建筑物、构筑物和地下工程等有关基础资料，并根据第1.12款[《发包人要求》和基础资料中的错误]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14:paraId="4304DDC2">
      <w:pPr>
        <w:adjustRightInd w:val="0"/>
        <w:snapToGrid w:val="0"/>
        <w:spacing w:line="360" w:lineRule="auto"/>
        <w:rPr>
          <w:rFonts w:ascii="宋体" w:hAnsi="宋体"/>
          <w:b/>
          <w:color w:val="auto"/>
          <w:sz w:val="24"/>
          <w:highlight w:val="none"/>
        </w:rPr>
      </w:pPr>
      <w:bookmarkStart w:id="1278" w:name="_Ref531950045"/>
      <w:bookmarkStart w:id="1279" w:name="_Toc161228644"/>
      <w:bookmarkStart w:id="1280" w:name="_Toc54862199"/>
      <w:bookmarkStart w:id="1281" w:name="_Ref531950041"/>
      <w:bookmarkStart w:id="1282" w:name="_Toc145081559"/>
      <w:r>
        <w:rPr>
          <w:rFonts w:hint="eastAsia" w:ascii="宋体" w:hAnsi="宋体" w:eastAsia="宋体"/>
          <w:b/>
          <w:color w:val="auto"/>
          <w:sz w:val="24"/>
          <w:highlight w:val="none"/>
        </w:rPr>
        <w:t>2.4办理许可和批准</w:t>
      </w:r>
      <w:bookmarkEnd w:id="1278"/>
      <w:bookmarkEnd w:id="1279"/>
      <w:bookmarkEnd w:id="1280"/>
      <w:bookmarkEnd w:id="1281"/>
      <w:bookmarkEnd w:id="1282"/>
    </w:p>
    <w:p w14:paraId="6DF26D39">
      <w:pPr>
        <w:tabs>
          <w:tab w:val="left" w:pos="851"/>
        </w:tabs>
        <w:adjustRightInd w:val="0"/>
        <w:snapToGrid w:val="0"/>
        <w:spacing w:line="360" w:lineRule="auto"/>
        <w:ind w:firstLine="420" w:firstLineChars="200"/>
        <w:rPr>
          <w:rFonts w:ascii="宋体" w:hAnsi="宋体" w:cs="宋体"/>
          <w:color w:val="auto"/>
          <w:highlight w:val="none"/>
        </w:rPr>
      </w:pPr>
      <w:bookmarkStart w:id="1283" w:name="_Toc51505128"/>
      <w:r>
        <w:rPr>
          <w:rFonts w:hint="eastAsia" w:ascii="宋体" w:hAnsi="宋体" w:cs="宋体"/>
          <w:color w:val="auto"/>
          <w:highlight w:val="none"/>
        </w:rPr>
        <w:t>2.4.1发包人在履行合同过程中应遵守法律，并办理法律规定或合同约定由其办理的许可、批准或备案，包括但不限于建设用地规划许可证、建设工程规划许可证、建设工程施工许可证等许可和批准。对于法律规定或合同约定由承包人负责的有关设计、施工证件、批件或备案，发包人应给予必要的协助。</w:t>
      </w:r>
      <w:bookmarkEnd w:id="1283"/>
    </w:p>
    <w:p w14:paraId="13AE03DB">
      <w:pPr>
        <w:tabs>
          <w:tab w:val="left" w:pos="851"/>
        </w:tabs>
        <w:adjustRightInd w:val="0"/>
        <w:snapToGrid w:val="0"/>
        <w:spacing w:line="360" w:lineRule="auto"/>
        <w:ind w:firstLine="420" w:firstLineChars="200"/>
        <w:rPr>
          <w:rFonts w:ascii="宋体" w:hAnsi="宋体" w:cs="宋体"/>
          <w:color w:val="auto"/>
          <w:highlight w:val="none"/>
        </w:rPr>
      </w:pPr>
      <w:bookmarkStart w:id="1284" w:name="_Toc51505129"/>
      <w:r>
        <w:rPr>
          <w:rFonts w:hint="eastAsia" w:ascii="宋体" w:hAnsi="宋体" w:cs="宋体"/>
          <w:color w:val="auto"/>
          <w:highlight w:val="none"/>
        </w:rPr>
        <w:t>2.4.2因发包人原因未能及时办理完毕前述许可、批准或备案，由发包人承担由此增加的费用和（或）延误的工期，并支付承包人合理的利润。</w:t>
      </w:r>
      <w:bookmarkEnd w:id="1284"/>
    </w:p>
    <w:p w14:paraId="732A6A43">
      <w:pPr>
        <w:adjustRightInd w:val="0"/>
        <w:snapToGrid w:val="0"/>
        <w:spacing w:line="360" w:lineRule="auto"/>
        <w:rPr>
          <w:rFonts w:ascii="宋体" w:hAnsi="宋体"/>
          <w:b/>
          <w:color w:val="auto"/>
          <w:sz w:val="24"/>
          <w:highlight w:val="none"/>
        </w:rPr>
      </w:pPr>
      <w:bookmarkStart w:id="1285" w:name="_Ref11956533"/>
      <w:bookmarkStart w:id="1286" w:name="_Toc145081560"/>
      <w:bookmarkStart w:id="1287" w:name="_Ref11918060"/>
      <w:bookmarkStart w:id="1288" w:name="_Ref11956525"/>
      <w:bookmarkStart w:id="1289" w:name="_Ref11918070"/>
      <w:bookmarkStart w:id="1290" w:name="_Toc54862200"/>
      <w:bookmarkStart w:id="1291" w:name="_Toc161228645"/>
      <w:r>
        <w:rPr>
          <w:rFonts w:hint="eastAsia" w:ascii="宋体" w:hAnsi="宋体" w:eastAsia="宋体"/>
          <w:b/>
          <w:color w:val="auto"/>
          <w:sz w:val="24"/>
          <w:highlight w:val="none"/>
        </w:rPr>
        <w:t>2.5支付合同价款</w:t>
      </w:r>
      <w:bookmarkEnd w:id="1285"/>
      <w:bookmarkEnd w:id="1286"/>
      <w:bookmarkEnd w:id="1287"/>
      <w:bookmarkEnd w:id="1288"/>
      <w:bookmarkEnd w:id="1289"/>
      <w:bookmarkEnd w:id="1290"/>
      <w:bookmarkEnd w:id="1291"/>
    </w:p>
    <w:p w14:paraId="7254A095">
      <w:pPr>
        <w:tabs>
          <w:tab w:val="left" w:pos="851"/>
        </w:tabs>
        <w:adjustRightInd w:val="0"/>
        <w:snapToGrid w:val="0"/>
        <w:spacing w:line="360" w:lineRule="auto"/>
        <w:ind w:firstLine="420" w:firstLineChars="200"/>
        <w:rPr>
          <w:rFonts w:ascii="宋体" w:hAnsi="宋体" w:cs="宋体"/>
          <w:color w:val="auto"/>
          <w:highlight w:val="none"/>
        </w:rPr>
      </w:pPr>
      <w:bookmarkStart w:id="1292" w:name="_Toc51505131"/>
      <w:bookmarkStart w:id="1293" w:name="_Ref531950147"/>
      <w:r>
        <w:rPr>
          <w:rFonts w:hint="eastAsia" w:ascii="宋体" w:hAnsi="宋体" w:cs="宋体"/>
          <w:color w:val="auto"/>
          <w:highlight w:val="none"/>
        </w:rPr>
        <w:t>2.5.1发包人应按合同约定向承包人及时支付合同价款。</w:t>
      </w:r>
      <w:bookmarkEnd w:id="1292"/>
    </w:p>
    <w:bookmarkEnd w:id="1293"/>
    <w:p w14:paraId="7A984262">
      <w:pPr>
        <w:tabs>
          <w:tab w:val="left" w:pos="851"/>
        </w:tabs>
        <w:adjustRightInd w:val="0"/>
        <w:snapToGrid w:val="0"/>
        <w:spacing w:line="360" w:lineRule="auto"/>
        <w:ind w:firstLine="420" w:firstLineChars="200"/>
        <w:rPr>
          <w:rFonts w:ascii="宋体" w:hAnsi="宋体" w:cs="宋体"/>
          <w:color w:val="auto"/>
          <w:highlight w:val="none"/>
        </w:rPr>
      </w:pPr>
      <w:bookmarkStart w:id="1294" w:name="_Toc51505132"/>
      <w:r>
        <w:rPr>
          <w:rFonts w:hint="eastAsia" w:ascii="宋体" w:hAnsi="宋体" w:cs="宋体"/>
          <w:color w:val="auto"/>
          <w:highlight w:val="none"/>
        </w:rPr>
        <w:t>2.5.2发包人应当制定资金安排计划，除专用合同条件另有约定外，如发包人拟对资金安排做任何重要变更，应将变更的详细情况通知承包人。如发生承包人收到价格大于签约合同价10%的变更指示或累计变更的总价超过签约合同价30%；或承包人未能根据第14条[合同价格与支付]收到付款，或承包人得知发包人的资金安排发生重要变更但并未收到发包人上述重要变更通知的情况，则承包人可随时要求发包人在28天内补充提供能够按照合同约定支付合同价款的相应资金来源证明。</w:t>
      </w:r>
      <w:bookmarkEnd w:id="1294"/>
    </w:p>
    <w:p w14:paraId="79702103">
      <w:pPr>
        <w:tabs>
          <w:tab w:val="left" w:pos="851"/>
        </w:tabs>
        <w:adjustRightInd w:val="0"/>
        <w:snapToGrid w:val="0"/>
        <w:spacing w:line="360" w:lineRule="auto"/>
        <w:ind w:firstLine="420" w:firstLineChars="200"/>
        <w:rPr>
          <w:rFonts w:ascii="宋体" w:hAnsi="宋体" w:cs="宋体"/>
          <w:color w:val="auto"/>
          <w:highlight w:val="none"/>
        </w:rPr>
      </w:pPr>
      <w:bookmarkStart w:id="1295" w:name="_Ref531950161"/>
      <w:bookmarkStart w:id="1296" w:name="_Toc51505133"/>
      <w:r>
        <w:rPr>
          <w:rFonts w:hint="eastAsia" w:ascii="宋体" w:hAnsi="宋体" w:cs="宋体"/>
          <w:color w:val="auto"/>
          <w:highlight w:val="none"/>
        </w:rPr>
        <w:t>2.5.3发包人应当向承包人提供支付担保。支付担保可以采用银行保函或担保公司担保等形式，具体由合同当事人在专用合同条件中约定。</w:t>
      </w:r>
      <w:bookmarkEnd w:id="1295"/>
      <w:bookmarkEnd w:id="1296"/>
    </w:p>
    <w:p w14:paraId="785FABA9">
      <w:pPr>
        <w:adjustRightInd w:val="0"/>
        <w:snapToGrid w:val="0"/>
        <w:spacing w:line="360" w:lineRule="auto"/>
        <w:rPr>
          <w:rFonts w:ascii="宋体" w:hAnsi="宋体"/>
          <w:b/>
          <w:color w:val="auto"/>
          <w:sz w:val="24"/>
          <w:highlight w:val="none"/>
        </w:rPr>
      </w:pPr>
      <w:bookmarkStart w:id="1297" w:name="_Toc54862201"/>
      <w:bookmarkStart w:id="1298" w:name="_Toc161228646"/>
      <w:bookmarkStart w:id="1299" w:name="_Toc145081561"/>
      <w:r>
        <w:rPr>
          <w:rFonts w:hint="eastAsia" w:ascii="宋体" w:hAnsi="宋体" w:eastAsia="宋体"/>
          <w:b/>
          <w:color w:val="auto"/>
          <w:sz w:val="24"/>
          <w:highlight w:val="none"/>
        </w:rPr>
        <w:t>2.6现场管理配合</w:t>
      </w:r>
      <w:bookmarkEnd w:id="1297"/>
      <w:bookmarkEnd w:id="1298"/>
      <w:bookmarkEnd w:id="1299"/>
    </w:p>
    <w:p w14:paraId="40B65E2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发包人应负责保证在现场或现场附近的发包人人员和发包人的其他承包人（如有）：</w:t>
      </w:r>
    </w:p>
    <w:p w14:paraId="74F57F3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（1）根据第7.3款[现场合作]的约定，与承包人进行合作；</w:t>
      </w:r>
    </w:p>
    <w:p w14:paraId="2677C97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（2）遵守第7.5款[现场劳动用工]、第7.6款[安全文明施工]、第7.7款[职业健康</w:t>
      </w:r>
      <w:bookmarkStart w:id="1300" w:name="_Ref531952756"/>
      <w:bookmarkStart w:id="1301" w:name="_Ref531952761"/>
      <w:r>
        <w:rPr>
          <w:rFonts w:hint="eastAsia" w:ascii="宋体" w:hAnsi="宋体" w:cs="宋体"/>
          <w:color w:val="auto"/>
          <w:szCs w:val="21"/>
          <w:highlight w:val="none"/>
        </w:rPr>
        <w:t>]和第7.8款[环境保护]的相关约定。</w:t>
      </w:r>
    </w:p>
    <w:p w14:paraId="2D877D3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发包人应与承包人、由发包人直接发包的其他承包人（如有）订立施工现场统一管理协议，明确各方的权利义务。</w:t>
      </w:r>
    </w:p>
    <w:p w14:paraId="6AA99CEB">
      <w:pPr>
        <w:adjustRightInd w:val="0"/>
        <w:snapToGrid w:val="0"/>
        <w:spacing w:line="360" w:lineRule="auto"/>
        <w:rPr>
          <w:rFonts w:ascii="宋体" w:hAnsi="宋体"/>
          <w:b/>
          <w:color w:val="auto"/>
          <w:sz w:val="24"/>
          <w:highlight w:val="none"/>
        </w:rPr>
      </w:pPr>
      <w:bookmarkStart w:id="1302" w:name="_Ref11959372"/>
      <w:bookmarkStart w:id="1303" w:name="_Toc54862202"/>
      <w:bookmarkStart w:id="1304" w:name="_Toc161228647"/>
      <w:bookmarkStart w:id="1305" w:name="_Ref11959376"/>
      <w:bookmarkStart w:id="1306" w:name="_Toc145081562"/>
      <w:r>
        <w:rPr>
          <w:rFonts w:hint="eastAsia" w:ascii="宋体" w:hAnsi="宋体" w:eastAsia="宋体"/>
          <w:b/>
          <w:color w:val="auto"/>
          <w:sz w:val="24"/>
          <w:highlight w:val="none"/>
        </w:rPr>
        <w:t>2.7其他义务</w:t>
      </w:r>
      <w:bookmarkEnd w:id="1302"/>
      <w:bookmarkEnd w:id="1303"/>
      <w:bookmarkEnd w:id="1304"/>
      <w:bookmarkEnd w:id="1305"/>
      <w:bookmarkEnd w:id="1306"/>
    </w:p>
    <w:p w14:paraId="554F818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发包人应履行合同约定的其他义务，双方可在专用合同条件内对发包人应履行的其他义务进行补充约定。</w:t>
      </w:r>
    </w:p>
    <w:bookmarkEnd w:id="1300"/>
    <w:bookmarkEnd w:id="1301"/>
    <w:p w14:paraId="5FEAAE37">
      <w:pPr>
        <w:adjustRightInd w:val="0"/>
        <w:snapToGrid w:val="0"/>
        <w:spacing w:line="360" w:lineRule="auto"/>
        <w:rPr>
          <w:rFonts w:ascii="黑体" w:hAnsi="黑体" w:eastAsia="黑体"/>
          <w:color w:val="auto"/>
          <w:sz w:val="24"/>
          <w:highlight w:val="none"/>
        </w:rPr>
      </w:pPr>
      <w:bookmarkStart w:id="1307" w:name="_Toc161228648"/>
      <w:bookmarkStart w:id="1308" w:name="_Toc54862203"/>
      <w:bookmarkStart w:id="1309" w:name="_Ref531952791"/>
      <w:r>
        <w:rPr>
          <w:rFonts w:hint="eastAsia" w:ascii="黑体" w:hAnsi="黑体" w:eastAsia="黑体"/>
          <w:color w:val="auto"/>
          <w:sz w:val="24"/>
          <w:highlight w:val="none"/>
        </w:rPr>
        <w:t>第3条 发包人的管理</w:t>
      </w:r>
      <w:bookmarkEnd w:id="1307"/>
      <w:bookmarkEnd w:id="1308"/>
      <w:bookmarkEnd w:id="1309"/>
    </w:p>
    <w:p w14:paraId="1FA00F09">
      <w:pPr>
        <w:adjustRightInd w:val="0"/>
        <w:snapToGrid w:val="0"/>
        <w:spacing w:line="360" w:lineRule="auto"/>
        <w:rPr>
          <w:rFonts w:ascii="宋体" w:hAnsi="宋体"/>
          <w:b/>
          <w:color w:val="auto"/>
          <w:sz w:val="24"/>
          <w:highlight w:val="none"/>
        </w:rPr>
      </w:pPr>
      <w:bookmarkStart w:id="1310" w:name="_Ref522810097"/>
      <w:bookmarkStart w:id="1311" w:name="_Ref522810094"/>
      <w:bookmarkStart w:id="1312" w:name="_Toc161228649"/>
      <w:bookmarkStart w:id="1313" w:name="_Toc54862204"/>
      <w:bookmarkStart w:id="1314" w:name="_Toc145081564"/>
      <w:bookmarkStart w:id="1315" w:name="_Ref531951533"/>
      <w:bookmarkStart w:id="1316" w:name="_Ref531951538"/>
      <w:r>
        <w:rPr>
          <w:rFonts w:hint="eastAsia" w:ascii="宋体" w:hAnsi="宋体" w:eastAsia="宋体"/>
          <w:b/>
          <w:color w:val="auto"/>
          <w:sz w:val="24"/>
          <w:highlight w:val="none"/>
        </w:rPr>
        <w:t>3.1发包人</w:t>
      </w:r>
      <w:bookmarkEnd w:id="1310"/>
      <w:bookmarkEnd w:id="1311"/>
      <w:r>
        <w:rPr>
          <w:rFonts w:hint="eastAsia" w:ascii="宋体" w:hAnsi="宋体" w:eastAsia="宋体"/>
          <w:b/>
          <w:color w:val="auto"/>
          <w:sz w:val="24"/>
          <w:highlight w:val="none"/>
        </w:rPr>
        <w:t>代表</w:t>
      </w:r>
      <w:bookmarkEnd w:id="1312"/>
      <w:bookmarkEnd w:id="1313"/>
      <w:bookmarkEnd w:id="1314"/>
      <w:bookmarkEnd w:id="1315"/>
      <w:bookmarkEnd w:id="1316"/>
    </w:p>
    <w:p w14:paraId="47B6948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14:paraId="328E4F0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除非发包人另行通知承包人，发包人代表应被授予并且被认为具有发包人在授权范围内享有的相应权利，涉及第16.1款[由发包人解除合同]的权利除外。</w:t>
      </w:r>
    </w:p>
    <w:p w14:paraId="5703911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发包人代表（或者在其为法人的情况下，被任命代表其行事的自然人）应：</w:t>
      </w:r>
    </w:p>
    <w:p w14:paraId="17D5FE6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（1）履行指派给其的职责，行使发包人托付给的权利；</w:t>
      </w:r>
    </w:p>
    <w:p w14:paraId="3259D51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（2）具备履行这些职责、行使这些权利的能力；</w:t>
      </w:r>
    </w:p>
    <w:p w14:paraId="37FECB0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（3）作为熟练的专业人员行事。</w:t>
      </w:r>
    </w:p>
    <w:p w14:paraId="6195376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果发包人代表为法人且在签订本合同时未能确定授权代表的，发包人代表应在本合同签订之日起3日内向双方发出书面通知，告知被任命和授权的自然人以及任何替代人员。此授权在双方收到本通知后生效。发包人代表撤销该授权或者变更授权代表时也应同样发出该通知。</w:t>
      </w:r>
    </w:p>
    <w:p w14:paraId="4B4A36E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更换发包人代表的，应提前14天将更换人的姓名、地址、任务和权利、以及任命的日期书面通知承包人。发包人不得将发包人代表更换为承包人根据本款发出通知提出合理反对意见的人员，不论是法人还是自然人。</w:t>
      </w:r>
    </w:p>
    <w:p w14:paraId="2A97E02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发包人代表不能按照合同约定履行其职责及义务，并导致合同无法继续正常履行的，承包人可以要求发包人撤换发包人代表。</w:t>
      </w:r>
    </w:p>
    <w:p w14:paraId="665CB2B0">
      <w:pPr>
        <w:adjustRightInd w:val="0"/>
        <w:snapToGrid w:val="0"/>
        <w:spacing w:line="360" w:lineRule="auto"/>
        <w:rPr>
          <w:rFonts w:ascii="宋体" w:hAnsi="宋体"/>
          <w:b/>
          <w:color w:val="auto"/>
          <w:sz w:val="24"/>
          <w:highlight w:val="none"/>
        </w:rPr>
      </w:pPr>
      <w:bookmarkStart w:id="1317" w:name="_Toc161228650"/>
      <w:bookmarkStart w:id="1318" w:name="_Ref531951553"/>
      <w:bookmarkStart w:id="1319" w:name="_Toc54862205"/>
      <w:bookmarkStart w:id="1320" w:name="_Ref531951557"/>
      <w:bookmarkStart w:id="1321" w:name="_Toc145081565"/>
      <w:r>
        <w:rPr>
          <w:rFonts w:hint="eastAsia" w:ascii="宋体" w:hAnsi="宋体" w:eastAsia="宋体"/>
          <w:b/>
          <w:color w:val="auto"/>
          <w:sz w:val="24"/>
          <w:highlight w:val="none"/>
        </w:rPr>
        <w:t>3.2发包人人员</w:t>
      </w:r>
      <w:bookmarkEnd w:id="1317"/>
      <w:bookmarkEnd w:id="1318"/>
      <w:bookmarkEnd w:id="1319"/>
      <w:bookmarkEnd w:id="1320"/>
      <w:bookmarkEnd w:id="1321"/>
    </w:p>
    <w:p w14:paraId="31C1E73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14:paraId="05AD101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发包人应要求在施工现场的发包人人员遵守法律及有关安全、质量、环境保护、文明施工等规定，因发包人人员未遵守上述要求给承包人造成的损失和责任由发包人承担。</w:t>
      </w:r>
    </w:p>
    <w:p w14:paraId="19C54AB6">
      <w:pPr>
        <w:adjustRightInd w:val="0"/>
        <w:snapToGrid w:val="0"/>
        <w:spacing w:line="360" w:lineRule="auto"/>
        <w:rPr>
          <w:rFonts w:ascii="宋体" w:hAnsi="宋体"/>
          <w:b/>
          <w:color w:val="auto"/>
          <w:sz w:val="24"/>
          <w:highlight w:val="none"/>
        </w:rPr>
      </w:pPr>
      <w:bookmarkStart w:id="1322" w:name="_Toc145081566"/>
      <w:bookmarkStart w:id="1323" w:name="_Toc54862206"/>
      <w:bookmarkStart w:id="1324" w:name="_Toc161228651"/>
      <w:r>
        <w:rPr>
          <w:rFonts w:hint="eastAsia" w:ascii="宋体" w:hAnsi="宋体" w:eastAsia="宋体"/>
          <w:b/>
          <w:color w:val="auto"/>
          <w:sz w:val="24"/>
          <w:highlight w:val="none"/>
        </w:rPr>
        <w:t>3.3工程师</w:t>
      </w:r>
      <w:bookmarkEnd w:id="1322"/>
      <w:bookmarkEnd w:id="1323"/>
      <w:bookmarkEnd w:id="1324"/>
    </w:p>
    <w:p w14:paraId="638A9775">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3.3.1发包人需对承包人的设计、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p>
    <w:p w14:paraId="69247C07">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3.3.2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p>
    <w:p w14:paraId="32ECB2D5">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3.3.3在发包人和承包人之间提供证明、行使决定权或处理权时，工程师应作为独立专业的第三方，根据自己的专业技能和判断进行工作。但工程师或其人员均无权修改合同，且无权减轻或免除合同当事人的任何责任与义务。</w:t>
      </w:r>
    </w:p>
    <w:p w14:paraId="2337C529">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3.3.4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p>
    <w:p w14:paraId="0900A36F">
      <w:pPr>
        <w:adjustRightInd w:val="0"/>
        <w:snapToGrid w:val="0"/>
        <w:spacing w:line="360" w:lineRule="auto"/>
        <w:rPr>
          <w:rFonts w:ascii="宋体" w:hAnsi="宋体"/>
          <w:b/>
          <w:color w:val="auto"/>
          <w:sz w:val="24"/>
          <w:highlight w:val="none"/>
        </w:rPr>
      </w:pPr>
      <w:bookmarkStart w:id="1325" w:name="_Toc161228652"/>
      <w:bookmarkStart w:id="1326" w:name="_Toc145081567"/>
      <w:bookmarkStart w:id="1327" w:name="_Toc54862207"/>
      <w:bookmarkStart w:id="1328" w:name="_Ref531951597"/>
      <w:bookmarkStart w:id="1329" w:name="_Ref531951594"/>
      <w:r>
        <w:rPr>
          <w:rFonts w:hint="eastAsia" w:ascii="宋体" w:hAnsi="宋体" w:eastAsia="宋体"/>
          <w:b/>
          <w:color w:val="auto"/>
          <w:sz w:val="24"/>
          <w:highlight w:val="none"/>
        </w:rPr>
        <w:t>3.4任命和授权</w:t>
      </w:r>
      <w:bookmarkEnd w:id="1325"/>
      <w:bookmarkEnd w:id="1326"/>
      <w:bookmarkEnd w:id="1327"/>
    </w:p>
    <w:p w14:paraId="6C093441">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3.4.1发包人应在发出开始工作通知前将工程师的任命通知承包人。更换工程师的，发包人应提前7天以书面形式通知承包人，并在通知中写明替换者的姓名、职务、职权、权限和任命时间。工程师超过2天不能履行职责的，应委派代表代行其职责，并通知承包人。</w:t>
      </w:r>
    </w:p>
    <w:p w14:paraId="07282693">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3.4.2工程师可以授权其他人员负责执行其指派的一项或多项工作，但第3.6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p>
    <w:p w14:paraId="636AE244">
      <w:pPr>
        <w:adjustRightInd w:val="0"/>
        <w:snapToGrid w:val="0"/>
        <w:spacing w:line="360" w:lineRule="auto"/>
        <w:rPr>
          <w:rFonts w:ascii="宋体" w:hAnsi="宋体"/>
          <w:b/>
          <w:color w:val="auto"/>
          <w:sz w:val="24"/>
          <w:highlight w:val="none"/>
        </w:rPr>
      </w:pPr>
      <w:bookmarkStart w:id="1330" w:name="_Ref20165400"/>
      <w:bookmarkStart w:id="1331" w:name="_Toc54862208"/>
      <w:bookmarkStart w:id="1332" w:name="_Toc145081568"/>
      <w:bookmarkStart w:id="1333" w:name="_Toc161228653"/>
      <w:r>
        <w:rPr>
          <w:rFonts w:hint="eastAsia" w:ascii="宋体" w:hAnsi="宋体" w:eastAsia="宋体"/>
          <w:b/>
          <w:color w:val="auto"/>
          <w:sz w:val="24"/>
          <w:highlight w:val="none"/>
        </w:rPr>
        <w:t>3.5指示</w:t>
      </w:r>
      <w:bookmarkEnd w:id="1328"/>
      <w:bookmarkEnd w:id="1329"/>
      <w:bookmarkEnd w:id="1330"/>
      <w:bookmarkEnd w:id="1331"/>
      <w:bookmarkEnd w:id="1332"/>
      <w:bookmarkEnd w:id="1333"/>
    </w:p>
    <w:p w14:paraId="7B38CE64">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3.5.1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小时内发出书面确认函，在24小时内未发出书面确认函的，该口头指示或临时书面指示应被视为工程师的正式指示。</w:t>
      </w:r>
    </w:p>
    <w:p w14:paraId="7E12CBFB">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3.5.2承包人收到工程师作出的指示后应遵照执行。如果任何此类指示构成一项变更时，应按照第13条[变更与调整]的约定办理。</w:t>
      </w:r>
    </w:p>
    <w:p w14:paraId="4140A20A">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3.5.3由于工程师未能按合同约定发出指示、指示延误或指示错误而导致承包人费用增加和（或）工期延误的，发包人应承担由此增加的费用和（或）工期延误，并向承包人支付合理利润。</w:t>
      </w:r>
    </w:p>
    <w:p w14:paraId="6FD5927E">
      <w:pPr>
        <w:adjustRightInd w:val="0"/>
        <w:snapToGrid w:val="0"/>
        <w:spacing w:line="360" w:lineRule="auto"/>
        <w:rPr>
          <w:rFonts w:ascii="宋体" w:hAnsi="宋体"/>
          <w:b/>
          <w:color w:val="auto"/>
          <w:sz w:val="24"/>
          <w:highlight w:val="none"/>
        </w:rPr>
      </w:pPr>
      <w:bookmarkStart w:id="1334" w:name="_Toc161228654"/>
      <w:bookmarkStart w:id="1335" w:name="_Toc145081569"/>
      <w:bookmarkStart w:id="1336" w:name="_Ref531951611"/>
      <w:bookmarkStart w:id="1337" w:name="_Toc54862209"/>
      <w:bookmarkStart w:id="1338" w:name="_Ref531951609"/>
      <w:r>
        <w:rPr>
          <w:rFonts w:hint="eastAsia" w:ascii="宋体" w:hAnsi="宋体" w:eastAsia="宋体"/>
          <w:b/>
          <w:color w:val="auto"/>
          <w:sz w:val="24"/>
          <w:highlight w:val="none"/>
        </w:rPr>
        <w:t>3.6商定或确定</w:t>
      </w:r>
      <w:bookmarkEnd w:id="1334"/>
      <w:bookmarkEnd w:id="1335"/>
      <w:bookmarkEnd w:id="1336"/>
      <w:bookmarkEnd w:id="1337"/>
      <w:bookmarkEnd w:id="1338"/>
    </w:p>
    <w:p w14:paraId="30FC2484">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3.6.1合同约定工程师应按照本款对任何事项进行商定或确定时，工程师应及时与合同当事人协商，尽量达成一致。工程师应将商定的结果以书面形式通知发包人和承包人，并由双方签署确认。</w:t>
      </w:r>
    </w:p>
    <w:p w14:paraId="17A11B8D">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3.6.2除专用合同条件另有约定外，商定的期限应为工程师收到任何一方就商定事由发出的通知后42天内或工程师提出并经双方同意的其他期限。未能在该期限内达成一致的，由工程师按照合同约定审慎做出公正的确定。确定的期限应为商定的期限届满后42天内或工程师提出并经双方同意的其他期限。工程师应将确定的结果以书面形式通知发包人和承包人，并附详细依据。</w:t>
      </w:r>
    </w:p>
    <w:p w14:paraId="77C07CFE">
      <w:pPr>
        <w:tabs>
          <w:tab w:val="left" w:pos="851"/>
        </w:tabs>
        <w:adjustRightInd w:val="0"/>
        <w:snapToGrid w:val="0"/>
        <w:spacing w:line="360" w:lineRule="auto"/>
        <w:ind w:firstLine="420" w:firstLineChars="200"/>
        <w:rPr>
          <w:rFonts w:ascii="宋体" w:hAnsi="宋体" w:cs="宋体"/>
          <w:color w:val="auto"/>
          <w:highlight w:val="none"/>
        </w:rPr>
      </w:pPr>
      <w:bookmarkStart w:id="1339" w:name="_Ref532287856"/>
      <w:r>
        <w:rPr>
          <w:rFonts w:hint="eastAsia" w:ascii="宋体" w:hAnsi="宋体" w:cs="宋体"/>
          <w:color w:val="auto"/>
          <w:highlight w:val="none"/>
        </w:rPr>
        <w:t>3.6.3任何一方对工程师的确定有异议的，应在收到确定的结果后28天内向另一方发出书面异议通知并抄送工程师。除第19.2款[承包人索赔的处理程序]另有约定外，工程师未能在确定的期限内发出确定的结果通知的，或者任何一方发出对确定的结果有异议的通知的，则构成争议并应按照第20条[争议解决]的约定处理。如未在28天内发出上述通知的，工程师的确定应被视为已被双方接受并对双方具有约束力，但专用合同条件另有约定的除外。</w:t>
      </w:r>
      <w:bookmarkEnd w:id="1339"/>
    </w:p>
    <w:p w14:paraId="4478DE08">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3.6.4在该争议解决前，双方应暂按工程师的确定执行。按照第20条[争议解决]的约定对工程师的确定作出修改的，按修改后的结果执行，由此导致承包人增加的费用和延误的工期由责任方承担。</w:t>
      </w:r>
    </w:p>
    <w:p w14:paraId="4A90AF16">
      <w:pPr>
        <w:adjustRightInd w:val="0"/>
        <w:snapToGrid w:val="0"/>
        <w:spacing w:line="360" w:lineRule="auto"/>
        <w:rPr>
          <w:rFonts w:ascii="宋体" w:hAnsi="宋体"/>
          <w:b/>
          <w:color w:val="auto"/>
          <w:sz w:val="24"/>
          <w:highlight w:val="none"/>
        </w:rPr>
      </w:pPr>
      <w:bookmarkStart w:id="1340" w:name="_Ref531951749"/>
      <w:bookmarkStart w:id="1341" w:name="_Toc161228655"/>
      <w:bookmarkStart w:id="1342" w:name="_Toc54862210"/>
      <w:bookmarkStart w:id="1343" w:name="_Ref531951747"/>
      <w:bookmarkStart w:id="1344" w:name="_Toc145081570"/>
      <w:r>
        <w:rPr>
          <w:rFonts w:hint="eastAsia" w:ascii="宋体" w:hAnsi="宋体" w:eastAsia="宋体"/>
          <w:b/>
          <w:color w:val="auto"/>
          <w:sz w:val="24"/>
          <w:highlight w:val="none"/>
        </w:rPr>
        <w:t>3.7会议</w:t>
      </w:r>
      <w:bookmarkEnd w:id="1340"/>
      <w:bookmarkEnd w:id="1341"/>
      <w:bookmarkEnd w:id="1342"/>
      <w:bookmarkEnd w:id="1343"/>
      <w:bookmarkEnd w:id="1344"/>
    </w:p>
    <w:p w14:paraId="121173AA">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3.7.1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p>
    <w:p w14:paraId="2109CE8D">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3.7.2除专用合同条件另有约定外，发包人应保存每次会议参加人签名的记录，并将会议纪要提供给出席会议的人员。任何根据此类会议以及会议纪要采取的行动应符合本合同的约定。</w:t>
      </w:r>
    </w:p>
    <w:p w14:paraId="111ED0B1">
      <w:pPr>
        <w:adjustRightInd w:val="0"/>
        <w:snapToGrid w:val="0"/>
        <w:spacing w:line="360" w:lineRule="auto"/>
        <w:rPr>
          <w:rFonts w:ascii="黑体" w:hAnsi="黑体" w:eastAsia="黑体"/>
          <w:color w:val="auto"/>
          <w:sz w:val="24"/>
          <w:highlight w:val="none"/>
        </w:rPr>
      </w:pPr>
      <w:bookmarkStart w:id="1345" w:name="_Toc54862211"/>
      <w:bookmarkStart w:id="1346" w:name="_Toc161228656"/>
      <w:bookmarkStart w:id="1347" w:name="_Ref531952805"/>
      <w:r>
        <w:rPr>
          <w:rFonts w:hint="eastAsia" w:ascii="黑体" w:hAnsi="黑体" w:eastAsia="黑体"/>
          <w:color w:val="auto"/>
          <w:sz w:val="24"/>
          <w:highlight w:val="none"/>
        </w:rPr>
        <w:t>第4条 承包人</w:t>
      </w:r>
      <w:bookmarkEnd w:id="1345"/>
      <w:bookmarkEnd w:id="1346"/>
      <w:bookmarkEnd w:id="1347"/>
    </w:p>
    <w:p w14:paraId="21575A67">
      <w:pPr>
        <w:adjustRightInd w:val="0"/>
        <w:snapToGrid w:val="0"/>
        <w:spacing w:line="360" w:lineRule="auto"/>
        <w:rPr>
          <w:rFonts w:ascii="宋体" w:hAnsi="宋体"/>
          <w:b/>
          <w:color w:val="auto"/>
          <w:sz w:val="24"/>
          <w:highlight w:val="none"/>
        </w:rPr>
      </w:pPr>
      <w:bookmarkStart w:id="1348" w:name="_Ref531951958"/>
      <w:bookmarkStart w:id="1349" w:name="_Ref531951941"/>
      <w:bookmarkStart w:id="1350" w:name="_Ref531951975"/>
      <w:bookmarkStart w:id="1351" w:name="_Toc145081572"/>
      <w:bookmarkStart w:id="1352" w:name="_Toc54862212"/>
      <w:bookmarkStart w:id="1353" w:name="_Ref531951945"/>
      <w:bookmarkStart w:id="1354" w:name="_Ref531951961"/>
      <w:bookmarkStart w:id="1355" w:name="_Toc161228657"/>
      <w:r>
        <w:rPr>
          <w:rFonts w:hint="eastAsia" w:ascii="宋体" w:hAnsi="宋体" w:eastAsia="宋体"/>
          <w:b/>
          <w:color w:val="auto"/>
          <w:sz w:val="24"/>
          <w:highlight w:val="none"/>
        </w:rPr>
        <w:t>4.1承包人的一般义务</w:t>
      </w:r>
      <w:bookmarkEnd w:id="1348"/>
      <w:bookmarkEnd w:id="1349"/>
      <w:bookmarkEnd w:id="1350"/>
      <w:bookmarkEnd w:id="1351"/>
      <w:bookmarkEnd w:id="1352"/>
      <w:bookmarkEnd w:id="1353"/>
      <w:bookmarkEnd w:id="1354"/>
      <w:bookmarkEnd w:id="1355"/>
    </w:p>
    <w:p w14:paraId="01BB6FE7">
      <w:pPr>
        <w:adjustRightInd w:val="0"/>
        <w:snapToGrid w:val="0"/>
        <w:spacing w:line="360" w:lineRule="auto"/>
        <w:ind w:firstLine="420" w:firstLineChars="200"/>
        <w:rPr>
          <w:rFonts w:ascii="宋体" w:hAnsi="宋体" w:cs="宋体"/>
          <w:color w:val="auto"/>
          <w:szCs w:val="21"/>
          <w:highlight w:val="none"/>
        </w:rPr>
      </w:pPr>
      <w:bookmarkStart w:id="1356" w:name="_Ref509046929"/>
      <w:r>
        <w:rPr>
          <w:rFonts w:hint="eastAsia" w:ascii="宋体" w:hAnsi="宋体" w:cs="宋体"/>
          <w:color w:val="auto"/>
          <w:szCs w:val="21"/>
          <w:highlight w:val="none"/>
        </w:rPr>
        <w:t>除专用合同条件另有约定外，承包人在履行合同过程中应遵守法律和工程建设标准规范，并履行以下义务：</w:t>
      </w:r>
    </w:p>
    <w:p w14:paraId="574804D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（1）办理法律规定和合同约定由承包人办理的许可和批准，将办理结果书面报送发包人留存，并承担因承包人违反法律或合同约定给发包人造成的任何费用和损失；</w:t>
      </w:r>
    </w:p>
    <w:p w14:paraId="7CFB8D6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（2）按合同约定完成全部工作并在缺陷责任期和保修期内承担缺陷保证责任和保修义务，对工作中的任何缺陷进行整改、完善和修补，使其满足合同约定的目的；</w:t>
      </w:r>
    </w:p>
    <w:p w14:paraId="530CB16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（3）提供合同约定的工程设备和承包人文件，以及为完成合同工作所需的劳务、材料、施工设备和其他物品，并按合同约定负责临时设施的设计、施工、运行、维护、管理和拆除；</w:t>
      </w:r>
    </w:p>
    <w:p w14:paraId="5508E3F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（4）按合同约定的工作内容和进度要求，编制设计、施工的组织和实施计划，保证项目进度计划的实现，并对所有设计、施工作业和施工方法，以及全部工程的完备性和安全可靠性负责；</w:t>
      </w:r>
    </w:p>
    <w:p w14:paraId="4F512B4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（5）按法律规定和合同约定采取安全文明施工、职业健康和环境保护措施，办理员工工伤保险等相关保险，确保工程及人员、材料、设备和设施的安全，防止因工程实施造成的人身伤害和财产损失；</w:t>
      </w:r>
    </w:p>
    <w:p w14:paraId="710A708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（6）将发包人按合同约定支付的各项价款专用于合同工程，且应及时支付其雇用人员（包括建筑工人）工资，并及时向分包人支付合同价款；</w:t>
      </w:r>
    </w:p>
    <w:p w14:paraId="1DE213B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（7）在进行合同约定的各项工作时，不得侵害发包人与他人使用公用道路、水源、市政管网等公共设施的权利，避免对邻近的公共设施产生干扰。</w:t>
      </w:r>
    </w:p>
    <w:p w14:paraId="2C31CD35">
      <w:pPr>
        <w:adjustRightInd w:val="0"/>
        <w:snapToGrid w:val="0"/>
        <w:spacing w:line="360" w:lineRule="auto"/>
        <w:rPr>
          <w:rFonts w:ascii="宋体" w:hAnsi="宋体"/>
          <w:b/>
          <w:color w:val="auto"/>
          <w:sz w:val="24"/>
          <w:highlight w:val="none"/>
        </w:rPr>
      </w:pPr>
      <w:bookmarkStart w:id="1357" w:name="_Toc161228658"/>
      <w:bookmarkStart w:id="1358" w:name="_Ref4426803"/>
      <w:bookmarkStart w:id="1359" w:name="_Toc54862213"/>
      <w:bookmarkStart w:id="1360" w:name="_Toc145081573"/>
      <w:bookmarkStart w:id="1361" w:name="_Ref4428418"/>
      <w:r>
        <w:rPr>
          <w:rFonts w:hint="eastAsia" w:ascii="宋体" w:hAnsi="宋体" w:eastAsia="宋体"/>
          <w:b/>
          <w:color w:val="auto"/>
          <w:sz w:val="24"/>
          <w:highlight w:val="none"/>
        </w:rPr>
        <w:t>4.2履约担保</w:t>
      </w:r>
      <w:bookmarkEnd w:id="1357"/>
      <w:bookmarkEnd w:id="1358"/>
      <w:bookmarkEnd w:id="1359"/>
      <w:bookmarkEnd w:id="1360"/>
    </w:p>
    <w:p w14:paraId="4BDDC92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需要承包人提供履约担保的，由合同当事人在专用合同条件中约定履约担保的方式、金额及提交的时间等，并应符合第2.5款[支付合同价款]的规定。履约担保可以采用银行保函或担保公司担保等形式，承包人为联合体的，其履约担保由联合体各方或者联合体中牵头人的名义代表联合体提交，具体由合同当事人在专用合同条件中约定。</w:t>
      </w:r>
    </w:p>
    <w:p w14:paraId="686A74F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承包人应保证其履约担保在发包人竣工验收前一直有效，发包人应在竣工验收合格后7天内将履约担保款项退还给承包人或者解除履约担保。</w:t>
      </w:r>
    </w:p>
    <w:p w14:paraId="7EF18AC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因承包人原因导致工期延长的，继续提供履约担保所增加的费用由承包人承担；非因承包人原因导致工期延长的，继续提供履约担保所增加的费用由发包人承担。</w:t>
      </w:r>
    </w:p>
    <w:bookmarkEnd w:id="1356"/>
    <w:bookmarkEnd w:id="1361"/>
    <w:p w14:paraId="4A9441AB">
      <w:pPr>
        <w:adjustRightInd w:val="0"/>
        <w:snapToGrid w:val="0"/>
        <w:spacing w:line="360" w:lineRule="auto"/>
        <w:rPr>
          <w:rFonts w:ascii="宋体" w:hAnsi="宋体"/>
          <w:b/>
          <w:color w:val="auto"/>
          <w:sz w:val="24"/>
          <w:highlight w:val="none"/>
        </w:rPr>
      </w:pPr>
      <w:bookmarkStart w:id="1362" w:name="_Toc145081574"/>
      <w:bookmarkStart w:id="1363" w:name="_Toc161228659"/>
      <w:bookmarkStart w:id="1364" w:name="_Toc54862214"/>
      <w:bookmarkStart w:id="1365" w:name="_Ref532689105"/>
      <w:bookmarkStart w:id="1366" w:name="_Ref532689108"/>
      <w:r>
        <w:rPr>
          <w:rFonts w:hint="eastAsia" w:ascii="宋体" w:hAnsi="宋体" w:eastAsia="宋体"/>
          <w:b/>
          <w:color w:val="auto"/>
          <w:sz w:val="24"/>
          <w:highlight w:val="none"/>
        </w:rPr>
        <w:t>4.3工程总承包项目经理</w:t>
      </w:r>
      <w:bookmarkEnd w:id="1362"/>
      <w:bookmarkEnd w:id="1363"/>
      <w:bookmarkEnd w:id="1364"/>
      <w:bookmarkEnd w:id="1365"/>
      <w:bookmarkEnd w:id="1366"/>
    </w:p>
    <w:p w14:paraId="745A1CC2">
      <w:pPr>
        <w:tabs>
          <w:tab w:val="left" w:pos="851"/>
        </w:tabs>
        <w:adjustRightInd w:val="0"/>
        <w:snapToGrid w:val="0"/>
        <w:spacing w:line="360" w:lineRule="auto"/>
        <w:ind w:firstLine="420" w:firstLineChars="200"/>
        <w:rPr>
          <w:rFonts w:ascii="宋体" w:hAnsi="宋体" w:cs="宋体"/>
          <w:color w:val="auto"/>
          <w:highlight w:val="none"/>
        </w:rPr>
      </w:pPr>
      <w:bookmarkStart w:id="1367" w:name="_Ref532351726"/>
      <w:r>
        <w:rPr>
          <w:rFonts w:hint="eastAsia" w:ascii="宋体" w:hAnsi="宋体" w:cs="宋体"/>
          <w:color w:val="auto"/>
          <w:highlight w:val="none"/>
        </w:rPr>
        <w:t>4.3.1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bookmarkEnd w:id="1367"/>
    </w:p>
    <w:p w14:paraId="06D0164C">
      <w:pPr>
        <w:tabs>
          <w:tab w:val="left" w:pos="851"/>
        </w:tabs>
        <w:adjustRightInd w:val="0"/>
        <w:snapToGrid w:val="0"/>
        <w:spacing w:line="360" w:lineRule="auto"/>
        <w:ind w:firstLine="420" w:firstLineChars="200"/>
        <w:rPr>
          <w:rFonts w:ascii="宋体" w:hAnsi="宋体" w:cs="宋体"/>
          <w:color w:val="auto"/>
          <w:highlight w:val="none"/>
        </w:rPr>
      </w:pPr>
      <w:bookmarkStart w:id="1368" w:name="_Ref532689263"/>
      <w:r>
        <w:rPr>
          <w:rFonts w:hint="eastAsia" w:ascii="宋体" w:hAnsi="宋体" w:cs="宋体"/>
          <w:color w:val="auto"/>
          <w:highlight w:val="none"/>
        </w:rPr>
        <w:t>4.3.2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bookmarkEnd w:id="1368"/>
    </w:p>
    <w:p w14:paraId="47C863E4">
      <w:pPr>
        <w:tabs>
          <w:tab w:val="left" w:pos="851"/>
        </w:tabs>
        <w:adjustRightInd w:val="0"/>
        <w:snapToGrid w:val="0"/>
        <w:spacing w:line="360" w:lineRule="auto"/>
        <w:ind w:firstLine="420" w:firstLineChars="200"/>
        <w:rPr>
          <w:rFonts w:ascii="宋体" w:hAnsi="宋体" w:cs="宋体"/>
          <w:color w:val="auto"/>
          <w:highlight w:val="none"/>
        </w:rPr>
      </w:pPr>
      <w:bookmarkStart w:id="1369" w:name="_Ref532689178"/>
      <w:bookmarkStart w:id="1370" w:name="_Ref531952112"/>
      <w:r>
        <w:rPr>
          <w:rFonts w:hint="eastAsia" w:ascii="宋体" w:hAnsi="宋体" w:cs="宋体"/>
          <w:color w:val="auto"/>
          <w:highlight w:val="none"/>
        </w:rPr>
        <w:t>4.3.3承包人应根据本合同的约定授予工程总承包项目经理代表承包人履行合同所需的权利，工程总承包项目经理权限以专用合同条件中约定的权限为准。经承包人授权后，工程总承包项目经理应按合同约定以及工程师按第3.5款[指示]作出的指示，代表承包人负责组织合同的实施。在紧急情况下，且无法与发包人和工程师取得联系时，工程总承包项目经理有权采取必要的措施保证人身、工程和财产的安全，但须在事后48小时内向工程师送交书面报告。</w:t>
      </w:r>
      <w:bookmarkEnd w:id="1369"/>
    </w:p>
    <w:bookmarkEnd w:id="1370"/>
    <w:p w14:paraId="796A7BCD">
      <w:pPr>
        <w:tabs>
          <w:tab w:val="left" w:pos="851"/>
        </w:tabs>
        <w:adjustRightInd w:val="0"/>
        <w:snapToGrid w:val="0"/>
        <w:spacing w:line="360" w:lineRule="auto"/>
        <w:ind w:firstLine="420" w:firstLineChars="200"/>
        <w:rPr>
          <w:rFonts w:ascii="宋体" w:hAnsi="宋体" w:cs="宋体"/>
          <w:color w:val="auto"/>
          <w:highlight w:val="none"/>
        </w:rPr>
      </w:pPr>
      <w:bookmarkStart w:id="1371" w:name="_Ref4426412"/>
      <w:r>
        <w:rPr>
          <w:rFonts w:hint="eastAsia" w:ascii="宋体" w:hAnsi="宋体" w:cs="宋体"/>
          <w:color w:val="auto"/>
          <w:highlight w:val="none"/>
        </w:rPr>
        <w:t>4.3.4承包人需要更换工程总承包项目经理的，应提前14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w:t>
      </w:r>
      <w:bookmarkStart w:id="1372" w:name="_Hlk55056591"/>
      <w:r>
        <w:rPr>
          <w:rFonts w:hint="eastAsia" w:ascii="宋体" w:hAnsi="宋体" w:cs="宋体"/>
          <w:color w:val="auto"/>
          <w:highlight w:val="none"/>
        </w:rPr>
        <w:t>应按照专用合同条件的约定承担违约责任。</w:t>
      </w:r>
      <w:bookmarkEnd w:id="1371"/>
      <w:bookmarkEnd w:id="1372"/>
    </w:p>
    <w:p w14:paraId="6E3BA62E">
      <w:pPr>
        <w:tabs>
          <w:tab w:val="left" w:pos="851"/>
        </w:tabs>
        <w:adjustRightInd w:val="0"/>
        <w:snapToGrid w:val="0"/>
        <w:spacing w:line="360" w:lineRule="auto"/>
        <w:ind w:firstLine="420" w:firstLineChars="200"/>
        <w:rPr>
          <w:rFonts w:ascii="宋体" w:hAnsi="宋体" w:cs="宋体"/>
          <w:color w:val="auto"/>
          <w:highlight w:val="none"/>
        </w:rPr>
      </w:pPr>
      <w:bookmarkStart w:id="1373" w:name="_Ref531952137"/>
      <w:r>
        <w:rPr>
          <w:rFonts w:hint="eastAsia" w:ascii="宋体" w:hAnsi="宋体" w:cs="宋体"/>
          <w:color w:val="auto"/>
          <w:highlight w:val="none"/>
        </w:rPr>
        <w:t>4.3.5发包人有权书面通知承包人要求更换其认为不称职的工程总承包项目经理，通知中应当载明要求更换的理由。承包人应在接到更换通知后14天内向发包人提出书面的改进报告。如承包人没有提出改进报告，应在收到更换通知后28天内更换项目经理。发包人收到改进报告后仍要求更换的，承包人应在接到第二次更换通知的28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bookmarkEnd w:id="1373"/>
    </w:p>
    <w:p w14:paraId="79F7804C">
      <w:pPr>
        <w:tabs>
          <w:tab w:val="left" w:pos="851"/>
        </w:tabs>
        <w:adjustRightInd w:val="0"/>
        <w:snapToGrid w:val="0"/>
        <w:spacing w:line="360" w:lineRule="auto"/>
        <w:ind w:firstLine="420" w:firstLineChars="200"/>
        <w:rPr>
          <w:rFonts w:ascii="宋体" w:hAnsi="宋体" w:cs="宋体"/>
          <w:color w:val="auto"/>
          <w:highlight w:val="none"/>
        </w:rPr>
      </w:pPr>
      <w:bookmarkStart w:id="1374" w:name="_Ref122620"/>
      <w:r>
        <w:rPr>
          <w:rFonts w:hint="eastAsia" w:ascii="宋体" w:hAnsi="宋体" w:cs="宋体"/>
          <w:color w:val="auto"/>
          <w:highlight w:val="none"/>
        </w:rPr>
        <w:t>4.3.6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bookmarkEnd w:id="1374"/>
    </w:p>
    <w:p w14:paraId="17EE11B9">
      <w:pPr>
        <w:adjustRightInd w:val="0"/>
        <w:snapToGrid w:val="0"/>
        <w:spacing w:line="360" w:lineRule="auto"/>
        <w:rPr>
          <w:rFonts w:ascii="宋体" w:hAnsi="宋体"/>
          <w:b/>
          <w:color w:val="auto"/>
          <w:sz w:val="24"/>
          <w:highlight w:val="none"/>
        </w:rPr>
      </w:pPr>
      <w:bookmarkStart w:id="1375" w:name="_Ref531952175"/>
      <w:bookmarkStart w:id="1376" w:name="_Toc145081575"/>
      <w:bookmarkStart w:id="1377" w:name="_Toc54862215"/>
      <w:bookmarkStart w:id="1378" w:name="_Ref531952172"/>
      <w:bookmarkStart w:id="1379" w:name="_Toc161228660"/>
      <w:r>
        <w:rPr>
          <w:rFonts w:hint="eastAsia" w:ascii="宋体" w:hAnsi="宋体" w:eastAsia="宋体"/>
          <w:b/>
          <w:color w:val="auto"/>
          <w:sz w:val="24"/>
          <w:highlight w:val="none"/>
        </w:rPr>
        <w:t>4.4承包人人员</w:t>
      </w:r>
      <w:bookmarkEnd w:id="1375"/>
      <w:bookmarkEnd w:id="1376"/>
      <w:bookmarkEnd w:id="1377"/>
      <w:bookmarkEnd w:id="1378"/>
      <w:bookmarkEnd w:id="1379"/>
    </w:p>
    <w:p w14:paraId="01B61245">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380" w:name="_Ref531952185"/>
      <w:r>
        <w:rPr>
          <w:rFonts w:hint="eastAsia" w:ascii="宋体" w:hAnsi="宋体" w:cs="宋体"/>
          <w:color w:val="auto"/>
          <w:kern w:val="0"/>
          <w:szCs w:val="20"/>
          <w:highlight w:val="none"/>
          <w:lang w:bidi="ar"/>
        </w:rPr>
        <w:t>4.4.1人员安排</w:t>
      </w:r>
      <w:bookmarkEnd w:id="1380"/>
    </w:p>
    <w:p w14:paraId="0CD5827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人员的资质、数量、配置和管理应能满足工程实施的需要。除专用合同条件另有约定外，承包人应在接到开始工作通知之日起14天内，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14:paraId="71CC5D7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关键人员</w:t>
      </w:r>
      <w:bookmarkStart w:id="1381" w:name="_Hlk16210335"/>
      <w:r>
        <w:rPr>
          <w:rFonts w:hint="eastAsia" w:ascii="宋体" w:hAnsi="宋体" w:cs="宋体"/>
          <w:color w:val="auto"/>
          <w:szCs w:val="21"/>
          <w:highlight w:val="none"/>
        </w:rPr>
        <w:t>是发包人及承包人一致认为对工程建设起重要作用的承包人主要管理人员或技术人员。关键人员的具体范围由发包人及承包人在附件5[承包人主要管理人员表]中另行约定。</w:t>
      </w:r>
    </w:p>
    <w:bookmarkEnd w:id="1381"/>
    <w:p w14:paraId="40F9C092">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382" w:name="_Ref4426641"/>
      <w:bookmarkStart w:id="1383" w:name="_Ref531952211"/>
      <w:r>
        <w:rPr>
          <w:rFonts w:hint="eastAsia" w:ascii="宋体" w:hAnsi="宋体" w:cs="宋体"/>
          <w:color w:val="auto"/>
          <w:kern w:val="0"/>
          <w:szCs w:val="20"/>
          <w:highlight w:val="none"/>
          <w:lang w:bidi="ar"/>
        </w:rPr>
        <w:t>4.4.2关键人员更换</w:t>
      </w:r>
      <w:bookmarkEnd w:id="1382"/>
      <w:bookmarkEnd w:id="1383"/>
    </w:p>
    <w:p w14:paraId="081A0B4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派驻到施工现场的关键人员应相对稳定。承包人更换关键人员时，应提前14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14:paraId="0663DEC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14:paraId="0AE66442">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384" w:name="_Ref531952227"/>
      <w:r>
        <w:rPr>
          <w:rFonts w:hint="eastAsia" w:ascii="宋体" w:hAnsi="宋体" w:cs="宋体"/>
          <w:color w:val="auto"/>
          <w:kern w:val="0"/>
          <w:szCs w:val="20"/>
          <w:highlight w:val="none"/>
          <w:lang w:bidi="ar"/>
        </w:rPr>
        <w:t>4.4.3现场管理关键人员在岗要求</w:t>
      </w:r>
      <w:bookmarkEnd w:id="1384"/>
    </w:p>
    <w:p w14:paraId="6F74C61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承包人的现场管理关键人员离开施工现场每月累计不超过7天的，应报工程师同意；离开施工现场每月累计超过7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14:paraId="4EEA9E32">
      <w:pPr>
        <w:adjustRightInd w:val="0"/>
        <w:snapToGrid w:val="0"/>
        <w:spacing w:line="360" w:lineRule="auto"/>
        <w:rPr>
          <w:rFonts w:ascii="宋体" w:hAnsi="宋体"/>
          <w:b/>
          <w:color w:val="auto"/>
          <w:sz w:val="24"/>
          <w:highlight w:val="none"/>
        </w:rPr>
      </w:pPr>
      <w:bookmarkStart w:id="1385" w:name="_Toc161228661"/>
      <w:bookmarkStart w:id="1386" w:name="_Toc54862216"/>
      <w:bookmarkStart w:id="1387" w:name="_Ref531952262"/>
      <w:bookmarkStart w:id="1388" w:name="_Toc145081576"/>
      <w:bookmarkStart w:id="1389" w:name="_Ref531952259"/>
      <w:r>
        <w:rPr>
          <w:rFonts w:hint="eastAsia" w:ascii="宋体" w:hAnsi="宋体" w:eastAsia="宋体"/>
          <w:b/>
          <w:color w:val="auto"/>
          <w:sz w:val="24"/>
          <w:highlight w:val="none"/>
        </w:rPr>
        <w:t>4.5分包</w:t>
      </w:r>
      <w:bookmarkEnd w:id="1385"/>
      <w:bookmarkEnd w:id="1386"/>
      <w:bookmarkEnd w:id="1387"/>
      <w:bookmarkEnd w:id="1388"/>
      <w:bookmarkEnd w:id="1389"/>
    </w:p>
    <w:p w14:paraId="5C29C975">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390" w:name="_Ref531952273"/>
      <w:r>
        <w:rPr>
          <w:rFonts w:hint="eastAsia" w:ascii="宋体" w:hAnsi="宋体" w:cs="宋体"/>
          <w:color w:val="auto"/>
          <w:kern w:val="0"/>
          <w:szCs w:val="20"/>
          <w:highlight w:val="none"/>
          <w:lang w:bidi="ar"/>
        </w:rPr>
        <w:t>4.5.1一般约定</w:t>
      </w:r>
      <w:bookmarkEnd w:id="1390"/>
    </w:p>
    <w:p w14:paraId="2E0A9DB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承包人不得将其承包的全部工程转包给第三人，或将其承包的全部工程</w:t>
      </w:r>
      <w:r>
        <w:rPr>
          <w:rFonts w:hint="eastAsia" w:ascii="宋体" w:hAnsi="宋体" w:cs="宋体"/>
          <w:color w:val="auto"/>
          <w:szCs w:val="21"/>
          <w:highlight w:val="none"/>
          <w:lang w:eastAsia="zh-CN"/>
        </w:rPr>
        <w:t>肢解</w:t>
      </w:r>
      <w:r>
        <w:rPr>
          <w:rFonts w:hint="eastAsia" w:ascii="宋体" w:hAnsi="宋体" w:cs="宋体"/>
          <w:color w:val="auto"/>
          <w:szCs w:val="21"/>
          <w:highlight w:val="none"/>
        </w:rPr>
        <w:t>后以分包的名义转包给第三人。承包人不得将法律或专用合同条件中禁止分包的工作事项分包给第三人，不得以劳务分包的名义转包或违法分包工程。</w:t>
      </w:r>
    </w:p>
    <w:p w14:paraId="4A47D1AE">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391" w:name="_Ref531952286"/>
      <w:r>
        <w:rPr>
          <w:rFonts w:hint="eastAsia" w:ascii="宋体" w:hAnsi="宋体" w:cs="宋体"/>
          <w:color w:val="auto"/>
          <w:kern w:val="0"/>
          <w:szCs w:val="20"/>
          <w:highlight w:val="none"/>
          <w:lang w:bidi="ar"/>
        </w:rPr>
        <w:t>4.5.2分包的确定</w:t>
      </w:r>
      <w:bookmarkEnd w:id="1391"/>
    </w:p>
    <w:p w14:paraId="309B6AA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承包人应按照专用合同条件约定对工作事项进行分包，确定分包人。</w:t>
      </w:r>
    </w:p>
    <w:p w14:paraId="54A8C01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专用合同条件未列出的分包事项，承包人可在工程实施阶段分批分期就分包事项向发包人提交申请，发包人在接到分包事项申请后的14天内，予以批准或提出意见。未经发包人同意，承包人不得将提出的拟分包事项对外分包。发包人未能在14天内批准亦未提出意见的，承包人有权将提出的拟分包事项对外分包，但应在分包人确定后通知发包人。</w:t>
      </w:r>
    </w:p>
    <w:p w14:paraId="6067958B">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4.5.3分包人资质</w:t>
      </w:r>
    </w:p>
    <w:p w14:paraId="6804134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分包人应符合国家法律规定的资质等级，否则不能作为分包人。承包人有义务对分包人的资质进行审查。</w:t>
      </w:r>
    </w:p>
    <w:p w14:paraId="366BACFB">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4.5.4分包管理</w:t>
      </w:r>
    </w:p>
    <w:p w14:paraId="11C9D27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14:paraId="1EF4FA6D">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392" w:name="_Ref531952298"/>
      <w:r>
        <w:rPr>
          <w:rFonts w:hint="eastAsia" w:ascii="宋体" w:hAnsi="宋体" w:cs="宋体"/>
          <w:color w:val="auto"/>
          <w:kern w:val="0"/>
          <w:szCs w:val="20"/>
          <w:highlight w:val="none"/>
          <w:lang w:bidi="ar"/>
        </w:rPr>
        <w:t>4.5.5分包合同价款支付</w:t>
      </w:r>
      <w:bookmarkEnd w:id="1392"/>
    </w:p>
    <w:p w14:paraId="2C1EE04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（1）除本项第（2）目约定的情况或专用合同条件另有约定外，分包合同价款由承包人与分包人结算，未经承包人同意，发包人不得向分包人支付分包合同价款；</w:t>
      </w:r>
    </w:p>
    <w:p w14:paraId="37B9A145">
      <w:pPr>
        <w:adjustRightInd w:val="0"/>
        <w:snapToGrid w:val="0"/>
        <w:spacing w:line="360" w:lineRule="auto"/>
        <w:ind w:firstLine="420" w:firstLineChars="200"/>
        <w:rPr>
          <w:rFonts w:ascii="宋体" w:hAnsi="宋体" w:cs="宋体"/>
          <w:color w:val="auto"/>
          <w:szCs w:val="21"/>
          <w:highlight w:val="none"/>
        </w:rPr>
      </w:pPr>
      <w:bookmarkStart w:id="1393" w:name="_Ref4613798"/>
      <w:r>
        <w:rPr>
          <w:rFonts w:hint="eastAsia" w:ascii="宋体" w:hAnsi="宋体" w:cs="宋体"/>
          <w:color w:val="auto"/>
          <w:szCs w:val="21"/>
          <w:highlight w:val="none"/>
        </w:rPr>
        <w:t>（2）生效法律文书要求发包人向分包人支付分包合同价款的，发包人有权从应付承包人工程款中扣除该部分款项</w:t>
      </w:r>
      <w:bookmarkEnd w:id="1393"/>
      <w:r>
        <w:rPr>
          <w:rFonts w:hint="eastAsia" w:ascii="宋体" w:hAnsi="宋体" w:cs="宋体"/>
          <w:color w:val="auto"/>
          <w:szCs w:val="21"/>
          <w:highlight w:val="none"/>
        </w:rPr>
        <w:t>，将扣款直接支付给分包人，并书面通知承包人。</w:t>
      </w:r>
    </w:p>
    <w:p w14:paraId="1149FC73">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4.5.6责任承担</w:t>
      </w:r>
    </w:p>
    <w:p w14:paraId="5BEB3FE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承包人对分包人的行为向发包人负责，承包人和分包人就分包工作向发包人承担连带责任。</w:t>
      </w:r>
    </w:p>
    <w:p w14:paraId="11BFA9A9">
      <w:pPr>
        <w:adjustRightInd w:val="0"/>
        <w:snapToGrid w:val="0"/>
        <w:spacing w:line="360" w:lineRule="auto"/>
        <w:rPr>
          <w:rFonts w:ascii="宋体" w:hAnsi="宋体"/>
          <w:b/>
          <w:color w:val="auto"/>
          <w:sz w:val="24"/>
          <w:highlight w:val="none"/>
        </w:rPr>
      </w:pPr>
      <w:bookmarkStart w:id="1394" w:name="_Toc161228662"/>
      <w:bookmarkStart w:id="1395" w:name="_Toc54862217"/>
      <w:bookmarkStart w:id="1396" w:name="_Toc145081577"/>
      <w:bookmarkStart w:id="1397" w:name="_Ref4426916"/>
      <w:bookmarkStart w:id="1398" w:name="_Ref531952321"/>
      <w:bookmarkStart w:id="1399" w:name="_Ref4768805"/>
      <w:bookmarkStart w:id="1400" w:name="_Ref531952317"/>
      <w:r>
        <w:rPr>
          <w:rFonts w:hint="eastAsia" w:ascii="宋体" w:hAnsi="宋体" w:eastAsia="宋体"/>
          <w:b/>
          <w:color w:val="auto"/>
          <w:sz w:val="24"/>
          <w:highlight w:val="none"/>
        </w:rPr>
        <w:t>4.6联合体</w:t>
      </w:r>
      <w:bookmarkEnd w:id="1394"/>
      <w:bookmarkEnd w:id="1395"/>
      <w:bookmarkEnd w:id="1396"/>
      <w:bookmarkEnd w:id="1397"/>
    </w:p>
    <w:p w14:paraId="47FFF250">
      <w:pPr>
        <w:tabs>
          <w:tab w:val="left" w:pos="851"/>
        </w:tabs>
        <w:adjustRightInd w:val="0"/>
        <w:snapToGrid w:val="0"/>
        <w:spacing w:line="360" w:lineRule="auto"/>
        <w:ind w:firstLine="420" w:firstLineChars="200"/>
        <w:rPr>
          <w:rFonts w:ascii="宋体" w:hAnsi="宋体" w:cs="宋体"/>
          <w:color w:val="auto"/>
          <w:highlight w:val="none"/>
        </w:rPr>
      </w:pPr>
      <w:bookmarkStart w:id="1401" w:name="_Hlk16235129"/>
      <w:r>
        <w:rPr>
          <w:rFonts w:hint="eastAsia" w:ascii="宋体" w:hAnsi="宋体" w:cs="宋体"/>
          <w:color w:val="auto"/>
          <w:highlight w:val="none"/>
        </w:rPr>
        <w:t>4.6.1经发包人同意，</w:t>
      </w:r>
      <w:bookmarkEnd w:id="1401"/>
      <w:r>
        <w:rPr>
          <w:rFonts w:hint="eastAsia" w:ascii="宋体" w:hAnsi="宋体" w:cs="宋体"/>
          <w:color w:val="auto"/>
          <w:highlight w:val="none"/>
        </w:rPr>
        <w:t>以联合体方式承包工程的，联合体各方应共同与发包人订立合同协议书。联合体各方应为履行合同向发包人承担连带责任。</w:t>
      </w:r>
    </w:p>
    <w:p w14:paraId="4D5DB597">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4.6.2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p>
    <w:p w14:paraId="41FAB149">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4.6.3联合体协议经发包人确认后作为合同附件。在履行合同过程中，未经发包人同意，不得变更联合体成员和其负责的工作范围，或者修改联合体协议中与本合同履行相关的内容。</w:t>
      </w:r>
    </w:p>
    <w:p w14:paraId="2881E8A9">
      <w:pPr>
        <w:adjustRightInd w:val="0"/>
        <w:snapToGrid w:val="0"/>
        <w:spacing w:line="360" w:lineRule="auto"/>
        <w:rPr>
          <w:rFonts w:ascii="宋体" w:hAnsi="宋体"/>
          <w:b/>
          <w:color w:val="auto"/>
          <w:sz w:val="24"/>
          <w:highlight w:val="none"/>
        </w:rPr>
      </w:pPr>
      <w:bookmarkStart w:id="1402" w:name="_Toc161228663"/>
      <w:bookmarkStart w:id="1403" w:name="_Toc145081578"/>
      <w:bookmarkStart w:id="1404" w:name="_Ref11926631"/>
      <w:bookmarkStart w:id="1405" w:name="_Ref11926629"/>
      <w:bookmarkStart w:id="1406" w:name="_Toc54862218"/>
      <w:r>
        <w:rPr>
          <w:rFonts w:hint="eastAsia" w:ascii="宋体" w:hAnsi="宋体" w:eastAsia="宋体"/>
          <w:b/>
          <w:color w:val="auto"/>
          <w:sz w:val="24"/>
          <w:highlight w:val="none"/>
        </w:rPr>
        <w:t>4.7承包人现场查勘</w:t>
      </w:r>
      <w:bookmarkEnd w:id="1402"/>
      <w:bookmarkEnd w:id="1403"/>
      <w:bookmarkEnd w:id="1404"/>
      <w:bookmarkEnd w:id="1405"/>
      <w:bookmarkEnd w:id="1406"/>
    </w:p>
    <w:p w14:paraId="2562C816">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4.7.1除专用合同条件另有约定外，承包人应对基于发包人提交的基础资料所做出的解释和推断负责，因基础资料存在错误、遗漏导致承包人解释或推断失实的，按照第2.3项[提供基础资料]的规定承担责任。承包人发现基础资料中存在明显错误或疏忽的，应及时书面通知发包人。</w:t>
      </w:r>
    </w:p>
    <w:p w14:paraId="66FE0392">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4.7.2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4.8款[不可预见的困难]约定的情形除外。</w:t>
      </w:r>
    </w:p>
    <w:p w14:paraId="219F0AA1">
      <w:pPr>
        <w:adjustRightInd w:val="0"/>
        <w:snapToGrid w:val="0"/>
        <w:spacing w:line="360" w:lineRule="auto"/>
        <w:rPr>
          <w:rFonts w:ascii="宋体" w:hAnsi="宋体"/>
          <w:b/>
          <w:color w:val="auto"/>
          <w:sz w:val="24"/>
          <w:highlight w:val="none"/>
        </w:rPr>
      </w:pPr>
      <w:bookmarkStart w:id="1407" w:name="_Ref11918693"/>
      <w:bookmarkStart w:id="1408" w:name="_Ref11918789"/>
      <w:bookmarkStart w:id="1409" w:name="不可预见的困难"/>
      <w:bookmarkStart w:id="1410" w:name="_Toc161228664"/>
      <w:bookmarkStart w:id="1411" w:name="_Toc145081579"/>
      <w:bookmarkStart w:id="1412" w:name="_Ref11918626"/>
      <w:bookmarkStart w:id="1413" w:name="_Toc54862219"/>
      <w:r>
        <w:rPr>
          <w:rFonts w:hint="eastAsia" w:ascii="宋体" w:hAnsi="宋体" w:eastAsia="宋体"/>
          <w:b/>
          <w:color w:val="auto"/>
          <w:sz w:val="24"/>
          <w:highlight w:val="none"/>
        </w:rPr>
        <w:t>4.8不可预见的困难</w:t>
      </w:r>
      <w:bookmarkEnd w:id="1398"/>
      <w:bookmarkEnd w:id="1399"/>
      <w:bookmarkEnd w:id="1400"/>
      <w:bookmarkEnd w:id="1407"/>
      <w:bookmarkEnd w:id="1408"/>
      <w:bookmarkEnd w:id="1409"/>
      <w:bookmarkEnd w:id="1410"/>
      <w:bookmarkEnd w:id="1411"/>
      <w:bookmarkEnd w:id="1412"/>
      <w:bookmarkEnd w:id="1413"/>
    </w:p>
    <w:p w14:paraId="50C97FF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不可预见的困难是指有经验的承包人在施工现场遇到的不可预见的自然物质条件、非自然的物质障碍和污染物，包括地表以下物质条件和水文条件以及专用合同条件约定的其他情形，但不包括气候条件。</w:t>
      </w:r>
    </w:p>
    <w:p w14:paraId="021099C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13条[变更与调整]约定执行。承包人因采取合理措施而增加的费用和（或）延误的工期由发包人承担。</w:t>
      </w:r>
    </w:p>
    <w:p w14:paraId="1AC9525E">
      <w:pPr>
        <w:adjustRightInd w:val="0"/>
        <w:snapToGrid w:val="0"/>
        <w:spacing w:line="360" w:lineRule="auto"/>
        <w:rPr>
          <w:rFonts w:ascii="宋体" w:hAnsi="宋体"/>
          <w:b/>
          <w:color w:val="auto"/>
          <w:sz w:val="24"/>
          <w:highlight w:val="none"/>
        </w:rPr>
      </w:pPr>
      <w:bookmarkStart w:id="1414" w:name="_Toc161228665"/>
      <w:bookmarkStart w:id="1415" w:name="_Toc145081580"/>
      <w:bookmarkStart w:id="1416" w:name="_Ref11926570"/>
      <w:bookmarkStart w:id="1417" w:name="_Toc54862220"/>
      <w:bookmarkStart w:id="1418" w:name="_Ref11926566"/>
      <w:r>
        <w:rPr>
          <w:rFonts w:hint="eastAsia" w:ascii="宋体" w:hAnsi="宋体" w:eastAsia="宋体"/>
          <w:b/>
          <w:color w:val="auto"/>
          <w:sz w:val="24"/>
          <w:highlight w:val="none"/>
        </w:rPr>
        <w:t>4.9工程质量管理</w:t>
      </w:r>
      <w:bookmarkEnd w:id="1414"/>
      <w:bookmarkEnd w:id="1415"/>
      <w:bookmarkEnd w:id="1416"/>
      <w:bookmarkEnd w:id="1417"/>
      <w:bookmarkEnd w:id="1418"/>
    </w:p>
    <w:p w14:paraId="3357FC49">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4.9.1承包人应按合同约定的质量标准规范，建立有效的质量管理系统，确保设计、采购、加工制造、施工、竣工试验等各项工作的质量，并按照国家有关规定，通过质量保修责任书的形式约定保修范围、保修期限和保修责任。</w:t>
      </w:r>
    </w:p>
    <w:p w14:paraId="5BEF0D6C">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4.9.2承包人按照第8.4款[项目进度计划]约定向工程师提交工程质量保证体系及措施文件，建立完善的质量检查制度，并提交相应的工程质量文件。对于发包人和工程师违反法律规定和合同约定的错误指示，承包人有权拒绝实施。</w:t>
      </w:r>
    </w:p>
    <w:p w14:paraId="12A1278B">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4.9.3承包人应对其人员进行质量教育和技术培训，定期考核人员的劳动技能，严格执行相关规范和操作规程。</w:t>
      </w:r>
    </w:p>
    <w:p w14:paraId="39AA4831">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4.9.4承包人应按照法律规定和合同约定，对设计、材料、工程设备以及全部工程内容及其施工工艺进行全过程的质量检查和检验，并</w:t>
      </w:r>
      <w:r>
        <w:rPr>
          <w:rFonts w:hint="eastAsia" w:ascii="宋体" w:hAnsi="宋体" w:cs="宋体"/>
          <w:color w:val="auto"/>
          <w:highlight w:val="none"/>
          <w:lang w:val="en-US" w:eastAsia="zh-CN"/>
        </w:rPr>
        <w:t>做</w:t>
      </w:r>
      <w:r>
        <w:rPr>
          <w:rFonts w:hint="eastAsia" w:ascii="宋体" w:hAnsi="宋体" w:cs="宋体"/>
          <w:color w:val="auto"/>
          <w:highlight w:val="none"/>
        </w:rPr>
        <w:t>详细记录，编制工程质量报表，报送工程师审查。此外，承包人还应按照法律规定和合同约定，进行施工现场取样试验、工程复核测量和设备性能检测，提供试验样品、提交试验报告和测量成果以及其他工作。</w:t>
      </w:r>
    </w:p>
    <w:p w14:paraId="57790B12">
      <w:pPr>
        <w:adjustRightInd w:val="0"/>
        <w:snapToGrid w:val="0"/>
        <w:spacing w:line="360" w:lineRule="auto"/>
        <w:rPr>
          <w:rFonts w:ascii="黑体" w:hAnsi="黑体" w:eastAsia="黑体"/>
          <w:color w:val="auto"/>
          <w:sz w:val="24"/>
          <w:highlight w:val="none"/>
        </w:rPr>
      </w:pPr>
      <w:bookmarkStart w:id="1419" w:name="_Toc161228666"/>
      <w:bookmarkStart w:id="1420" w:name="_Ref531952837"/>
      <w:bookmarkStart w:id="1421" w:name="_Toc54862221"/>
      <w:r>
        <w:rPr>
          <w:rFonts w:hint="eastAsia" w:ascii="黑体" w:hAnsi="黑体" w:eastAsia="黑体"/>
          <w:color w:val="auto"/>
          <w:sz w:val="24"/>
          <w:highlight w:val="none"/>
        </w:rPr>
        <w:t>第5条 设计</w:t>
      </w:r>
      <w:bookmarkEnd w:id="1419"/>
      <w:bookmarkEnd w:id="1420"/>
      <w:bookmarkEnd w:id="1421"/>
    </w:p>
    <w:p w14:paraId="7D56F018">
      <w:pPr>
        <w:adjustRightInd w:val="0"/>
        <w:snapToGrid w:val="0"/>
        <w:spacing w:line="360" w:lineRule="auto"/>
        <w:rPr>
          <w:rFonts w:ascii="宋体" w:hAnsi="宋体"/>
          <w:b/>
          <w:color w:val="auto"/>
          <w:sz w:val="24"/>
          <w:highlight w:val="none"/>
        </w:rPr>
      </w:pPr>
      <w:bookmarkStart w:id="1422" w:name="_Ref531952863"/>
      <w:bookmarkStart w:id="1423" w:name="_Ref531952860"/>
      <w:bookmarkStart w:id="1424" w:name="_Toc145081582"/>
      <w:bookmarkStart w:id="1425" w:name="_Toc161228667"/>
      <w:bookmarkStart w:id="1426" w:name="_Toc54862222"/>
      <w:r>
        <w:rPr>
          <w:rFonts w:hint="eastAsia" w:ascii="宋体" w:hAnsi="宋体" w:eastAsia="宋体"/>
          <w:b/>
          <w:color w:val="auto"/>
          <w:sz w:val="24"/>
          <w:highlight w:val="none"/>
        </w:rPr>
        <w:t>5.1承包人的设计义务</w:t>
      </w:r>
      <w:bookmarkEnd w:id="1422"/>
      <w:bookmarkEnd w:id="1423"/>
      <w:bookmarkEnd w:id="1424"/>
      <w:bookmarkEnd w:id="1425"/>
      <w:bookmarkEnd w:id="1426"/>
    </w:p>
    <w:p w14:paraId="40470625">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427" w:name="_Ref531952881"/>
      <w:r>
        <w:rPr>
          <w:rFonts w:hint="eastAsia" w:ascii="宋体" w:hAnsi="宋体" w:cs="宋体"/>
          <w:color w:val="auto"/>
          <w:kern w:val="0"/>
          <w:szCs w:val="20"/>
          <w:highlight w:val="none"/>
          <w:lang w:bidi="ar"/>
        </w:rPr>
        <w:t>5.1.1设计义务的一般要求</w:t>
      </w:r>
      <w:bookmarkEnd w:id="1427"/>
    </w:p>
    <w:p w14:paraId="5B171E2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当按照法律规定，国家、行业和地方的规范和标准，以及《发包人要求》和合同约定完成设计工作和设计相关的其他服务，并对工程的设计负责。承包人应根据工程实施的需要及时向发包人和工程师说明设计文件的意图，解释设计文件。</w:t>
      </w:r>
    </w:p>
    <w:p w14:paraId="0B39E678">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428" w:name="_Ref531952952"/>
      <w:bookmarkStart w:id="1429" w:name="_Ref531952899"/>
      <w:r>
        <w:rPr>
          <w:rFonts w:hint="eastAsia" w:ascii="宋体" w:hAnsi="宋体" w:cs="宋体"/>
          <w:color w:val="auto"/>
          <w:kern w:val="0"/>
          <w:szCs w:val="20"/>
          <w:highlight w:val="none"/>
          <w:lang w:bidi="ar"/>
        </w:rPr>
        <w:t>5.1.2对设计人员的要求</w:t>
      </w:r>
      <w:bookmarkEnd w:id="1428"/>
    </w:p>
    <w:p w14:paraId="49160CE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保证其或其设计分包人的设计资质在合同有效期内满足法律法规、行业标准或合同约定的相关要求，并指派符合法律法规、行业标准或合同约定的资质要求并具有从事设计所必需的经验与能力的设计人员完成设计工作。承包人应保证其设计人员（包括分包人的设计人员）在合同期限内，都能按时参加发包人或工程师组织的工作会议。</w:t>
      </w:r>
    </w:p>
    <w:bookmarkEnd w:id="1429"/>
    <w:p w14:paraId="23E7C16B">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5.1.3法律和标准的变化</w:t>
      </w:r>
    </w:p>
    <w:p w14:paraId="1D6D690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合同另有约定外，承包人完成设计工作所应遵守的法律规定，以及国家、行业和地方的规范和标准，均应视为在基准日期适用的版本。基准日期之后，前述版本发生重大变化，或者有新的法律，以及国家、行业和地方的规范和标准实施的，承包人应向工程师提出遵守新规定的建议。发包人或其委托的工程师应在收到建议后7天内发出是否遵守新规定的指示。如果该项建议构成变更的，按照第13.2款[承包人的合理化建议]的约定执行。</w:t>
      </w:r>
    </w:p>
    <w:p w14:paraId="58FA797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在基准日期之后，因国家颁布新的强制性规范、标准导致承包人的费用变化的，发包人应合理调整合同价格；导致工期延误的，发包人应合理延长工期。</w:t>
      </w:r>
    </w:p>
    <w:p w14:paraId="185A0261">
      <w:pPr>
        <w:adjustRightInd w:val="0"/>
        <w:snapToGrid w:val="0"/>
        <w:spacing w:line="360" w:lineRule="auto"/>
        <w:rPr>
          <w:rFonts w:ascii="宋体" w:hAnsi="宋体"/>
          <w:b/>
          <w:color w:val="auto"/>
          <w:sz w:val="24"/>
          <w:highlight w:val="none"/>
        </w:rPr>
      </w:pPr>
      <w:bookmarkStart w:id="1430" w:name="_Ref531953054"/>
      <w:bookmarkStart w:id="1431" w:name="_Ref531953051"/>
      <w:bookmarkStart w:id="1432" w:name="_Toc161228668"/>
      <w:bookmarkStart w:id="1433" w:name="_Toc145081583"/>
      <w:bookmarkStart w:id="1434" w:name="_Toc54862223"/>
      <w:r>
        <w:rPr>
          <w:rFonts w:hint="eastAsia" w:ascii="宋体" w:hAnsi="宋体" w:eastAsia="宋体"/>
          <w:b/>
          <w:color w:val="auto"/>
          <w:sz w:val="24"/>
          <w:highlight w:val="none"/>
        </w:rPr>
        <w:t>5.2承包人文件审查</w:t>
      </w:r>
      <w:bookmarkEnd w:id="1430"/>
      <w:bookmarkEnd w:id="1431"/>
      <w:bookmarkEnd w:id="1432"/>
      <w:bookmarkEnd w:id="1433"/>
      <w:bookmarkEnd w:id="1434"/>
    </w:p>
    <w:p w14:paraId="3104AD83">
      <w:pPr>
        <w:tabs>
          <w:tab w:val="left" w:pos="851"/>
        </w:tabs>
        <w:adjustRightInd w:val="0"/>
        <w:snapToGrid w:val="0"/>
        <w:spacing w:line="360" w:lineRule="auto"/>
        <w:ind w:firstLine="420" w:firstLineChars="200"/>
        <w:rPr>
          <w:rFonts w:ascii="宋体" w:hAnsi="宋体" w:cs="宋体"/>
          <w:color w:val="auto"/>
          <w:highlight w:val="none"/>
        </w:rPr>
      </w:pPr>
      <w:bookmarkStart w:id="1435" w:name="_Ref531953064"/>
      <w:r>
        <w:rPr>
          <w:rFonts w:hint="eastAsia" w:ascii="宋体" w:hAnsi="宋体" w:cs="宋体"/>
          <w:color w:val="auto"/>
          <w:highlight w:val="none"/>
        </w:rPr>
        <w:t>5.2.1根据《发包人要求》应当通过工程师报发包人审查同意的承包人文件，承包人应当按照《发包人要求》约定的范围和内容及时报送审查。</w:t>
      </w:r>
      <w:bookmarkEnd w:id="1435"/>
    </w:p>
    <w:p w14:paraId="441FD0C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自工程师收到承包人文件以及承包人的通知之日起，发包人对承包人文件审查期不超过21天。承包人的设计文件对于合同约定有偏离的，应在通知中说明。承包人需要修改已提交的承包人文件的，应立即通知工程师，并向工程师提交修改后的承包人文件，审查期重新起算。</w:t>
      </w:r>
    </w:p>
    <w:p w14:paraId="3B99D4A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发包人同意承包人文件的，应及时通知承包人，发包人不同意承包人文件的，应在审查期限内通过工程师以书面形式通知承包人，并说明不同意的具体内容和理由。</w:t>
      </w:r>
    </w:p>
    <w:p w14:paraId="141A2DA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承包人对发包人的意见按以下方式处理：</w:t>
      </w:r>
    </w:p>
    <w:p w14:paraId="4635614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（1）发包人的意见构成变更的，承包人应在7天内通知发包人按照第13条[变更与调整]中关于发包人指示变更的约定执行，双方对是否构成变更无法达成一致的，按照第20条[争议解决]的约定执行；</w:t>
      </w:r>
    </w:p>
    <w:p w14:paraId="4B7F29A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（2）因承包人原因导致无法通过审查的，承包人应根据发包人的书面说明，对承包人文件进行修改后重新报送发包人审查，审查期重新起算。因此引起的工期延长和必要的工程费用增加，由承包人负责。</w:t>
      </w:r>
    </w:p>
    <w:p w14:paraId="6848E28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合同约定的审查期满，发包人没有做出审查结论也没有提出异议的，视为承包人文件已获发包人同意。</w:t>
      </w:r>
    </w:p>
    <w:p w14:paraId="72EB7A9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发包人对承包人文件的审查和同意不得被理解为对合同的修改或改变，也并不减轻或免除承包人任何的责任和义务。</w:t>
      </w:r>
    </w:p>
    <w:p w14:paraId="3F8AC743">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5.2.2承包人文件不需要政府有关部门或专用合同条件约定的第三方审查单位审查或批准的，承包人应当严格按照经发包人审查同意的承包人文件设计和实施工程。</w:t>
      </w:r>
    </w:p>
    <w:p w14:paraId="00DA259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需要组织审查会议对承包人文件进行审查的，审查会议的审查形式、时间安排、费用承担，在专用合同条件中约定。发包人负责组织承包人文件审查会议，承包人有义务参加发包人组织的审查会议，向审查者介绍、解答、解释承包人文件，并提供有关补充资料。</w:t>
      </w:r>
    </w:p>
    <w:p w14:paraId="32F7A1D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发包人有义务向承包人提供审查会议的批准文件和纪要。承包人有义务按照相关审查会议批准的文件和纪要，并依据合同约定及相关技术标准，对承包人文件进行修改、补充和完善。</w:t>
      </w:r>
    </w:p>
    <w:p w14:paraId="240AB8D5">
      <w:pPr>
        <w:tabs>
          <w:tab w:val="left" w:pos="851"/>
        </w:tabs>
        <w:adjustRightInd w:val="0"/>
        <w:snapToGrid w:val="0"/>
        <w:spacing w:line="360" w:lineRule="auto"/>
        <w:ind w:firstLine="420" w:firstLineChars="200"/>
        <w:rPr>
          <w:rFonts w:ascii="宋体" w:hAnsi="宋体" w:cs="宋体"/>
          <w:color w:val="auto"/>
          <w:highlight w:val="none"/>
        </w:rPr>
      </w:pPr>
      <w:bookmarkStart w:id="1436" w:name="_Ref531953074"/>
      <w:r>
        <w:rPr>
          <w:rFonts w:hint="eastAsia" w:ascii="宋体" w:hAnsi="宋体" w:cs="宋体"/>
          <w:color w:val="auto"/>
          <w:highlight w:val="none"/>
        </w:rPr>
        <w:t>5.2.3承包人文件需政府有关部门或专用合同条件约定的第三方审查单位审查或批准的，发包人应在发包人审查同意承包人文件后7天内，向政府有关部门或第三方报送承包人文件，承包人应予以协助。</w:t>
      </w:r>
      <w:bookmarkEnd w:id="1436"/>
    </w:p>
    <w:p w14:paraId="2C714FF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对于政府有关部门或第三方审查单位的审查意见，不需要修改《发包人要求》的，承包人需按该审查意见修改承包人的设计文件；需要修改《发包人要求》的，承包人应按第13.2款[承包人的合理化建议]的约定执行。上述情形还应适用第5.1款[承包人的设计义务]和第13条[变更与调整]的有关约定。</w:t>
      </w:r>
    </w:p>
    <w:p w14:paraId="4B8787E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政府有关部门或第三方审查单位审查批准后，承包人应当严格按照批准后的承包人文件实施工程。政府有关部门或第三方审查单位批准时间较合同约定时间延长的，竣工日期相应顺延。因此给双方带来的费用增加，由双方在负责的范围内各自承担。</w:t>
      </w:r>
    </w:p>
    <w:p w14:paraId="4C60B6EE">
      <w:pPr>
        <w:adjustRightInd w:val="0"/>
        <w:snapToGrid w:val="0"/>
        <w:spacing w:line="360" w:lineRule="auto"/>
        <w:rPr>
          <w:rFonts w:ascii="宋体" w:hAnsi="宋体"/>
          <w:b/>
          <w:color w:val="auto"/>
          <w:sz w:val="24"/>
          <w:highlight w:val="none"/>
        </w:rPr>
      </w:pPr>
      <w:bookmarkStart w:id="1437" w:name="_Toc161228669"/>
      <w:bookmarkStart w:id="1438" w:name="_Ref531953095"/>
      <w:bookmarkStart w:id="1439" w:name="_Ref531953097"/>
      <w:bookmarkStart w:id="1440" w:name="_Toc145081584"/>
      <w:bookmarkStart w:id="1441" w:name="_Toc54862224"/>
      <w:r>
        <w:rPr>
          <w:rFonts w:hint="eastAsia" w:ascii="宋体" w:hAnsi="宋体" w:eastAsia="宋体"/>
          <w:b/>
          <w:color w:val="auto"/>
          <w:sz w:val="24"/>
          <w:highlight w:val="none"/>
        </w:rPr>
        <w:t>5.3培训</w:t>
      </w:r>
      <w:bookmarkEnd w:id="1437"/>
      <w:bookmarkEnd w:id="1438"/>
      <w:bookmarkEnd w:id="1439"/>
      <w:bookmarkEnd w:id="1440"/>
      <w:bookmarkEnd w:id="1441"/>
    </w:p>
    <w:p w14:paraId="5783E2B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承包人应按照《发包人要求》，对发包人的雇员或其</w:t>
      </w:r>
      <w:r>
        <w:rPr>
          <w:rFonts w:hint="eastAsia" w:ascii="宋体" w:hAnsi="宋体" w:cs="宋体"/>
          <w:color w:val="auto"/>
          <w:szCs w:val="21"/>
          <w:highlight w:val="none"/>
          <w:lang w:val="en-US" w:eastAsia="zh-CN"/>
        </w:rPr>
        <w:t>他</w:t>
      </w:r>
      <w:r>
        <w:rPr>
          <w:rFonts w:hint="eastAsia" w:ascii="宋体" w:hAnsi="宋体" w:cs="宋体"/>
          <w:color w:val="auto"/>
          <w:szCs w:val="21"/>
          <w:highlight w:val="none"/>
        </w:rPr>
        <w:t>发包人指定的人员进行工程操作、维修或</w:t>
      </w:r>
      <w:r>
        <w:rPr>
          <w:rFonts w:hint="eastAsia" w:ascii="宋体" w:hAnsi="宋体" w:cs="宋体"/>
          <w:color w:val="auto"/>
          <w:szCs w:val="21"/>
          <w:highlight w:val="none"/>
          <w:lang w:eastAsia="zh-CN"/>
        </w:rPr>
        <w:t>其他</w:t>
      </w:r>
      <w:r>
        <w:rPr>
          <w:rFonts w:hint="eastAsia" w:ascii="宋体" w:hAnsi="宋体" w:cs="宋体"/>
          <w:color w:val="auto"/>
          <w:szCs w:val="21"/>
          <w:highlight w:val="none"/>
        </w:rPr>
        <w:t>约定的培训。合同约定接收之前进行培训的，应在第10.1款[竣工验收]约定的竣工验收前或试运行结束前完成培训。</w:t>
      </w:r>
    </w:p>
    <w:p w14:paraId="5F4B33D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培训的时长应由双方在专用合同条件中约定，承包人应为培训提供有经验的人员、设施和其</w:t>
      </w:r>
      <w:r>
        <w:rPr>
          <w:rFonts w:hint="eastAsia" w:ascii="宋体" w:hAnsi="宋体" w:cs="宋体"/>
          <w:color w:val="auto"/>
          <w:szCs w:val="21"/>
          <w:highlight w:val="none"/>
          <w:lang w:val="en-US" w:eastAsia="zh-CN"/>
        </w:rPr>
        <w:t>他</w:t>
      </w:r>
      <w:r>
        <w:rPr>
          <w:rFonts w:hint="eastAsia" w:ascii="宋体" w:hAnsi="宋体" w:cs="宋体"/>
          <w:color w:val="auto"/>
          <w:szCs w:val="21"/>
          <w:highlight w:val="none"/>
        </w:rPr>
        <w:t>必要条件。</w:t>
      </w:r>
    </w:p>
    <w:p w14:paraId="1E5295F0">
      <w:pPr>
        <w:adjustRightInd w:val="0"/>
        <w:snapToGrid w:val="0"/>
        <w:spacing w:line="360" w:lineRule="auto"/>
        <w:rPr>
          <w:rFonts w:ascii="宋体" w:hAnsi="宋体"/>
          <w:b/>
          <w:color w:val="auto"/>
          <w:sz w:val="24"/>
          <w:highlight w:val="none"/>
        </w:rPr>
      </w:pPr>
      <w:bookmarkStart w:id="1442" w:name="_Toc54862225"/>
      <w:bookmarkStart w:id="1443" w:name="_Ref531953105"/>
      <w:bookmarkStart w:id="1444" w:name="_Toc161228670"/>
      <w:bookmarkStart w:id="1445" w:name="_Toc145081585"/>
      <w:bookmarkStart w:id="1446" w:name="_Ref531953108"/>
      <w:r>
        <w:rPr>
          <w:rFonts w:hint="eastAsia" w:ascii="宋体" w:hAnsi="宋体" w:eastAsia="宋体"/>
          <w:b/>
          <w:color w:val="auto"/>
          <w:sz w:val="24"/>
          <w:highlight w:val="none"/>
        </w:rPr>
        <w:t>5.4竣工文件</w:t>
      </w:r>
      <w:bookmarkEnd w:id="1442"/>
      <w:bookmarkEnd w:id="1443"/>
      <w:bookmarkEnd w:id="1444"/>
      <w:bookmarkEnd w:id="1445"/>
      <w:bookmarkEnd w:id="1446"/>
    </w:p>
    <w:p w14:paraId="76AD0A30">
      <w:pPr>
        <w:tabs>
          <w:tab w:val="left" w:pos="851"/>
        </w:tabs>
        <w:adjustRightInd w:val="0"/>
        <w:snapToGrid w:val="0"/>
        <w:spacing w:line="360" w:lineRule="auto"/>
        <w:ind w:firstLine="420" w:firstLineChars="200"/>
        <w:rPr>
          <w:rFonts w:ascii="宋体" w:hAnsi="宋体" w:cs="宋体"/>
          <w:color w:val="auto"/>
          <w:highlight w:val="none"/>
        </w:rPr>
      </w:pPr>
      <w:bookmarkStart w:id="1447" w:name="_Ref531953134"/>
      <w:r>
        <w:rPr>
          <w:rFonts w:hint="eastAsia" w:ascii="宋体" w:hAnsi="宋体" w:cs="宋体"/>
          <w:color w:val="auto"/>
          <w:highlight w:val="none"/>
        </w:rPr>
        <w:t>5.4.1承包人应编制并及时更新反映工程实施结果的竣工记录，如实记载竣工工程的确切位置、尺寸和已实施工作的详细说明。竣工文件的形式、技术标准以及其</w:t>
      </w:r>
      <w:r>
        <w:rPr>
          <w:rFonts w:hint="eastAsia" w:ascii="宋体" w:hAnsi="宋体" w:cs="宋体"/>
          <w:color w:val="auto"/>
          <w:highlight w:val="none"/>
          <w:lang w:val="en-US" w:eastAsia="zh-CN"/>
        </w:rPr>
        <w:t>他</w:t>
      </w:r>
      <w:r>
        <w:rPr>
          <w:rFonts w:hint="eastAsia" w:ascii="宋体" w:hAnsi="宋体" w:cs="宋体"/>
          <w:color w:val="auto"/>
          <w:highlight w:val="none"/>
        </w:rPr>
        <w:t>相关内容应按照相关法律法规、行业标准与《发包人要求》执行。竣工记录应保存在施工现场，并在竣工试验开始前，按照专用合同条件约定的份数提交给工程师。</w:t>
      </w:r>
      <w:bookmarkEnd w:id="1447"/>
    </w:p>
    <w:p w14:paraId="15B68AC9">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5.4.2在颁发工程接收证书之前，承包人应按照《发包人要求》的份数和形式向工程师提交相应竣工图纸，并取得工程师对尺寸、参照系统及其他有关细节的认可。工程师应按照第5.2款[承包人文件审查]的约定进行审查。</w:t>
      </w:r>
    </w:p>
    <w:p w14:paraId="2070088E">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5.4.3除专用合同条件另有约定外，在工程师收到本款下的文件前，不应认为工程已根据第10.1款[竣工验收]和第10.2款[单位/区段工程的验收]的约定完成验收。</w:t>
      </w:r>
    </w:p>
    <w:p w14:paraId="1A2A414E">
      <w:pPr>
        <w:adjustRightInd w:val="0"/>
        <w:snapToGrid w:val="0"/>
        <w:spacing w:line="360" w:lineRule="auto"/>
        <w:rPr>
          <w:rFonts w:ascii="宋体" w:hAnsi="宋体"/>
          <w:b/>
          <w:color w:val="auto"/>
          <w:sz w:val="24"/>
          <w:highlight w:val="none"/>
        </w:rPr>
      </w:pPr>
      <w:bookmarkStart w:id="1448" w:name="_Toc145081586"/>
      <w:bookmarkStart w:id="1449" w:name="_Ref531953119"/>
      <w:bookmarkStart w:id="1450" w:name="_Toc161228671"/>
      <w:bookmarkStart w:id="1451" w:name="_Ref531953117"/>
      <w:bookmarkStart w:id="1452" w:name="_Toc54862226"/>
      <w:r>
        <w:rPr>
          <w:rFonts w:hint="eastAsia" w:ascii="宋体" w:hAnsi="宋体" w:eastAsia="宋体"/>
          <w:b/>
          <w:color w:val="auto"/>
          <w:sz w:val="24"/>
          <w:highlight w:val="none"/>
        </w:rPr>
        <w:t>5.5操作和维修手册</w:t>
      </w:r>
      <w:bookmarkEnd w:id="1448"/>
      <w:bookmarkEnd w:id="1449"/>
      <w:bookmarkEnd w:id="1450"/>
      <w:bookmarkEnd w:id="1451"/>
      <w:bookmarkEnd w:id="1452"/>
    </w:p>
    <w:p w14:paraId="303F7CFB">
      <w:pPr>
        <w:tabs>
          <w:tab w:val="left" w:pos="851"/>
        </w:tabs>
        <w:adjustRightInd w:val="0"/>
        <w:snapToGrid w:val="0"/>
        <w:spacing w:line="360" w:lineRule="auto"/>
        <w:ind w:firstLine="420" w:firstLineChars="200"/>
        <w:rPr>
          <w:rFonts w:ascii="宋体" w:hAnsi="宋体" w:cs="宋体"/>
          <w:color w:val="auto"/>
          <w:highlight w:val="none"/>
        </w:rPr>
      </w:pPr>
      <w:bookmarkStart w:id="1453" w:name="_Ref531953145"/>
      <w:r>
        <w:rPr>
          <w:rFonts w:hint="eastAsia" w:ascii="宋体" w:hAnsi="宋体" w:cs="宋体"/>
          <w:color w:val="auto"/>
          <w:highlight w:val="none"/>
        </w:rPr>
        <w:t>5.5.1在竣工试验开始前，承包人应向工程师提交暂行的操作和维修手册并负责及时更新，该手册应足够详细，以便发包人能够对工程设备进行操作、维修、拆卸、重新安装、调整及修理，以及实现《发包人要求》。同时，手册还应包含发包人未来可能需要的备品备件清单。</w:t>
      </w:r>
      <w:bookmarkEnd w:id="1453"/>
    </w:p>
    <w:p w14:paraId="3440E6DC">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5.5.2工程师收到承包人提交的文件后，应依据第5.2款[承包人文件审查]的约定对操作和维修手册进行审查，竣工试验工程中，承包人应为任何因操作和维修手册错误或遗漏引起的风险或损失承担责任。</w:t>
      </w:r>
    </w:p>
    <w:p w14:paraId="6C45AB8D">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5.5.3除专用合同条件另有约定外，承包人应提交足够详细的最终操作和维修手册，以及在《发包人要求》中明确的相关操作和维修手册。除专用合同条件另有约定外，在工程师收到上述文件前，不应认为工程已根据第10.1款[竣工验收]和第10.2款[单位/区段工程的验收]的约定完成验收。</w:t>
      </w:r>
    </w:p>
    <w:p w14:paraId="54323683">
      <w:pPr>
        <w:adjustRightInd w:val="0"/>
        <w:snapToGrid w:val="0"/>
        <w:spacing w:line="360" w:lineRule="auto"/>
        <w:rPr>
          <w:rFonts w:ascii="宋体" w:hAnsi="宋体"/>
          <w:b/>
          <w:color w:val="auto"/>
          <w:sz w:val="24"/>
          <w:highlight w:val="none"/>
        </w:rPr>
      </w:pPr>
      <w:bookmarkStart w:id="1454" w:name="_Toc161228672"/>
      <w:bookmarkStart w:id="1455" w:name="_Toc54862227"/>
      <w:bookmarkStart w:id="1456" w:name="_Toc145081587"/>
      <w:r>
        <w:rPr>
          <w:rFonts w:hint="eastAsia" w:ascii="宋体" w:hAnsi="宋体" w:eastAsia="宋体"/>
          <w:b/>
          <w:color w:val="auto"/>
          <w:sz w:val="24"/>
          <w:highlight w:val="none"/>
        </w:rPr>
        <w:t>5.6承包人文件错误</w:t>
      </w:r>
      <w:bookmarkEnd w:id="1454"/>
      <w:bookmarkEnd w:id="1455"/>
      <w:bookmarkEnd w:id="1456"/>
    </w:p>
    <w:p w14:paraId="081FF37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文件存在错误、遗漏、含混、矛盾、不充分之处或其他缺陷，无论承包人是否根据本款获得了同意，承包人均应自费对前述问题带来的缺陷和工程问题进行改正，并按照第5.2款[承包人文件审查]的要求，重新送工程师审查，审查日期从工程师收到文件开始重新计算。因此款原因重新提交审查文件导致的工程延误和必要费用增加由承包人承担。《发包人要求》的错误导致承包人文件错误、遗漏、含混、矛盾、不充分或其他缺陷的除外。</w:t>
      </w:r>
    </w:p>
    <w:p w14:paraId="2380671F">
      <w:pPr>
        <w:adjustRightInd w:val="0"/>
        <w:snapToGrid w:val="0"/>
        <w:spacing w:line="360" w:lineRule="auto"/>
        <w:rPr>
          <w:rFonts w:ascii="黑体" w:hAnsi="黑体" w:eastAsia="黑体"/>
          <w:color w:val="auto"/>
          <w:sz w:val="24"/>
          <w:highlight w:val="none"/>
        </w:rPr>
      </w:pPr>
      <w:bookmarkStart w:id="1457" w:name="_Ref531953761"/>
      <w:bookmarkStart w:id="1458" w:name="_Toc161228673"/>
      <w:bookmarkStart w:id="1459" w:name="_Toc54862228"/>
      <w:bookmarkStart w:id="1460" w:name="_Ref531953765"/>
      <w:r>
        <w:rPr>
          <w:rFonts w:hint="eastAsia" w:ascii="黑体" w:hAnsi="黑体" w:eastAsia="黑体"/>
          <w:color w:val="auto"/>
          <w:sz w:val="24"/>
          <w:highlight w:val="none"/>
        </w:rPr>
        <w:t>第6条 材料、工程设备</w:t>
      </w:r>
      <w:bookmarkEnd w:id="1457"/>
      <w:bookmarkEnd w:id="1458"/>
      <w:bookmarkEnd w:id="1459"/>
      <w:bookmarkEnd w:id="1460"/>
    </w:p>
    <w:p w14:paraId="19F94F1A">
      <w:pPr>
        <w:adjustRightInd w:val="0"/>
        <w:snapToGrid w:val="0"/>
        <w:spacing w:line="360" w:lineRule="auto"/>
        <w:rPr>
          <w:rFonts w:ascii="宋体" w:hAnsi="宋体"/>
          <w:b/>
          <w:color w:val="auto"/>
          <w:sz w:val="24"/>
          <w:highlight w:val="none"/>
        </w:rPr>
      </w:pPr>
      <w:bookmarkStart w:id="1461" w:name="_Ref531953832"/>
      <w:bookmarkStart w:id="1462" w:name="_Ref531953828"/>
      <w:bookmarkStart w:id="1463" w:name="_Toc54862229"/>
      <w:bookmarkStart w:id="1464" w:name="_Toc145081589"/>
      <w:bookmarkStart w:id="1465" w:name="_Toc161228674"/>
      <w:r>
        <w:rPr>
          <w:rFonts w:hint="eastAsia" w:ascii="宋体" w:hAnsi="宋体" w:eastAsia="宋体"/>
          <w:b/>
          <w:color w:val="auto"/>
          <w:sz w:val="24"/>
          <w:highlight w:val="none"/>
        </w:rPr>
        <w:t>6.1实施方法</w:t>
      </w:r>
      <w:bookmarkEnd w:id="1461"/>
      <w:bookmarkEnd w:id="1462"/>
      <w:bookmarkEnd w:id="1463"/>
      <w:bookmarkEnd w:id="1464"/>
      <w:bookmarkEnd w:id="1465"/>
    </w:p>
    <w:p w14:paraId="4E946CA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承包人应按以下方法进行材料的加工、工程设备的采购、制造和安装、以及工程的所有其他实施作业：</w:t>
      </w:r>
    </w:p>
    <w:p w14:paraId="730FD294">
      <w:pPr>
        <w:adjustRightInd w:val="0"/>
        <w:snapToGrid w:val="0"/>
        <w:spacing w:line="360" w:lineRule="auto"/>
        <w:ind w:firstLine="420" w:firstLineChars="200"/>
        <w:rPr>
          <w:rFonts w:ascii="宋体" w:hAnsi="宋体" w:cs="宋体"/>
          <w:color w:val="auto"/>
          <w:szCs w:val="21"/>
          <w:highlight w:val="none"/>
        </w:rPr>
      </w:pPr>
      <w:bookmarkStart w:id="1466" w:name="_Ref531953847"/>
      <w:r>
        <w:rPr>
          <w:rFonts w:hint="eastAsia" w:ascii="宋体" w:hAnsi="宋体" w:cs="宋体"/>
          <w:color w:val="auto"/>
          <w:szCs w:val="21"/>
          <w:highlight w:val="none"/>
        </w:rPr>
        <w:t>（1）按照法律规定和合同约定的方法；</w:t>
      </w:r>
      <w:bookmarkEnd w:id="1466"/>
    </w:p>
    <w:p w14:paraId="615F346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（2）按照公认的良好行业习惯，使用恰当、审慎、先进的方法；</w:t>
      </w:r>
    </w:p>
    <w:p w14:paraId="0D6B601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（3）除专用合同条件另有规定外，应使用适当配备的实施方法、设备、设施和无危险的材料。</w:t>
      </w:r>
    </w:p>
    <w:p w14:paraId="290DAC23">
      <w:pPr>
        <w:adjustRightInd w:val="0"/>
        <w:snapToGrid w:val="0"/>
        <w:spacing w:line="360" w:lineRule="auto"/>
        <w:rPr>
          <w:rFonts w:ascii="宋体" w:hAnsi="宋体"/>
          <w:b/>
          <w:color w:val="auto"/>
          <w:sz w:val="24"/>
          <w:highlight w:val="none"/>
        </w:rPr>
      </w:pPr>
      <w:bookmarkStart w:id="1467" w:name="_Toc54862230"/>
      <w:bookmarkStart w:id="1468" w:name="_Toc161228675"/>
      <w:bookmarkStart w:id="1469" w:name="_Ref11926422"/>
      <w:bookmarkStart w:id="1470" w:name="_Toc145081590"/>
      <w:bookmarkStart w:id="1471" w:name="_Ref4427594"/>
      <w:r>
        <w:rPr>
          <w:rFonts w:hint="eastAsia" w:ascii="宋体" w:hAnsi="宋体" w:eastAsia="宋体"/>
          <w:b/>
          <w:color w:val="auto"/>
          <w:sz w:val="24"/>
          <w:highlight w:val="none"/>
        </w:rPr>
        <w:t>6.2材料和工程设备</w:t>
      </w:r>
      <w:bookmarkEnd w:id="1467"/>
      <w:bookmarkEnd w:id="1468"/>
      <w:bookmarkEnd w:id="1469"/>
      <w:bookmarkEnd w:id="1470"/>
    </w:p>
    <w:p w14:paraId="2D4A8B5F">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472" w:name="_Ref11960295"/>
      <w:r>
        <w:rPr>
          <w:rFonts w:hint="eastAsia" w:ascii="宋体" w:hAnsi="宋体" w:cs="宋体"/>
          <w:color w:val="auto"/>
          <w:kern w:val="0"/>
          <w:szCs w:val="20"/>
          <w:highlight w:val="none"/>
          <w:lang w:bidi="ar"/>
        </w:rPr>
        <w:t>6.2.1发包人提供的材料和工程设备</w:t>
      </w:r>
      <w:bookmarkEnd w:id="1471"/>
      <w:bookmarkEnd w:id="1472"/>
    </w:p>
    <w:p w14:paraId="5902080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发包人自行供应材料、工程设备的，应在订立合同时在专用合同条件的附件《发包人供应材料设备一览表》中明确材料、工程设备的品种、规格、型号、主要参数、数量、单价、质量等级和交接地点等。</w:t>
      </w:r>
    </w:p>
    <w:p w14:paraId="0A93489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根据项目进度计划的安排，提前28天以书面形式通知工程师供应材料与工程设备的进场计划。承包人按照第8.4款[项目进度计划]约定修订项目进度计划时，需同时提交经修订后的发包人供应材料与工程设备的进场计划。发包人应按照上述进场计划，向承包人提交材料和工程设备。</w:t>
      </w:r>
    </w:p>
    <w:p w14:paraId="15A551E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应在材料和工程设备到货7天前通知承包人，承包人应会同工程师在约定的时间内，赴交货地点共同进行验收。除专用合同条件另有约定外，发包人提供的材料和工程设备验收后，由承包人负责接收、运输和保管。</w:t>
      </w:r>
    </w:p>
    <w:p w14:paraId="36D4215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需要对进场计划进行变更的，承包人不得拒绝，应根据第13条[变更与调整]的规定执行，并由发包人承担承包人由此增加的费用，以及引起的工期延误。承包人需要对进场计划进行变更的，应事先报请工程师批准，由此增加的费用和（或）工期延误由承包人承担。</w:t>
      </w:r>
    </w:p>
    <w:p w14:paraId="576648B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发包人提供的材料和工程设备的规格、数量或质量不符合合同要求，或由于发包人原因发生交货日期延误及交货地点变更等情况的，发包人应承担由此增加的费用和（或）工期延误，并向承包人支付合理利润。</w:t>
      </w:r>
    </w:p>
    <w:p w14:paraId="3F46F4D5">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473" w:name="_Ref531953918"/>
      <w:r>
        <w:rPr>
          <w:rFonts w:hint="eastAsia" w:ascii="宋体" w:hAnsi="宋体" w:cs="宋体"/>
          <w:color w:val="auto"/>
          <w:kern w:val="0"/>
          <w:szCs w:val="20"/>
          <w:highlight w:val="none"/>
          <w:lang w:bidi="ar"/>
        </w:rPr>
        <w:t>6.2.2承包人提供的材料和工程设备</w:t>
      </w:r>
      <w:bookmarkEnd w:id="1473"/>
    </w:p>
    <w:p w14:paraId="74E7201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按照专用合同条件的约定，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14:paraId="1D258DB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按照已被批准的第8.4款[项目进度计划]规定的数量要求及时间要求，负责组织材料和工程设备采购（包括备品备件、专用工具及厂商提供的技术文件），负责运抵现场。合同约定由承包人采购的材料、工程设备，除专用合同条件另有约定外，发包人不得指定生产厂家或供应商，发包人违反本款约定指定生产厂家或供应商的，承包人有权拒绝，并由发包人承担相应责任。</w:t>
      </w:r>
    </w:p>
    <w:p w14:paraId="1DB591E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14:paraId="4126145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14:paraId="05A80B42">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474" w:name="_Ref531953999"/>
      <w:bookmarkStart w:id="1475" w:name="_Ref531953991"/>
      <w:r>
        <w:rPr>
          <w:rFonts w:hint="eastAsia" w:ascii="宋体" w:hAnsi="宋体" w:cs="宋体"/>
          <w:color w:val="auto"/>
          <w:kern w:val="0"/>
          <w:szCs w:val="20"/>
          <w:highlight w:val="none"/>
          <w:lang w:bidi="ar"/>
        </w:rPr>
        <w:t>6.2.3材料和工程设备的保管</w:t>
      </w:r>
      <w:bookmarkEnd w:id="1474"/>
      <w:bookmarkEnd w:id="1475"/>
    </w:p>
    <w:p w14:paraId="015C1F5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（1）发包人供应材料与工程设备的保管与使用</w:t>
      </w:r>
    </w:p>
    <w:p w14:paraId="7360627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发包人供应的材料和工程设备，承包人清点并接收后由承包人妥善保管，保管费用由承包人承担，但专用合同条件另有约定除外。因承包人原因发生丢失毁损的，由承包人负责赔偿。</w:t>
      </w:r>
    </w:p>
    <w:p w14:paraId="62EFAFE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发包人供应的材料和工程设备使用前，由承包人负责必要的检验，检验费用由发包人承担，不合格的不得使用。</w:t>
      </w:r>
    </w:p>
    <w:p w14:paraId="76183A1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（2）承包人采购材料与工程设备的保管与使用</w:t>
      </w:r>
    </w:p>
    <w:p w14:paraId="58EA68F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14:paraId="02B13D3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工程师发现承包人使用不符合设计或有关标准要求的材料和工程设备时，有权要求承包人进行修复、拆除或重新采购，由此增加的费用和（或）延误的工期，由承包人承担。</w:t>
      </w:r>
    </w:p>
    <w:p w14:paraId="4961D0C9">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6.2.4材料和工程设备的所有权</w:t>
      </w:r>
    </w:p>
    <w:p w14:paraId="6B50078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本合同另有约定外，承包人根据第6.2.2项[承包人提供的材料和工程设备]约定提供的材料和工程设备后，材料及工程设备的价款应列入第14.3.1项第（2）目的进度款金额中，发包人支付当期进度款之后，其所有权转为发包人所有（周转性材料除外）；在发包人接收工程前，承包人有义务对材料和工程设备进行保管、维护和保养，未经发包人批准不得运出现场。</w:t>
      </w:r>
    </w:p>
    <w:p w14:paraId="15675EC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承包人按第6.2.2项提供的材料和工程设备，承包人应确保发包人取得无权利负担的材料及工程设备所有权，因承包人与第三人的物权争议导致的增加的费用和（或）延误的工期，由承包人承担。</w:t>
      </w:r>
    </w:p>
    <w:p w14:paraId="5BB67A19">
      <w:pPr>
        <w:adjustRightInd w:val="0"/>
        <w:snapToGrid w:val="0"/>
        <w:spacing w:line="360" w:lineRule="auto"/>
        <w:rPr>
          <w:rFonts w:ascii="宋体" w:hAnsi="宋体"/>
          <w:b/>
          <w:color w:val="auto"/>
          <w:sz w:val="24"/>
          <w:highlight w:val="none"/>
        </w:rPr>
      </w:pPr>
      <w:bookmarkStart w:id="1476" w:name="_Ref4428239"/>
      <w:bookmarkStart w:id="1477" w:name="_Toc145081591"/>
      <w:bookmarkStart w:id="1478" w:name="_Toc54862231"/>
      <w:bookmarkStart w:id="1479" w:name="_Toc161228676"/>
      <w:bookmarkStart w:id="1480" w:name="_Toc351203565"/>
      <w:bookmarkStart w:id="1481" w:name="_Toc337558785"/>
      <w:r>
        <w:rPr>
          <w:rFonts w:hint="eastAsia" w:ascii="宋体" w:hAnsi="宋体" w:eastAsia="宋体"/>
          <w:b/>
          <w:color w:val="auto"/>
          <w:sz w:val="24"/>
          <w:highlight w:val="none"/>
        </w:rPr>
        <w:t>6.3样品</w:t>
      </w:r>
      <w:bookmarkEnd w:id="1476"/>
      <w:bookmarkEnd w:id="1477"/>
      <w:bookmarkEnd w:id="1478"/>
      <w:bookmarkEnd w:id="1479"/>
    </w:p>
    <w:p w14:paraId="19A78D87">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6.3.1样品的报送与封存</w:t>
      </w:r>
    </w:p>
    <w:p w14:paraId="0174630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需要承包人报送样品的材料或工程设备，样品的种类、名称、规格、数量等要求均应在专用合同条件中约定。样品的报送程序如下：</w:t>
      </w:r>
    </w:p>
    <w:p w14:paraId="777CAB4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承包人应在计划采购前28天向工程师报送样品。承包人报送的样品均应来自供应材料的实际生产地，且提供的样品的规格、数量足以表明材料或工程设备的质量、型号、颜色、表面处理、质地、误差和其他要求的特征。</w:t>
      </w:r>
    </w:p>
    <w:p w14:paraId="13721CC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承包人每次报送样品时应随附申报单，申报单应载明报送样品的相关数据和资料，并标明每件样品对应的图纸号，预留工程师审批意见栏。工程师应在收到承包人报送的样品后7天向承包人回复经发包人签认的样品审批意见。</w:t>
      </w:r>
    </w:p>
    <w:p w14:paraId="6F874CA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（3）经工程师审批确认的样品应按约定的方法封样，封存的样品作为检验工程相关部分的标准之一。承包人在施工过程中不得使用与样品不符的材料或工程设备。</w:t>
      </w:r>
    </w:p>
    <w:p w14:paraId="09F00F3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7366887">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6.3.2样品的保管</w:t>
      </w:r>
    </w:p>
    <w:p w14:paraId="3E835B0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经批准的样品应由工程师负责封存于现场，承包人应在现场为保存样品提供适当和固定的场所并保持适当和良好的存储环境条件。</w:t>
      </w:r>
    </w:p>
    <w:p w14:paraId="1CDFDE2A">
      <w:pPr>
        <w:adjustRightInd w:val="0"/>
        <w:snapToGrid w:val="0"/>
        <w:spacing w:line="360" w:lineRule="auto"/>
        <w:rPr>
          <w:rFonts w:ascii="宋体" w:hAnsi="宋体"/>
          <w:b/>
          <w:color w:val="auto"/>
          <w:sz w:val="24"/>
          <w:highlight w:val="none"/>
        </w:rPr>
      </w:pPr>
      <w:bookmarkStart w:id="1482" w:name="_Ref11959210"/>
      <w:bookmarkStart w:id="1483" w:name="_Ref11959204"/>
      <w:bookmarkStart w:id="1484" w:name="_Toc54862232"/>
      <w:bookmarkStart w:id="1485" w:name="_Toc161228677"/>
      <w:bookmarkStart w:id="1486" w:name="_Toc145081592"/>
      <w:r>
        <w:rPr>
          <w:rFonts w:hint="eastAsia" w:ascii="宋体" w:hAnsi="宋体" w:eastAsia="宋体"/>
          <w:b/>
          <w:color w:val="auto"/>
          <w:sz w:val="24"/>
          <w:highlight w:val="none"/>
        </w:rPr>
        <w:t>6.4质量检查</w:t>
      </w:r>
      <w:bookmarkEnd w:id="1482"/>
      <w:bookmarkEnd w:id="1483"/>
      <w:bookmarkEnd w:id="1484"/>
      <w:bookmarkEnd w:id="1485"/>
      <w:bookmarkEnd w:id="1486"/>
    </w:p>
    <w:p w14:paraId="73F17202">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487" w:name="_Ref18990699"/>
      <w:r>
        <w:rPr>
          <w:rFonts w:hint="eastAsia" w:ascii="宋体" w:hAnsi="宋体" w:cs="宋体"/>
          <w:color w:val="auto"/>
          <w:kern w:val="0"/>
          <w:szCs w:val="20"/>
          <w:highlight w:val="none"/>
          <w:lang w:bidi="ar"/>
        </w:rPr>
        <w:t>6.4.1工程质量要求</w:t>
      </w:r>
      <w:bookmarkEnd w:id="1487"/>
    </w:p>
    <w:p w14:paraId="436F110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工程质量标准必须符合现行国家有关工程施工质量验收规范和标准的要求。有关工程质量的特殊标准或要求由合同当事人在专用合同条件中约定。</w:t>
      </w:r>
    </w:p>
    <w:p w14:paraId="30DDC9F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并支付承包人合理的利润。</w:t>
      </w:r>
    </w:p>
    <w:p w14:paraId="6D06DB6C">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488" w:name="_Ref18990717"/>
      <w:r>
        <w:rPr>
          <w:rFonts w:hint="eastAsia" w:ascii="宋体" w:hAnsi="宋体" w:cs="宋体"/>
          <w:color w:val="auto"/>
          <w:kern w:val="0"/>
          <w:szCs w:val="20"/>
          <w:highlight w:val="none"/>
          <w:lang w:bidi="ar"/>
        </w:rPr>
        <w:t>6.4.2质量检查</w:t>
      </w:r>
      <w:bookmarkEnd w:id="1488"/>
    </w:p>
    <w:p w14:paraId="1CBD615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w:t>
      </w:r>
      <w:r>
        <w:rPr>
          <w:rFonts w:hint="eastAsia" w:ascii="宋体" w:hAnsi="宋体" w:cs="宋体"/>
          <w:color w:val="auto"/>
          <w:szCs w:val="21"/>
          <w:highlight w:val="none"/>
          <w:lang w:val="en-US" w:eastAsia="zh-CN"/>
        </w:rPr>
        <w:t>查</w:t>
      </w:r>
      <w:r>
        <w:rPr>
          <w:rFonts w:hint="eastAsia" w:ascii="宋体" w:hAnsi="宋体" w:cs="宋体"/>
          <w:color w:val="auto"/>
          <w:szCs w:val="21"/>
          <w:highlight w:val="none"/>
        </w:rPr>
        <w:t>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14:paraId="1D62FA3B">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489" w:name="_Ref11959222"/>
      <w:r>
        <w:rPr>
          <w:rFonts w:hint="eastAsia" w:ascii="宋体" w:hAnsi="宋体" w:cs="宋体"/>
          <w:color w:val="auto"/>
          <w:kern w:val="0"/>
          <w:szCs w:val="20"/>
          <w:highlight w:val="none"/>
          <w:lang w:bidi="ar"/>
        </w:rPr>
        <w:t>6.4.3隐蔽工程检查</w:t>
      </w:r>
      <w:bookmarkEnd w:id="1489"/>
    </w:p>
    <w:p w14:paraId="1278FEB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14:paraId="142278C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14:paraId="110B7C0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工程师不能按时进行检查的，应提前向承包人提交书面延期要求，顺延时间不得超过48小时，由此导致工期延误的，工期应予以顺延，顺延超过48小时的，由此导致的工期延误及费用增加由发包人承担。工程师未按时进行检查，也未提出延期要求的，视为隐蔽工程检查合格，承包人可自行完成覆盖工作，并作相应记录报送工程师，工程师应签字确认。工程师事后对检查记录有疑问的，可按下列约定重新检查。</w:t>
      </w:r>
    </w:p>
    <w:p w14:paraId="65E8970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2CD423E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承包人未通知工程师到场检查，私自将工程隐蔽部位覆盖的，工程师有权指示承包人钻孔探测或揭开检查，无论工程隐蔽部位质量是否合格，由此增加的费用和（或）延误的工期均由承包人承担。</w:t>
      </w:r>
    </w:p>
    <w:bookmarkEnd w:id="1480"/>
    <w:p w14:paraId="3C3D31F0">
      <w:pPr>
        <w:adjustRightInd w:val="0"/>
        <w:snapToGrid w:val="0"/>
        <w:spacing w:line="360" w:lineRule="auto"/>
        <w:rPr>
          <w:rFonts w:ascii="宋体" w:hAnsi="宋体"/>
          <w:b/>
          <w:color w:val="auto"/>
          <w:sz w:val="24"/>
          <w:highlight w:val="none"/>
        </w:rPr>
      </w:pPr>
      <w:bookmarkStart w:id="1490" w:name="_Ref11927389"/>
      <w:bookmarkStart w:id="1491" w:name="_Ref11927403"/>
      <w:bookmarkStart w:id="1492" w:name="_Ref11927398"/>
      <w:bookmarkStart w:id="1493" w:name="_Ref11959158"/>
      <w:bookmarkStart w:id="1494" w:name="_Toc54862233"/>
      <w:bookmarkStart w:id="1495" w:name="_Ref11959175"/>
      <w:bookmarkStart w:id="1496" w:name="_Toc145081593"/>
      <w:bookmarkStart w:id="1497" w:name="_Toc161228678"/>
      <w:r>
        <w:rPr>
          <w:rFonts w:hint="eastAsia" w:ascii="宋体" w:hAnsi="宋体" w:eastAsia="宋体"/>
          <w:b/>
          <w:color w:val="auto"/>
          <w:sz w:val="24"/>
          <w:highlight w:val="none"/>
        </w:rPr>
        <w:t>6.5由承包人试验</w:t>
      </w:r>
      <w:bookmarkEnd w:id="1490"/>
      <w:bookmarkEnd w:id="1491"/>
      <w:bookmarkEnd w:id="1492"/>
      <w:r>
        <w:rPr>
          <w:rFonts w:hint="eastAsia" w:ascii="宋体" w:hAnsi="宋体" w:eastAsia="宋体"/>
          <w:b/>
          <w:color w:val="auto"/>
          <w:sz w:val="24"/>
          <w:highlight w:val="none"/>
        </w:rPr>
        <w:t>和检验</w:t>
      </w:r>
      <w:bookmarkEnd w:id="1493"/>
      <w:bookmarkEnd w:id="1494"/>
      <w:bookmarkEnd w:id="1495"/>
      <w:bookmarkEnd w:id="1496"/>
      <w:bookmarkEnd w:id="1497"/>
    </w:p>
    <w:bookmarkEnd w:id="1481"/>
    <w:p w14:paraId="7A0AB7DB">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6.5.1试验设备与试验人员</w:t>
      </w:r>
    </w:p>
    <w:p w14:paraId="40D7E29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14:paraId="5090201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（2）承包人应按专用合同条件约定的试验内容、时间和地点提供试验设备、取样装置、试验场所和试验条件，并向工程师提交相应进场计划表。</w:t>
      </w:r>
    </w:p>
    <w:p w14:paraId="2DFA8B5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承包人配置的试验设备要符合相应试验规程的要求并经过具有资质的检测单位检测，且在正式使用该试验设备前，需要经过工程师与承包人共同校定。</w:t>
      </w:r>
    </w:p>
    <w:p w14:paraId="710CAAC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（3）承包人应向工程师提交试验人员的名单及其岗位、资格等证明资料，试验人员必须能够熟练进行相应的检测试验，承包人对试验人员的试验程序和试验结果的正确性负责。</w:t>
      </w:r>
    </w:p>
    <w:p w14:paraId="4A42788B">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6.5.2取样</w:t>
      </w:r>
    </w:p>
    <w:p w14:paraId="49F3B3A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试验属于自检性质的，承包人可以单独取样。试验属于工程师抽检性质的，可由工程师取样，也可由承包人的试验人员在工程师的监督下取样。</w:t>
      </w:r>
    </w:p>
    <w:p w14:paraId="0F4C54A8">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6.5.3材料、工程设备和工程的试验和检验</w:t>
      </w:r>
    </w:p>
    <w:p w14:paraId="11B2564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14:paraId="2D0D4F1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14:paraId="69BB90F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5385BF00">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498" w:name="_Toc351203566"/>
      <w:bookmarkStart w:id="1499" w:name="_Toc337558786"/>
      <w:r>
        <w:rPr>
          <w:rFonts w:hint="eastAsia" w:ascii="宋体" w:hAnsi="宋体" w:cs="宋体"/>
          <w:color w:val="auto"/>
          <w:kern w:val="0"/>
          <w:szCs w:val="20"/>
          <w:highlight w:val="none"/>
          <w:lang w:bidi="ar"/>
        </w:rPr>
        <w:t>6.5.4现场工艺试验</w:t>
      </w:r>
      <w:bookmarkEnd w:id="1498"/>
    </w:p>
    <w:bookmarkEnd w:id="1499"/>
    <w:p w14:paraId="725380C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承包人应按合同约定进行现场工艺试验。对大型的现场工艺试验，发包人认为必要时，承包人应根据发包人提出的工艺试验要求，编制工艺试验措施计划，报送发包人审查。</w:t>
      </w:r>
    </w:p>
    <w:p w14:paraId="295951D0">
      <w:pPr>
        <w:adjustRightInd w:val="0"/>
        <w:snapToGrid w:val="0"/>
        <w:spacing w:line="360" w:lineRule="auto"/>
        <w:rPr>
          <w:rFonts w:ascii="宋体" w:hAnsi="宋体"/>
          <w:b/>
          <w:color w:val="auto"/>
          <w:sz w:val="24"/>
          <w:highlight w:val="none"/>
        </w:rPr>
      </w:pPr>
      <w:bookmarkStart w:id="1500" w:name="_Ref532592787"/>
      <w:bookmarkStart w:id="1501" w:name="_Toc145081594"/>
      <w:bookmarkStart w:id="1502" w:name="_Toc161228679"/>
      <w:bookmarkStart w:id="1503" w:name="_Ref532592784"/>
      <w:bookmarkStart w:id="1504" w:name="_Toc54862234"/>
      <w:r>
        <w:rPr>
          <w:rFonts w:hint="eastAsia" w:ascii="宋体" w:hAnsi="宋体" w:eastAsia="宋体"/>
          <w:b/>
          <w:color w:val="auto"/>
          <w:sz w:val="24"/>
          <w:highlight w:val="none"/>
        </w:rPr>
        <w:t>6.6缺陷和修补</w:t>
      </w:r>
      <w:bookmarkEnd w:id="1500"/>
      <w:bookmarkEnd w:id="1501"/>
      <w:bookmarkEnd w:id="1502"/>
      <w:bookmarkEnd w:id="1503"/>
      <w:bookmarkEnd w:id="1504"/>
    </w:p>
    <w:p w14:paraId="403D6E98">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505" w:name="_Ref16875551"/>
      <w:r>
        <w:rPr>
          <w:rFonts w:hint="eastAsia" w:ascii="宋体" w:hAnsi="宋体" w:cs="宋体"/>
          <w:color w:val="auto"/>
          <w:kern w:val="0"/>
          <w:szCs w:val="20"/>
          <w:highlight w:val="none"/>
          <w:lang w:bidi="ar"/>
        </w:rPr>
        <w:t>6.6.1发包人可在颁发接收证书前随时指示承包人：</w:t>
      </w:r>
      <w:bookmarkEnd w:id="1505"/>
    </w:p>
    <w:p w14:paraId="7745DAC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（1）对不符合合同要求的任何工程设备或材料进行修补，或者将其移出现场并进行更换；</w:t>
      </w:r>
    </w:p>
    <w:p w14:paraId="2ACF0FD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（2）对不符合合同的其他工作进行修补，或者将其去除并重新实施；</w:t>
      </w:r>
    </w:p>
    <w:p w14:paraId="1CECF6A6">
      <w:pPr>
        <w:adjustRightInd w:val="0"/>
        <w:snapToGrid w:val="0"/>
        <w:spacing w:line="360" w:lineRule="auto"/>
        <w:ind w:firstLine="420" w:firstLineChars="200"/>
        <w:rPr>
          <w:rFonts w:ascii="宋体" w:hAnsi="宋体" w:cs="宋体"/>
          <w:color w:val="auto"/>
          <w:szCs w:val="21"/>
          <w:highlight w:val="none"/>
        </w:rPr>
      </w:pPr>
      <w:bookmarkStart w:id="1506" w:name="_Ref4708991"/>
      <w:r>
        <w:rPr>
          <w:rFonts w:hint="eastAsia" w:ascii="宋体" w:hAnsi="宋体" w:cs="宋体"/>
          <w:color w:val="auto"/>
          <w:szCs w:val="21"/>
          <w:highlight w:val="none"/>
        </w:rPr>
        <w:t>（3）实施因意外、不可预见的事件或其他原因引起的、为工程的安全迫切需要的任何修补工作。</w:t>
      </w:r>
      <w:bookmarkEnd w:id="1506"/>
    </w:p>
    <w:p w14:paraId="78E54CC3">
      <w:pPr>
        <w:tabs>
          <w:tab w:val="left" w:pos="851"/>
        </w:tabs>
        <w:adjustRightInd w:val="0"/>
        <w:snapToGrid w:val="0"/>
        <w:spacing w:line="360" w:lineRule="auto"/>
        <w:ind w:firstLine="420" w:firstLineChars="200"/>
        <w:rPr>
          <w:rFonts w:ascii="宋体" w:hAnsi="宋体" w:cs="宋体"/>
          <w:color w:val="auto"/>
          <w:highlight w:val="none"/>
        </w:rPr>
      </w:pPr>
      <w:bookmarkStart w:id="1507" w:name="_Ref11956964"/>
      <w:r>
        <w:rPr>
          <w:rFonts w:hint="eastAsia" w:ascii="宋体" w:hAnsi="宋体" w:cs="宋体"/>
          <w:color w:val="auto"/>
          <w:highlight w:val="none"/>
        </w:rPr>
        <w:t>6.6.2承包人应遵守第6.6.1项下指示，并在合理可行的情况下，根据上述指示中规定的时间完成修补工作。除因下列原因引起的第6.6.1项第（3）目下的情形外，承包人应承担所有修补工作的费用：</w:t>
      </w:r>
      <w:bookmarkEnd w:id="1507"/>
    </w:p>
    <w:p w14:paraId="043A72A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（1）因发包人或其人员的任何行为导致的情形，且在此情况下发包人应承担因此引起的工期延误和承包人费用损失，并向承包人支付合理的利润。</w:t>
      </w:r>
    </w:p>
    <w:p w14:paraId="46EC7D7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（2）第17.4款[不可抗力后果的承担]中适用的不可抗力事件的情形。</w:t>
      </w:r>
    </w:p>
    <w:p w14:paraId="2E244E97">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6.6.3如果承包人未能遵守发包人的指示，发包人可以自行决定请第三方完成上述修补工作，并有权要求承包人支付因未履行指示而产生的所有费用，但承包人根据第6.6.2项有权就修补工作获得支付的情况除外。</w:t>
      </w:r>
    </w:p>
    <w:p w14:paraId="7F5FA13A">
      <w:pPr>
        <w:adjustRightInd w:val="0"/>
        <w:snapToGrid w:val="0"/>
        <w:spacing w:line="360" w:lineRule="auto"/>
        <w:rPr>
          <w:rFonts w:ascii="黑体" w:hAnsi="黑体" w:eastAsia="黑体"/>
          <w:color w:val="auto"/>
          <w:sz w:val="24"/>
          <w:highlight w:val="none"/>
        </w:rPr>
      </w:pPr>
      <w:bookmarkStart w:id="1508" w:name="_Toc54862235"/>
      <w:bookmarkStart w:id="1509" w:name="_Toc161228680"/>
      <w:bookmarkStart w:id="1510" w:name="_Ref531954214"/>
      <w:r>
        <w:rPr>
          <w:rFonts w:hint="eastAsia" w:ascii="黑体" w:hAnsi="黑体" w:eastAsia="黑体"/>
          <w:color w:val="auto"/>
          <w:sz w:val="24"/>
          <w:highlight w:val="none"/>
        </w:rPr>
        <w:t>第7条 施工</w:t>
      </w:r>
      <w:bookmarkEnd w:id="1508"/>
      <w:bookmarkEnd w:id="1509"/>
      <w:bookmarkEnd w:id="1510"/>
    </w:p>
    <w:p w14:paraId="002233FA">
      <w:pPr>
        <w:adjustRightInd w:val="0"/>
        <w:snapToGrid w:val="0"/>
        <w:spacing w:line="360" w:lineRule="auto"/>
        <w:rPr>
          <w:rFonts w:ascii="宋体" w:hAnsi="宋体"/>
          <w:b/>
          <w:color w:val="auto"/>
          <w:sz w:val="24"/>
          <w:highlight w:val="none"/>
        </w:rPr>
      </w:pPr>
      <w:bookmarkStart w:id="1511" w:name="_Toc145081596"/>
      <w:bookmarkStart w:id="1512" w:name="_Ref531954276"/>
      <w:bookmarkStart w:id="1513" w:name="_Toc161228681"/>
      <w:bookmarkStart w:id="1514" w:name="_Toc54862236"/>
      <w:bookmarkStart w:id="1515" w:name="_Ref531954272"/>
      <w:bookmarkStart w:id="1516" w:name="_Ref531954246"/>
      <w:bookmarkStart w:id="1517" w:name="_Ref531954260"/>
      <w:r>
        <w:rPr>
          <w:rFonts w:hint="eastAsia" w:ascii="宋体" w:hAnsi="宋体" w:eastAsia="宋体"/>
          <w:b/>
          <w:color w:val="auto"/>
          <w:sz w:val="24"/>
          <w:highlight w:val="none"/>
        </w:rPr>
        <w:t>7.1交通运输</w:t>
      </w:r>
      <w:bookmarkEnd w:id="1511"/>
      <w:bookmarkEnd w:id="1512"/>
      <w:bookmarkEnd w:id="1513"/>
      <w:bookmarkEnd w:id="1514"/>
      <w:bookmarkEnd w:id="1515"/>
    </w:p>
    <w:p w14:paraId="074D256E">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518" w:name="_Ref4422645"/>
      <w:r>
        <w:rPr>
          <w:rFonts w:hint="eastAsia" w:ascii="宋体" w:hAnsi="宋体" w:cs="宋体"/>
          <w:color w:val="auto"/>
          <w:kern w:val="0"/>
          <w:szCs w:val="20"/>
          <w:highlight w:val="none"/>
          <w:lang w:bidi="ar"/>
        </w:rPr>
        <w:t>7.1.1出入现场的权利</w:t>
      </w:r>
      <w:bookmarkEnd w:id="1518"/>
    </w:p>
    <w:p w14:paraId="04E9547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14:paraId="475522E3">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519" w:name="_Ref18957045"/>
      <w:r>
        <w:rPr>
          <w:rFonts w:hint="eastAsia" w:ascii="宋体" w:hAnsi="宋体" w:cs="宋体"/>
          <w:color w:val="auto"/>
          <w:kern w:val="0"/>
          <w:szCs w:val="20"/>
          <w:highlight w:val="none"/>
          <w:lang w:bidi="ar"/>
        </w:rPr>
        <w:t>7.1.2场外交通</w:t>
      </w:r>
      <w:bookmarkEnd w:id="1519"/>
    </w:p>
    <w:p w14:paraId="2E19BBC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14:paraId="6196CDA7">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520" w:name="_Ref4622358"/>
      <w:r>
        <w:rPr>
          <w:rFonts w:hint="eastAsia" w:ascii="宋体" w:hAnsi="宋体" w:cs="宋体"/>
          <w:color w:val="auto"/>
          <w:kern w:val="0"/>
          <w:szCs w:val="20"/>
          <w:highlight w:val="none"/>
          <w:lang w:bidi="ar"/>
        </w:rPr>
        <w:t>7.1.3场内交通</w:t>
      </w:r>
      <w:bookmarkEnd w:id="1520"/>
    </w:p>
    <w:p w14:paraId="48B5C31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承包人应负责修建、维修、养护和管理施工所需的临时道路和交通设施，包括维修、养护和管理发包人提供的道路和交通设施，并承担相应费用。承包人修建的临时道路和交通设施应免费提供发包人和工程师为实现合同目的使用。场内交通与场外交通的边界由合同当事人在专用合同条件中约定。</w:t>
      </w:r>
    </w:p>
    <w:p w14:paraId="437A1301">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521" w:name="_Ref4622376"/>
      <w:r>
        <w:rPr>
          <w:rFonts w:hint="eastAsia" w:ascii="宋体" w:hAnsi="宋体" w:cs="宋体"/>
          <w:color w:val="auto"/>
          <w:kern w:val="0"/>
          <w:szCs w:val="20"/>
          <w:highlight w:val="none"/>
          <w:lang w:bidi="ar"/>
        </w:rPr>
        <w:t>7.1.4超大件和超重件的运输</w:t>
      </w:r>
      <w:bookmarkEnd w:id="1521"/>
    </w:p>
    <w:p w14:paraId="0697695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14:paraId="1A976BF3">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7.1.5道路和桥梁的损坏责任</w:t>
      </w:r>
    </w:p>
    <w:p w14:paraId="3F0CDA1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因承包人运输造成施工现场内外公共道路和桥梁损坏的，由承包人承担修复损坏的全部费用和可能引起的赔偿。</w:t>
      </w:r>
    </w:p>
    <w:p w14:paraId="73143FE6">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7.1.6水路和航空运输</w:t>
      </w:r>
    </w:p>
    <w:p w14:paraId="72DA5B9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本条上述各款的内容适用于水路运输和航空运输，其中“道路”一词的涵义包括河道、航线、船闸、机场、码头、堤防以及水路或航空运输中其他相似结构物；“车辆”一词的涵义包括船舶和飞机等。</w:t>
      </w:r>
    </w:p>
    <w:p w14:paraId="24D4955C">
      <w:pPr>
        <w:adjustRightInd w:val="0"/>
        <w:snapToGrid w:val="0"/>
        <w:spacing w:line="360" w:lineRule="auto"/>
        <w:rPr>
          <w:rFonts w:ascii="宋体" w:hAnsi="宋体"/>
          <w:b/>
          <w:color w:val="auto"/>
          <w:sz w:val="24"/>
          <w:highlight w:val="none"/>
        </w:rPr>
      </w:pPr>
      <w:bookmarkStart w:id="1522" w:name="_Toc145081597"/>
      <w:bookmarkStart w:id="1523" w:name="_Ref11919294"/>
      <w:bookmarkStart w:id="1524" w:name="_Toc161228682"/>
      <w:bookmarkStart w:id="1525" w:name="_Ref11919459"/>
      <w:bookmarkStart w:id="1526" w:name="_Toc54862237"/>
      <w:r>
        <w:rPr>
          <w:rFonts w:hint="eastAsia" w:ascii="宋体" w:hAnsi="宋体" w:eastAsia="宋体"/>
          <w:b/>
          <w:color w:val="auto"/>
          <w:sz w:val="24"/>
          <w:highlight w:val="none"/>
        </w:rPr>
        <w:t>7.2施工设备和临时设施</w:t>
      </w:r>
      <w:bookmarkEnd w:id="1516"/>
      <w:bookmarkEnd w:id="1517"/>
      <w:bookmarkEnd w:id="1522"/>
      <w:bookmarkEnd w:id="1523"/>
      <w:bookmarkEnd w:id="1524"/>
      <w:bookmarkEnd w:id="1525"/>
      <w:bookmarkEnd w:id="1526"/>
    </w:p>
    <w:p w14:paraId="51455A0C">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527" w:name="_Ref18990767"/>
      <w:bookmarkStart w:id="1528" w:name="_Ref509043186"/>
      <w:r>
        <w:rPr>
          <w:rFonts w:hint="eastAsia" w:ascii="宋体" w:hAnsi="宋体" w:cs="宋体"/>
          <w:color w:val="auto"/>
          <w:kern w:val="0"/>
          <w:szCs w:val="20"/>
          <w:highlight w:val="none"/>
          <w:lang w:bidi="ar"/>
        </w:rPr>
        <w:t>7.2.1承包人提供的施工设备和临时设施</w:t>
      </w:r>
      <w:bookmarkEnd w:id="1527"/>
    </w:p>
    <w:p w14:paraId="69B34A5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14:paraId="5A45CC1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承包人应自行承担修建临时设施的费用，需要临时占地的，应由发包人办理申请手续并承担相应费用。承包人应在专用合同条件7.2款约定的时间内向发包人提交临时占地资料，因承包人未能按时提交资料，导致工期延误的，由此增加的费用和（或）竣工日期延误，由承包人负责。</w:t>
      </w:r>
    </w:p>
    <w:bookmarkEnd w:id="1528"/>
    <w:p w14:paraId="045E4916">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529" w:name="_Ref18990784"/>
      <w:r>
        <w:rPr>
          <w:rFonts w:hint="eastAsia" w:ascii="宋体" w:hAnsi="宋体" w:cs="宋体"/>
          <w:color w:val="auto"/>
          <w:kern w:val="0"/>
          <w:szCs w:val="20"/>
          <w:highlight w:val="none"/>
          <w:lang w:bidi="ar"/>
        </w:rPr>
        <w:t>7.2.2发包人提供的施工设备和临时设施</w:t>
      </w:r>
      <w:bookmarkEnd w:id="1529"/>
    </w:p>
    <w:p w14:paraId="0BF172B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发包人提供的施工设备或临时设施在专用合同条件中约定。</w:t>
      </w:r>
    </w:p>
    <w:p w14:paraId="044A1501">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7.2.3要求承包人增加或更换施工设备</w:t>
      </w:r>
    </w:p>
    <w:p w14:paraId="5B3CAA1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承包人使用的施工设备不能满足项目进度计划和（或）质量要求时，工程师有权要求承包人增加或更换施工设备，承包人应及时增加或更换，由此增加的费用和（或）延误的工期由承包人承担。</w:t>
      </w:r>
    </w:p>
    <w:p w14:paraId="007D75A8">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7.2.4施工设备和临时设施专用于合同工程</w:t>
      </w:r>
    </w:p>
    <w:p w14:paraId="2E42BB9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14:paraId="1E62E28A">
      <w:pPr>
        <w:adjustRightInd w:val="0"/>
        <w:snapToGrid w:val="0"/>
        <w:spacing w:line="360" w:lineRule="auto"/>
        <w:rPr>
          <w:rFonts w:ascii="宋体" w:hAnsi="宋体"/>
          <w:b/>
          <w:color w:val="auto"/>
          <w:sz w:val="24"/>
          <w:highlight w:val="none"/>
        </w:rPr>
      </w:pPr>
      <w:bookmarkStart w:id="1530" w:name="_Toc54862238"/>
      <w:bookmarkStart w:id="1531" w:name="_Toc161228683"/>
      <w:bookmarkStart w:id="1532" w:name="_Ref11874352"/>
      <w:bookmarkStart w:id="1533" w:name="_Toc145081598"/>
      <w:r>
        <w:rPr>
          <w:rFonts w:hint="eastAsia" w:ascii="宋体" w:hAnsi="宋体" w:eastAsia="宋体"/>
          <w:b/>
          <w:color w:val="auto"/>
          <w:sz w:val="24"/>
          <w:highlight w:val="none"/>
        </w:rPr>
        <w:t>7.3现场合作</w:t>
      </w:r>
      <w:bookmarkEnd w:id="1530"/>
      <w:bookmarkEnd w:id="1531"/>
      <w:bookmarkEnd w:id="1532"/>
      <w:bookmarkEnd w:id="1533"/>
    </w:p>
    <w:p w14:paraId="61ABE1B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承包人应按合同约定或发包人的指示，与发包人人员、发包人的其他承包人等人员就在现场或附近实施与工程有关的各项工作进行合作并提供适当条件，包括使用承包人设备、临时工程或进入现场等。</w:t>
      </w:r>
    </w:p>
    <w:p w14:paraId="63B12D3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承包人应对其在现场的施工活动负责，并应尽合理努力按合同约定或发包人的指示，协调自身与发包人人员、发包人的其他承包人等人员的活动。</w:t>
      </w:r>
    </w:p>
    <w:p w14:paraId="2C5FDE2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14:paraId="2996929F">
      <w:pPr>
        <w:adjustRightInd w:val="0"/>
        <w:snapToGrid w:val="0"/>
        <w:spacing w:line="360" w:lineRule="auto"/>
        <w:rPr>
          <w:rFonts w:ascii="宋体" w:hAnsi="宋体"/>
          <w:b/>
          <w:color w:val="auto"/>
          <w:sz w:val="24"/>
          <w:highlight w:val="none"/>
        </w:rPr>
      </w:pPr>
      <w:bookmarkStart w:id="1534" w:name="_Ref531954287"/>
      <w:bookmarkStart w:id="1535" w:name="_Ref531954285"/>
      <w:bookmarkStart w:id="1536" w:name="_Toc161228684"/>
      <w:bookmarkStart w:id="1537" w:name="_Toc145081599"/>
      <w:bookmarkStart w:id="1538" w:name="_Toc54862239"/>
      <w:r>
        <w:rPr>
          <w:rFonts w:hint="eastAsia" w:ascii="宋体" w:hAnsi="宋体" w:eastAsia="宋体"/>
          <w:b/>
          <w:color w:val="auto"/>
          <w:sz w:val="24"/>
          <w:highlight w:val="none"/>
        </w:rPr>
        <w:t>7.4测量放线</w:t>
      </w:r>
      <w:bookmarkEnd w:id="1534"/>
      <w:bookmarkEnd w:id="1535"/>
      <w:bookmarkEnd w:id="1536"/>
      <w:bookmarkEnd w:id="1537"/>
      <w:bookmarkEnd w:id="1538"/>
    </w:p>
    <w:p w14:paraId="3A4678D9">
      <w:pPr>
        <w:tabs>
          <w:tab w:val="left" w:pos="851"/>
        </w:tabs>
        <w:adjustRightInd w:val="0"/>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7.4.1除专用合同条件另有约定外，承包人应根据国家测绘基准、测绘系统和工程测量技术规范，按基准点（线）以及合同工程精度要求，测设施工控制网，并在专用合同条件约定的期限内，将施工控制网资料报送工程师。</w:t>
      </w:r>
    </w:p>
    <w:p w14:paraId="4F8BD35E">
      <w:pPr>
        <w:tabs>
          <w:tab w:val="left" w:pos="851"/>
        </w:tabs>
        <w:adjustRightInd w:val="0"/>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7.4.2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p>
    <w:p w14:paraId="5CBDB054">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7.4.3承包人负责施工过程中的全部施工测量放线工作，并配置具有相应资质的人员、合格的仪器、设备和其他物品。承包人应</w:t>
      </w:r>
      <w:r>
        <w:rPr>
          <w:rFonts w:hint="eastAsia" w:ascii="宋体" w:hAnsi="宋体" w:cs="宋体"/>
          <w:color w:val="auto"/>
          <w:highlight w:val="none"/>
          <w:lang w:val="en-US" w:eastAsia="zh-CN"/>
        </w:rPr>
        <w:t>校</w:t>
      </w:r>
      <w:r>
        <w:rPr>
          <w:rFonts w:hint="eastAsia" w:ascii="宋体" w:hAnsi="宋体" w:cs="宋体"/>
          <w:color w:val="auto"/>
          <w:highlight w:val="none"/>
        </w:rPr>
        <w:t>正工程的位置、标高、尺寸或基准线中出现的任何差错，并对工程各部分的定位负责。施工过程中对施工现场内水准点等测量标志物的保护工作由承包人负责。</w:t>
      </w:r>
    </w:p>
    <w:p w14:paraId="64565BFE">
      <w:pPr>
        <w:adjustRightInd w:val="0"/>
        <w:snapToGrid w:val="0"/>
        <w:spacing w:line="360" w:lineRule="auto"/>
        <w:rPr>
          <w:rFonts w:ascii="宋体" w:hAnsi="宋体"/>
          <w:b/>
          <w:color w:val="auto"/>
          <w:sz w:val="24"/>
          <w:highlight w:val="none"/>
        </w:rPr>
      </w:pPr>
      <w:bookmarkStart w:id="1539" w:name="_Toc54862240"/>
      <w:bookmarkStart w:id="1540" w:name="_Toc145081600"/>
      <w:bookmarkStart w:id="1541" w:name="_Toc161228685"/>
      <w:bookmarkStart w:id="1542" w:name="_Ref531954329"/>
      <w:bookmarkStart w:id="1543" w:name="_Ref531954323"/>
      <w:bookmarkStart w:id="1544" w:name="_Ref4770992"/>
      <w:r>
        <w:rPr>
          <w:rFonts w:hint="eastAsia" w:ascii="宋体" w:hAnsi="宋体" w:eastAsia="宋体"/>
          <w:b/>
          <w:color w:val="auto"/>
          <w:sz w:val="24"/>
          <w:highlight w:val="none"/>
        </w:rPr>
        <w:t>7.5现场劳动用工</w:t>
      </w:r>
      <w:bookmarkEnd w:id="1539"/>
      <w:bookmarkEnd w:id="1540"/>
      <w:bookmarkEnd w:id="1541"/>
    </w:p>
    <w:p w14:paraId="1BCA8EC9">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7.5.1承包人及其分包人招用建筑工人的，应当依法与所招用的建筑工人订立劳动合同，实行建筑工人劳动用工实名制管理，承包人应当按照有关规定开设建筑工人工资专用账户、存储工资保证金，专项用于支付和保障该工程建设项目建筑工人工资。</w:t>
      </w:r>
    </w:p>
    <w:p w14:paraId="61AE7862">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7.5.2承包人应当在工程项目部配备劳资专管员，对分包单位劳动用工及工资发放实施监督管理。承包人拖欠建筑工人工资的,应当依法予以清偿。分包人拖欠建筑工人工资的,由承包人先行清偿,再依法进行追偿。因发包人未按照合同约定及时拨付工程款导致建筑工人工资拖欠的，发包人应当以未结清的工程款为限先行垫付被拖欠的建筑工人工资。合同当事人可在专用合同条件中约定具体的清偿事宜和违约责任。</w:t>
      </w:r>
    </w:p>
    <w:p w14:paraId="3D2DEF91">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7.5.3承包人应当按照相关法律法规的要求，进行劳动用工管理和建筑工人工资支付。</w:t>
      </w:r>
    </w:p>
    <w:p w14:paraId="58D3BB13">
      <w:pPr>
        <w:adjustRightInd w:val="0"/>
        <w:snapToGrid w:val="0"/>
        <w:spacing w:line="360" w:lineRule="auto"/>
        <w:rPr>
          <w:rFonts w:ascii="宋体" w:hAnsi="宋体"/>
          <w:b/>
          <w:color w:val="auto"/>
          <w:sz w:val="24"/>
          <w:highlight w:val="none"/>
        </w:rPr>
      </w:pPr>
      <w:bookmarkStart w:id="1545" w:name="_Toc54862241"/>
      <w:bookmarkStart w:id="1546" w:name="_Ref41554059"/>
      <w:bookmarkStart w:id="1547" w:name="_Toc145081601"/>
      <w:bookmarkStart w:id="1548" w:name="_Toc161228686"/>
      <w:r>
        <w:rPr>
          <w:rFonts w:hint="eastAsia" w:ascii="宋体" w:hAnsi="宋体" w:eastAsia="宋体"/>
          <w:b/>
          <w:color w:val="auto"/>
          <w:sz w:val="24"/>
          <w:highlight w:val="none"/>
        </w:rPr>
        <w:t>7.6安全文明施工</w:t>
      </w:r>
      <w:bookmarkEnd w:id="1542"/>
      <w:bookmarkEnd w:id="1543"/>
      <w:bookmarkEnd w:id="1544"/>
      <w:bookmarkEnd w:id="1545"/>
      <w:bookmarkEnd w:id="1546"/>
      <w:bookmarkEnd w:id="1547"/>
      <w:bookmarkEnd w:id="1548"/>
    </w:p>
    <w:p w14:paraId="1BAEC372">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549" w:name="_Ref18990822"/>
      <w:r>
        <w:rPr>
          <w:rFonts w:hint="eastAsia" w:ascii="宋体" w:hAnsi="宋体" w:cs="宋体"/>
          <w:color w:val="auto"/>
          <w:kern w:val="0"/>
          <w:szCs w:val="20"/>
          <w:highlight w:val="none"/>
          <w:lang w:bidi="ar"/>
        </w:rPr>
        <w:t>7.6.1安全生产要求</w:t>
      </w:r>
      <w:bookmarkEnd w:id="1549"/>
    </w:p>
    <w:p w14:paraId="116179A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14:paraId="1BA8651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14:paraId="747FDFB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因安全生产需要暂停施工的，按照第8.9款[暂停工作]的约定执行。</w:t>
      </w:r>
    </w:p>
    <w:p w14:paraId="28554884">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7.6.2安全生产保证措施</w:t>
      </w:r>
    </w:p>
    <w:p w14:paraId="07A78EF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14:paraId="5A7E9B8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14:paraId="45D707F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14:paraId="29F3F55A">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550" w:name="_Ref18990840"/>
      <w:r>
        <w:rPr>
          <w:rFonts w:hint="eastAsia" w:ascii="宋体" w:hAnsi="宋体" w:cs="宋体"/>
          <w:color w:val="auto"/>
          <w:kern w:val="0"/>
          <w:szCs w:val="20"/>
          <w:highlight w:val="none"/>
          <w:lang w:bidi="ar"/>
        </w:rPr>
        <w:t>7.6.3文明施工</w:t>
      </w:r>
      <w:bookmarkEnd w:id="1550"/>
    </w:p>
    <w:p w14:paraId="3476F78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承包人在工程施工期间，应当采取措施保持施工现场平整，物料堆放整齐。工程所在地有关政府行政管理部门有特殊要求的，按照其要求执行。合同当事人对文明施工有其他要求的，可以在专用合同条件中明确。</w:t>
      </w:r>
    </w:p>
    <w:p w14:paraId="16645A9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C7D5D92">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7.6.4事故处理</w:t>
      </w:r>
    </w:p>
    <w:p w14:paraId="1E7575F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4BFED8F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14:paraId="1907E8B9">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7.6.5安全生产责任</w:t>
      </w:r>
    </w:p>
    <w:p w14:paraId="479846A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发包人应负责赔偿以下各种情况造成的损失：</w:t>
      </w:r>
    </w:p>
    <w:p w14:paraId="5221281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（1）工程或工程的任何部分对土地的占用所造成的第三者财产损失；</w:t>
      </w:r>
    </w:p>
    <w:p w14:paraId="25FAB82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（2）由于发包人原因在施工现场及其毗邻地带、履行合同工作中造成的第三者人身伤亡和财产损失；</w:t>
      </w:r>
    </w:p>
    <w:p w14:paraId="113B8E5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（3）由于发包人原因对发包人自身、承包人、工程师造成的人身伤害和财产损失。</w:t>
      </w:r>
    </w:p>
    <w:p w14:paraId="23B0A3B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承包人应负责赔偿由于承包人原因在施工现场及其毗邻地带、履行合同工作中造成的第三者人身伤亡和财产损失。</w:t>
      </w:r>
    </w:p>
    <w:p w14:paraId="1C803F3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如果上述损失是由于发包人和承包人共同原因导致的，则双方应根据过错情况按比例承担。</w:t>
      </w:r>
    </w:p>
    <w:p w14:paraId="5240191F">
      <w:pPr>
        <w:adjustRightInd w:val="0"/>
        <w:snapToGrid w:val="0"/>
        <w:spacing w:line="360" w:lineRule="auto"/>
        <w:rPr>
          <w:rFonts w:ascii="宋体" w:hAnsi="宋体"/>
          <w:b/>
          <w:color w:val="auto"/>
          <w:sz w:val="24"/>
          <w:highlight w:val="none"/>
        </w:rPr>
      </w:pPr>
      <w:bookmarkStart w:id="1551" w:name="_Toc145081602"/>
      <w:bookmarkStart w:id="1552" w:name="_Ref41554069"/>
      <w:bookmarkStart w:id="1553" w:name="_Toc161228687"/>
      <w:bookmarkStart w:id="1554" w:name="_Ref11874562"/>
      <w:bookmarkStart w:id="1555" w:name="_Toc54862242"/>
      <w:r>
        <w:rPr>
          <w:rFonts w:hint="eastAsia" w:ascii="宋体" w:hAnsi="宋体" w:eastAsia="宋体"/>
          <w:b/>
          <w:color w:val="auto"/>
          <w:sz w:val="24"/>
          <w:highlight w:val="none"/>
        </w:rPr>
        <w:t>7.7职业健康</w:t>
      </w:r>
      <w:bookmarkEnd w:id="1551"/>
      <w:bookmarkEnd w:id="1552"/>
      <w:bookmarkEnd w:id="1553"/>
      <w:bookmarkEnd w:id="1554"/>
      <w:bookmarkEnd w:id="1555"/>
    </w:p>
    <w:p w14:paraId="77447D4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承包人应遵守适用的职业健康的法律和合同约定（包括对</w:t>
      </w:r>
      <w:r>
        <w:rPr>
          <w:rFonts w:hint="eastAsia" w:ascii="宋体" w:hAnsi="宋体" w:cs="宋体"/>
          <w:color w:val="auto"/>
          <w:szCs w:val="21"/>
          <w:highlight w:val="none"/>
          <w:lang w:eastAsia="zh-CN"/>
        </w:rPr>
        <w:t>雇佣</w:t>
      </w:r>
      <w:r>
        <w:rPr>
          <w:rFonts w:hint="eastAsia" w:ascii="宋体" w:hAnsi="宋体" w:cs="宋体"/>
          <w:color w:val="auto"/>
          <w:szCs w:val="21"/>
          <w:highlight w:val="none"/>
        </w:rPr>
        <w:t>、职业健康、安全、福利等方面的规定），负责现场实施过程中其人员的职业健康和保护，包括：</w:t>
      </w:r>
    </w:p>
    <w:p w14:paraId="697CC4C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14:paraId="696EDCE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（2）承包人应依法为承包人</w:t>
      </w:r>
      <w:bookmarkStart w:id="1556" w:name="_Hlk46339538"/>
      <w:r>
        <w:rPr>
          <w:rFonts w:hint="eastAsia" w:ascii="宋体" w:hAnsi="宋体" w:cs="宋体"/>
          <w:color w:val="auto"/>
          <w:szCs w:val="21"/>
          <w:highlight w:val="none"/>
        </w:rPr>
        <w:t>员工及承包人聘用的第三方人员</w:t>
      </w:r>
      <w:bookmarkEnd w:id="1556"/>
      <w:r>
        <w:rPr>
          <w:rFonts w:hint="eastAsia" w:ascii="宋体" w:hAnsi="宋体" w:cs="宋体"/>
          <w:color w:val="auto"/>
          <w:szCs w:val="21"/>
          <w:highlight w:val="none"/>
        </w:rPr>
        <w:t>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14:paraId="04B877F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14:paraId="24551E5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14:paraId="0735BB2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承包人应采取有效措施预防传染病，保持食堂的饮食卫生，保证施工人员的健康，并定期对施工现场、施工人员生活基地和工程进行防疫和卫生的专业检查和处理,在远离城镇的施工现场，还应配备必要的伤病防治和急救的医务人员与医疗设施。承包人雇佣人员在施工中受到伤害的，承包人应立即采取有效措施进行抢救和治疗。</w:t>
      </w:r>
    </w:p>
    <w:p w14:paraId="6176BF17">
      <w:pPr>
        <w:adjustRightInd w:val="0"/>
        <w:snapToGrid w:val="0"/>
        <w:spacing w:line="360" w:lineRule="auto"/>
        <w:rPr>
          <w:rFonts w:ascii="宋体" w:hAnsi="宋体"/>
          <w:b/>
          <w:color w:val="auto"/>
          <w:sz w:val="24"/>
          <w:highlight w:val="none"/>
        </w:rPr>
      </w:pPr>
      <w:bookmarkStart w:id="1557" w:name="_Toc161228688"/>
      <w:bookmarkStart w:id="1558" w:name="_Ref11874570"/>
      <w:bookmarkStart w:id="1559" w:name="_Toc145081603"/>
      <w:bookmarkStart w:id="1560" w:name="_Toc54862243"/>
      <w:r>
        <w:rPr>
          <w:rFonts w:hint="eastAsia" w:ascii="宋体" w:hAnsi="宋体" w:eastAsia="宋体"/>
          <w:b/>
          <w:color w:val="auto"/>
          <w:sz w:val="24"/>
          <w:highlight w:val="none"/>
        </w:rPr>
        <w:t>7.8环境保护</w:t>
      </w:r>
      <w:bookmarkEnd w:id="1557"/>
      <w:bookmarkEnd w:id="1558"/>
      <w:bookmarkEnd w:id="1559"/>
      <w:bookmarkEnd w:id="1560"/>
    </w:p>
    <w:p w14:paraId="4356A6A3">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7.8.1承包人负责在现场施工过程中对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p>
    <w:p w14:paraId="05D89A6D">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7.8.2承包人应采取措施，并负责控制和（或）处理现场的粉尘、废气、废水、固体废物和噪声对环境的污染和危害。因此发生的伤害、赔偿、罚款等费用增加，和（或）竣工日期延误，由承包人负责。</w:t>
      </w:r>
    </w:p>
    <w:p w14:paraId="4D528F5D">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7.8.3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p>
    <w:p w14:paraId="603C8F3C">
      <w:pPr>
        <w:adjustRightInd w:val="0"/>
        <w:snapToGrid w:val="0"/>
        <w:spacing w:line="360" w:lineRule="auto"/>
        <w:rPr>
          <w:rFonts w:ascii="宋体" w:hAnsi="宋体"/>
          <w:b/>
          <w:color w:val="auto"/>
          <w:sz w:val="24"/>
          <w:highlight w:val="none"/>
        </w:rPr>
      </w:pPr>
      <w:bookmarkStart w:id="1561" w:name="_Toc54862244"/>
      <w:bookmarkStart w:id="1562" w:name="_Ref531954340"/>
      <w:bookmarkStart w:id="1563" w:name="_Ref4771116"/>
      <w:bookmarkStart w:id="1564" w:name="_Ref531954344"/>
      <w:bookmarkStart w:id="1565" w:name="_Toc145081604"/>
      <w:bookmarkStart w:id="1566" w:name="_Toc161228689"/>
      <w:r>
        <w:rPr>
          <w:rFonts w:hint="eastAsia" w:ascii="宋体" w:hAnsi="宋体" w:eastAsia="宋体"/>
          <w:b/>
          <w:color w:val="auto"/>
          <w:sz w:val="24"/>
          <w:highlight w:val="none"/>
        </w:rPr>
        <w:t>7.9临时性公用设施</w:t>
      </w:r>
      <w:bookmarkEnd w:id="1561"/>
      <w:bookmarkEnd w:id="1562"/>
      <w:bookmarkEnd w:id="1563"/>
      <w:bookmarkEnd w:id="1564"/>
      <w:bookmarkEnd w:id="1565"/>
      <w:bookmarkEnd w:id="1566"/>
    </w:p>
    <w:p w14:paraId="6AC20E0A">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7.9.1提供临时用水、用电等和节点铺设</w:t>
      </w:r>
    </w:p>
    <w:p w14:paraId="7C9CA1E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14:paraId="0BCD5BC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14:paraId="3F21F2FB">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7.9.2临时用水、用电等</w:t>
      </w:r>
    </w:p>
    <w:p w14:paraId="4715FA5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承包人应在计划开始现场施工日期28天前或双方约定的其</w:t>
      </w:r>
      <w:r>
        <w:rPr>
          <w:rFonts w:hint="eastAsia" w:ascii="宋体" w:hAnsi="宋体" w:cs="宋体"/>
          <w:color w:val="auto"/>
          <w:szCs w:val="21"/>
          <w:highlight w:val="none"/>
          <w:lang w:val="en-US" w:eastAsia="zh-CN"/>
        </w:rPr>
        <w:t>他</w:t>
      </w:r>
      <w:r>
        <w:rPr>
          <w:rFonts w:hint="eastAsia" w:ascii="宋体" w:hAnsi="宋体" w:cs="宋体"/>
          <w:color w:val="auto"/>
          <w:szCs w:val="21"/>
          <w:highlight w:val="none"/>
        </w:rPr>
        <w:t>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14:paraId="5A9CAE6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因承包人未能按合同约定提交上述资料，造成发包人费用增加和竣工日期延误时，由承包人负责。</w:t>
      </w:r>
      <w:bookmarkStart w:id="1567" w:name="_Ref508893743"/>
    </w:p>
    <w:p w14:paraId="6C077B50">
      <w:pPr>
        <w:adjustRightInd w:val="0"/>
        <w:snapToGrid w:val="0"/>
        <w:spacing w:line="360" w:lineRule="auto"/>
        <w:rPr>
          <w:rFonts w:ascii="宋体" w:hAnsi="宋体"/>
          <w:b/>
          <w:color w:val="auto"/>
          <w:sz w:val="24"/>
          <w:highlight w:val="none"/>
        </w:rPr>
      </w:pPr>
      <w:bookmarkStart w:id="1568" w:name="_Ref531952248"/>
      <w:bookmarkStart w:id="1569" w:name="_Toc161228690"/>
      <w:bookmarkStart w:id="1570" w:name="_Toc145081605"/>
      <w:bookmarkStart w:id="1571" w:name="_Ref531952239"/>
      <w:bookmarkStart w:id="1572" w:name="_Toc54862245"/>
      <w:r>
        <w:rPr>
          <w:rFonts w:hint="eastAsia" w:ascii="宋体" w:hAnsi="宋体" w:eastAsia="宋体"/>
          <w:b/>
          <w:color w:val="auto"/>
          <w:sz w:val="24"/>
          <w:highlight w:val="none"/>
        </w:rPr>
        <w:t>7.10现场安保</w:t>
      </w:r>
      <w:bookmarkEnd w:id="1568"/>
      <w:bookmarkEnd w:id="1569"/>
      <w:bookmarkEnd w:id="1570"/>
      <w:bookmarkEnd w:id="1571"/>
      <w:bookmarkEnd w:id="1572"/>
    </w:p>
    <w:p w14:paraId="5BAEE1D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14:paraId="3BF66B1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承包人应将其作业限制在现场区域、合同约定的区域或为履行合同所需的区域内。承包人应采取一切必要的预防措施，以保持承包人的设备和人员处于现场区域内，避免其进入邻近地区。</w:t>
      </w:r>
    </w:p>
    <w:p w14:paraId="7220513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承包人为履行合同义务而占用的其他场所（如预制加工场所、办公及生活营区）的安保适用本款前述关于现场安保的规定。</w:t>
      </w:r>
    </w:p>
    <w:p w14:paraId="450B7F2F">
      <w:pPr>
        <w:adjustRightInd w:val="0"/>
        <w:snapToGrid w:val="0"/>
        <w:spacing w:line="360" w:lineRule="auto"/>
        <w:rPr>
          <w:rFonts w:ascii="宋体" w:hAnsi="宋体"/>
          <w:b/>
          <w:color w:val="auto"/>
          <w:sz w:val="24"/>
          <w:highlight w:val="none"/>
        </w:rPr>
      </w:pPr>
      <w:bookmarkStart w:id="1573" w:name="_Toc161228691"/>
      <w:bookmarkStart w:id="1574" w:name="_Toc145081606"/>
      <w:bookmarkStart w:id="1575" w:name="_Toc54862246"/>
      <w:r>
        <w:rPr>
          <w:rFonts w:hint="eastAsia" w:ascii="宋体" w:hAnsi="宋体" w:eastAsia="宋体"/>
          <w:b/>
          <w:color w:val="auto"/>
          <w:sz w:val="24"/>
          <w:highlight w:val="none"/>
        </w:rPr>
        <w:t>7.11工程照管</w:t>
      </w:r>
      <w:bookmarkEnd w:id="1573"/>
      <w:bookmarkEnd w:id="1574"/>
      <w:bookmarkEnd w:id="1575"/>
    </w:p>
    <w:p w14:paraId="35D7624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自开始现场施工日期起至发包人应当接收工程之日止，承包人应承担工程现场、材料、设备及承包人文件的照管和维护工作。</w:t>
      </w:r>
    </w:p>
    <w:p w14:paraId="59CD0F7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如部分工程于竣工验收前提前交付发包人的，则自交付之日起，该部分工程照管及维护职责由发包人承担。</w:t>
      </w:r>
    </w:p>
    <w:p w14:paraId="29783C8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如发包人及承包人进行竣工验收时尚有部分未竣工工程的，承包人应负责该未竣工工程的照管和维护工作，直至竣工后移交给发包人。</w:t>
      </w:r>
    </w:p>
    <w:p w14:paraId="4333BBC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如合同解除或终止的，承包人自合同解除或终止之日起不再对工程承担照管和维护义务。</w:t>
      </w:r>
    </w:p>
    <w:p w14:paraId="0FEEC826">
      <w:pPr>
        <w:adjustRightInd w:val="0"/>
        <w:snapToGrid w:val="0"/>
        <w:spacing w:line="360" w:lineRule="auto"/>
        <w:rPr>
          <w:rFonts w:ascii="黑体" w:hAnsi="黑体" w:eastAsia="黑体"/>
          <w:color w:val="auto"/>
          <w:sz w:val="24"/>
          <w:highlight w:val="none"/>
        </w:rPr>
      </w:pPr>
      <w:bookmarkStart w:id="1576" w:name="_Ref508998009"/>
      <w:bookmarkStart w:id="1577" w:name="_Toc54862247"/>
      <w:bookmarkStart w:id="1578" w:name="_Toc161228692"/>
      <w:bookmarkStart w:id="1579" w:name="_Ref531954505"/>
      <w:bookmarkStart w:id="1580" w:name="_Ref531954518"/>
      <w:r>
        <w:rPr>
          <w:rFonts w:hint="eastAsia" w:ascii="黑体" w:hAnsi="黑体" w:eastAsia="黑体"/>
          <w:color w:val="auto"/>
          <w:sz w:val="24"/>
          <w:highlight w:val="none"/>
        </w:rPr>
        <w:t>第8条 工期和进度</w:t>
      </w:r>
      <w:bookmarkEnd w:id="1576"/>
      <w:bookmarkEnd w:id="1577"/>
      <w:bookmarkEnd w:id="1578"/>
    </w:p>
    <w:p w14:paraId="4A8FA6E0">
      <w:pPr>
        <w:adjustRightInd w:val="0"/>
        <w:snapToGrid w:val="0"/>
        <w:spacing w:line="360" w:lineRule="auto"/>
        <w:rPr>
          <w:rFonts w:ascii="宋体" w:hAnsi="宋体"/>
          <w:b/>
          <w:color w:val="auto"/>
          <w:sz w:val="24"/>
          <w:highlight w:val="none"/>
        </w:rPr>
      </w:pPr>
      <w:bookmarkStart w:id="1581" w:name="_Toc145081608"/>
      <w:bookmarkStart w:id="1582" w:name="_Ref532362777"/>
      <w:bookmarkStart w:id="1583" w:name="_Toc54862248"/>
      <w:bookmarkStart w:id="1584" w:name="_Ref532362774"/>
      <w:bookmarkStart w:id="1585" w:name="_Toc161228693"/>
      <w:bookmarkStart w:id="1586" w:name="_Ref532362072"/>
      <w:bookmarkStart w:id="1587" w:name="_Ref532362075"/>
      <w:r>
        <w:rPr>
          <w:rFonts w:hint="eastAsia" w:ascii="宋体" w:hAnsi="宋体" w:eastAsia="宋体"/>
          <w:b/>
          <w:color w:val="auto"/>
          <w:sz w:val="24"/>
          <w:highlight w:val="none"/>
        </w:rPr>
        <w:t>8.1开始工作</w:t>
      </w:r>
      <w:bookmarkEnd w:id="1581"/>
      <w:bookmarkEnd w:id="1582"/>
      <w:bookmarkEnd w:id="1583"/>
      <w:bookmarkEnd w:id="1584"/>
      <w:bookmarkEnd w:id="1585"/>
      <w:bookmarkEnd w:id="1586"/>
      <w:bookmarkEnd w:id="1587"/>
    </w:p>
    <w:p w14:paraId="31070264">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588" w:name="_Ref4428890"/>
      <w:r>
        <w:rPr>
          <w:rFonts w:hint="eastAsia" w:ascii="宋体" w:hAnsi="宋体" w:cs="宋体"/>
          <w:color w:val="auto"/>
          <w:kern w:val="0"/>
          <w:szCs w:val="20"/>
          <w:highlight w:val="none"/>
          <w:lang w:bidi="ar"/>
        </w:rPr>
        <w:t>8.1.1开始工作准备</w:t>
      </w:r>
      <w:bookmarkEnd w:id="1588"/>
    </w:p>
    <w:p w14:paraId="76441C6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合同当事人应按专用合同条件约定完成开始工作准备工作。</w:t>
      </w:r>
    </w:p>
    <w:p w14:paraId="6EB304C0">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589" w:name="_Ref536790534"/>
      <w:bookmarkStart w:id="1590" w:name="_Hlk51506490"/>
      <w:r>
        <w:rPr>
          <w:rFonts w:hint="eastAsia" w:ascii="宋体" w:hAnsi="宋体" w:cs="宋体"/>
          <w:color w:val="auto"/>
          <w:kern w:val="0"/>
          <w:szCs w:val="20"/>
          <w:highlight w:val="none"/>
          <w:lang w:bidi="ar"/>
        </w:rPr>
        <w:t>8.1.2开始工作通知</w:t>
      </w:r>
      <w:bookmarkEnd w:id="1589"/>
    </w:p>
    <w:bookmarkEnd w:id="1590"/>
    <w:p w14:paraId="5AE263C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经发包人同意后，工程师应提前7天向承包人发出经发包人签认的开始工作通知，工期自开始工作通知中载明的开始工作日期起算。</w:t>
      </w:r>
    </w:p>
    <w:p w14:paraId="411E3CA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除专用合同条件另有约定外，因发包人原因造成实际开始现场施工日期迟于</w:t>
      </w:r>
      <w:bookmarkStart w:id="1591" w:name="_Hlk51506566"/>
      <w:r>
        <w:rPr>
          <w:rFonts w:hint="eastAsia" w:ascii="宋体" w:hAnsi="宋体" w:cs="宋体"/>
          <w:color w:val="auto"/>
          <w:szCs w:val="21"/>
          <w:highlight w:val="none"/>
        </w:rPr>
        <w:t>计划开始现场施工日期</w:t>
      </w:r>
      <w:bookmarkEnd w:id="1591"/>
      <w:r>
        <w:rPr>
          <w:rFonts w:hint="eastAsia" w:ascii="宋体" w:hAnsi="宋体" w:cs="宋体"/>
          <w:color w:val="auto"/>
          <w:szCs w:val="21"/>
          <w:highlight w:val="none"/>
        </w:rPr>
        <w:t>后第84天的，承包人有权提出价格调整要求，或者解除合同。发包人应当承担由此增加的费用和（或）延误的工期，并向承包人支付合理利润。</w:t>
      </w:r>
    </w:p>
    <w:p w14:paraId="7AFAC062">
      <w:pPr>
        <w:adjustRightInd w:val="0"/>
        <w:snapToGrid w:val="0"/>
        <w:spacing w:line="360" w:lineRule="auto"/>
        <w:rPr>
          <w:rFonts w:ascii="宋体" w:hAnsi="宋体"/>
          <w:b/>
          <w:color w:val="auto"/>
          <w:sz w:val="24"/>
          <w:highlight w:val="none"/>
        </w:rPr>
      </w:pPr>
      <w:bookmarkStart w:id="1592" w:name="_Toc145081609"/>
      <w:bookmarkStart w:id="1593" w:name="_Ref532362124"/>
      <w:bookmarkStart w:id="1594" w:name="_Toc54862249"/>
      <w:bookmarkStart w:id="1595" w:name="_Toc161228694"/>
      <w:r>
        <w:rPr>
          <w:rFonts w:hint="eastAsia" w:ascii="宋体" w:hAnsi="宋体" w:eastAsia="宋体"/>
          <w:b/>
          <w:color w:val="auto"/>
          <w:sz w:val="24"/>
          <w:highlight w:val="none"/>
        </w:rPr>
        <w:t>8.2竣工日期</w:t>
      </w:r>
      <w:bookmarkEnd w:id="1592"/>
      <w:bookmarkEnd w:id="1593"/>
      <w:bookmarkEnd w:id="1594"/>
      <w:bookmarkEnd w:id="1595"/>
    </w:p>
    <w:p w14:paraId="331190F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承包人应在合同协议书约定的工期内完成合同工作。除专用合同条件另有约定外，工程的竣工日期以第10.1条[竣工验收]的约定为准，并在工程接收证书中写明。</w:t>
      </w:r>
    </w:p>
    <w:p w14:paraId="5DF978C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因发包人原因，在工程师收到承包人竣工验收申请报告42天后未进行验收的，视为验收合格，实际竣工日期以提交竣工验收申请报告的日期为准，但发包人由于不可抗力不能进行验收的除外。</w:t>
      </w:r>
    </w:p>
    <w:p w14:paraId="7530252E">
      <w:pPr>
        <w:adjustRightInd w:val="0"/>
        <w:snapToGrid w:val="0"/>
        <w:spacing w:line="360" w:lineRule="auto"/>
        <w:rPr>
          <w:rFonts w:ascii="宋体" w:hAnsi="宋体"/>
          <w:b/>
          <w:color w:val="auto"/>
          <w:sz w:val="24"/>
          <w:highlight w:val="none"/>
        </w:rPr>
      </w:pPr>
      <w:bookmarkStart w:id="1596" w:name="_Toc54862250"/>
      <w:bookmarkStart w:id="1597" w:name="_Toc161228695"/>
      <w:bookmarkStart w:id="1598" w:name="_Toc145081610"/>
      <w:bookmarkStart w:id="1599" w:name="_Ref11863334"/>
      <w:bookmarkStart w:id="1600" w:name="_Ref532362207"/>
      <w:bookmarkStart w:id="1601" w:name="_Ref532352853"/>
      <w:bookmarkStart w:id="1602" w:name="_Ref532352856"/>
      <w:bookmarkStart w:id="1603" w:name="_Ref532362204"/>
      <w:r>
        <w:rPr>
          <w:rFonts w:hint="eastAsia" w:ascii="宋体" w:hAnsi="宋体" w:eastAsia="宋体"/>
          <w:b/>
          <w:color w:val="auto"/>
          <w:sz w:val="24"/>
          <w:highlight w:val="none"/>
        </w:rPr>
        <w:t>8.3项目实施计划</w:t>
      </w:r>
      <w:bookmarkEnd w:id="1596"/>
      <w:bookmarkEnd w:id="1597"/>
      <w:bookmarkEnd w:id="1598"/>
      <w:bookmarkEnd w:id="1599"/>
    </w:p>
    <w:p w14:paraId="54AF2BE0">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604" w:name="_Ref18990904"/>
      <w:r>
        <w:rPr>
          <w:rFonts w:hint="eastAsia" w:ascii="宋体" w:hAnsi="宋体" w:cs="宋体"/>
          <w:color w:val="auto"/>
          <w:kern w:val="0"/>
          <w:szCs w:val="20"/>
          <w:highlight w:val="none"/>
          <w:lang w:bidi="ar"/>
        </w:rPr>
        <w:t>8.3.1项目实施计划的内容</w:t>
      </w:r>
      <w:bookmarkEnd w:id="1604"/>
    </w:p>
    <w:p w14:paraId="54C9CA2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14:paraId="36770837">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605" w:name="_Ref18990921"/>
      <w:r>
        <w:rPr>
          <w:rFonts w:hint="eastAsia" w:ascii="宋体" w:hAnsi="宋体" w:cs="宋体"/>
          <w:color w:val="auto"/>
          <w:kern w:val="0"/>
          <w:szCs w:val="20"/>
          <w:highlight w:val="none"/>
          <w:lang w:bidi="ar"/>
        </w:rPr>
        <w:t>8.3.2项目实施计划的提交和修改</w:t>
      </w:r>
      <w:bookmarkEnd w:id="1605"/>
    </w:p>
    <w:p w14:paraId="381E08D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承包人应在合同订立后14天内，向工程师提交项目实施计划，工程师应在收到项目实施计划后21天内确认或提出修改意见。对工程师提出的合理意见和要求，承包人应自费修改完善。根据工程实施的实际情况需要修改项目实施计划的，承包人应向工程师提交修改后的项目实施计划。</w:t>
      </w:r>
    </w:p>
    <w:p w14:paraId="3B5C509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项目进度计划的编制和修改按照第8.4款[项目进度计划]执行。</w:t>
      </w:r>
    </w:p>
    <w:p w14:paraId="009CE3A6">
      <w:pPr>
        <w:adjustRightInd w:val="0"/>
        <w:snapToGrid w:val="0"/>
        <w:spacing w:line="360" w:lineRule="auto"/>
        <w:rPr>
          <w:rFonts w:ascii="宋体" w:hAnsi="宋体"/>
          <w:b/>
          <w:color w:val="auto"/>
          <w:sz w:val="24"/>
          <w:highlight w:val="none"/>
        </w:rPr>
      </w:pPr>
      <w:bookmarkStart w:id="1606" w:name="_Ref11865507"/>
      <w:bookmarkStart w:id="1607" w:name="_Toc161228696"/>
      <w:bookmarkStart w:id="1608" w:name="_Toc145081611"/>
      <w:bookmarkStart w:id="1609" w:name="_Toc54862251"/>
      <w:r>
        <w:rPr>
          <w:rFonts w:hint="eastAsia" w:ascii="宋体" w:hAnsi="宋体" w:eastAsia="宋体"/>
          <w:b/>
          <w:color w:val="auto"/>
          <w:sz w:val="24"/>
          <w:highlight w:val="none"/>
        </w:rPr>
        <w:t>8.4项目进度计划</w:t>
      </w:r>
      <w:bookmarkEnd w:id="1600"/>
      <w:bookmarkEnd w:id="1601"/>
      <w:bookmarkEnd w:id="1602"/>
      <w:bookmarkEnd w:id="1603"/>
      <w:bookmarkEnd w:id="1606"/>
      <w:bookmarkEnd w:id="1607"/>
      <w:bookmarkEnd w:id="1608"/>
      <w:bookmarkEnd w:id="1609"/>
    </w:p>
    <w:p w14:paraId="699D16B7">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610" w:name="_Ref4681217"/>
      <w:r>
        <w:rPr>
          <w:rFonts w:hint="eastAsia" w:ascii="宋体" w:hAnsi="宋体" w:cs="宋体"/>
          <w:color w:val="auto"/>
          <w:kern w:val="0"/>
          <w:szCs w:val="20"/>
          <w:highlight w:val="none"/>
          <w:lang w:bidi="ar"/>
        </w:rPr>
        <w:t>8.4.1项目进度计划的提交和修改</w:t>
      </w:r>
      <w:bookmarkEnd w:id="1610"/>
    </w:p>
    <w:p w14:paraId="4903BF0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按照第8.3款[项目实施计划]约定编制并向工程师提交项目初步进度计划，经工程师批准后实施。除专用合同条件另有约定外，工程师应在21天内批复或提出修改意见，否则该项目初步进度计划视为已得到批准。对工程师提出的合理意见和要求，承包人应自费修改完善。</w:t>
      </w:r>
    </w:p>
    <w:p w14:paraId="22F9092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14:paraId="7F097CF9">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611" w:name="_Ref4429079"/>
      <w:r>
        <w:rPr>
          <w:rFonts w:hint="eastAsia" w:ascii="宋体" w:hAnsi="宋体" w:cs="宋体"/>
          <w:color w:val="auto"/>
          <w:kern w:val="0"/>
          <w:szCs w:val="20"/>
          <w:highlight w:val="none"/>
          <w:lang w:bidi="ar"/>
        </w:rPr>
        <w:t>8.4.2项目进度计划的内容</w:t>
      </w:r>
      <w:bookmarkEnd w:id="1611"/>
    </w:p>
    <w:p w14:paraId="77DB452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14:paraId="2A88A0B5">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612" w:name="_Ref3848203"/>
      <w:r>
        <w:rPr>
          <w:rFonts w:hint="eastAsia" w:ascii="宋体" w:hAnsi="宋体" w:cs="宋体"/>
          <w:color w:val="auto"/>
          <w:kern w:val="0"/>
          <w:szCs w:val="20"/>
          <w:highlight w:val="none"/>
          <w:lang w:bidi="ar"/>
        </w:rPr>
        <w:t>8.4.3项目进度计划的修订</w:t>
      </w:r>
      <w:bookmarkEnd w:id="1612"/>
    </w:p>
    <w:p w14:paraId="162E15D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进度计划不符合合同要求或与工程的实际进度不一致的，承包人应向工程师提交修订的项目进度计划，并附具有关措施和相关资料。工程师也可以直接向承包人发出修订项目进度计划的通知，承包人如接受，应按该通知修订项目进度计划，报工程师批准。承包人如不接受，应当在14天内答复，如未按时答复视作已接受修订项目进度计划通知中的内容。</w:t>
      </w:r>
    </w:p>
    <w:p w14:paraId="61101BE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工程师应在收到修订的项目进度计划后14天内完成审批或提出修改意见，如未按时答复视作已批准承包人修订后的项目进度计划。工程师对承包人提交的项目进度计划的确认，不能减轻或免除承包人根据法律规定和合同约定应承担的任何责任或义务。</w:t>
      </w:r>
    </w:p>
    <w:p w14:paraId="67420C7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除合同当事人另有约定外，项目进度计划的修订并不能减轻或者免除双方按第8.7款[工期延误]、第8.8款[工期提前]、第8.9款[暂停工作]应承担的合同责任。</w:t>
      </w:r>
    </w:p>
    <w:p w14:paraId="4FAF27C1">
      <w:pPr>
        <w:adjustRightInd w:val="0"/>
        <w:snapToGrid w:val="0"/>
        <w:spacing w:line="360" w:lineRule="auto"/>
        <w:rPr>
          <w:rFonts w:ascii="宋体" w:hAnsi="宋体"/>
          <w:b/>
          <w:color w:val="auto"/>
          <w:sz w:val="24"/>
          <w:highlight w:val="none"/>
        </w:rPr>
      </w:pPr>
      <w:bookmarkStart w:id="1613" w:name="_Toc161228697"/>
      <w:bookmarkStart w:id="1614" w:name="_Ref532362276"/>
      <w:bookmarkStart w:id="1615" w:name="_Ref532362278"/>
      <w:bookmarkStart w:id="1616" w:name="_Toc54862252"/>
      <w:bookmarkStart w:id="1617" w:name="_Toc145081612"/>
      <w:r>
        <w:rPr>
          <w:rFonts w:hint="eastAsia" w:ascii="宋体" w:hAnsi="宋体" w:eastAsia="宋体"/>
          <w:b/>
          <w:color w:val="auto"/>
          <w:sz w:val="24"/>
          <w:highlight w:val="none"/>
        </w:rPr>
        <w:t>8.5进度报告</w:t>
      </w:r>
      <w:bookmarkEnd w:id="1613"/>
      <w:bookmarkEnd w:id="1614"/>
      <w:bookmarkEnd w:id="1615"/>
      <w:bookmarkEnd w:id="1616"/>
      <w:bookmarkEnd w:id="1617"/>
    </w:p>
    <w:p w14:paraId="5B26E28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项目实施过程中，承包人应进行实际进度记录，并根据工程师的要求编制月进度报告，并提交给工程师。进度报告应包含以下主要内容：</w:t>
      </w:r>
    </w:p>
    <w:p w14:paraId="36FAAFF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（1）工程设计、采购、施工等各个工作内容的进展报告；</w:t>
      </w:r>
    </w:p>
    <w:p w14:paraId="784CBF6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（2）工程施工方法的一般说明；</w:t>
      </w:r>
    </w:p>
    <w:p w14:paraId="079947C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（3）当月工程实施介入的项目人员、设备和材料的预估明细报告；</w:t>
      </w:r>
    </w:p>
    <w:p w14:paraId="721BF00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（4）当月实际进度与进度计划对比分析，以及提出未来可能引起工期延误的情形，同时提出应对措施；需要修订项目进度计划的，应对项目进度计划的修订部分进行说明；</w:t>
      </w:r>
    </w:p>
    <w:p w14:paraId="34304B1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（5）承包人对于解决工期延误所提出的建议；</w:t>
      </w:r>
    </w:p>
    <w:p w14:paraId="6FE27B8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（6）其他与工程有关的重大事项。</w:t>
      </w:r>
    </w:p>
    <w:p w14:paraId="1F99E77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进度报告的具体要求等，在专用合同条件约定。</w:t>
      </w:r>
    </w:p>
    <w:p w14:paraId="206A6FA3">
      <w:pPr>
        <w:adjustRightInd w:val="0"/>
        <w:snapToGrid w:val="0"/>
        <w:spacing w:line="360" w:lineRule="auto"/>
        <w:rPr>
          <w:rFonts w:ascii="宋体" w:hAnsi="宋体"/>
          <w:b/>
          <w:color w:val="auto"/>
          <w:sz w:val="24"/>
          <w:highlight w:val="none"/>
        </w:rPr>
      </w:pPr>
      <w:bookmarkStart w:id="1618" w:name="_Toc161228698"/>
      <w:bookmarkStart w:id="1619" w:name="_Toc145081613"/>
      <w:bookmarkStart w:id="1620" w:name="_Toc54862253"/>
      <w:r>
        <w:rPr>
          <w:rFonts w:hint="eastAsia" w:ascii="宋体" w:hAnsi="宋体" w:eastAsia="宋体"/>
          <w:b/>
          <w:color w:val="auto"/>
          <w:sz w:val="24"/>
          <w:highlight w:val="none"/>
        </w:rPr>
        <w:t>8.6提前预警</w:t>
      </w:r>
      <w:bookmarkEnd w:id="1618"/>
      <w:bookmarkEnd w:id="1619"/>
      <w:bookmarkEnd w:id="1620"/>
    </w:p>
    <w:p w14:paraId="0903788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任何一方应当在下列情形发生时尽快书面通知另一方：</w:t>
      </w:r>
    </w:p>
    <w:p w14:paraId="07AB42A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（1）该情形可能对合同的履行或实现合同目的产生不利影响；</w:t>
      </w:r>
    </w:p>
    <w:p w14:paraId="3DC0E61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（2）该情形可能对工程完成后的使用产生不利影响；</w:t>
      </w:r>
    </w:p>
    <w:p w14:paraId="715A573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（3）该情形可能导致合同价款增加；</w:t>
      </w:r>
    </w:p>
    <w:p w14:paraId="55244D9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（4）该情形可能导致整个工程或单位/区段工程的工期延长。</w:t>
      </w:r>
    </w:p>
    <w:p w14:paraId="26DF9E3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发包人有权要求承包人根据第13.2款[承包人的合理化建议]的约定提交变更建议，采取措施尽量避免或最小化上述情形的发生或影响。</w:t>
      </w:r>
    </w:p>
    <w:p w14:paraId="293FAE2E">
      <w:pPr>
        <w:adjustRightInd w:val="0"/>
        <w:snapToGrid w:val="0"/>
        <w:spacing w:line="360" w:lineRule="auto"/>
        <w:rPr>
          <w:rFonts w:ascii="宋体" w:hAnsi="宋体"/>
          <w:b/>
          <w:color w:val="auto"/>
          <w:sz w:val="24"/>
          <w:highlight w:val="none"/>
        </w:rPr>
      </w:pPr>
      <w:bookmarkStart w:id="1621" w:name="_Toc4784158"/>
      <w:bookmarkEnd w:id="1621"/>
      <w:bookmarkStart w:id="1622" w:name="_Toc4784166"/>
      <w:bookmarkEnd w:id="1622"/>
      <w:bookmarkStart w:id="1623" w:name="_Toc4784165"/>
      <w:bookmarkEnd w:id="1623"/>
      <w:bookmarkStart w:id="1624" w:name="_Toc4784174"/>
      <w:bookmarkEnd w:id="1624"/>
      <w:bookmarkStart w:id="1625" w:name="_Toc4784156"/>
      <w:bookmarkEnd w:id="1625"/>
      <w:bookmarkStart w:id="1626" w:name="_Toc4784157"/>
      <w:bookmarkEnd w:id="1626"/>
      <w:bookmarkStart w:id="1627" w:name="_Toc4784161"/>
      <w:bookmarkEnd w:id="1627"/>
      <w:bookmarkStart w:id="1628" w:name="_Toc4784160"/>
      <w:bookmarkEnd w:id="1628"/>
      <w:bookmarkStart w:id="1629" w:name="_Toc4784168"/>
      <w:bookmarkEnd w:id="1629"/>
      <w:bookmarkStart w:id="1630" w:name="_Toc4784172"/>
      <w:bookmarkEnd w:id="1630"/>
      <w:bookmarkStart w:id="1631" w:name="_Toc4784159"/>
      <w:bookmarkEnd w:id="1631"/>
      <w:bookmarkStart w:id="1632" w:name="_Toc4784167"/>
      <w:bookmarkEnd w:id="1632"/>
      <w:bookmarkStart w:id="1633" w:name="_Toc4784169"/>
      <w:bookmarkEnd w:id="1633"/>
      <w:bookmarkStart w:id="1634" w:name="_Toc4784163"/>
      <w:bookmarkEnd w:id="1634"/>
      <w:bookmarkStart w:id="1635" w:name="_Toc4784164"/>
      <w:bookmarkEnd w:id="1635"/>
      <w:bookmarkStart w:id="1636" w:name="_Toc4784173"/>
      <w:bookmarkEnd w:id="1636"/>
      <w:bookmarkStart w:id="1637" w:name="_Toc4784162"/>
      <w:bookmarkEnd w:id="1637"/>
      <w:bookmarkStart w:id="1638" w:name="_Toc4784155"/>
      <w:bookmarkEnd w:id="1638"/>
      <w:bookmarkStart w:id="1639" w:name="_Toc4784171"/>
      <w:bookmarkEnd w:id="1639"/>
      <w:bookmarkStart w:id="1640" w:name="_Toc4784175"/>
      <w:bookmarkEnd w:id="1640"/>
      <w:bookmarkStart w:id="1641" w:name="_Toc4784170"/>
      <w:bookmarkEnd w:id="1641"/>
      <w:bookmarkStart w:id="1642" w:name="_Toc4784154"/>
      <w:bookmarkEnd w:id="1642"/>
      <w:bookmarkStart w:id="1643" w:name="_Toc161228699"/>
      <w:bookmarkStart w:id="1644" w:name="_Toc54862254"/>
      <w:bookmarkStart w:id="1645" w:name="_Toc145081614"/>
      <w:bookmarkStart w:id="1646" w:name="_Ref4770106"/>
      <w:bookmarkStart w:id="1647" w:name="_Ref532362359"/>
      <w:bookmarkStart w:id="1648" w:name="_Ref532362356"/>
      <w:r>
        <w:rPr>
          <w:rFonts w:hint="eastAsia" w:ascii="宋体" w:hAnsi="宋体" w:eastAsia="宋体"/>
          <w:b/>
          <w:color w:val="auto"/>
          <w:sz w:val="24"/>
          <w:highlight w:val="none"/>
        </w:rPr>
        <w:t>8.7工期延误</w:t>
      </w:r>
      <w:bookmarkEnd w:id="1643"/>
      <w:bookmarkEnd w:id="1644"/>
      <w:bookmarkEnd w:id="1645"/>
      <w:bookmarkEnd w:id="1646"/>
    </w:p>
    <w:p w14:paraId="3452CD60">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649" w:name="_Ref4796050"/>
      <w:r>
        <w:rPr>
          <w:rFonts w:hint="eastAsia" w:ascii="宋体" w:hAnsi="宋体" w:cs="宋体"/>
          <w:color w:val="auto"/>
          <w:kern w:val="0"/>
          <w:szCs w:val="20"/>
          <w:highlight w:val="none"/>
          <w:lang w:bidi="ar"/>
        </w:rPr>
        <w:t>8.7.1因发包人原因导致工期延误</w:t>
      </w:r>
      <w:bookmarkEnd w:id="1649"/>
    </w:p>
    <w:p w14:paraId="64F96BE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在合同履行过程中，因下列情况导致工期延误和（或）费用增加的，由发包人承担由此延误的工期和（或）增加的费用，且发包人应支付承包人合理的利润：</w:t>
      </w:r>
    </w:p>
    <w:p w14:paraId="52B4D63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（1）根据第13条[变更与调整]的约定构成一项变更的；</w:t>
      </w:r>
    </w:p>
    <w:p w14:paraId="2544B62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（2）发包人违反本合同约定，导致工期延误和（或）费用增加的；</w:t>
      </w:r>
    </w:p>
    <w:p w14:paraId="2E3DDBB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（3）发包人、发包人代表、工程师或发包人聘请的任意第三方造成或引起的任何延误、妨碍和阻碍；</w:t>
      </w:r>
    </w:p>
    <w:p w14:paraId="37E5357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（4）发包人未能依据第6.2.1项[发包人提供的材料和工程设备]的约定提供材料和工程设备导致工期延误和（或）费用增加的；</w:t>
      </w:r>
    </w:p>
    <w:p w14:paraId="26D100E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（5）因发包人原因导致的暂停施工；</w:t>
      </w:r>
    </w:p>
    <w:p w14:paraId="30EC702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（6）发包人未及时履行相关合同义务，造成工期延误的其他原因。</w:t>
      </w:r>
    </w:p>
    <w:p w14:paraId="0064FA46">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650" w:name="_Ref4770209"/>
      <w:r>
        <w:rPr>
          <w:rFonts w:hint="eastAsia" w:ascii="宋体" w:hAnsi="宋体" w:cs="宋体"/>
          <w:color w:val="auto"/>
          <w:kern w:val="0"/>
          <w:szCs w:val="20"/>
          <w:highlight w:val="none"/>
          <w:lang w:bidi="ar"/>
        </w:rPr>
        <w:t>8.7.2因承包人原因导致工期延误</w:t>
      </w:r>
      <w:bookmarkEnd w:id="1650"/>
    </w:p>
    <w:p w14:paraId="27FA251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由于承包人的原因，未能按项目进度计划完成工作，承包人应采取措施加快进度，并承担加快进度所增加的费用。</w:t>
      </w:r>
    </w:p>
    <w:p w14:paraId="45C638B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14:paraId="0D6A1285">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651" w:name="_Ref4770872"/>
      <w:r>
        <w:rPr>
          <w:rFonts w:hint="eastAsia" w:ascii="宋体" w:hAnsi="宋体" w:cs="宋体"/>
          <w:color w:val="auto"/>
          <w:kern w:val="0"/>
          <w:szCs w:val="20"/>
          <w:highlight w:val="none"/>
          <w:lang w:bidi="ar"/>
        </w:rPr>
        <w:t>8.7.3行政审批迟延</w:t>
      </w:r>
      <w:bookmarkEnd w:id="1651"/>
    </w:p>
    <w:p w14:paraId="09C8EA6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14:paraId="33A5E0F0">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652" w:name="_Ref4770933"/>
      <w:r>
        <w:rPr>
          <w:rFonts w:hint="eastAsia" w:ascii="宋体" w:hAnsi="宋体" w:cs="宋体"/>
          <w:color w:val="auto"/>
          <w:kern w:val="0"/>
          <w:szCs w:val="20"/>
          <w:highlight w:val="none"/>
          <w:lang w:bidi="ar"/>
        </w:rPr>
        <w:t>8.7.4异常恶劣的气候条件</w:t>
      </w:r>
      <w:bookmarkEnd w:id="1652"/>
    </w:p>
    <w:p w14:paraId="5FF064F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14:paraId="1C3FB14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采取克服异常恶劣的气候条件的合理措施继续施工，并及时通知工程师。工程师应当及时发出指示，指示构成变更的，按第13条[变更与调整]约定办理。承包人因采取合理措施而延误的工期由发包人承担。</w:t>
      </w:r>
    </w:p>
    <w:p w14:paraId="0CE279ED">
      <w:pPr>
        <w:adjustRightInd w:val="0"/>
        <w:snapToGrid w:val="0"/>
        <w:spacing w:line="360" w:lineRule="auto"/>
        <w:rPr>
          <w:rFonts w:ascii="宋体" w:hAnsi="宋体"/>
          <w:b/>
          <w:color w:val="auto"/>
          <w:sz w:val="24"/>
          <w:highlight w:val="none"/>
        </w:rPr>
      </w:pPr>
      <w:bookmarkStart w:id="1653" w:name="_Ref4781828"/>
      <w:bookmarkStart w:id="1654" w:name="_Toc161228700"/>
      <w:bookmarkStart w:id="1655" w:name="_Toc54862255"/>
      <w:bookmarkStart w:id="1656" w:name="_Toc145081615"/>
      <w:r>
        <w:rPr>
          <w:rFonts w:hint="eastAsia" w:ascii="宋体" w:hAnsi="宋体" w:eastAsia="宋体"/>
          <w:b/>
          <w:color w:val="auto"/>
          <w:sz w:val="24"/>
          <w:highlight w:val="none"/>
        </w:rPr>
        <w:t>8.8工期提前</w:t>
      </w:r>
      <w:bookmarkEnd w:id="1647"/>
      <w:bookmarkEnd w:id="1648"/>
      <w:bookmarkEnd w:id="1653"/>
      <w:bookmarkEnd w:id="1654"/>
      <w:bookmarkEnd w:id="1655"/>
      <w:bookmarkEnd w:id="1656"/>
    </w:p>
    <w:p w14:paraId="07E62E93">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8.8.1发包人指示承包人提前竣工且被承包人接受的，应与承包人共同协商采取加快工程进度的措施和修订项目进度计划。发包人应承担承包人由此增加的费用，增加的费用按第13条[变更与调整]的约定执行；发包人不得以任何理由要求承包人超过合理限度压缩工期。承包人有权不接受提前竣工的指示，工期按照合同约定执行。</w:t>
      </w:r>
    </w:p>
    <w:p w14:paraId="3992064B">
      <w:pPr>
        <w:tabs>
          <w:tab w:val="left" w:pos="851"/>
        </w:tabs>
        <w:adjustRightInd w:val="0"/>
        <w:snapToGrid w:val="0"/>
        <w:spacing w:line="360" w:lineRule="auto"/>
        <w:ind w:firstLine="420" w:firstLineChars="200"/>
        <w:rPr>
          <w:rFonts w:ascii="宋体" w:hAnsi="宋体" w:cs="宋体"/>
          <w:color w:val="auto"/>
          <w:highlight w:val="none"/>
        </w:rPr>
      </w:pPr>
      <w:bookmarkStart w:id="1657" w:name="_Ref4429347"/>
      <w:r>
        <w:rPr>
          <w:rFonts w:hint="eastAsia" w:ascii="宋体" w:hAnsi="宋体" w:cs="宋体"/>
          <w:color w:val="auto"/>
          <w:highlight w:val="none"/>
        </w:rPr>
        <w:t>8.8.2承包人提出提前竣工的建议且发包人接受的，应与发包人共同协商采取加快工程进度的措施和修订项目进度计划。发包人应承担承包人由此增加的费用，增加的费用按第13条[变更与调整]的约定执行，并向承包人支付专用合同条件约定的相应奖励金。</w:t>
      </w:r>
      <w:bookmarkEnd w:id="1657"/>
    </w:p>
    <w:p w14:paraId="3547AA55">
      <w:pPr>
        <w:adjustRightInd w:val="0"/>
        <w:snapToGrid w:val="0"/>
        <w:spacing w:line="360" w:lineRule="auto"/>
        <w:rPr>
          <w:rFonts w:ascii="宋体" w:hAnsi="宋体"/>
          <w:b/>
          <w:color w:val="auto"/>
          <w:sz w:val="24"/>
          <w:highlight w:val="none"/>
        </w:rPr>
      </w:pPr>
      <w:bookmarkStart w:id="1658" w:name="_Toc54862256"/>
      <w:bookmarkStart w:id="1659" w:name="_Toc161228701"/>
      <w:bookmarkStart w:id="1660" w:name="_Ref4615040"/>
      <w:bookmarkStart w:id="1661" w:name="_Toc145081616"/>
      <w:bookmarkStart w:id="1662" w:name="_Ref4615031"/>
      <w:r>
        <w:rPr>
          <w:rFonts w:hint="eastAsia" w:ascii="宋体" w:hAnsi="宋体" w:eastAsia="宋体"/>
          <w:b/>
          <w:color w:val="auto"/>
          <w:sz w:val="24"/>
          <w:highlight w:val="none"/>
        </w:rPr>
        <w:t>8.9暂停工作</w:t>
      </w:r>
      <w:bookmarkEnd w:id="1658"/>
      <w:bookmarkEnd w:id="1659"/>
      <w:bookmarkEnd w:id="1660"/>
      <w:bookmarkEnd w:id="1661"/>
      <w:bookmarkEnd w:id="1662"/>
    </w:p>
    <w:p w14:paraId="7ED39B11">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663" w:name="_Ref4709151"/>
      <w:r>
        <w:rPr>
          <w:rFonts w:hint="eastAsia" w:ascii="宋体" w:hAnsi="宋体" w:cs="宋体"/>
          <w:color w:val="auto"/>
          <w:kern w:val="0"/>
          <w:szCs w:val="20"/>
          <w:highlight w:val="none"/>
          <w:lang w:bidi="ar"/>
        </w:rPr>
        <w:t>8.9.1由发包人暂停工作</w:t>
      </w:r>
      <w:bookmarkEnd w:id="1663"/>
    </w:p>
    <w:p w14:paraId="003C032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发包人认为必要时，可通过工程师向承包人发出经发包人签认的暂停工作通知，应列明暂停原因、暂停的日期及预计暂停的期限。承包人应按该通知暂停工作。</w:t>
      </w:r>
      <w:bookmarkStart w:id="1664" w:name="_Ref4709233"/>
    </w:p>
    <w:p w14:paraId="7976800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承包人因执行暂停工作通知而造成费用的增加和（或）工期延误由发包人承担，并有权要求发包人支付合理利润，但</w:t>
      </w:r>
      <w:bookmarkEnd w:id="1664"/>
      <w:r>
        <w:rPr>
          <w:rFonts w:hint="eastAsia" w:ascii="宋体" w:hAnsi="宋体" w:cs="宋体"/>
          <w:color w:val="auto"/>
          <w:szCs w:val="21"/>
          <w:highlight w:val="none"/>
        </w:rPr>
        <w:t>由于承包人原因造成发包人暂停工作的除外。</w:t>
      </w:r>
    </w:p>
    <w:p w14:paraId="7A2C0EC7">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665" w:name="_Ref18972173"/>
      <w:r>
        <w:rPr>
          <w:rFonts w:hint="eastAsia" w:ascii="宋体" w:hAnsi="宋体" w:cs="宋体"/>
          <w:color w:val="auto"/>
          <w:kern w:val="0"/>
          <w:szCs w:val="20"/>
          <w:highlight w:val="none"/>
          <w:lang w:bidi="ar"/>
        </w:rPr>
        <w:t>8.9.2由承包人暂停工作</w:t>
      </w:r>
      <w:bookmarkEnd w:id="1665"/>
    </w:p>
    <w:p w14:paraId="4848D05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承包人原因所造成部分或全部工程的暂停，承包人应采取措施尽快复工并赶上进度，由此造成费用的增加或工期延误由承包人承担。因此造成逾期竣工的，承包人应按第8.7.2项[因承包人原因导致工期延误]承担逾期竣工违约责任。</w:t>
      </w:r>
    </w:p>
    <w:p w14:paraId="724CC02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14:paraId="05817333">
      <w:pPr>
        <w:adjustRightInd w:val="0"/>
        <w:snapToGrid w:val="0"/>
        <w:spacing w:line="360" w:lineRule="auto"/>
        <w:ind w:firstLine="420" w:firstLineChars="200"/>
        <w:rPr>
          <w:rFonts w:ascii="宋体" w:hAnsi="宋体" w:cs="宋体"/>
          <w:color w:val="auto"/>
          <w:szCs w:val="21"/>
          <w:highlight w:val="none"/>
        </w:rPr>
      </w:pPr>
      <w:bookmarkStart w:id="1666" w:name="_Ref4709224"/>
      <w:r>
        <w:rPr>
          <w:rFonts w:hint="eastAsia" w:ascii="宋体" w:hAnsi="宋体" w:cs="宋体"/>
          <w:color w:val="auto"/>
          <w:szCs w:val="21"/>
          <w:highlight w:val="none"/>
        </w:rPr>
        <w:t>（1）发包人拖延、拒绝批准付款申请和支付证书，或未能按合同约定支付价款，导致付款延误的；</w:t>
      </w:r>
      <w:bookmarkEnd w:id="1666"/>
    </w:p>
    <w:p w14:paraId="14BC8EB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（2）发包人未按约定履行合同其他义务导致承包人无法继续履行合同的，或者发包人明确表示暂停或实质上已暂停履行合同的。</w:t>
      </w:r>
    </w:p>
    <w:p w14:paraId="44518488">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8.9.3除上述原因以外的暂停工作，双方应遵守第17条[不可抗力]的相关约定。</w:t>
      </w:r>
    </w:p>
    <w:p w14:paraId="235F06CF">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667" w:name="_Ref4709158"/>
      <w:r>
        <w:rPr>
          <w:rFonts w:hint="eastAsia" w:ascii="宋体" w:hAnsi="宋体" w:cs="宋体"/>
          <w:color w:val="auto"/>
          <w:kern w:val="0"/>
          <w:szCs w:val="20"/>
          <w:highlight w:val="none"/>
          <w:lang w:bidi="ar"/>
        </w:rPr>
        <w:t>8.9.4暂停工作期间的工程照管</w:t>
      </w:r>
      <w:bookmarkEnd w:id="1667"/>
    </w:p>
    <w:p w14:paraId="1670AC2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不论由于何种原因引起暂停工作的，暂停工作期间，承包人应负责对工程、工程物资及文件等进行照管和保护，并提供安全保障，由此增加的费用按第8.9.1项[由发包人暂停工作]和第8.9.2项[由承包人暂停工作]的约定承担。</w:t>
      </w:r>
    </w:p>
    <w:p w14:paraId="4C19B7C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因承包人未能尽到照管、保护的责任造成损失的，使发包人的费用增加，（或）竣工日期延误的，由承包人按本合同约定承担责任。</w:t>
      </w:r>
    </w:p>
    <w:p w14:paraId="7310AD24">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8.9.5拖长的暂停</w:t>
      </w:r>
    </w:p>
    <w:p w14:paraId="4563CEF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第8.9.1项[由发包人暂停工作]暂停工作持续超过56天的，承包人可向发包人发出要求复工的通知。如果发包人没有在收到书面通知后28天内准许已暂停工作的全部或部分继续工作，承包人有权根据第13条[变更与调整]的约定，要求以变更方式调减受暂停影响的部分工程。发包人的暂停超过56天且暂停影响到整个工程的，承包人有权根据第16.2款[由承包人解除合同]的约定，发出解除合同的通知。</w:t>
      </w:r>
    </w:p>
    <w:p w14:paraId="2C00E178">
      <w:pPr>
        <w:adjustRightInd w:val="0"/>
        <w:snapToGrid w:val="0"/>
        <w:spacing w:line="360" w:lineRule="auto"/>
        <w:rPr>
          <w:rFonts w:ascii="宋体" w:hAnsi="宋体"/>
          <w:b/>
          <w:color w:val="auto"/>
          <w:sz w:val="24"/>
          <w:highlight w:val="none"/>
        </w:rPr>
      </w:pPr>
      <w:bookmarkStart w:id="1668" w:name="_Toc145081617"/>
      <w:bookmarkStart w:id="1669" w:name="_Toc54862257"/>
      <w:bookmarkStart w:id="1670" w:name="_Toc161228702"/>
      <w:r>
        <w:rPr>
          <w:rFonts w:hint="eastAsia" w:ascii="宋体" w:hAnsi="宋体" w:eastAsia="宋体"/>
          <w:b/>
          <w:color w:val="auto"/>
          <w:sz w:val="24"/>
          <w:highlight w:val="none"/>
        </w:rPr>
        <w:t>8.10复工</w:t>
      </w:r>
      <w:bookmarkEnd w:id="1668"/>
      <w:bookmarkEnd w:id="1669"/>
      <w:bookmarkEnd w:id="1670"/>
    </w:p>
    <w:p w14:paraId="3671AB21">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8.10.1收到发包人的复工通知后，承包人应按通知时间复工；发包人通知的复工时间应当给予承包人必要的准备复工时间。</w:t>
      </w:r>
    </w:p>
    <w:p w14:paraId="63C15AAA">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8.10.2不论由于何种原因引起暂停工作，双方均可要求对方一同对受暂停影响的工程、工程设备和工程物资进行检查，承包人应将检查结果及需要恢复、修复的内容和估算通知发包人。</w:t>
      </w:r>
    </w:p>
    <w:p w14:paraId="5C8B115C">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8.10.3除第17条[不可抗力]另有约定外，发生的恢复、修复价款及工期延误的后果由责任方承担。</w:t>
      </w:r>
    </w:p>
    <w:p w14:paraId="5CC00DE8">
      <w:pPr>
        <w:adjustRightInd w:val="0"/>
        <w:snapToGrid w:val="0"/>
        <w:spacing w:line="360" w:lineRule="auto"/>
        <w:rPr>
          <w:rFonts w:ascii="黑体" w:hAnsi="黑体" w:eastAsia="黑体"/>
          <w:color w:val="auto"/>
          <w:sz w:val="24"/>
          <w:highlight w:val="none"/>
        </w:rPr>
      </w:pPr>
      <w:bookmarkStart w:id="1671" w:name="_Toc54862258"/>
      <w:bookmarkStart w:id="1672" w:name="_Toc161228703"/>
      <w:bookmarkStart w:id="1673" w:name="_Ref4621041"/>
      <w:bookmarkStart w:id="1674" w:name="_Ref4621029"/>
      <w:r>
        <w:rPr>
          <w:rFonts w:hint="eastAsia" w:ascii="黑体" w:hAnsi="黑体" w:eastAsia="黑体"/>
          <w:color w:val="auto"/>
          <w:sz w:val="24"/>
          <w:highlight w:val="none"/>
        </w:rPr>
        <w:t>第9条 竣工试验</w:t>
      </w:r>
      <w:bookmarkEnd w:id="1579"/>
      <w:bookmarkEnd w:id="1671"/>
      <w:bookmarkEnd w:id="1672"/>
      <w:bookmarkEnd w:id="1673"/>
      <w:bookmarkEnd w:id="1674"/>
    </w:p>
    <w:p w14:paraId="4DD27C19">
      <w:pPr>
        <w:adjustRightInd w:val="0"/>
        <w:snapToGrid w:val="0"/>
        <w:spacing w:line="360" w:lineRule="auto"/>
        <w:rPr>
          <w:rFonts w:ascii="宋体" w:hAnsi="宋体"/>
          <w:b/>
          <w:color w:val="auto"/>
          <w:sz w:val="24"/>
          <w:highlight w:val="none"/>
        </w:rPr>
      </w:pPr>
      <w:bookmarkStart w:id="1675" w:name="_Ref532586251"/>
      <w:bookmarkStart w:id="1676" w:name="_Toc54862259"/>
      <w:bookmarkStart w:id="1677" w:name="_Toc161228704"/>
      <w:bookmarkStart w:id="1678" w:name="_Ref532586248"/>
      <w:bookmarkStart w:id="1679" w:name="_Toc145081619"/>
      <w:r>
        <w:rPr>
          <w:rFonts w:hint="eastAsia" w:ascii="宋体" w:hAnsi="宋体" w:eastAsia="宋体"/>
          <w:b/>
          <w:color w:val="auto"/>
          <w:sz w:val="24"/>
          <w:highlight w:val="none"/>
        </w:rPr>
        <w:t>9.1竣工试验的义务</w:t>
      </w:r>
      <w:bookmarkEnd w:id="1675"/>
      <w:bookmarkEnd w:id="1676"/>
      <w:bookmarkEnd w:id="1677"/>
      <w:bookmarkEnd w:id="1678"/>
      <w:bookmarkEnd w:id="1679"/>
    </w:p>
    <w:p w14:paraId="2F56203C">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9.1.1承包人完成工程或区段工程进行竣工试验所需的作业，并根据第5.4款[竣工文件]和第5.5款[操作和维修手册]提交文件后，进行竣工试验。</w:t>
      </w:r>
      <w:bookmarkStart w:id="1680" w:name="_Ref532586608"/>
    </w:p>
    <w:p w14:paraId="2983F306">
      <w:pPr>
        <w:tabs>
          <w:tab w:val="left" w:pos="851"/>
        </w:tabs>
        <w:adjustRightInd w:val="0"/>
        <w:snapToGrid w:val="0"/>
        <w:spacing w:line="360" w:lineRule="auto"/>
        <w:ind w:firstLine="420" w:firstLineChars="200"/>
        <w:rPr>
          <w:rFonts w:ascii="宋体" w:hAnsi="宋体" w:cs="宋体"/>
          <w:color w:val="auto"/>
          <w:highlight w:val="none"/>
        </w:rPr>
      </w:pPr>
      <w:bookmarkStart w:id="1681" w:name="_Ref11919920"/>
      <w:r>
        <w:rPr>
          <w:rFonts w:hint="eastAsia" w:ascii="宋体" w:hAnsi="宋体" w:cs="宋体"/>
          <w:color w:val="auto"/>
          <w:highlight w:val="none"/>
        </w:rPr>
        <w:t>9.1.2承包人应在进行竣工试验之前，至少提前42天向工程师提交详细的竣工试验计划，该计划应载明竣工试验的内容、地点、拟开展时间和需要发包人提供的资源条件。</w:t>
      </w:r>
      <w:bookmarkEnd w:id="1680"/>
      <w:r>
        <w:rPr>
          <w:rFonts w:hint="eastAsia" w:ascii="宋体" w:hAnsi="宋体" w:cs="宋体"/>
          <w:color w:val="auto"/>
          <w:highlight w:val="none"/>
        </w:rPr>
        <w:t>工程师应在收到计划后的14天内进行审查，并就该计划不符合合同的部分提出意见，承包人应在收到意见后的14天内自费对计划进行修正。工程师逾期未提出意见的，视为竣工试验计划已得到确认。除提交竣工试验计划外，承包人还应提前21天将可以开始进行各项竣工试验的日期通知工程师，并在该日期后的14天内或工程师指示的日期进行竣工试验。</w:t>
      </w:r>
      <w:bookmarkEnd w:id="1681"/>
    </w:p>
    <w:p w14:paraId="65CBC338">
      <w:pPr>
        <w:tabs>
          <w:tab w:val="left" w:pos="851"/>
        </w:tabs>
        <w:adjustRightInd w:val="0"/>
        <w:snapToGrid w:val="0"/>
        <w:spacing w:line="360" w:lineRule="auto"/>
        <w:ind w:firstLine="420" w:firstLineChars="200"/>
        <w:rPr>
          <w:rFonts w:ascii="宋体" w:hAnsi="宋体" w:cs="宋体"/>
          <w:color w:val="auto"/>
          <w:highlight w:val="none"/>
        </w:rPr>
      </w:pPr>
      <w:bookmarkStart w:id="1682" w:name="_Ref532688147"/>
      <w:r>
        <w:rPr>
          <w:rFonts w:hint="eastAsia" w:ascii="宋体" w:hAnsi="宋体" w:cs="宋体"/>
          <w:color w:val="auto"/>
          <w:highlight w:val="none"/>
        </w:rPr>
        <w:t>9.1.3承包人应根据经确认的竣工试验计划以及第6.5款[由承包人试验和检验]进行竣工试验。除《发包人要求》中另有说明外，竣工试验应按以下顺序分阶段进行，即只有在工程或区段工程已通过上一阶段试验的情况下，才可进行下一阶段试验：</w:t>
      </w:r>
      <w:bookmarkEnd w:id="1682"/>
    </w:p>
    <w:p w14:paraId="34BC4D5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（1）承包人进行启动前试验，包括适当的检查和功能性试验，以证明工程或区段工程的每一部分均能够安全地承受下一阶段试验；</w:t>
      </w:r>
    </w:p>
    <w:p w14:paraId="1703EB4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（2）承包人进行启动试验，以证明工程或区段工程能够在所有可利用的操作条件下安全运行，并按照专用合同条件和《发包人要求》中的规定操作；</w:t>
      </w:r>
    </w:p>
    <w:p w14:paraId="64816AC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（3）承包人进行试运行试验。当工程或区段工程能稳定安全运行时，承包人应通知工程师，可以进行其他竣工试验，包括各种性能测试，以证明工程或区段工程符合《发包人要求》中列明的性能保证指标。</w:t>
      </w:r>
    </w:p>
    <w:p w14:paraId="3CB9AB0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进行上述试验不应构成第10条[验收和工程接收]规定的接收，但试验所产生的任何产品或其他收益均应归属于发包人。</w:t>
      </w:r>
    </w:p>
    <w:p w14:paraId="48B7C298">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9.1.4完成上述各阶段竣工试验后，承包人应向工程师提交试验结果报告，试验结果须符合约定的标准、规范和数据。工程师应在收到报告后14天内予以回复，逾期未回复的，视为认可竣工试验结果。但在考虑工程或区段工程是否通过竣工试验时，应适当考虑发包人对工程或其任何部分的使用，对工程或区段工程的性能、特性和试验结果产生的影响。</w:t>
      </w:r>
    </w:p>
    <w:p w14:paraId="0F8F4CFF">
      <w:pPr>
        <w:adjustRightInd w:val="0"/>
        <w:snapToGrid w:val="0"/>
        <w:spacing w:line="360" w:lineRule="auto"/>
        <w:rPr>
          <w:rFonts w:ascii="宋体" w:hAnsi="宋体"/>
          <w:b/>
          <w:color w:val="auto"/>
          <w:sz w:val="24"/>
          <w:highlight w:val="none"/>
        </w:rPr>
      </w:pPr>
      <w:bookmarkStart w:id="1683" w:name="_Toc145081620"/>
      <w:bookmarkStart w:id="1684" w:name="_Toc161228705"/>
      <w:bookmarkStart w:id="1685" w:name="_Toc54862260"/>
      <w:r>
        <w:rPr>
          <w:rFonts w:hint="eastAsia" w:ascii="宋体" w:hAnsi="宋体" w:eastAsia="宋体"/>
          <w:b/>
          <w:color w:val="auto"/>
          <w:sz w:val="24"/>
          <w:highlight w:val="none"/>
        </w:rPr>
        <w:t>9.2延误的试验</w:t>
      </w:r>
      <w:bookmarkEnd w:id="1683"/>
      <w:bookmarkEnd w:id="1684"/>
      <w:bookmarkEnd w:id="1685"/>
    </w:p>
    <w:p w14:paraId="0CADA210">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9.2.1如果承包人已根据第9.1款[竣工试验的义务]就可以开始进行各项竣工试验的日期通知工程师，但该等试验因发包人原因被延误14天以上的，发包人应承担由此增加的费用和工期延误，并支付承包人合理利润。同时，承包人应在合理可行的情况下尽快进行竣工试验。</w:t>
      </w:r>
    </w:p>
    <w:p w14:paraId="21EC98EC">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9.2.2承包人无正当理由延误进行竣工试验的，工程师可向其发出通知，要求其在收到通知后的21天内进行该项竣工试验。承包人应在该21天的期限内确定进行试验的日期，并至少提前7天通知工程师。</w:t>
      </w:r>
    </w:p>
    <w:p w14:paraId="263D7BEB">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9.2.3如果承包人未在该期限内进行竣工试验，则发包人有权自行组织该项竣工试验，由此产生的合理费用由承包人承担。发包人应在试验完成后28天内向承包人发送试验结果。</w:t>
      </w:r>
    </w:p>
    <w:p w14:paraId="0CFFB0AD">
      <w:pPr>
        <w:adjustRightInd w:val="0"/>
        <w:snapToGrid w:val="0"/>
        <w:spacing w:line="360" w:lineRule="auto"/>
        <w:rPr>
          <w:rFonts w:ascii="宋体" w:hAnsi="宋体"/>
          <w:b/>
          <w:color w:val="auto"/>
          <w:sz w:val="24"/>
          <w:highlight w:val="none"/>
        </w:rPr>
      </w:pPr>
      <w:bookmarkStart w:id="1686" w:name="_Toc145081621"/>
      <w:bookmarkStart w:id="1687" w:name="_Ref532594588"/>
      <w:bookmarkStart w:id="1688" w:name="_Ref532594592"/>
      <w:bookmarkStart w:id="1689" w:name="_Toc161228706"/>
      <w:bookmarkStart w:id="1690" w:name="_Toc54862261"/>
      <w:r>
        <w:rPr>
          <w:rFonts w:hint="eastAsia" w:ascii="宋体" w:hAnsi="宋体" w:eastAsia="宋体"/>
          <w:b/>
          <w:color w:val="auto"/>
          <w:sz w:val="24"/>
          <w:highlight w:val="none"/>
        </w:rPr>
        <w:t>9.3重新试验</w:t>
      </w:r>
      <w:bookmarkEnd w:id="1686"/>
      <w:bookmarkEnd w:id="1687"/>
      <w:bookmarkEnd w:id="1688"/>
      <w:bookmarkEnd w:id="1689"/>
      <w:bookmarkEnd w:id="1690"/>
    </w:p>
    <w:p w14:paraId="2D520E1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果工程或区段工程未能通过竣工试验，则承包人应根据第6.6款[缺陷和修补]修补缺陷。发包人或承包人可要求按相同的条件，重新进行未通过的试验以及相关工程或区段工程的竣工试验。该等重新进行的试验仍应适用本条对于竣工试验的规定。</w:t>
      </w:r>
    </w:p>
    <w:p w14:paraId="1C894C66">
      <w:pPr>
        <w:adjustRightInd w:val="0"/>
        <w:snapToGrid w:val="0"/>
        <w:spacing w:line="360" w:lineRule="auto"/>
        <w:rPr>
          <w:rFonts w:ascii="宋体" w:hAnsi="宋体"/>
          <w:b/>
          <w:color w:val="auto"/>
          <w:sz w:val="24"/>
          <w:highlight w:val="none"/>
        </w:rPr>
      </w:pPr>
      <w:bookmarkStart w:id="1691" w:name="_Toc161228707"/>
      <w:bookmarkStart w:id="1692" w:name="_Ref532688221"/>
      <w:bookmarkStart w:id="1693" w:name="_Ref532688226"/>
      <w:bookmarkStart w:id="1694" w:name="_Toc54862262"/>
      <w:bookmarkStart w:id="1695" w:name="_Toc145081622"/>
      <w:r>
        <w:rPr>
          <w:rFonts w:hint="eastAsia" w:ascii="宋体" w:hAnsi="宋体" w:eastAsia="宋体"/>
          <w:b/>
          <w:color w:val="auto"/>
          <w:sz w:val="24"/>
          <w:highlight w:val="none"/>
        </w:rPr>
        <w:t>9.4未能通过竣工试验</w:t>
      </w:r>
      <w:bookmarkEnd w:id="1691"/>
      <w:bookmarkEnd w:id="1692"/>
      <w:bookmarkEnd w:id="1693"/>
      <w:bookmarkEnd w:id="1694"/>
      <w:bookmarkEnd w:id="1695"/>
    </w:p>
    <w:p w14:paraId="3FCF5494">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9.4.1因发包人原因导致竣工试验未能通过的，承包人进行竣工试验的费用由发包人承担，竣工日期相应顺延。</w:t>
      </w:r>
    </w:p>
    <w:p w14:paraId="20E6EC1A">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9.4.2如果工程或区段工程未能通过根据第9.3款[重新试验]重新进行的竣工试验的，则：</w:t>
      </w:r>
    </w:p>
    <w:p w14:paraId="2FB8EF3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（1）发包人有权要求承包人根据第6.6款[缺陷和修补]继续进行修补和改正，并根据第9.3款[重新试验]再次进行竣工试验；</w:t>
      </w:r>
    </w:p>
    <w:p w14:paraId="674A981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14:paraId="5CE0ED0F">
      <w:pPr>
        <w:adjustRightInd w:val="0"/>
        <w:snapToGrid w:val="0"/>
        <w:spacing w:line="360" w:lineRule="auto"/>
        <w:ind w:firstLine="420" w:firstLineChars="200"/>
        <w:rPr>
          <w:rFonts w:ascii="宋体" w:hAnsi="宋体" w:cs="宋体"/>
          <w:color w:val="auto"/>
          <w:szCs w:val="21"/>
          <w:highlight w:val="none"/>
        </w:rPr>
      </w:pPr>
      <w:bookmarkStart w:id="1696" w:name="_Ref4621461"/>
      <w:r>
        <w:rPr>
          <w:rFonts w:hint="eastAsia" w:ascii="宋体" w:hAnsi="宋体" w:cs="宋体"/>
          <w:color w:val="auto"/>
          <w:szCs w:val="21"/>
          <w:highlight w:val="none"/>
        </w:rPr>
        <w:t>（3）未能通过竣工试验，使工程或区段工程的任何主要部分丧失了生产、使用功能时，发包人有权指令承包人更换相关部分，承包人应承担因此增加的费用和误期损害赔偿责任，并赔偿发包人的相应损失</w:t>
      </w:r>
      <w:bookmarkEnd w:id="1696"/>
      <w:r>
        <w:rPr>
          <w:rFonts w:hint="eastAsia" w:ascii="宋体" w:hAnsi="宋体" w:cs="宋体"/>
          <w:color w:val="auto"/>
          <w:szCs w:val="21"/>
          <w:highlight w:val="none"/>
        </w:rPr>
        <w:t>；</w:t>
      </w:r>
    </w:p>
    <w:p w14:paraId="1EACAEE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16.1款[由发包人解除合同]的约定解除合同。</w:t>
      </w:r>
    </w:p>
    <w:p w14:paraId="53B69601">
      <w:pPr>
        <w:adjustRightInd w:val="0"/>
        <w:snapToGrid w:val="0"/>
        <w:spacing w:line="360" w:lineRule="auto"/>
        <w:rPr>
          <w:rFonts w:ascii="黑体" w:hAnsi="黑体" w:eastAsia="黑体"/>
          <w:color w:val="auto"/>
          <w:sz w:val="24"/>
          <w:highlight w:val="none"/>
        </w:rPr>
      </w:pPr>
      <w:bookmarkStart w:id="1697" w:name="_Toc54862263"/>
      <w:bookmarkStart w:id="1698" w:name="_Toc161228708"/>
      <w:bookmarkStart w:id="1699" w:name="_Ref4624043"/>
      <w:bookmarkStart w:id="1700" w:name="_Ref4618348"/>
      <w:bookmarkStart w:id="1701" w:name="_Ref4618338"/>
      <w:r>
        <w:rPr>
          <w:rFonts w:hint="eastAsia" w:ascii="黑体" w:hAnsi="黑体" w:eastAsia="黑体"/>
          <w:color w:val="auto"/>
          <w:sz w:val="24"/>
          <w:highlight w:val="none"/>
        </w:rPr>
        <w:t>第10条 验收和工程接收</w:t>
      </w:r>
      <w:bookmarkEnd w:id="1697"/>
      <w:bookmarkEnd w:id="1698"/>
      <w:bookmarkEnd w:id="1699"/>
      <w:bookmarkEnd w:id="1700"/>
      <w:bookmarkEnd w:id="1701"/>
    </w:p>
    <w:p w14:paraId="0BE854A9">
      <w:pPr>
        <w:adjustRightInd w:val="0"/>
        <w:snapToGrid w:val="0"/>
        <w:spacing w:line="360" w:lineRule="auto"/>
        <w:rPr>
          <w:rFonts w:ascii="宋体" w:hAnsi="宋体"/>
          <w:b/>
          <w:color w:val="auto"/>
          <w:sz w:val="24"/>
          <w:highlight w:val="none"/>
        </w:rPr>
      </w:pPr>
      <w:bookmarkStart w:id="1702" w:name="_Ref532359143"/>
      <w:bookmarkStart w:id="1703" w:name="_Toc161228709"/>
      <w:bookmarkStart w:id="1704" w:name="_Ref532300801"/>
      <w:bookmarkStart w:id="1705" w:name="_Ref532301202"/>
      <w:bookmarkStart w:id="1706" w:name="_Toc54862264"/>
      <w:bookmarkStart w:id="1707" w:name="_Toc145081624"/>
      <w:bookmarkStart w:id="1708" w:name="_Ref532301199"/>
      <w:bookmarkStart w:id="1709" w:name="_Ref532359152"/>
      <w:bookmarkStart w:id="1710" w:name="_Ref532300804"/>
      <w:r>
        <w:rPr>
          <w:rFonts w:hint="eastAsia" w:ascii="宋体" w:hAnsi="宋体" w:eastAsia="宋体"/>
          <w:b/>
          <w:color w:val="auto"/>
          <w:sz w:val="24"/>
          <w:highlight w:val="none"/>
        </w:rPr>
        <w:t>10.1竣工验收</w:t>
      </w:r>
      <w:bookmarkEnd w:id="1702"/>
      <w:bookmarkEnd w:id="1703"/>
      <w:bookmarkEnd w:id="1704"/>
      <w:bookmarkEnd w:id="1705"/>
      <w:bookmarkEnd w:id="1706"/>
      <w:bookmarkEnd w:id="1707"/>
      <w:bookmarkEnd w:id="1708"/>
      <w:bookmarkEnd w:id="1709"/>
      <w:bookmarkEnd w:id="1710"/>
    </w:p>
    <w:p w14:paraId="2EC228C0">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711" w:name="_Ref532628356"/>
      <w:r>
        <w:rPr>
          <w:rFonts w:hint="eastAsia" w:ascii="宋体" w:hAnsi="宋体" w:cs="宋体"/>
          <w:color w:val="auto"/>
          <w:kern w:val="0"/>
          <w:szCs w:val="20"/>
          <w:highlight w:val="none"/>
          <w:lang w:bidi="ar"/>
        </w:rPr>
        <w:t>10.1.1竣工验收条件</w:t>
      </w:r>
    </w:p>
    <w:p w14:paraId="5B62F02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工程具备以下条件的，承包人可以申请竣工验收：</w:t>
      </w:r>
    </w:p>
    <w:p w14:paraId="08D5C78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除因第13条[变更与调整]导致的工程量删减和第14.5.3项[扫尾工作清单]列入缺陷责任期内完成的扫尾工程和缺陷修补工作外，合同范围内的全部单位/区段工程以及有关工作，包括合同要求的试验和竣工试验均已完成，并符合合同要求；</w:t>
      </w:r>
    </w:p>
    <w:p w14:paraId="7DFC11F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（2）已按合同约定编制了扫尾工作和缺陷修补工作清单以及相应实施计划；</w:t>
      </w:r>
    </w:p>
    <w:p w14:paraId="6C42DD3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（3）已按合同约定的内容和份数备齐竣工资料；</w:t>
      </w:r>
    </w:p>
    <w:p w14:paraId="523F95B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（4）合同约定要求在竣工验收前应完成的其他工作。</w:t>
      </w:r>
    </w:p>
    <w:bookmarkEnd w:id="1711"/>
    <w:p w14:paraId="08FB7224">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712" w:name="_Ref4429424"/>
      <w:bookmarkStart w:id="1713" w:name="_Hlk51506601"/>
      <w:r>
        <w:rPr>
          <w:rFonts w:hint="eastAsia" w:ascii="宋体" w:hAnsi="宋体" w:cs="宋体"/>
          <w:color w:val="auto"/>
          <w:kern w:val="0"/>
          <w:szCs w:val="20"/>
          <w:highlight w:val="none"/>
          <w:lang w:bidi="ar"/>
        </w:rPr>
        <w:t>10.1.2竣工验收程序</w:t>
      </w:r>
      <w:bookmarkEnd w:id="1712"/>
    </w:p>
    <w:bookmarkEnd w:id="1713"/>
    <w:p w14:paraId="06056E1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除专用合同条件另有约定外，承包人申请竣工验收的，应当按照以下程序进行：</w:t>
      </w:r>
    </w:p>
    <w:p w14:paraId="61C7C73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承包人向工程师报送竣工验收申请报告，工程师应在收到竣工验收申请报告后14天内完成审查并报送发包人。工程师审查后认为尚不具备竣工验收条件的，应在收到竣工验收申请报告后的14天内通知承包人，指出在颁发接收证书前承包人还需进行的工作内容。承包人完成工程师通知的全部工作内容后，应再次提交竣工验收申请报告，直至工程师同意为止。</w:t>
      </w:r>
    </w:p>
    <w:p w14:paraId="13A8F41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工程师同意承包人提交的竣工验收申请报告的，或工程师收到竣工验收申请报告后14天内不予答复的，视为发包人收到并同意承包人的竣工验收申请，发包人应在收到该竣工验收申请报告后的28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14:paraId="4A688D5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074314A">
      <w:pPr>
        <w:adjustRightInd w:val="0"/>
        <w:snapToGrid w:val="0"/>
        <w:spacing w:line="360" w:lineRule="auto"/>
        <w:ind w:firstLine="420" w:firstLineChars="200"/>
        <w:rPr>
          <w:rFonts w:ascii="宋体" w:hAnsi="宋体" w:cs="宋体"/>
          <w:color w:val="auto"/>
          <w:szCs w:val="21"/>
          <w:highlight w:val="none"/>
        </w:rPr>
      </w:pPr>
      <w:bookmarkStart w:id="1714" w:name="_Hlk51506640"/>
      <w:r>
        <w:rPr>
          <w:rFonts w:hint="eastAsia" w:ascii="宋体" w:hAnsi="宋体" w:cs="宋体"/>
          <w:color w:val="auto"/>
          <w:szCs w:val="21"/>
          <w:highlight w:val="none"/>
        </w:rPr>
        <w:t>（4）因发包人原因，未在工程师收到承包人竣工验收申请报告之日起42天内完成竣工验收的，以承包人提交竣工验收申请报告之日作为工程实际竣工日期。</w:t>
      </w:r>
    </w:p>
    <w:bookmarkEnd w:id="1714"/>
    <w:p w14:paraId="6C70EBD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（5）工程未经竣工验收，发包人擅自使用的，以转移占有工程之日为实际竣工日期。</w:t>
      </w:r>
    </w:p>
    <w:p w14:paraId="457527E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除专用合同条件另有约定外，发包人不按照本项和第10.4款[接收证书]约定组织竣工验收、颁发工程接收证书的，每逾期一天，应以签约合同价为基数，按照贷款市场报价利率（LPR）支付违约金。</w:t>
      </w:r>
    </w:p>
    <w:p w14:paraId="45E2A307">
      <w:pPr>
        <w:adjustRightInd w:val="0"/>
        <w:snapToGrid w:val="0"/>
        <w:spacing w:line="360" w:lineRule="auto"/>
        <w:rPr>
          <w:rFonts w:ascii="宋体" w:hAnsi="宋体"/>
          <w:b/>
          <w:color w:val="auto"/>
          <w:sz w:val="24"/>
          <w:highlight w:val="none"/>
        </w:rPr>
      </w:pPr>
      <w:bookmarkStart w:id="1715" w:name="_Toc54862265"/>
      <w:bookmarkStart w:id="1716" w:name="_Toc161228710"/>
      <w:bookmarkStart w:id="1717" w:name="_Toc145081625"/>
      <w:bookmarkStart w:id="1718" w:name="_Ref532301210"/>
      <w:bookmarkStart w:id="1719" w:name="_Ref532301213"/>
      <w:r>
        <w:rPr>
          <w:rFonts w:hint="eastAsia" w:ascii="宋体" w:hAnsi="宋体" w:eastAsia="宋体"/>
          <w:b/>
          <w:color w:val="auto"/>
          <w:sz w:val="24"/>
          <w:highlight w:val="none"/>
        </w:rPr>
        <w:t>10.2单位/区段工程的验收</w:t>
      </w:r>
      <w:bookmarkEnd w:id="1715"/>
      <w:bookmarkEnd w:id="1716"/>
      <w:bookmarkEnd w:id="1717"/>
      <w:bookmarkEnd w:id="1718"/>
      <w:bookmarkEnd w:id="1719"/>
    </w:p>
    <w:p w14:paraId="0AF35C1E">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10.2.1发包人根据项目进度计划安排，在全部工程竣工前需要使用已经竣工的单位/区段工程时，或承包人提出经发包人同意时，可进行单位/区段工程验收。验收的程序可参照第10.1款[竣工验收]的约定进行。验收合格后，由工程师向承包人出具经发包人签认的单位/区段工程验收证书。单位/区段工程的验收成果和结论作为全部工程竣工验收申请报告的附件。</w:t>
      </w:r>
    </w:p>
    <w:p w14:paraId="40A894B9">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10.2.2发包人在全部工程竣工前，使用已接收的单位/区段工程导致承包人费用增加的，发包人应承担由此增加的费用和（或）工期延误，并支付承包人合理利润。</w:t>
      </w:r>
    </w:p>
    <w:p w14:paraId="5BD64934">
      <w:pPr>
        <w:adjustRightInd w:val="0"/>
        <w:snapToGrid w:val="0"/>
        <w:spacing w:line="360" w:lineRule="auto"/>
        <w:rPr>
          <w:rFonts w:ascii="宋体" w:hAnsi="宋体"/>
          <w:b/>
          <w:color w:val="auto"/>
          <w:sz w:val="24"/>
          <w:highlight w:val="none"/>
        </w:rPr>
      </w:pPr>
      <w:bookmarkStart w:id="1720" w:name="_Toc161228711"/>
      <w:bookmarkStart w:id="1721" w:name="_Toc145081626"/>
      <w:bookmarkStart w:id="1722" w:name="_Toc54862266"/>
      <w:bookmarkStart w:id="1723" w:name="_Ref4429473"/>
      <w:bookmarkStart w:id="1724" w:name="_Ref532688354"/>
      <w:bookmarkStart w:id="1725" w:name="_Ref532688351"/>
      <w:r>
        <w:rPr>
          <w:rFonts w:hint="eastAsia" w:ascii="宋体" w:hAnsi="宋体" w:eastAsia="宋体"/>
          <w:b/>
          <w:color w:val="auto"/>
          <w:sz w:val="24"/>
          <w:highlight w:val="none"/>
        </w:rPr>
        <w:t>10.3工程的接收</w:t>
      </w:r>
      <w:bookmarkEnd w:id="1720"/>
      <w:bookmarkEnd w:id="1721"/>
      <w:bookmarkEnd w:id="1722"/>
    </w:p>
    <w:p w14:paraId="2F288568">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10.3.1根据工程项目的具体情况和特点，可按工程或单位/区段工程进行接收，并在专用合同条件约定接收的先后顺序、时间安排和其他要求。</w:t>
      </w:r>
    </w:p>
    <w:p w14:paraId="4DEAB943">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10.3.2除按本条约定已经提交的资料外，接收工程时承包人需提交竣工验收资料的类别、内容、份数和提交时间，在专用合同条件中约定。</w:t>
      </w:r>
    </w:p>
    <w:p w14:paraId="68E2E7C3">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10.3.3发包人无正当理由不接收工程的，发包人自应当接收工程之日起，承担工程照管、成品保护、保管等与工程有关的各项费用，合同当事人可以在专用合同条件中另行约定发包人逾期接收工程的违约责任。</w:t>
      </w:r>
    </w:p>
    <w:p w14:paraId="3C7B36B8">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10.3.4承包人无正当理由不移交工程的，承包人应承担工程照管、成品保护、保管等与工程有关的各项费用，合同当事人可以在专用合同条件中另行约定承包人无正当理由不移交工程的违约责任。</w:t>
      </w:r>
    </w:p>
    <w:p w14:paraId="095273E2">
      <w:pPr>
        <w:adjustRightInd w:val="0"/>
        <w:snapToGrid w:val="0"/>
        <w:spacing w:line="360" w:lineRule="auto"/>
        <w:rPr>
          <w:rFonts w:ascii="宋体" w:hAnsi="宋体"/>
          <w:b/>
          <w:color w:val="auto"/>
          <w:sz w:val="24"/>
          <w:highlight w:val="none"/>
        </w:rPr>
      </w:pPr>
      <w:bookmarkStart w:id="1726" w:name="_Toc54862267"/>
      <w:bookmarkStart w:id="1727" w:name="_Toc161228712"/>
      <w:bookmarkStart w:id="1728" w:name="_Toc145081627"/>
      <w:r>
        <w:rPr>
          <w:rFonts w:hint="eastAsia" w:ascii="宋体" w:hAnsi="宋体" w:eastAsia="宋体"/>
          <w:b/>
          <w:color w:val="auto"/>
          <w:sz w:val="24"/>
          <w:highlight w:val="none"/>
        </w:rPr>
        <w:t>10.4接收证书</w:t>
      </w:r>
      <w:bookmarkEnd w:id="1723"/>
      <w:bookmarkEnd w:id="1726"/>
      <w:bookmarkEnd w:id="1727"/>
      <w:bookmarkEnd w:id="1728"/>
    </w:p>
    <w:p w14:paraId="7422857D">
      <w:pPr>
        <w:tabs>
          <w:tab w:val="left" w:pos="851"/>
        </w:tabs>
        <w:adjustRightInd w:val="0"/>
        <w:snapToGrid w:val="0"/>
        <w:spacing w:line="360" w:lineRule="auto"/>
        <w:ind w:firstLine="420" w:firstLineChars="200"/>
        <w:rPr>
          <w:rFonts w:ascii="宋体" w:hAnsi="宋体" w:cs="宋体"/>
          <w:color w:val="auto"/>
          <w:highlight w:val="none"/>
        </w:rPr>
      </w:pPr>
      <w:bookmarkStart w:id="1729" w:name="_Ref4429542"/>
      <w:r>
        <w:rPr>
          <w:rFonts w:hint="eastAsia" w:ascii="宋体" w:hAnsi="宋体" w:cs="宋体"/>
          <w:color w:val="auto"/>
          <w:highlight w:val="none"/>
        </w:rPr>
        <w:t>10.4.1除专用合同条件另有约定外，承包人应在竣工验收合格后向发包人提交第14.6款[质量保证金]约定的质量保证金，发包人应在竣工验收合格且工程具备接收条件后的14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bookmarkEnd w:id="1729"/>
    </w:p>
    <w:p w14:paraId="5760EF72">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10.4.2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p>
    <w:p w14:paraId="42404508">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10.4.3竣工验收合格而发包人无正当理由逾期不颁发工程接收证书的，自验收合格后第15天起视为已颁发工程接收证书。</w:t>
      </w:r>
    </w:p>
    <w:p w14:paraId="0AF66B5B">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10.4.4工程未经验收或验收不合格，发包人擅自使用的，应在转移占有工程后7天内向承包人颁发工程接收证书；发包人无正当理由逾期不颁发工程接收证书的，自转移占有后第15天起视为已颁发工程接收证书。</w:t>
      </w:r>
    </w:p>
    <w:p w14:paraId="45E21181">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10.4.5存在扫尾工作的，工程接收证书中应当将第14.5.3项[扫尾工作清单]中约定的扫尾工作清单作为工程接收证书附件。</w:t>
      </w:r>
    </w:p>
    <w:bookmarkEnd w:id="1724"/>
    <w:bookmarkEnd w:id="1725"/>
    <w:p w14:paraId="30FF5532">
      <w:pPr>
        <w:adjustRightInd w:val="0"/>
        <w:snapToGrid w:val="0"/>
        <w:spacing w:line="360" w:lineRule="auto"/>
        <w:rPr>
          <w:rFonts w:ascii="宋体" w:hAnsi="宋体"/>
          <w:b/>
          <w:color w:val="auto"/>
          <w:sz w:val="24"/>
          <w:highlight w:val="none"/>
        </w:rPr>
      </w:pPr>
      <w:bookmarkStart w:id="1730" w:name="_Ref4429932"/>
      <w:bookmarkStart w:id="1731" w:name="_Toc161228713"/>
      <w:bookmarkStart w:id="1732" w:name="_Ref4429935"/>
      <w:bookmarkStart w:id="1733" w:name="_Toc54862268"/>
      <w:bookmarkStart w:id="1734" w:name="_Toc145081628"/>
      <w:r>
        <w:rPr>
          <w:rFonts w:hint="eastAsia" w:ascii="宋体" w:hAnsi="宋体" w:eastAsia="宋体"/>
          <w:b/>
          <w:color w:val="auto"/>
          <w:sz w:val="24"/>
          <w:highlight w:val="none"/>
        </w:rPr>
        <w:t>10.5竣工退场</w:t>
      </w:r>
      <w:bookmarkEnd w:id="1730"/>
      <w:bookmarkEnd w:id="1731"/>
      <w:bookmarkEnd w:id="1732"/>
      <w:bookmarkEnd w:id="1733"/>
      <w:bookmarkEnd w:id="1734"/>
    </w:p>
    <w:p w14:paraId="3AE9F801">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735" w:name="_Ref4429943"/>
      <w:r>
        <w:rPr>
          <w:rFonts w:hint="eastAsia" w:ascii="宋体" w:hAnsi="宋体" w:cs="宋体"/>
          <w:color w:val="auto"/>
          <w:kern w:val="0"/>
          <w:szCs w:val="20"/>
          <w:highlight w:val="none"/>
          <w:lang w:bidi="ar"/>
        </w:rPr>
        <w:t>10.5.1竣工退场</w:t>
      </w:r>
      <w:bookmarkEnd w:id="1735"/>
    </w:p>
    <w:p w14:paraId="439E508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颁发工程接收证书后，承包人应对施工现场进行清理，并撤离相关人员，使得施工现场处于以下状态，直至工程师检验合格为止：</w:t>
      </w:r>
    </w:p>
    <w:p w14:paraId="4251C34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（1）施工现场内残留的垃圾已全部清除出场；</w:t>
      </w:r>
    </w:p>
    <w:p w14:paraId="3D9F081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（2）临时工程已拆除，场地已按合同约定进行清理、平整或复原；</w:t>
      </w:r>
    </w:p>
    <w:p w14:paraId="52478A6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（3）按合同约定应撤离的人员、承包人提供的施工设备和剩余的材料，包括废弃的施工设备和材料，已按计划撤离施工现场；</w:t>
      </w:r>
    </w:p>
    <w:p w14:paraId="2B318AC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（4）施工现场周边及其附近道路、河道的施工堆积物，已全部清理；</w:t>
      </w:r>
    </w:p>
    <w:p w14:paraId="6428B1F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（5）施工现场其他竣工退场工作已全部完成。</w:t>
      </w:r>
    </w:p>
    <w:p w14:paraId="397D78E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14:paraId="2ED47A4B">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10.5.2地表还原</w:t>
      </w:r>
    </w:p>
    <w:p w14:paraId="60D1677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承包人应按合同约定和工程师的要求恢复临时占地及清理场地，否则发包人有权委托其他人恢复或清理，所发生的费用由承包人承担。</w:t>
      </w:r>
    </w:p>
    <w:p w14:paraId="75434B08">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736" w:name="_Ref20159437"/>
      <w:r>
        <w:rPr>
          <w:rFonts w:hint="eastAsia" w:ascii="宋体" w:hAnsi="宋体" w:cs="宋体"/>
          <w:color w:val="auto"/>
          <w:kern w:val="0"/>
          <w:szCs w:val="20"/>
          <w:highlight w:val="none"/>
          <w:lang w:bidi="ar"/>
        </w:rPr>
        <w:t>10.5.3人员撤离</w:t>
      </w:r>
      <w:bookmarkEnd w:id="1736"/>
    </w:p>
    <w:p w14:paraId="75A1ABD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bookmarkEnd w:id="1580"/>
    </w:p>
    <w:p w14:paraId="7B4B99C0">
      <w:pPr>
        <w:adjustRightInd w:val="0"/>
        <w:snapToGrid w:val="0"/>
        <w:spacing w:line="360" w:lineRule="auto"/>
        <w:rPr>
          <w:rFonts w:ascii="黑体" w:hAnsi="黑体" w:eastAsia="黑体"/>
          <w:color w:val="auto"/>
          <w:sz w:val="24"/>
          <w:highlight w:val="none"/>
        </w:rPr>
      </w:pPr>
      <w:bookmarkStart w:id="1737" w:name="_Toc161228714"/>
      <w:bookmarkStart w:id="1738" w:name="_Toc54862269"/>
      <w:bookmarkStart w:id="1739" w:name="_Ref531955009"/>
      <w:bookmarkStart w:id="1740" w:name="_Ref4796909"/>
      <w:bookmarkStart w:id="1741" w:name="_Ref4796906"/>
      <w:r>
        <w:rPr>
          <w:rFonts w:hint="eastAsia" w:ascii="黑体" w:hAnsi="黑体" w:eastAsia="黑体"/>
          <w:color w:val="auto"/>
          <w:sz w:val="24"/>
          <w:highlight w:val="none"/>
        </w:rPr>
        <w:t>第11条 缺陷责任与保修</w:t>
      </w:r>
      <w:bookmarkEnd w:id="1737"/>
      <w:bookmarkEnd w:id="1738"/>
      <w:bookmarkEnd w:id="1739"/>
      <w:bookmarkEnd w:id="1740"/>
      <w:bookmarkEnd w:id="1741"/>
    </w:p>
    <w:p w14:paraId="71776E59">
      <w:pPr>
        <w:adjustRightInd w:val="0"/>
        <w:snapToGrid w:val="0"/>
        <w:spacing w:line="360" w:lineRule="auto"/>
        <w:rPr>
          <w:rFonts w:ascii="宋体" w:hAnsi="宋体"/>
          <w:b/>
          <w:color w:val="auto"/>
          <w:sz w:val="24"/>
          <w:highlight w:val="none"/>
        </w:rPr>
      </w:pPr>
      <w:bookmarkStart w:id="1742" w:name="_Toc161228715"/>
      <w:bookmarkStart w:id="1743" w:name="_Toc54862270"/>
      <w:bookmarkStart w:id="1744" w:name="_Toc145081630"/>
      <w:bookmarkStart w:id="1745" w:name="_Ref531955248"/>
      <w:bookmarkStart w:id="1746" w:name="_Ref531955245"/>
      <w:bookmarkStart w:id="1747" w:name="_Ref532362928"/>
      <w:bookmarkStart w:id="1748" w:name="_Toc296346648"/>
      <w:bookmarkStart w:id="1749" w:name="_Toc296503147"/>
      <w:bookmarkStart w:id="1750" w:name="_Toc337558841"/>
      <w:r>
        <w:rPr>
          <w:rFonts w:hint="eastAsia" w:ascii="宋体" w:hAnsi="宋体" w:eastAsia="宋体"/>
          <w:b/>
          <w:color w:val="auto"/>
          <w:sz w:val="24"/>
          <w:highlight w:val="none"/>
        </w:rPr>
        <w:t>11.1工程保修的原则</w:t>
      </w:r>
      <w:bookmarkEnd w:id="1742"/>
      <w:bookmarkEnd w:id="1743"/>
      <w:bookmarkEnd w:id="1744"/>
    </w:p>
    <w:p w14:paraId="714E8D9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在工程移交发包人后，因承包人原因产生的质量缺陷，承包人应承担质量缺陷责任和保修义务。缺陷责任期届满，承包人仍应按合同约定的工程各部位保修年限承担保修义务。</w:t>
      </w:r>
    </w:p>
    <w:p w14:paraId="4F728C6F">
      <w:pPr>
        <w:adjustRightInd w:val="0"/>
        <w:snapToGrid w:val="0"/>
        <w:spacing w:line="360" w:lineRule="auto"/>
        <w:rPr>
          <w:rFonts w:ascii="宋体" w:hAnsi="宋体"/>
          <w:b/>
          <w:color w:val="auto"/>
          <w:sz w:val="24"/>
          <w:highlight w:val="none"/>
        </w:rPr>
      </w:pPr>
      <w:bookmarkStart w:id="1751" w:name="_Toc145081631"/>
      <w:bookmarkStart w:id="1752" w:name="_Ref4430062"/>
      <w:bookmarkStart w:id="1753" w:name="_Toc161228716"/>
      <w:bookmarkStart w:id="1754" w:name="_Toc54862271"/>
      <w:r>
        <w:rPr>
          <w:rFonts w:hint="eastAsia" w:ascii="宋体" w:hAnsi="宋体" w:eastAsia="宋体"/>
          <w:b/>
          <w:color w:val="auto"/>
          <w:sz w:val="24"/>
          <w:highlight w:val="none"/>
        </w:rPr>
        <w:t>11.2缺陷责任</w:t>
      </w:r>
      <w:bookmarkEnd w:id="1745"/>
      <w:bookmarkEnd w:id="1746"/>
      <w:r>
        <w:rPr>
          <w:rFonts w:hint="eastAsia" w:ascii="宋体" w:hAnsi="宋体" w:eastAsia="宋体"/>
          <w:b/>
          <w:color w:val="auto"/>
          <w:sz w:val="24"/>
          <w:highlight w:val="none"/>
        </w:rPr>
        <w:t>期</w:t>
      </w:r>
      <w:bookmarkEnd w:id="1747"/>
      <w:bookmarkEnd w:id="1751"/>
      <w:bookmarkEnd w:id="1752"/>
      <w:bookmarkEnd w:id="1753"/>
      <w:bookmarkEnd w:id="1754"/>
    </w:p>
    <w:p w14:paraId="06FC680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缺陷责任期原则上从工程竣工验收合格之日起计算，合同当事人应在专用合同条件约定缺陷责任期的具体期限，但该期限最长不超过24个月。</w:t>
      </w:r>
    </w:p>
    <w:p w14:paraId="08F509E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单位/区段工程先于全部工程进行验收，经验收合格并交付使用的，该单位/区段工程缺陷责任期自单位/区段工程验收合格之日起算。因发包人原因导致工程未在合同约定期限进行验收，但工程经验收合格的，以承包人提交竣工验收报告之日起算；因发包人原因导致工程未能进行竣工验收的，在承包人提交竣工验收报告90天后，工程自动进入缺陷责任期；发包人未经竣工验收擅自使用工程的，缺陷责任期自工程转移占有之日起开始计算。</w:t>
      </w:r>
    </w:p>
    <w:p w14:paraId="704AE13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个月。</w:t>
      </w:r>
    </w:p>
    <w:p w14:paraId="35715E26">
      <w:pPr>
        <w:adjustRightInd w:val="0"/>
        <w:snapToGrid w:val="0"/>
        <w:spacing w:line="360" w:lineRule="auto"/>
        <w:rPr>
          <w:rFonts w:ascii="宋体" w:hAnsi="宋体"/>
          <w:b/>
          <w:color w:val="auto"/>
          <w:sz w:val="24"/>
          <w:highlight w:val="none"/>
        </w:rPr>
      </w:pPr>
      <w:bookmarkStart w:id="1755" w:name="_Toc161228717"/>
      <w:bookmarkStart w:id="1756" w:name="_Ref532662491"/>
      <w:bookmarkStart w:id="1757" w:name="_Ref532662486"/>
      <w:bookmarkStart w:id="1758" w:name="_Toc145081632"/>
      <w:bookmarkStart w:id="1759" w:name="_Toc54862272"/>
      <w:r>
        <w:rPr>
          <w:rFonts w:hint="eastAsia" w:ascii="宋体" w:hAnsi="宋体" w:eastAsia="宋体"/>
          <w:b/>
          <w:color w:val="auto"/>
          <w:sz w:val="24"/>
          <w:highlight w:val="none"/>
        </w:rPr>
        <w:t>11.3缺陷调查</w:t>
      </w:r>
      <w:bookmarkEnd w:id="1755"/>
      <w:bookmarkEnd w:id="1756"/>
      <w:bookmarkEnd w:id="1757"/>
      <w:bookmarkEnd w:id="1758"/>
      <w:bookmarkEnd w:id="1759"/>
    </w:p>
    <w:p w14:paraId="37413B0F">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11.3.1承包人缺陷调查</w:t>
      </w:r>
    </w:p>
    <w:p w14:paraId="323F3FA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14:paraId="170B23F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14:paraId="4431692B">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11.3.2缺陷责任</w:t>
      </w:r>
    </w:p>
    <w:p w14:paraId="4697922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14:paraId="740337CC">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11.3.3修复费用</w:t>
      </w:r>
    </w:p>
    <w:p w14:paraId="097308D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发包人和承包人应共同查清缺陷或损坏的原因。经查明属承包人原因造成的，应由承包人承担修复的费用。经查验非承包人原因造成的，发包人应承担修复的费用，并支付承包人合理利润。</w:t>
      </w:r>
    </w:p>
    <w:p w14:paraId="0FCB1A3B">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760" w:name="_Ref531955041"/>
      <w:r>
        <w:rPr>
          <w:rFonts w:hint="eastAsia" w:ascii="宋体" w:hAnsi="宋体" w:cs="宋体"/>
          <w:color w:val="auto"/>
          <w:kern w:val="0"/>
          <w:szCs w:val="20"/>
          <w:highlight w:val="none"/>
          <w:lang w:bidi="ar"/>
        </w:rPr>
        <w:t>11.3.4修复通知</w:t>
      </w:r>
      <w:bookmarkEnd w:id="1760"/>
    </w:p>
    <w:p w14:paraId="64079ED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缺陷责任期内，发包人在使用过程中，发现已接收的工程存在缺陷或损坏的，应书面通知承包人予以修复，但情况紧急必须立即修复缺陷或损坏的，发包人可以口头通知承包人并在口头通知后48小时内书面确认，承包人应在专用合同条件约定的合理期限内到达工程现场并修复缺陷或损坏。</w:t>
      </w:r>
    </w:p>
    <w:p w14:paraId="0EA23AB4">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11.3.5在现场外修复</w:t>
      </w:r>
    </w:p>
    <w:p w14:paraId="4CA754E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全部重置成本增加质量保证金的数额。</w:t>
      </w:r>
    </w:p>
    <w:p w14:paraId="7D6F8B3D">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761" w:name="_Ref4534291"/>
      <w:bookmarkStart w:id="1762" w:name="_Hlk51506786"/>
      <w:r>
        <w:rPr>
          <w:rFonts w:hint="eastAsia" w:ascii="宋体" w:hAnsi="宋体" w:cs="宋体"/>
          <w:color w:val="auto"/>
          <w:kern w:val="0"/>
          <w:szCs w:val="20"/>
          <w:highlight w:val="none"/>
          <w:lang w:bidi="ar"/>
        </w:rPr>
        <w:t>11.3.6未能修复</w:t>
      </w:r>
      <w:bookmarkEnd w:id="1761"/>
    </w:p>
    <w:bookmarkEnd w:id="1762"/>
    <w:p w14:paraId="18DB35B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06B23EC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如果工程或工程设备的缺陷或损害使发包人实质上失去了工程的整体功能，发包人有权向承包人追回已支付的工程款项，并要求其赔偿发包人相应损失。</w:t>
      </w:r>
    </w:p>
    <w:bookmarkEnd w:id="1748"/>
    <w:bookmarkEnd w:id="1749"/>
    <w:bookmarkEnd w:id="1750"/>
    <w:p w14:paraId="3DE82379">
      <w:pPr>
        <w:adjustRightInd w:val="0"/>
        <w:snapToGrid w:val="0"/>
        <w:spacing w:line="360" w:lineRule="auto"/>
        <w:rPr>
          <w:rFonts w:ascii="宋体" w:hAnsi="宋体"/>
          <w:b/>
          <w:color w:val="auto"/>
          <w:sz w:val="24"/>
          <w:highlight w:val="none"/>
        </w:rPr>
      </w:pPr>
      <w:bookmarkStart w:id="1763" w:name="_Toc54862273"/>
      <w:bookmarkStart w:id="1764" w:name="_Toc145081633"/>
      <w:bookmarkStart w:id="1765" w:name="_Ref532662554"/>
      <w:bookmarkStart w:id="1766" w:name="_Ref532662552"/>
      <w:bookmarkStart w:id="1767" w:name="_Toc161228718"/>
      <w:r>
        <w:rPr>
          <w:rFonts w:hint="eastAsia" w:ascii="宋体" w:hAnsi="宋体" w:eastAsia="宋体"/>
          <w:b/>
          <w:color w:val="auto"/>
          <w:sz w:val="24"/>
          <w:highlight w:val="none"/>
        </w:rPr>
        <w:t>11.4缺陷修复后的进一步试验</w:t>
      </w:r>
      <w:bookmarkEnd w:id="1763"/>
      <w:bookmarkEnd w:id="1764"/>
      <w:bookmarkEnd w:id="1765"/>
      <w:bookmarkEnd w:id="1766"/>
      <w:bookmarkEnd w:id="1767"/>
    </w:p>
    <w:p w14:paraId="139085E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任何一项缺陷修补后的7天内，承包人应向发包人发出通知，告知已修补的情况。如根据第9条[竣工试验]或第12条[竣工后试验]的规定适用重新试验的，还应建议重新试验。发包人应在收到重新试验的通知后14天内答复，逾期未进行答复的视为同意重新试验。承包人未建议重新试验的，发包人也可在缺陷修补后的14天内指示进行必要的重新试验，以证明已修复的部分符合合同要求。</w:t>
      </w:r>
    </w:p>
    <w:p w14:paraId="27A542F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所有的重复试验应按照适用于先前试验的条款进行，但应由责任方承担修补工作的成本和重新试验的风险和费用。</w:t>
      </w:r>
    </w:p>
    <w:p w14:paraId="29E062B4">
      <w:pPr>
        <w:adjustRightInd w:val="0"/>
        <w:snapToGrid w:val="0"/>
        <w:spacing w:line="360" w:lineRule="auto"/>
        <w:rPr>
          <w:rFonts w:ascii="宋体" w:hAnsi="宋体"/>
          <w:b/>
          <w:color w:val="auto"/>
          <w:sz w:val="24"/>
          <w:highlight w:val="none"/>
        </w:rPr>
      </w:pPr>
      <w:bookmarkStart w:id="1768" w:name="_Toc54862274"/>
      <w:bookmarkStart w:id="1769" w:name="_Toc161228719"/>
      <w:bookmarkStart w:id="1770" w:name="_Toc145081634"/>
      <w:r>
        <w:rPr>
          <w:rFonts w:hint="eastAsia" w:ascii="宋体" w:hAnsi="宋体" w:eastAsia="宋体"/>
          <w:b/>
          <w:color w:val="auto"/>
          <w:sz w:val="24"/>
          <w:highlight w:val="none"/>
        </w:rPr>
        <w:t>11.5承包人出入权</w:t>
      </w:r>
      <w:bookmarkEnd w:id="1768"/>
      <w:bookmarkEnd w:id="1769"/>
      <w:bookmarkEnd w:id="1770"/>
    </w:p>
    <w:p w14:paraId="13ACFDA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缺陷责任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安保和保密等规定。</w:t>
      </w:r>
    </w:p>
    <w:p w14:paraId="4DE92725">
      <w:pPr>
        <w:adjustRightInd w:val="0"/>
        <w:snapToGrid w:val="0"/>
        <w:spacing w:line="360" w:lineRule="auto"/>
        <w:rPr>
          <w:rFonts w:ascii="宋体" w:hAnsi="宋体"/>
          <w:b/>
          <w:color w:val="auto"/>
          <w:sz w:val="24"/>
          <w:highlight w:val="none"/>
        </w:rPr>
      </w:pPr>
      <w:bookmarkStart w:id="1771" w:name="_Toc54862275"/>
      <w:bookmarkStart w:id="1772" w:name="_Toc145081635"/>
      <w:bookmarkStart w:id="1773" w:name="_Ref4430229"/>
      <w:bookmarkStart w:id="1774" w:name="_Ref4430223"/>
      <w:bookmarkStart w:id="1775" w:name="_Toc161228720"/>
      <w:r>
        <w:rPr>
          <w:rFonts w:hint="eastAsia" w:ascii="宋体" w:hAnsi="宋体" w:eastAsia="宋体"/>
          <w:b/>
          <w:color w:val="auto"/>
          <w:sz w:val="24"/>
          <w:highlight w:val="none"/>
        </w:rPr>
        <w:t>11.6缺陷责任期终止证书</w:t>
      </w:r>
      <w:bookmarkEnd w:id="1771"/>
      <w:bookmarkEnd w:id="1772"/>
      <w:bookmarkEnd w:id="1773"/>
      <w:bookmarkEnd w:id="1774"/>
      <w:bookmarkEnd w:id="1775"/>
    </w:p>
    <w:p w14:paraId="0AE66EC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w:t>
      </w:r>
      <w:bookmarkStart w:id="1776" w:name="_Hlk4686672"/>
      <w:r>
        <w:rPr>
          <w:rFonts w:hint="eastAsia" w:ascii="宋体" w:hAnsi="宋体" w:cs="宋体"/>
          <w:color w:val="auto"/>
          <w:szCs w:val="21"/>
          <w:highlight w:val="none"/>
        </w:rPr>
        <w:t>承包人应于缺陷责任期届满前7天内向发包人发出缺陷责任期即将届满通知，发包人应在收到通知后7天内核实承包人是否履行缺陷修复义务，承包人未能履行缺陷修复义务的，发包人有权扣除相应金额的维修费用。发包人应在缺陷责任期届满之日，向承包人颁发缺陷责任期终止证书，并按第14.6.3项[质量保证金的返还]返还质量保证金。</w:t>
      </w:r>
      <w:bookmarkEnd w:id="1776"/>
    </w:p>
    <w:p w14:paraId="3969024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如根据第10.5.3项[人员撤离]承包人在施工现场还留有人员、施工设备和临时工程的，承包人应当在收到缺陷责任期终止证书后28天内，将上述人员、施工设备和临时工程撤离施工现场。</w:t>
      </w:r>
    </w:p>
    <w:p w14:paraId="7CC124E2">
      <w:pPr>
        <w:adjustRightInd w:val="0"/>
        <w:snapToGrid w:val="0"/>
        <w:spacing w:line="360" w:lineRule="auto"/>
        <w:rPr>
          <w:rFonts w:ascii="宋体" w:hAnsi="宋体"/>
          <w:b/>
          <w:color w:val="auto"/>
          <w:sz w:val="24"/>
          <w:highlight w:val="none"/>
        </w:rPr>
      </w:pPr>
      <w:bookmarkStart w:id="1777" w:name="_Toc161228721"/>
      <w:bookmarkStart w:id="1778" w:name="_Toc54862276"/>
      <w:bookmarkStart w:id="1779" w:name="_Ref4430272"/>
      <w:bookmarkStart w:id="1780" w:name="_Toc145081636"/>
      <w:r>
        <w:rPr>
          <w:rFonts w:hint="eastAsia" w:ascii="宋体" w:hAnsi="宋体" w:eastAsia="宋体"/>
          <w:b/>
          <w:color w:val="auto"/>
          <w:sz w:val="24"/>
          <w:highlight w:val="none"/>
        </w:rPr>
        <w:t>11.7保修责任</w:t>
      </w:r>
      <w:bookmarkEnd w:id="1777"/>
      <w:bookmarkEnd w:id="1778"/>
      <w:bookmarkEnd w:id="1779"/>
      <w:bookmarkEnd w:id="1780"/>
    </w:p>
    <w:p w14:paraId="56A6779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因承包人原因导致的质量缺陷责任，由合同当事人根据有关法律规定，在专用合同条件和工程质量保修书中约定工程质量保修范围、期限和责任。</w:t>
      </w:r>
      <w:bookmarkEnd w:id="1567"/>
      <w:bookmarkStart w:id="1781" w:name="_Ref531957860"/>
      <w:bookmarkStart w:id="1782" w:name="_Ref531958289"/>
    </w:p>
    <w:bookmarkEnd w:id="1781"/>
    <w:p w14:paraId="20A79BDB">
      <w:pPr>
        <w:adjustRightInd w:val="0"/>
        <w:snapToGrid w:val="0"/>
        <w:spacing w:line="360" w:lineRule="auto"/>
        <w:rPr>
          <w:rFonts w:ascii="黑体" w:hAnsi="黑体" w:eastAsia="黑体"/>
          <w:color w:val="auto"/>
          <w:sz w:val="24"/>
          <w:highlight w:val="none"/>
        </w:rPr>
      </w:pPr>
      <w:bookmarkStart w:id="1783" w:name="_Ref4621065"/>
      <w:bookmarkStart w:id="1784" w:name="_Toc161228722"/>
      <w:bookmarkStart w:id="1785" w:name="_Toc54862277"/>
      <w:bookmarkStart w:id="1786" w:name="_Ref4621057"/>
      <w:bookmarkStart w:id="1787" w:name="_Ref4796955"/>
      <w:bookmarkStart w:id="1788" w:name="_Ref4796958"/>
      <w:r>
        <w:rPr>
          <w:rFonts w:hint="eastAsia" w:ascii="黑体" w:hAnsi="黑体" w:eastAsia="黑体"/>
          <w:color w:val="auto"/>
          <w:sz w:val="24"/>
          <w:highlight w:val="none"/>
        </w:rPr>
        <w:t>第12条 竣工后试验</w:t>
      </w:r>
      <w:bookmarkEnd w:id="1783"/>
      <w:bookmarkEnd w:id="1784"/>
      <w:bookmarkEnd w:id="1785"/>
      <w:bookmarkEnd w:id="1786"/>
    </w:p>
    <w:p w14:paraId="088CB0E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本合同工程包含竣工后试验的，遵守本条约定。</w:t>
      </w:r>
    </w:p>
    <w:p w14:paraId="176B90F3">
      <w:pPr>
        <w:adjustRightInd w:val="0"/>
        <w:snapToGrid w:val="0"/>
        <w:spacing w:line="360" w:lineRule="auto"/>
        <w:rPr>
          <w:rFonts w:ascii="宋体" w:hAnsi="宋体"/>
          <w:b/>
          <w:color w:val="auto"/>
          <w:sz w:val="24"/>
          <w:highlight w:val="none"/>
        </w:rPr>
      </w:pPr>
      <w:bookmarkStart w:id="1789" w:name="_Ref531954601"/>
      <w:bookmarkStart w:id="1790" w:name="_Ref531954604"/>
      <w:bookmarkStart w:id="1791" w:name="_Ref531954694"/>
      <w:bookmarkStart w:id="1792" w:name="_Toc145081638"/>
      <w:bookmarkStart w:id="1793" w:name="_Toc54862278"/>
      <w:bookmarkStart w:id="1794" w:name="_Toc161228723"/>
      <w:bookmarkStart w:id="1795" w:name="_Hlk522259976"/>
      <w:r>
        <w:rPr>
          <w:rFonts w:hint="eastAsia" w:ascii="宋体" w:hAnsi="宋体" w:eastAsia="宋体"/>
          <w:b/>
          <w:color w:val="auto"/>
          <w:sz w:val="24"/>
          <w:highlight w:val="none"/>
        </w:rPr>
        <w:t>12.1竣工后试验</w:t>
      </w:r>
      <w:bookmarkEnd w:id="1789"/>
      <w:bookmarkEnd w:id="1790"/>
      <w:r>
        <w:rPr>
          <w:rFonts w:hint="eastAsia" w:ascii="宋体" w:hAnsi="宋体" w:eastAsia="宋体"/>
          <w:b/>
          <w:color w:val="auto"/>
          <w:sz w:val="24"/>
          <w:highlight w:val="none"/>
        </w:rPr>
        <w:t>的程序</w:t>
      </w:r>
      <w:bookmarkEnd w:id="1791"/>
      <w:bookmarkEnd w:id="1792"/>
      <w:bookmarkEnd w:id="1793"/>
      <w:bookmarkEnd w:id="1794"/>
    </w:p>
    <w:p w14:paraId="4B9C42EA">
      <w:pPr>
        <w:tabs>
          <w:tab w:val="left" w:pos="851"/>
        </w:tabs>
        <w:adjustRightInd w:val="0"/>
        <w:snapToGrid w:val="0"/>
        <w:spacing w:line="360" w:lineRule="auto"/>
        <w:ind w:firstLine="420" w:firstLineChars="200"/>
        <w:rPr>
          <w:rFonts w:ascii="宋体" w:hAnsi="宋体" w:cs="宋体"/>
          <w:color w:val="auto"/>
          <w:highlight w:val="none"/>
        </w:rPr>
      </w:pPr>
      <w:bookmarkStart w:id="1796" w:name="_Ref11920184"/>
      <w:r>
        <w:rPr>
          <w:rFonts w:hint="eastAsia" w:ascii="宋体" w:hAnsi="宋体" w:cs="宋体"/>
          <w:color w:val="auto"/>
          <w:highlight w:val="none"/>
        </w:rPr>
        <w:t>12.1.1工程或区段工程被发包人接收后，在合理可行的情况下应根据合同约定尽早进行竣工后试验。</w:t>
      </w:r>
      <w:bookmarkEnd w:id="1796"/>
    </w:p>
    <w:p w14:paraId="0D031A44">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12.1.2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p>
    <w:p w14:paraId="08AE6642">
      <w:pPr>
        <w:tabs>
          <w:tab w:val="left" w:pos="851"/>
        </w:tabs>
        <w:adjustRightInd w:val="0"/>
        <w:snapToGrid w:val="0"/>
        <w:spacing w:line="360" w:lineRule="auto"/>
        <w:ind w:firstLine="420" w:firstLineChars="200"/>
        <w:rPr>
          <w:rFonts w:ascii="宋体" w:hAnsi="宋体" w:cs="宋体"/>
          <w:color w:val="auto"/>
          <w:highlight w:val="none"/>
        </w:rPr>
      </w:pPr>
      <w:bookmarkStart w:id="1797" w:name="_Ref11920162"/>
      <w:r>
        <w:rPr>
          <w:rFonts w:hint="eastAsia" w:ascii="宋体" w:hAnsi="宋体" w:cs="宋体"/>
          <w:color w:val="auto"/>
          <w:highlight w:val="none"/>
        </w:rPr>
        <w:t>12.1.3除《发包人要求》另有约定外，发包人应在合理可行的情况下尽快进行每项竣工后试验，并至少提前21天将该项竣工后试验的内容、地点和时间，以及显示其他竣工后试验拟开展时间的竣工后试验计划通知承包人。</w:t>
      </w:r>
      <w:bookmarkEnd w:id="1797"/>
    </w:p>
    <w:p w14:paraId="12568AAE">
      <w:pPr>
        <w:tabs>
          <w:tab w:val="left" w:pos="851"/>
        </w:tabs>
        <w:adjustRightInd w:val="0"/>
        <w:snapToGrid w:val="0"/>
        <w:spacing w:line="360" w:lineRule="auto"/>
        <w:ind w:firstLine="420" w:firstLineChars="200"/>
        <w:rPr>
          <w:rFonts w:ascii="宋体" w:hAnsi="宋体" w:cs="宋体"/>
          <w:color w:val="auto"/>
          <w:highlight w:val="none"/>
        </w:rPr>
      </w:pPr>
      <w:bookmarkStart w:id="1798" w:name="_Ref11920146"/>
      <w:r>
        <w:rPr>
          <w:rFonts w:hint="eastAsia" w:ascii="宋体" w:hAnsi="宋体" w:cs="宋体"/>
          <w:color w:val="auto"/>
          <w:highlight w:val="none"/>
        </w:rPr>
        <w:t>12.1.4发包人应根据《发包人要求》、承包人按照第5.5款</w:t>
      </w:r>
      <w:bookmarkStart w:id="1799" w:name="_Hlk18943978"/>
      <w:r>
        <w:rPr>
          <w:rFonts w:hint="eastAsia" w:ascii="宋体" w:hAnsi="宋体" w:cs="宋体"/>
          <w:color w:val="auto"/>
          <w:highlight w:val="none"/>
        </w:rPr>
        <w:t>[操作和维修手册]</w:t>
      </w:r>
      <w:bookmarkEnd w:id="1799"/>
      <w:r>
        <w:rPr>
          <w:rFonts w:hint="eastAsia" w:ascii="宋体" w:hAnsi="宋体" w:cs="宋体"/>
          <w:color w:val="auto"/>
          <w:highlight w:val="none"/>
        </w:rPr>
        <w:t>提交的文件，以及承包人被要求提供的指导进行竣工后试验。如承包人未在发包人通知的时间和地点参加竣工后试验，发包人可自行进行，该试验应被视为是承包人在场的情况下进行的，且承包人应视为认可试验数据。</w:t>
      </w:r>
      <w:bookmarkEnd w:id="1798"/>
    </w:p>
    <w:p w14:paraId="28A1E062">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12.1.5竣工后试验的结果应由双方进行整理和评价，并应适当考虑发包人对工程或其任何部分的使用，对工程或区段工程的性能、特性和试验结果产生的影响。</w:t>
      </w:r>
    </w:p>
    <w:p w14:paraId="313A898F">
      <w:pPr>
        <w:adjustRightInd w:val="0"/>
        <w:snapToGrid w:val="0"/>
        <w:spacing w:line="360" w:lineRule="auto"/>
        <w:rPr>
          <w:rFonts w:ascii="宋体" w:hAnsi="宋体"/>
          <w:b/>
          <w:color w:val="auto"/>
          <w:sz w:val="24"/>
          <w:highlight w:val="none"/>
        </w:rPr>
      </w:pPr>
      <w:bookmarkStart w:id="1800" w:name="_Toc54862279"/>
      <w:bookmarkStart w:id="1801" w:name="_Ref531954781"/>
      <w:bookmarkStart w:id="1802" w:name="_Toc161228724"/>
      <w:bookmarkStart w:id="1803" w:name="_Ref531954785"/>
      <w:bookmarkStart w:id="1804" w:name="_Toc145081639"/>
      <w:r>
        <w:rPr>
          <w:rFonts w:hint="eastAsia" w:ascii="宋体" w:hAnsi="宋体" w:eastAsia="宋体"/>
          <w:b/>
          <w:color w:val="auto"/>
          <w:sz w:val="24"/>
          <w:highlight w:val="none"/>
        </w:rPr>
        <w:t>12.2延误的试验</w:t>
      </w:r>
      <w:bookmarkEnd w:id="1800"/>
      <w:bookmarkEnd w:id="1801"/>
      <w:bookmarkEnd w:id="1802"/>
      <w:bookmarkEnd w:id="1803"/>
      <w:bookmarkEnd w:id="1804"/>
    </w:p>
    <w:p w14:paraId="1944C010">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12.2.1如果竣工后试验因发包人原因被延误的，发包人应承担承包人由此增加的费用并支付承包人合理利润。</w:t>
      </w:r>
    </w:p>
    <w:p w14:paraId="3614637B">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12.2.2如果因承包人以外的原因，导致竣工后试验未能在缺陷责任期或双方另行同意的其他期限内完成，则相关工程或区段工程应视为已通过该竣工后试验。</w:t>
      </w:r>
    </w:p>
    <w:p w14:paraId="7A1E1A42">
      <w:pPr>
        <w:adjustRightInd w:val="0"/>
        <w:snapToGrid w:val="0"/>
        <w:spacing w:line="360" w:lineRule="auto"/>
        <w:rPr>
          <w:rFonts w:ascii="宋体" w:hAnsi="宋体"/>
          <w:b/>
          <w:color w:val="auto"/>
          <w:sz w:val="24"/>
          <w:highlight w:val="none"/>
        </w:rPr>
      </w:pPr>
      <w:bookmarkStart w:id="1805" w:name="_Toc145081640"/>
      <w:bookmarkStart w:id="1806" w:name="_Toc161228725"/>
      <w:bookmarkStart w:id="1807" w:name="_Toc54862280"/>
      <w:r>
        <w:rPr>
          <w:rFonts w:hint="eastAsia" w:ascii="宋体" w:hAnsi="宋体" w:eastAsia="宋体"/>
          <w:b/>
          <w:color w:val="auto"/>
          <w:sz w:val="24"/>
          <w:highlight w:val="none"/>
        </w:rPr>
        <w:t>12.3重新试验</w:t>
      </w:r>
      <w:bookmarkEnd w:id="1805"/>
      <w:bookmarkEnd w:id="1806"/>
      <w:bookmarkEnd w:id="1807"/>
    </w:p>
    <w:p w14:paraId="60589D0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工程或区段工程未能通过竣工后试验，则承包人应根据第11.3款[缺陷调查]的规定修补缺陷，以达到合同约定的要求；并按照第11.4款[缺陷修复后的进一步试验]重新进行竣工后试验以及承担风险和费用。如未通过试验和重新试验是承包人原因造成的，则承包人还应承担发包人因此增加的费用。</w:t>
      </w:r>
    </w:p>
    <w:bookmarkEnd w:id="1795"/>
    <w:p w14:paraId="0B966EBF">
      <w:pPr>
        <w:adjustRightInd w:val="0"/>
        <w:snapToGrid w:val="0"/>
        <w:spacing w:line="360" w:lineRule="auto"/>
        <w:rPr>
          <w:rFonts w:ascii="宋体" w:hAnsi="宋体"/>
          <w:b/>
          <w:color w:val="auto"/>
          <w:sz w:val="24"/>
          <w:highlight w:val="none"/>
        </w:rPr>
      </w:pPr>
      <w:bookmarkStart w:id="1808" w:name="_Toc54862281"/>
      <w:bookmarkStart w:id="1809" w:name="_Ref531954811"/>
      <w:bookmarkStart w:id="1810" w:name="_Toc161228726"/>
      <w:bookmarkStart w:id="1811" w:name="_Ref531954819"/>
      <w:bookmarkStart w:id="1812" w:name="_Toc145081641"/>
      <w:r>
        <w:rPr>
          <w:rFonts w:hint="eastAsia" w:ascii="宋体" w:hAnsi="宋体" w:eastAsia="宋体"/>
          <w:b/>
          <w:color w:val="auto"/>
          <w:sz w:val="24"/>
          <w:highlight w:val="none"/>
        </w:rPr>
        <w:t>12.4未能通过竣工后试验</w:t>
      </w:r>
      <w:bookmarkEnd w:id="1808"/>
      <w:bookmarkEnd w:id="1809"/>
      <w:bookmarkEnd w:id="1810"/>
      <w:bookmarkEnd w:id="1811"/>
      <w:bookmarkEnd w:id="1812"/>
    </w:p>
    <w:p w14:paraId="0913B0F5">
      <w:pPr>
        <w:tabs>
          <w:tab w:val="left" w:pos="851"/>
        </w:tabs>
        <w:adjustRightInd w:val="0"/>
        <w:snapToGrid w:val="0"/>
        <w:spacing w:line="360" w:lineRule="auto"/>
        <w:ind w:firstLine="420" w:firstLineChars="200"/>
        <w:rPr>
          <w:rFonts w:ascii="宋体" w:hAnsi="宋体" w:cs="宋体"/>
          <w:color w:val="auto"/>
          <w:highlight w:val="none"/>
        </w:rPr>
      </w:pPr>
      <w:bookmarkStart w:id="1813" w:name="_Ref531954829"/>
      <w:r>
        <w:rPr>
          <w:rFonts w:hint="eastAsia" w:ascii="宋体" w:hAnsi="宋体" w:cs="宋体"/>
          <w:color w:val="auto"/>
          <w:highlight w:val="none"/>
        </w:rPr>
        <w:t>12.4.1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bookmarkEnd w:id="1813"/>
    </w:p>
    <w:p w14:paraId="7732AA31">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12.4.2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p>
    <w:p w14:paraId="4DEE92BA">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12.4.3发包人无故拖延给予承包人进行调查、调整或修补所需的进入工程或区段工程的许可，并造成承包人费用增加的，应承担由此增加的费用并支付承包人合理利润。</w:t>
      </w:r>
    </w:p>
    <w:p w14:paraId="3F45153B">
      <w:pPr>
        <w:adjustRightInd w:val="0"/>
        <w:snapToGrid w:val="0"/>
        <w:spacing w:line="360" w:lineRule="auto"/>
        <w:rPr>
          <w:rFonts w:ascii="黑体" w:hAnsi="黑体" w:eastAsia="黑体"/>
          <w:color w:val="auto"/>
          <w:sz w:val="24"/>
          <w:highlight w:val="none"/>
        </w:rPr>
      </w:pPr>
      <w:bookmarkStart w:id="1814" w:name="_Toc54862282"/>
      <w:bookmarkStart w:id="1815" w:name="_Ref4415801"/>
      <w:bookmarkStart w:id="1816" w:name="_Toc161228727"/>
      <w:r>
        <w:rPr>
          <w:rFonts w:hint="eastAsia" w:ascii="黑体" w:hAnsi="黑体" w:eastAsia="黑体"/>
          <w:color w:val="auto"/>
          <w:sz w:val="24"/>
          <w:highlight w:val="none"/>
        </w:rPr>
        <w:t>第13条 变更与调整</w:t>
      </w:r>
      <w:bookmarkEnd w:id="1814"/>
      <w:bookmarkEnd w:id="1815"/>
      <w:bookmarkEnd w:id="1816"/>
    </w:p>
    <w:p w14:paraId="39CBB0D6">
      <w:pPr>
        <w:adjustRightInd w:val="0"/>
        <w:snapToGrid w:val="0"/>
        <w:spacing w:line="360" w:lineRule="auto"/>
        <w:rPr>
          <w:rFonts w:ascii="宋体" w:hAnsi="宋体"/>
          <w:b/>
          <w:color w:val="auto"/>
          <w:sz w:val="24"/>
          <w:highlight w:val="none"/>
        </w:rPr>
      </w:pPr>
      <w:bookmarkStart w:id="1817" w:name="_Toc145081643"/>
      <w:bookmarkStart w:id="1818" w:name="_Toc161228728"/>
      <w:bookmarkStart w:id="1819" w:name="_Ref532677084"/>
      <w:bookmarkStart w:id="1820" w:name="_Toc54862283"/>
      <w:bookmarkStart w:id="1821" w:name="_Ref532668573"/>
      <w:bookmarkStart w:id="1822" w:name="_Ref532670393"/>
      <w:bookmarkStart w:id="1823" w:name="_Ref532670395"/>
      <w:bookmarkStart w:id="1824" w:name="_Ref532677087"/>
      <w:bookmarkStart w:id="1825" w:name="_Ref532668569"/>
      <w:r>
        <w:rPr>
          <w:rFonts w:hint="eastAsia" w:ascii="宋体" w:hAnsi="宋体" w:eastAsia="宋体"/>
          <w:b/>
          <w:color w:val="auto"/>
          <w:sz w:val="24"/>
          <w:highlight w:val="none"/>
        </w:rPr>
        <w:t>13.1发包人变更权</w:t>
      </w:r>
      <w:bookmarkEnd w:id="1817"/>
      <w:bookmarkEnd w:id="1818"/>
      <w:bookmarkEnd w:id="1819"/>
      <w:bookmarkEnd w:id="1820"/>
      <w:bookmarkEnd w:id="1821"/>
      <w:bookmarkEnd w:id="1822"/>
      <w:bookmarkEnd w:id="1823"/>
      <w:bookmarkEnd w:id="1824"/>
      <w:bookmarkEnd w:id="1825"/>
    </w:p>
    <w:p w14:paraId="01249C85">
      <w:pPr>
        <w:tabs>
          <w:tab w:val="left" w:pos="851"/>
        </w:tabs>
        <w:adjustRightInd w:val="0"/>
        <w:snapToGrid w:val="0"/>
        <w:spacing w:line="360" w:lineRule="auto"/>
        <w:ind w:firstLine="420" w:firstLineChars="200"/>
        <w:rPr>
          <w:rFonts w:ascii="宋体" w:hAnsi="宋体" w:cs="宋体"/>
          <w:color w:val="auto"/>
          <w:highlight w:val="none"/>
        </w:rPr>
      </w:pPr>
      <w:bookmarkStart w:id="1826" w:name="_Ref4534979"/>
      <w:r>
        <w:rPr>
          <w:rFonts w:hint="eastAsia" w:ascii="宋体" w:hAnsi="宋体" w:cs="宋体"/>
          <w:color w:val="auto"/>
          <w:highlight w:val="none"/>
        </w:rPr>
        <w:t>13.1.1变更指示应经发包人同意，并由工程师发出经发包人签认的变更指示。除第11.3.6项[未能修复]约定的情况外，变更不应包括准备将任何工作删减并交由他人或发包人自行实施的情况。承包人收到变更指示后，方可实施变更。未经许可，承包人不得擅自对工程的任何部分进行变更。</w:t>
      </w:r>
      <w:bookmarkEnd w:id="1826"/>
      <w:r>
        <w:rPr>
          <w:rFonts w:hint="eastAsia" w:ascii="宋体" w:hAnsi="宋体" w:cs="宋体"/>
          <w:color w:val="auto"/>
          <w:highlight w:val="none"/>
        </w:rPr>
        <w:t>发包人与承包人对某项指示或批准是否构成变更产生争议的，按第20条[争议解决]处理。</w:t>
      </w:r>
    </w:p>
    <w:p w14:paraId="0B8C1DD7">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13.1.2承包人应按照变更指示执行，除非承包人及时向工程师发出通知，说明该项变更指示将降低工程的安全性、稳定性或适用性；涉及的工作内容和范围不可预见；所涉设备难以采购；导致承包人无法执行第7.5款[现场劳动用工]、第7.6款[安全文明施工]、第7.7款[职业健康]或第7.8款[环境保护]内容；将造成工期延误；与第4.1款[承包人的一般义务]相冲突等无法执行的理由。工程师接到承包人的通知后，应作出经发包人签认的取消、确认或改变原指示的书面回复。</w:t>
      </w:r>
    </w:p>
    <w:p w14:paraId="6778EA22">
      <w:pPr>
        <w:adjustRightInd w:val="0"/>
        <w:snapToGrid w:val="0"/>
        <w:spacing w:line="360" w:lineRule="auto"/>
        <w:rPr>
          <w:rFonts w:ascii="宋体" w:hAnsi="宋体"/>
          <w:b/>
          <w:color w:val="auto"/>
          <w:sz w:val="24"/>
          <w:highlight w:val="none"/>
        </w:rPr>
      </w:pPr>
      <w:bookmarkStart w:id="1827" w:name="_Ref531955587"/>
      <w:bookmarkStart w:id="1828" w:name="_Ref531955590"/>
      <w:bookmarkStart w:id="1829" w:name="_Ref4623207"/>
      <w:bookmarkStart w:id="1830" w:name="_Toc145081644"/>
      <w:bookmarkStart w:id="1831" w:name="_Toc54862284"/>
      <w:bookmarkStart w:id="1832" w:name="_Toc161228729"/>
      <w:r>
        <w:rPr>
          <w:rFonts w:hint="eastAsia" w:ascii="宋体" w:hAnsi="宋体" w:eastAsia="宋体"/>
          <w:b/>
          <w:color w:val="auto"/>
          <w:sz w:val="24"/>
          <w:highlight w:val="none"/>
        </w:rPr>
        <w:t>13.2承</w:t>
      </w:r>
      <w:bookmarkEnd w:id="1827"/>
      <w:bookmarkEnd w:id="1828"/>
      <w:r>
        <w:rPr>
          <w:rFonts w:hint="eastAsia" w:ascii="宋体" w:hAnsi="宋体" w:eastAsia="宋体"/>
          <w:b/>
          <w:color w:val="auto"/>
          <w:sz w:val="24"/>
          <w:highlight w:val="none"/>
        </w:rPr>
        <w:t>包人的合理化建议</w:t>
      </w:r>
      <w:bookmarkEnd w:id="1829"/>
      <w:bookmarkEnd w:id="1830"/>
      <w:bookmarkEnd w:id="1831"/>
      <w:bookmarkEnd w:id="1832"/>
    </w:p>
    <w:p w14:paraId="10C69228">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13.2.1承包人提出合理化建议的，应向工程师提交合理化建议说明，说明建议的内容、理由以及实施该建议对合同价格和工期的影响。</w:t>
      </w:r>
    </w:p>
    <w:p w14:paraId="6E8B4BFC">
      <w:pPr>
        <w:tabs>
          <w:tab w:val="left" w:pos="851"/>
        </w:tabs>
        <w:adjustRightInd w:val="0"/>
        <w:snapToGrid w:val="0"/>
        <w:spacing w:line="360" w:lineRule="auto"/>
        <w:ind w:firstLine="420" w:firstLineChars="200"/>
        <w:rPr>
          <w:rFonts w:ascii="宋体" w:hAnsi="宋体" w:cs="宋体"/>
          <w:color w:val="auto"/>
          <w:highlight w:val="none"/>
        </w:rPr>
      </w:pPr>
      <w:bookmarkStart w:id="1833" w:name="_Ref4681686"/>
      <w:r>
        <w:rPr>
          <w:rFonts w:hint="eastAsia" w:ascii="宋体" w:hAnsi="宋体" w:cs="宋体"/>
          <w:color w:val="auto"/>
          <w:highlight w:val="none"/>
        </w:rPr>
        <w:t>13.2.2除专用合同条件另有约定外，</w:t>
      </w:r>
      <w:bookmarkStart w:id="1834" w:name="_Hlk4682273"/>
      <w:r>
        <w:rPr>
          <w:rFonts w:hint="eastAsia" w:ascii="宋体" w:hAnsi="宋体" w:cs="宋体"/>
          <w:color w:val="auto"/>
          <w:highlight w:val="none"/>
        </w:rPr>
        <w:t>工程师应在收到承包人提交的合理化建议后7天内审查完毕并报送发包人，发现其中存在技术上的缺陷，应通知承包人修改。发包人应在收到工程师报送的合理化建议后7天内审批完毕。合理化建议经发包人批准的，工程师应及时发出变更指示，由此引起的合同价格调整按照第13.3.3项[变更估价]约定执行。发包人不同意变更的，工程师应书面通知承包人</w:t>
      </w:r>
      <w:bookmarkEnd w:id="1833"/>
      <w:r>
        <w:rPr>
          <w:rFonts w:hint="eastAsia" w:ascii="宋体" w:hAnsi="宋体" w:cs="宋体"/>
          <w:color w:val="auto"/>
          <w:highlight w:val="none"/>
        </w:rPr>
        <w:t>。</w:t>
      </w:r>
    </w:p>
    <w:p w14:paraId="2E8035EE">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13.2.3合理化建议降低了合同价格、缩短了工期或者提高了工程经济效益的，双方可以按照专用合同条件的约定进行利益分享。</w:t>
      </w:r>
    </w:p>
    <w:bookmarkEnd w:id="1834"/>
    <w:p w14:paraId="7FDA14B1">
      <w:pPr>
        <w:adjustRightInd w:val="0"/>
        <w:snapToGrid w:val="0"/>
        <w:spacing w:line="360" w:lineRule="auto"/>
        <w:rPr>
          <w:rFonts w:ascii="宋体" w:hAnsi="宋体"/>
          <w:b/>
          <w:color w:val="auto"/>
          <w:sz w:val="24"/>
          <w:highlight w:val="none"/>
        </w:rPr>
      </w:pPr>
      <w:bookmarkStart w:id="1835" w:name="_Ref532669302"/>
      <w:bookmarkStart w:id="1836" w:name="_Ref532673538"/>
      <w:bookmarkStart w:id="1837" w:name="_Ref532673541"/>
      <w:bookmarkStart w:id="1838" w:name="_Ref532671480"/>
      <w:bookmarkStart w:id="1839" w:name="_Toc54862285"/>
      <w:bookmarkStart w:id="1840" w:name="_Ref532669305"/>
      <w:bookmarkStart w:id="1841" w:name="_Toc145081645"/>
      <w:bookmarkStart w:id="1842" w:name="_Ref532671484"/>
      <w:bookmarkStart w:id="1843" w:name="_Toc161228730"/>
      <w:r>
        <w:rPr>
          <w:rFonts w:hint="eastAsia" w:ascii="宋体" w:hAnsi="宋体" w:eastAsia="宋体"/>
          <w:b/>
          <w:color w:val="auto"/>
          <w:sz w:val="24"/>
          <w:highlight w:val="none"/>
        </w:rPr>
        <w:t>13.3变更程序</w:t>
      </w:r>
      <w:bookmarkEnd w:id="1835"/>
      <w:bookmarkEnd w:id="1836"/>
      <w:bookmarkEnd w:id="1837"/>
      <w:bookmarkEnd w:id="1838"/>
      <w:bookmarkEnd w:id="1839"/>
      <w:bookmarkEnd w:id="1840"/>
      <w:bookmarkEnd w:id="1841"/>
      <w:bookmarkEnd w:id="1842"/>
      <w:bookmarkEnd w:id="1843"/>
    </w:p>
    <w:p w14:paraId="059DF465">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844" w:name="_Ref4534600"/>
      <w:r>
        <w:rPr>
          <w:rFonts w:hint="eastAsia" w:ascii="宋体" w:hAnsi="宋体" w:cs="宋体"/>
          <w:color w:val="auto"/>
          <w:kern w:val="0"/>
          <w:szCs w:val="20"/>
          <w:highlight w:val="none"/>
          <w:lang w:bidi="ar"/>
        </w:rPr>
        <w:t>13.3.1发包人提出变更</w:t>
      </w:r>
      <w:bookmarkEnd w:id="1844"/>
    </w:p>
    <w:p w14:paraId="6568082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发包人提出变更的，应通过工程师向承包人发出书面形式的变更指示，变更指示应说明计划变更的工程范围和变更的内容。</w:t>
      </w:r>
    </w:p>
    <w:p w14:paraId="14155EF3">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845" w:name="_Ref4534617"/>
      <w:r>
        <w:rPr>
          <w:rFonts w:hint="eastAsia" w:ascii="宋体" w:hAnsi="宋体" w:cs="宋体"/>
          <w:color w:val="auto"/>
          <w:kern w:val="0"/>
          <w:szCs w:val="20"/>
          <w:highlight w:val="none"/>
          <w:lang w:bidi="ar"/>
        </w:rPr>
        <w:t>13.3.2变更执行</w:t>
      </w:r>
      <w:bookmarkEnd w:id="1845"/>
    </w:p>
    <w:p w14:paraId="56A361C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13.3.3项[变更估价]约定确定变更估价。</w:t>
      </w:r>
    </w:p>
    <w:p w14:paraId="17ED49CF">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846" w:name="_Ref3835481"/>
      <w:r>
        <w:rPr>
          <w:rFonts w:hint="eastAsia" w:ascii="宋体" w:hAnsi="宋体" w:cs="宋体"/>
          <w:color w:val="auto"/>
          <w:kern w:val="0"/>
          <w:szCs w:val="20"/>
          <w:highlight w:val="none"/>
          <w:lang w:bidi="ar"/>
        </w:rPr>
        <w:t>13.3.3变更估价</w:t>
      </w:r>
      <w:bookmarkEnd w:id="1846"/>
    </w:p>
    <w:p w14:paraId="08AB2399">
      <w:pPr>
        <w:widowControl/>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13.3.3.1变更估价原则</w:t>
      </w:r>
    </w:p>
    <w:p w14:paraId="3B6980A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除专用合同条件另有约定外，变更估价按照本款约定处理：</w:t>
      </w:r>
    </w:p>
    <w:p w14:paraId="32F30C3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（1）合同中未包含价格清单，合同价格应按照所执行的变更工程的成本加利润调整；</w:t>
      </w:r>
    </w:p>
    <w:p w14:paraId="27B40A7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（2）合同中包含价格清单，合同价格按照如下规则调整：</w:t>
      </w:r>
    </w:p>
    <w:p w14:paraId="6B91059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1）价格清单中有适用于变更工程项目的，应采用该项目的费率和价格；</w:t>
      </w:r>
    </w:p>
    <w:p w14:paraId="615EBF2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2）价格清单中没有适用但有类似于变更工程项目的，可在合理范围内参照类似项目的费率或价格；</w:t>
      </w:r>
    </w:p>
    <w:p w14:paraId="2D90A4A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3）价格清单中没有适用也没有类似于变更工程项目的，该工程项目应按成本加利润原则调整适用新的费率或价格。</w:t>
      </w:r>
    </w:p>
    <w:p w14:paraId="7BD53F51">
      <w:pPr>
        <w:widowControl/>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13.3.3.2变更估价程序</w:t>
      </w:r>
    </w:p>
    <w:p w14:paraId="3D9057C0">
      <w:pPr>
        <w:adjustRightInd w:val="0"/>
        <w:snapToGrid w:val="0"/>
        <w:spacing w:line="360" w:lineRule="auto"/>
        <w:ind w:firstLine="420" w:firstLineChars="200"/>
        <w:rPr>
          <w:rFonts w:ascii="宋体" w:hAnsi="宋体" w:cs="宋体"/>
          <w:color w:val="auto"/>
          <w:szCs w:val="21"/>
          <w:highlight w:val="none"/>
        </w:rPr>
      </w:pPr>
      <w:bookmarkStart w:id="1847" w:name="_Ref531955607"/>
      <w:bookmarkStart w:id="1848" w:name="_Ref531955605"/>
      <w:bookmarkStart w:id="1849" w:name="_Toc296503150"/>
      <w:bookmarkStart w:id="1850" w:name="_Toc296346651"/>
      <w:bookmarkStart w:id="1851" w:name="_Toc337558844"/>
      <w:r>
        <w:rPr>
          <w:rFonts w:hint="eastAsia" w:ascii="宋体" w:hAnsi="宋体" w:cs="宋体"/>
          <w:color w:val="auto"/>
          <w:szCs w:val="21"/>
          <w:highlight w:val="none"/>
        </w:rPr>
        <w:t>承包人应在收到变更指示后14天内，向工程师提交变更估价申请。工程师应在收到承包人提交的变更估价申请后7天内审查完毕并报送发包人，工程师对变更估价申请有异议，通知承包人修改后重新提交。发包人应在承包人提交变更估价申请后14天内审批完毕。发包人逾期未完成审批或未提出异议的，视为认可承包人提交的变更估价申请。</w:t>
      </w:r>
    </w:p>
    <w:p w14:paraId="3AC1510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因变更引起的价格调整应计入最近一期的进度款中支付。</w:t>
      </w:r>
    </w:p>
    <w:p w14:paraId="131C404F">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13.3.4变更引起的工期调整</w:t>
      </w:r>
    </w:p>
    <w:p w14:paraId="5BDE57C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因变更引起工期变化的，合同当事人均可要求调整合同工期，由合同当事人按照第3.6款[商定或确定]并参考工程所在地的工期定额标准确定增减工期天数。</w:t>
      </w:r>
    </w:p>
    <w:p w14:paraId="28976157">
      <w:pPr>
        <w:adjustRightInd w:val="0"/>
        <w:snapToGrid w:val="0"/>
        <w:spacing w:line="360" w:lineRule="auto"/>
        <w:rPr>
          <w:rFonts w:ascii="宋体" w:hAnsi="宋体"/>
          <w:b/>
          <w:color w:val="auto"/>
          <w:sz w:val="24"/>
          <w:highlight w:val="none"/>
        </w:rPr>
      </w:pPr>
      <w:bookmarkStart w:id="1852" w:name="_Toc54862286"/>
      <w:bookmarkStart w:id="1853" w:name="_Toc145081646"/>
      <w:bookmarkStart w:id="1854" w:name="_Toc161228731"/>
      <w:bookmarkStart w:id="1855" w:name="_Ref4431237"/>
      <w:r>
        <w:rPr>
          <w:rFonts w:hint="eastAsia" w:ascii="宋体" w:hAnsi="宋体" w:eastAsia="宋体"/>
          <w:b/>
          <w:color w:val="auto"/>
          <w:sz w:val="24"/>
          <w:highlight w:val="none"/>
        </w:rPr>
        <w:t>13.4暂估价</w:t>
      </w:r>
      <w:bookmarkEnd w:id="1852"/>
      <w:bookmarkEnd w:id="1853"/>
      <w:bookmarkEnd w:id="1854"/>
      <w:bookmarkEnd w:id="1855"/>
    </w:p>
    <w:p w14:paraId="05FF522A">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856" w:name="_Ref4616729"/>
      <w:r>
        <w:rPr>
          <w:rFonts w:hint="eastAsia" w:ascii="宋体" w:hAnsi="宋体" w:cs="宋体"/>
          <w:color w:val="auto"/>
          <w:kern w:val="0"/>
          <w:szCs w:val="20"/>
          <w:highlight w:val="none"/>
          <w:lang w:bidi="ar"/>
        </w:rPr>
        <w:t>13.4.1依法必须招标的暂估价项目</w:t>
      </w:r>
      <w:bookmarkEnd w:id="1856"/>
    </w:p>
    <w:p w14:paraId="051A627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对于依法必须招标的暂估价项目，专用合同条件约定由承包人作为招标人的，招标文件、评标方案、评标结果应报送发包人批准。与组织招标工作有关的费用应当被认为已经包括在承包人的签约合同价中。</w:t>
      </w:r>
    </w:p>
    <w:p w14:paraId="75DF4717">
      <w:pPr>
        <w:pStyle w:val="40"/>
        <w:spacing w:after="0" w:afterLines="0"/>
        <w:ind w:left="0" w:firstLine="420" w:firstLineChars="200"/>
        <w:rPr>
          <w:rFonts w:cs="宋体"/>
          <w:color w:val="auto"/>
          <w:sz w:val="21"/>
          <w:szCs w:val="21"/>
          <w:highlight w:val="none"/>
        </w:rPr>
      </w:pPr>
      <w:r>
        <w:rPr>
          <w:rFonts w:hint="eastAsia" w:cs="宋体"/>
          <w:color w:val="auto"/>
          <w:sz w:val="21"/>
          <w:szCs w:val="21"/>
          <w:highlight w:val="none"/>
        </w:rPr>
        <w:t>专用合同条件约定由发包人和承包人共同作为招标人的，与组织招标工作有关的费用在专用合同条件中约定。</w:t>
      </w:r>
    </w:p>
    <w:p w14:paraId="03705E7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具体的招标程序以及发包人和承包人权利义务关系可在专用合同条件中约定。暂估价项目的中标金额与价格清单中所列暂估价的金额差以及相应的税金等其他费用应列入合同价格。</w:t>
      </w:r>
    </w:p>
    <w:p w14:paraId="03DC2553">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857" w:name="_Ref4682312"/>
      <w:r>
        <w:rPr>
          <w:rFonts w:hint="eastAsia" w:ascii="宋体" w:hAnsi="宋体" w:cs="宋体"/>
          <w:color w:val="auto"/>
          <w:kern w:val="0"/>
          <w:szCs w:val="20"/>
          <w:highlight w:val="none"/>
          <w:lang w:bidi="ar"/>
        </w:rPr>
        <w:t>13.4.2不属于依法必须招标的暂估价项目</w:t>
      </w:r>
      <w:bookmarkEnd w:id="1857"/>
    </w:p>
    <w:p w14:paraId="21FD1E4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价格清单中所列暂估价的金额差以及相应的税金等其他费用应列入合同价格。</w:t>
      </w:r>
    </w:p>
    <w:p w14:paraId="65D9EF3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52793982">
      <w:pPr>
        <w:adjustRightInd w:val="0"/>
        <w:snapToGrid w:val="0"/>
        <w:spacing w:line="360" w:lineRule="auto"/>
        <w:rPr>
          <w:rFonts w:ascii="宋体" w:hAnsi="宋体"/>
          <w:b/>
          <w:color w:val="auto"/>
          <w:sz w:val="24"/>
          <w:highlight w:val="none"/>
        </w:rPr>
      </w:pPr>
      <w:bookmarkStart w:id="1858" w:name="_Ref4431250"/>
      <w:bookmarkStart w:id="1859" w:name="_Toc161228732"/>
      <w:bookmarkStart w:id="1860" w:name="_Toc54862287"/>
      <w:bookmarkStart w:id="1861" w:name="_Toc145081647"/>
      <w:r>
        <w:rPr>
          <w:rFonts w:hint="eastAsia" w:ascii="宋体" w:hAnsi="宋体" w:eastAsia="宋体"/>
          <w:b/>
          <w:color w:val="auto"/>
          <w:sz w:val="24"/>
          <w:highlight w:val="none"/>
        </w:rPr>
        <w:t>13.5暂列金额</w:t>
      </w:r>
      <w:bookmarkEnd w:id="1847"/>
      <w:bookmarkEnd w:id="1848"/>
      <w:bookmarkEnd w:id="1858"/>
      <w:bookmarkEnd w:id="1859"/>
      <w:bookmarkEnd w:id="1860"/>
      <w:bookmarkEnd w:id="1861"/>
    </w:p>
    <w:bookmarkEnd w:id="1849"/>
    <w:bookmarkEnd w:id="1850"/>
    <w:bookmarkEnd w:id="1851"/>
    <w:p w14:paraId="1C47454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14:paraId="6D96B92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对于每笔暂列金额，发包人可以指示用于下列支付：</w:t>
      </w:r>
    </w:p>
    <w:p w14:paraId="5C233AA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（1）发包人根据第13.1款[发包人变更权]指示变更，决定对合同价格和付款计划表（如有）进行调整的、由承包人实施的工作（包括要提供的工程设备、材料和服务）；</w:t>
      </w:r>
    </w:p>
    <w:p w14:paraId="0A5198B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承包人购买的工程设备、材料、工作或服务，应支付包括承包人已付（或应付）的实际金额以及相应的管理费等费用和利润（管理费和利润应以实际金额为基数根据合同约定的费率（如有）或百分比计算）。</w:t>
      </w:r>
    </w:p>
    <w:p w14:paraId="6AE72B7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7天内未作回应的，承包人应有权自行接受其中任何一个报价。</w:t>
      </w:r>
    </w:p>
    <w:p w14:paraId="7AB7E12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每份包含暂列金额的文件还应包括用以证明暂列金额的所有有效的发票、凭证和账户或收据。</w:t>
      </w:r>
    </w:p>
    <w:p w14:paraId="40A7A14E">
      <w:pPr>
        <w:adjustRightInd w:val="0"/>
        <w:snapToGrid w:val="0"/>
        <w:spacing w:line="360" w:lineRule="auto"/>
        <w:rPr>
          <w:rFonts w:ascii="宋体" w:hAnsi="宋体"/>
          <w:b/>
          <w:color w:val="auto"/>
          <w:sz w:val="24"/>
          <w:highlight w:val="none"/>
        </w:rPr>
      </w:pPr>
      <w:bookmarkStart w:id="1862" w:name="_Toc54862288"/>
      <w:bookmarkStart w:id="1863" w:name="_Toc296503152"/>
      <w:bookmarkStart w:id="1864" w:name="_Toc296346653"/>
      <w:bookmarkStart w:id="1865" w:name="_Ref4431438"/>
      <w:bookmarkStart w:id="1866" w:name="_Toc337558845"/>
      <w:bookmarkStart w:id="1867" w:name="_Toc161228733"/>
      <w:bookmarkStart w:id="1868" w:name="_Toc145081648"/>
      <w:r>
        <w:rPr>
          <w:rFonts w:hint="eastAsia" w:ascii="宋体" w:hAnsi="宋体" w:eastAsia="宋体"/>
          <w:b/>
          <w:color w:val="auto"/>
          <w:sz w:val="24"/>
          <w:highlight w:val="none"/>
        </w:rPr>
        <w:t>13.6计日工</w:t>
      </w:r>
      <w:bookmarkEnd w:id="1862"/>
      <w:bookmarkEnd w:id="1863"/>
      <w:bookmarkEnd w:id="1864"/>
      <w:bookmarkEnd w:id="1865"/>
      <w:bookmarkEnd w:id="1866"/>
      <w:bookmarkEnd w:id="1867"/>
      <w:bookmarkEnd w:id="1868"/>
    </w:p>
    <w:p w14:paraId="318AE656">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13.6.1需要采用计日工方式的，经发包人同意后，由工程师通知承包人以计日工计价方式实施相应的工作，其价款按列入价格清单或预算书中的计日工计价项目及其单价进行计算；价格清单或预算书中无相应的计日工单价的，按照合理的成本与利润构成的原则，由工程师按照第3.6款[商定或确定]确定计日工的单价。</w:t>
      </w:r>
    </w:p>
    <w:p w14:paraId="7FC8A327">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13.6.2采用计日工计价的任何一项工作，承包人应在该项工作实施过程中，每天提交以下报表和有关凭证报送工程师审查：</w:t>
      </w:r>
    </w:p>
    <w:p w14:paraId="5E84CFD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（1）工作名称、内容和数量；</w:t>
      </w:r>
    </w:p>
    <w:p w14:paraId="19598F0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（2）投入该工作的所有人员的姓名、专业、工种、级别和耗用工时；</w:t>
      </w:r>
    </w:p>
    <w:p w14:paraId="0855F59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（3）投入该工作的材料类别和数量；</w:t>
      </w:r>
    </w:p>
    <w:p w14:paraId="0342043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（4）投入该工作的施工设备型号、台数和耗用台时；</w:t>
      </w:r>
    </w:p>
    <w:p w14:paraId="5B7C6E9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（5）其他有关资料和凭证。</w:t>
      </w:r>
    </w:p>
    <w:p w14:paraId="719045B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计日工由承包人汇总后，列入最近一期进度付款申请单，由工程师审查并经发包人批准后列入进度付款。</w:t>
      </w:r>
    </w:p>
    <w:p w14:paraId="63BD1529">
      <w:pPr>
        <w:adjustRightInd w:val="0"/>
        <w:snapToGrid w:val="0"/>
        <w:spacing w:line="360" w:lineRule="auto"/>
        <w:rPr>
          <w:rFonts w:ascii="宋体" w:hAnsi="宋体"/>
          <w:b/>
          <w:color w:val="auto"/>
          <w:sz w:val="24"/>
          <w:highlight w:val="none"/>
        </w:rPr>
      </w:pPr>
      <w:bookmarkStart w:id="1869" w:name="_Toc54862289"/>
      <w:bookmarkStart w:id="1870" w:name="_Ref4617318"/>
      <w:bookmarkStart w:id="1871" w:name="_Ref4617331"/>
      <w:bookmarkStart w:id="1872" w:name="_Toc145081649"/>
      <w:bookmarkStart w:id="1873" w:name="_Toc161228734"/>
      <w:r>
        <w:rPr>
          <w:rFonts w:hint="eastAsia" w:ascii="宋体" w:hAnsi="宋体" w:eastAsia="宋体"/>
          <w:b/>
          <w:color w:val="auto"/>
          <w:sz w:val="24"/>
          <w:highlight w:val="none"/>
        </w:rPr>
        <w:t>13.7法律变化引起的调整</w:t>
      </w:r>
      <w:bookmarkEnd w:id="1869"/>
      <w:bookmarkEnd w:id="1870"/>
      <w:bookmarkEnd w:id="1871"/>
      <w:bookmarkEnd w:id="1872"/>
      <w:bookmarkEnd w:id="1873"/>
    </w:p>
    <w:p w14:paraId="6CF44A62">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13.7.1基准日期后，法律变化导致承包人在合同履行过程中所需要的费用发生除第13.8款[市场价格波动引起的调整]约定以外的增加时，由发包人承担由此增加的费用；减少时，应从合同价格中予以扣减。基准日期后，因法律变化造成工期延误时，工期应予以顺延。</w:t>
      </w:r>
    </w:p>
    <w:p w14:paraId="52E74D8C">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13.7.2因法律变化引起的合同价格和工期调整，合同当事人无法达成一致的，由工程师按第3.6款[商定或确定]的约定处理。</w:t>
      </w:r>
    </w:p>
    <w:p w14:paraId="04385C5F">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13.7.3因承包人原因造成工期延误，在工期延误期间出现法律变化的，由此增加的费用和（或）延误的工期由承包人承担。</w:t>
      </w:r>
    </w:p>
    <w:p w14:paraId="00366DCE">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13.7.4因法律变化而需要对工程的实施进行任何调整的，承包人应迅速通知发包人，或者发包人应迅速通知承包人，并附上详细的辅助资料。发包人接到通知后，应根据第13.3款[变更程序]发出变更指示。</w:t>
      </w:r>
    </w:p>
    <w:p w14:paraId="7C1DE320">
      <w:pPr>
        <w:adjustRightInd w:val="0"/>
        <w:snapToGrid w:val="0"/>
        <w:spacing w:line="360" w:lineRule="auto"/>
        <w:rPr>
          <w:rFonts w:ascii="宋体" w:hAnsi="宋体"/>
          <w:b/>
          <w:color w:val="auto"/>
          <w:sz w:val="24"/>
          <w:highlight w:val="none"/>
        </w:rPr>
      </w:pPr>
      <w:bookmarkStart w:id="1874" w:name="_Ref531955630"/>
      <w:bookmarkStart w:id="1875" w:name="_Ref18977613"/>
      <w:bookmarkStart w:id="1876" w:name="_Toc145081650"/>
      <w:bookmarkStart w:id="1877" w:name="_Ref531955627"/>
      <w:bookmarkStart w:id="1878" w:name="_Toc161228735"/>
      <w:bookmarkStart w:id="1879" w:name="_Toc54862290"/>
      <w:r>
        <w:rPr>
          <w:rFonts w:hint="eastAsia" w:ascii="宋体" w:hAnsi="宋体" w:eastAsia="宋体"/>
          <w:b/>
          <w:color w:val="auto"/>
          <w:sz w:val="24"/>
          <w:highlight w:val="none"/>
        </w:rPr>
        <w:t>13.8市场价格波动引起的调整</w:t>
      </w:r>
      <w:bookmarkEnd w:id="1874"/>
      <w:bookmarkEnd w:id="1875"/>
      <w:bookmarkEnd w:id="1876"/>
      <w:bookmarkEnd w:id="1877"/>
      <w:bookmarkEnd w:id="1878"/>
      <w:bookmarkEnd w:id="1879"/>
    </w:p>
    <w:p w14:paraId="290ED2A8">
      <w:pPr>
        <w:tabs>
          <w:tab w:val="left" w:pos="851"/>
        </w:tabs>
        <w:adjustRightInd w:val="0"/>
        <w:snapToGrid w:val="0"/>
        <w:spacing w:line="360" w:lineRule="auto"/>
        <w:ind w:firstLine="420" w:firstLineChars="200"/>
        <w:rPr>
          <w:rFonts w:ascii="宋体" w:hAnsi="宋体" w:cs="宋体"/>
          <w:color w:val="auto"/>
          <w:highlight w:val="none"/>
        </w:rPr>
      </w:pPr>
      <w:bookmarkStart w:id="1880" w:name="_Ref4709841"/>
      <w:r>
        <w:rPr>
          <w:rFonts w:hint="eastAsia" w:ascii="宋体" w:hAnsi="宋体" w:cs="宋体"/>
          <w:color w:val="auto"/>
          <w:highlight w:val="none"/>
        </w:rPr>
        <w:t>13.8.1主要工程材料、设备、人工价格与招标时基期价相比，波动幅度超过合同约定幅度的，双方按照合同约定的价格调整方式调整。</w:t>
      </w:r>
    </w:p>
    <w:p w14:paraId="0890596C">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13.8.2发包人与承包人在专用合同条件中约定采用《价格指数权重表》的，适用本项约定。</w:t>
      </w:r>
    </w:p>
    <w:p w14:paraId="645ABBDF">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13.8.2.1双方当事人可以将部分主要工程材料、工程设备、人工价格及其他双方认为应当根据市场价格调整的费用列入附件6[价格指数权重表]，并根据以下公式计算差额并调整合同价格：</w:t>
      </w:r>
    </w:p>
    <w:bookmarkEnd w:id="1880"/>
    <w:p w14:paraId="07B9C5A4">
      <w:pPr>
        <w:adjustRightInd w:val="0"/>
        <w:snapToGrid w:val="0"/>
        <w:spacing w:line="360" w:lineRule="auto"/>
        <w:ind w:firstLine="420" w:firstLineChars="200"/>
        <w:rPr>
          <w:rFonts w:ascii="宋体" w:hAnsi="宋体" w:cs="宋体"/>
          <w:color w:val="auto"/>
          <w:szCs w:val="21"/>
          <w:highlight w:val="none"/>
        </w:rPr>
      </w:pPr>
      <w:bookmarkStart w:id="1881" w:name="_Ref4616996"/>
      <w:r>
        <w:rPr>
          <w:rFonts w:hint="eastAsia" w:ascii="宋体" w:hAnsi="宋体" w:cs="宋体"/>
          <w:color w:val="auto"/>
          <w:szCs w:val="21"/>
          <w:highlight w:val="none"/>
        </w:rPr>
        <w:t>（1）价格调整公式</w:t>
      </w:r>
      <w:bookmarkEnd w:id="1881"/>
    </w:p>
    <w:p w14:paraId="09AB2730">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pict>
          <v:shape id="_x0000_i1025" o:spt="75" type="#_x0000_t75" style="height:53.25pt;width:376.5pt;" filled="f" o:preferrelative="t" stroked="f" coordsize="21600,21600">
            <v:path/>
            <v:fill on="f" focussize="0,0"/>
            <v:stroke on="f" joinstyle="miter"/>
            <v:imagedata r:id="rId81" o:title=""/>
            <o:lock v:ext="edit" aspectratio="t"/>
            <w10:wrap type="none"/>
            <w10:anchorlock/>
          </v:shape>
        </w:pict>
      </w:r>
    </w:p>
    <w:p w14:paraId="537C41E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公式中：△P---需调整的价格差额；</w:t>
      </w:r>
    </w:p>
    <w:p w14:paraId="624C3F6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P</w:t>
      </w:r>
      <w:r>
        <w:rPr>
          <w:rFonts w:hint="eastAsia" w:ascii="宋体" w:hAnsi="宋体" w:cs="宋体"/>
          <w:color w:val="auto"/>
          <w:szCs w:val="21"/>
          <w:highlight w:val="none"/>
          <w:vertAlign w:val="subscript"/>
        </w:rPr>
        <w:t>O</w:t>
      </w:r>
      <w:r>
        <w:rPr>
          <w:rFonts w:hint="eastAsia" w:ascii="宋体" w:hAnsi="宋体" w:cs="宋体"/>
          <w:color w:val="auto"/>
          <w:szCs w:val="21"/>
          <w:highlight w:val="none"/>
        </w:rPr>
        <w:t>---付款证书中承包人应得到的已完成工作量的金额。此项金额应不包括价格调整、不计质量保证金的预留和支付、预付款的支付和扣回。第13条[变更与调整]约定的变更及其他金额已按当期价格计价的，也不计在内；</w:t>
      </w:r>
    </w:p>
    <w:p w14:paraId="7FBC55B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A---定值权重（即不调部分的权重）；</w:t>
      </w:r>
    </w:p>
    <w:p w14:paraId="1A0B5E72">
      <w:pPr>
        <w:adjustRightInd w:val="0"/>
        <w:snapToGrid w:val="0"/>
        <w:spacing w:line="360" w:lineRule="auto"/>
        <w:ind w:firstLine="420" w:firstLineChars="200"/>
        <w:rPr>
          <w:rFonts w:ascii="宋体" w:hAnsi="宋体" w:cs="宋体"/>
          <w:color w:val="auto"/>
          <w:szCs w:val="21"/>
          <w:highlight w:val="none"/>
        </w:rPr>
      </w:pPr>
      <w:bookmarkStart w:id="1882" w:name="_Hlk24103184"/>
      <w:r>
        <w:rPr>
          <w:rFonts w:hint="eastAsia" w:ascii="宋体" w:hAnsi="宋体" w:cs="宋体"/>
          <w:color w:val="auto"/>
          <w:szCs w:val="21"/>
          <w:highlight w:val="none"/>
        </w:rPr>
        <w:t>B1</w:t>
      </w:r>
      <w:bookmarkEnd w:id="1882"/>
      <w:r>
        <w:rPr>
          <w:rFonts w:hint="eastAsia" w:ascii="宋体" w:hAnsi="宋体" w:cs="宋体"/>
          <w:color w:val="auto"/>
          <w:szCs w:val="21"/>
          <w:highlight w:val="none"/>
        </w:rPr>
        <w:t>；</w:t>
      </w:r>
      <w:bookmarkStart w:id="1883" w:name="_Hlk24103205"/>
      <w:r>
        <w:rPr>
          <w:rFonts w:hint="eastAsia" w:ascii="宋体" w:hAnsi="宋体" w:cs="宋体"/>
          <w:color w:val="auto"/>
          <w:szCs w:val="21"/>
          <w:highlight w:val="none"/>
        </w:rPr>
        <w:t>B2</w:t>
      </w:r>
      <w:bookmarkEnd w:id="1883"/>
      <w:r>
        <w:rPr>
          <w:rFonts w:hint="eastAsia" w:ascii="宋体" w:hAnsi="宋体" w:cs="宋体"/>
          <w:color w:val="auto"/>
          <w:szCs w:val="21"/>
          <w:highlight w:val="none"/>
        </w:rPr>
        <w:t>；</w:t>
      </w:r>
      <w:bookmarkStart w:id="1884" w:name="_Hlk24103220"/>
      <w:r>
        <w:rPr>
          <w:rFonts w:hint="eastAsia" w:ascii="宋体" w:hAnsi="宋体" w:cs="宋体"/>
          <w:color w:val="auto"/>
          <w:szCs w:val="21"/>
          <w:highlight w:val="none"/>
        </w:rPr>
        <w:t>B3</w:t>
      </w:r>
      <w:bookmarkEnd w:id="1884"/>
      <w:r>
        <w:rPr>
          <w:rFonts w:hint="eastAsia" w:ascii="宋体" w:hAnsi="宋体" w:cs="宋体"/>
          <w:color w:val="auto"/>
          <w:szCs w:val="21"/>
          <w:highlight w:val="none"/>
        </w:rPr>
        <w:t>；……</w:t>
      </w:r>
      <w:bookmarkStart w:id="1885" w:name="_Hlk24103245"/>
      <w:r>
        <w:rPr>
          <w:rFonts w:hint="eastAsia" w:ascii="宋体" w:hAnsi="宋体" w:cs="宋体"/>
          <w:color w:val="auto"/>
          <w:szCs w:val="21"/>
          <w:highlight w:val="none"/>
        </w:rPr>
        <w:t>Bn</w:t>
      </w:r>
      <w:bookmarkEnd w:id="1885"/>
      <w:r>
        <w:rPr>
          <w:rFonts w:hint="eastAsia" w:ascii="宋体" w:hAnsi="宋体" w:cs="宋体"/>
          <w:color w:val="auto"/>
          <w:szCs w:val="21"/>
          <w:highlight w:val="none"/>
        </w:rPr>
        <w:t>---各可调因子的变值权重（即可调部分的权重）为各可调因子在投标函投标总报价中所占的比例，且A+B1+B2+B3+……+Bn=1；</w:t>
      </w:r>
    </w:p>
    <w:p w14:paraId="47A706D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Ft1；Ft2；Ft3；……Ftn---各可调因子的当期价格指数，指付款证书相关周期最后一天的前42天的各可调因子的价格指数；</w:t>
      </w:r>
    </w:p>
    <w:p w14:paraId="2B28253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F01；F02；F03；……F0n---各可调因子的基本价格指数，指基准日期的各可调因子的价格指数。</w:t>
      </w:r>
    </w:p>
    <w:p w14:paraId="4550D10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14:paraId="31F0CBA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（2）暂时确定调整差额</w:t>
      </w:r>
    </w:p>
    <w:p w14:paraId="314C935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在计算调整差额时得不到当期价格指数的，可暂用上一次价格指数计算，并在以后的付款中再按实际价格指数进行调整。</w:t>
      </w:r>
    </w:p>
    <w:p w14:paraId="000EA2F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（3）权重的调整</w:t>
      </w:r>
    </w:p>
    <w:p w14:paraId="4D99E0A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按第13.1款[发包人变更权]约定的变更导致原定合同中的权重不合理的，由工程师与承包人和发包人协商后进行调整。</w:t>
      </w:r>
    </w:p>
    <w:p w14:paraId="01435FC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（4）承包人原因工期延误后的价格调整</w:t>
      </w:r>
    </w:p>
    <w:p w14:paraId="50F87AF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14:paraId="225561E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（5）发包人引起的工期延误后的价格调整</w:t>
      </w:r>
    </w:p>
    <w:p w14:paraId="5EA6E86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由于发包人原因未在约定的工期内竣工的，则对原约定竣工日期后继续施工的工程，在使用本款第（1）目价格调整公式时，应采用原约定竣工日期与实际竣工日期的两个价格指数中较高的一个作为当期价格指数。</w:t>
      </w:r>
    </w:p>
    <w:p w14:paraId="219F2F67">
      <w:pPr>
        <w:tabs>
          <w:tab w:val="left" w:pos="1134"/>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13.8.2.2未列入</w:t>
      </w:r>
      <w:bookmarkStart w:id="1886" w:name="_Hlk24494865"/>
      <w:r>
        <w:rPr>
          <w:rFonts w:hint="eastAsia" w:ascii="宋体" w:hAnsi="宋体" w:cs="宋体"/>
          <w:color w:val="auto"/>
          <w:highlight w:val="none"/>
        </w:rPr>
        <w:t>《价格指数权重表》</w:t>
      </w:r>
      <w:bookmarkEnd w:id="1886"/>
      <w:r>
        <w:rPr>
          <w:rFonts w:hint="eastAsia" w:ascii="宋体" w:hAnsi="宋体" w:cs="宋体"/>
          <w:color w:val="auto"/>
          <w:highlight w:val="none"/>
        </w:rPr>
        <w:t>的费用不因市场变化而调整。</w:t>
      </w:r>
    </w:p>
    <w:p w14:paraId="7193FFB7">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13.8.3双方约定采用其他方式调整合同价款的，以专用合同条件约定为准。</w:t>
      </w:r>
    </w:p>
    <w:p w14:paraId="2FD8772E">
      <w:pPr>
        <w:adjustRightInd w:val="0"/>
        <w:snapToGrid w:val="0"/>
        <w:spacing w:line="360" w:lineRule="auto"/>
        <w:rPr>
          <w:rFonts w:ascii="黑体" w:hAnsi="黑体" w:eastAsia="黑体"/>
          <w:color w:val="auto"/>
          <w:sz w:val="24"/>
          <w:highlight w:val="none"/>
        </w:rPr>
      </w:pPr>
      <w:bookmarkStart w:id="1887" w:name="_Toc161228736"/>
      <w:bookmarkStart w:id="1888" w:name="_Ref531955880"/>
      <w:bookmarkStart w:id="1889" w:name="_Ref531955885"/>
      <w:bookmarkStart w:id="1890" w:name="_Toc54862291"/>
      <w:r>
        <w:rPr>
          <w:rFonts w:hint="eastAsia" w:ascii="黑体" w:hAnsi="黑体" w:eastAsia="黑体"/>
          <w:color w:val="auto"/>
          <w:sz w:val="24"/>
          <w:highlight w:val="none"/>
        </w:rPr>
        <w:t>第14条 合同价格与支付</w:t>
      </w:r>
      <w:bookmarkEnd w:id="1887"/>
      <w:bookmarkEnd w:id="1888"/>
      <w:bookmarkEnd w:id="1889"/>
      <w:bookmarkEnd w:id="1890"/>
    </w:p>
    <w:p w14:paraId="0AFFA0C3">
      <w:pPr>
        <w:adjustRightInd w:val="0"/>
        <w:snapToGrid w:val="0"/>
        <w:spacing w:line="360" w:lineRule="auto"/>
        <w:rPr>
          <w:rFonts w:ascii="宋体" w:hAnsi="宋体"/>
          <w:b/>
          <w:color w:val="auto"/>
          <w:sz w:val="24"/>
          <w:highlight w:val="none"/>
        </w:rPr>
      </w:pPr>
      <w:bookmarkStart w:id="1891" w:name="_Ref4431531"/>
      <w:bookmarkStart w:id="1892" w:name="_Toc161228737"/>
      <w:bookmarkStart w:id="1893" w:name="_Ref4431521"/>
      <w:bookmarkStart w:id="1894" w:name="_Toc145081652"/>
      <w:bookmarkStart w:id="1895" w:name="_Toc54862292"/>
      <w:r>
        <w:rPr>
          <w:rFonts w:hint="eastAsia" w:ascii="宋体" w:hAnsi="宋体" w:eastAsia="宋体"/>
          <w:b/>
          <w:color w:val="auto"/>
          <w:sz w:val="24"/>
          <w:highlight w:val="none"/>
        </w:rPr>
        <w:t>14.1合同价格形式</w:t>
      </w:r>
      <w:bookmarkEnd w:id="1891"/>
      <w:bookmarkEnd w:id="1892"/>
      <w:bookmarkEnd w:id="1893"/>
      <w:bookmarkEnd w:id="1894"/>
      <w:bookmarkEnd w:id="1895"/>
    </w:p>
    <w:p w14:paraId="0877A6C8">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14.1.1除专用合同条件中另有约定外，本合同为总价合同，除根据第13条[变更与调整]，以及合同中其</w:t>
      </w:r>
      <w:r>
        <w:rPr>
          <w:rFonts w:hint="eastAsia" w:ascii="宋体" w:hAnsi="宋体" w:cs="宋体"/>
          <w:color w:val="auto"/>
          <w:highlight w:val="none"/>
          <w:lang w:val="en-US" w:eastAsia="zh-CN"/>
        </w:rPr>
        <w:t>他</w:t>
      </w:r>
      <w:r>
        <w:rPr>
          <w:rFonts w:hint="eastAsia" w:ascii="宋体" w:hAnsi="宋体" w:cs="宋体"/>
          <w:color w:val="auto"/>
          <w:highlight w:val="none"/>
        </w:rPr>
        <w:t>相关增减金额的约定进行调整外，合同价格不做调整。</w:t>
      </w:r>
    </w:p>
    <w:p w14:paraId="739B39DD">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14.1.2除专用合同条件另有约定外：</w:t>
      </w:r>
    </w:p>
    <w:p w14:paraId="1CEE79C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（1）工程款的支付应以合同协议书约定的签约合同价格为基础，按照合同约定进行调整；</w:t>
      </w:r>
    </w:p>
    <w:p w14:paraId="392AFBB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（2）承包人应支付根据法律规定或合同约定应由其支付的各项税费，除第13.7款[法律变化引起的调整]约定外，合同价格不应因任何这些税费进行调整；</w:t>
      </w:r>
    </w:p>
    <w:p w14:paraId="1148345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价格清单列出的任何数量仅为估算的工作量，不得将其视为要求承包人实施的工程的实际或准确的工作量。在价格清单中列出的任何工作量和价格数据应仅限用于变更和支付的参考资料，而不能用于其他目的。</w:t>
      </w:r>
    </w:p>
    <w:p w14:paraId="211CB4EC">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14.1.3合同约定工程的某部分按照实际完成的工程量进行支付的，应按照专用合同条件的约定进行计量和估价，并据此调整合同价格。</w:t>
      </w:r>
    </w:p>
    <w:p w14:paraId="413E980E">
      <w:pPr>
        <w:adjustRightInd w:val="0"/>
        <w:snapToGrid w:val="0"/>
        <w:spacing w:line="360" w:lineRule="auto"/>
        <w:rPr>
          <w:rFonts w:ascii="宋体" w:hAnsi="宋体"/>
          <w:b/>
          <w:color w:val="auto"/>
          <w:sz w:val="24"/>
          <w:highlight w:val="none"/>
        </w:rPr>
      </w:pPr>
      <w:bookmarkStart w:id="1896" w:name="_Toc54862293"/>
      <w:bookmarkStart w:id="1897" w:name="_Ref531956884"/>
      <w:bookmarkStart w:id="1898" w:name="_Toc161228738"/>
      <w:bookmarkStart w:id="1899" w:name="_Toc145081653"/>
      <w:bookmarkStart w:id="1900" w:name="_Ref531956881"/>
      <w:r>
        <w:rPr>
          <w:rFonts w:hint="eastAsia" w:ascii="宋体" w:hAnsi="宋体" w:eastAsia="宋体"/>
          <w:b/>
          <w:color w:val="auto"/>
          <w:sz w:val="24"/>
          <w:highlight w:val="none"/>
        </w:rPr>
        <w:t>14.2预付款</w:t>
      </w:r>
      <w:bookmarkEnd w:id="1896"/>
      <w:bookmarkEnd w:id="1897"/>
      <w:bookmarkEnd w:id="1898"/>
      <w:bookmarkEnd w:id="1899"/>
      <w:bookmarkEnd w:id="1900"/>
    </w:p>
    <w:p w14:paraId="36686B36">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14.2.1预付款支付</w:t>
      </w:r>
    </w:p>
    <w:p w14:paraId="6B5B961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预付款的额度和支付按照专用合同条件约定执行。预付款应当专用于承包人为合同工程的设计和工程实施购置材料、工程设备、施工设备、修建临时设施以及组织施工队伍进场等合同工作。</w:t>
      </w:r>
    </w:p>
    <w:p w14:paraId="5CC5A66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除专用合同条件另有约定外，预付款在进度付款中同比例扣回。在颁发工程接收证书前，提前解除合同的，尚未扣完的预付款应与合同价款一并结算。</w:t>
      </w:r>
    </w:p>
    <w:p w14:paraId="52AA2AA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发包人逾期支付预付款超过7天的，承包人有权向发包人发出要求预付的催告通知，发包人收到通知后7天内仍未支付的，承包人有权暂停施工，并按第15.1.1项[发包人违约的情形]执行。</w:t>
      </w:r>
    </w:p>
    <w:p w14:paraId="4310FE57">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901" w:name="_Ref531956907"/>
      <w:bookmarkStart w:id="1902" w:name="_Ref4797624"/>
      <w:bookmarkStart w:id="1903" w:name="_Hlk54429963"/>
      <w:r>
        <w:rPr>
          <w:rFonts w:hint="eastAsia" w:ascii="宋体" w:hAnsi="宋体" w:cs="宋体"/>
          <w:color w:val="auto"/>
          <w:kern w:val="0"/>
          <w:szCs w:val="20"/>
          <w:highlight w:val="none"/>
          <w:lang w:bidi="ar"/>
        </w:rPr>
        <w:t>14.2.2预付款</w:t>
      </w:r>
      <w:bookmarkEnd w:id="1901"/>
      <w:r>
        <w:rPr>
          <w:rFonts w:hint="eastAsia" w:ascii="宋体" w:hAnsi="宋体" w:cs="宋体"/>
          <w:color w:val="auto"/>
          <w:kern w:val="0"/>
          <w:szCs w:val="20"/>
          <w:highlight w:val="none"/>
          <w:lang w:bidi="ar"/>
        </w:rPr>
        <w:t>担保</w:t>
      </w:r>
      <w:bookmarkEnd w:id="1902"/>
    </w:p>
    <w:bookmarkEnd w:id="1903"/>
    <w:p w14:paraId="52A2DA3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指示承包人提供预付款担保的，承包人应在发包人支付预付款7天前提供预付款担保，专用合同条件另有约定除外。预付款担保可采用银行保函、担保公司担保等形式，具体由合同当事人在专用合同条件中约定。在预付款完全扣回之前，承包人应保证预付款担保持续有效。</w:t>
      </w:r>
    </w:p>
    <w:p w14:paraId="6BAF7CA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发包人在工程款中逐期扣回预付款后，预付款担保额度应相应减少，但剩余的预付款担保金额不得低于未被扣回的预付款金额。</w:t>
      </w:r>
    </w:p>
    <w:p w14:paraId="4AD2A422">
      <w:pPr>
        <w:adjustRightInd w:val="0"/>
        <w:snapToGrid w:val="0"/>
        <w:spacing w:line="360" w:lineRule="auto"/>
        <w:rPr>
          <w:rFonts w:ascii="宋体" w:hAnsi="宋体"/>
          <w:b/>
          <w:color w:val="auto"/>
          <w:sz w:val="24"/>
          <w:highlight w:val="none"/>
        </w:rPr>
      </w:pPr>
      <w:bookmarkStart w:id="1904" w:name="_Toc4784195"/>
      <w:bookmarkEnd w:id="1904"/>
      <w:bookmarkStart w:id="1905" w:name="_Toc4784193"/>
      <w:bookmarkEnd w:id="1905"/>
      <w:bookmarkStart w:id="1906" w:name="_Toc4784194"/>
      <w:bookmarkEnd w:id="1906"/>
      <w:bookmarkStart w:id="1907" w:name="_Ref531956967"/>
      <w:bookmarkStart w:id="1908" w:name="_Ref531956963"/>
      <w:bookmarkStart w:id="1909" w:name="_Toc161228739"/>
      <w:bookmarkStart w:id="1910" w:name="_Toc145081654"/>
      <w:bookmarkStart w:id="1911" w:name="_Toc54862294"/>
      <w:bookmarkStart w:id="1912" w:name="_Ref4623398"/>
      <w:r>
        <w:rPr>
          <w:rFonts w:hint="eastAsia" w:ascii="宋体" w:hAnsi="宋体" w:eastAsia="宋体"/>
          <w:b/>
          <w:color w:val="auto"/>
          <w:sz w:val="24"/>
          <w:highlight w:val="none"/>
        </w:rPr>
        <w:t>14.3工程进度款</w:t>
      </w:r>
      <w:bookmarkEnd w:id="1907"/>
      <w:bookmarkEnd w:id="1908"/>
      <w:bookmarkEnd w:id="1909"/>
      <w:bookmarkEnd w:id="1910"/>
      <w:bookmarkEnd w:id="1911"/>
      <w:bookmarkEnd w:id="1912"/>
    </w:p>
    <w:p w14:paraId="0005A298">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913" w:name="_Ref531956987"/>
      <w:bookmarkStart w:id="1914" w:name="_Ref532679934"/>
      <w:r>
        <w:rPr>
          <w:rFonts w:hint="eastAsia" w:ascii="宋体" w:hAnsi="宋体" w:cs="宋体"/>
          <w:color w:val="auto"/>
          <w:kern w:val="0"/>
          <w:szCs w:val="20"/>
          <w:highlight w:val="none"/>
          <w:lang w:bidi="ar"/>
        </w:rPr>
        <w:t>14.3.1工程进度付款申请</w:t>
      </w:r>
      <w:bookmarkEnd w:id="1913"/>
      <w:bookmarkEnd w:id="1914"/>
    </w:p>
    <w:p w14:paraId="6636150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（1）人工费的申请</w:t>
      </w:r>
    </w:p>
    <w:p w14:paraId="5A060F9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工费应按月支付，工程师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p>
    <w:p w14:paraId="09962BF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（2）除专用合同条件另有约定外，承包人应在每月月末向工程师提交进度付款申请单，该进度付款申请单应包括下列内容：</w:t>
      </w:r>
    </w:p>
    <w:p w14:paraId="1BE96C65">
      <w:pPr>
        <w:adjustRightInd w:val="0"/>
        <w:snapToGrid w:val="0"/>
        <w:spacing w:line="360" w:lineRule="auto"/>
        <w:ind w:firstLine="420" w:firstLineChars="200"/>
        <w:rPr>
          <w:rFonts w:ascii="宋体" w:hAnsi="宋体" w:cs="宋体"/>
          <w:color w:val="auto"/>
          <w:szCs w:val="21"/>
          <w:highlight w:val="none"/>
        </w:rPr>
      </w:pPr>
      <w:bookmarkStart w:id="1915" w:name="_Ref24496054"/>
      <w:r>
        <w:rPr>
          <w:rFonts w:hint="eastAsia" w:ascii="宋体" w:hAnsi="宋体" w:cs="宋体"/>
          <w:color w:val="auto"/>
          <w:szCs w:val="21"/>
          <w:highlight w:val="none"/>
        </w:rPr>
        <w:t>1）截至本次付款周期内已完成工作对应的金额；</w:t>
      </w:r>
      <w:bookmarkEnd w:id="1915"/>
    </w:p>
    <w:p w14:paraId="69A8817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2）扣除依据本款第（1）目约定中已扣除的人工费金额；</w:t>
      </w:r>
    </w:p>
    <w:p w14:paraId="4FB5ADE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3）根据第13条[变更与调整]应增加和扣减的变更金额；</w:t>
      </w:r>
    </w:p>
    <w:p w14:paraId="0A9706F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4）根据第14.2款[预付款]约定应支付的预付款和扣减的返还预付款；</w:t>
      </w:r>
    </w:p>
    <w:p w14:paraId="68B7E1C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5）根据第14.6.2项[质量保证金的预留]约定应预留的质量保证金金额；</w:t>
      </w:r>
    </w:p>
    <w:p w14:paraId="70455D3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6）根据第19条[索赔]应增加和扣减的索赔金额；</w:t>
      </w:r>
    </w:p>
    <w:p w14:paraId="2E8C5D6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7）对已签发的进度款支付证书中出现错误的修正，应在本次进度付款中支付或扣除的金额；</w:t>
      </w:r>
    </w:p>
    <w:p w14:paraId="5EFAAAF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8）根据合同约定应增加和扣减的其他金额。</w:t>
      </w:r>
    </w:p>
    <w:p w14:paraId="401A76E3">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916" w:name="_Ref531957608"/>
      <w:r>
        <w:rPr>
          <w:rFonts w:hint="eastAsia" w:ascii="宋体" w:hAnsi="宋体" w:cs="宋体"/>
          <w:color w:val="auto"/>
          <w:kern w:val="0"/>
          <w:szCs w:val="20"/>
          <w:highlight w:val="none"/>
          <w:lang w:bidi="ar"/>
        </w:rPr>
        <w:t>14.3.2进度付款审核和支付</w:t>
      </w:r>
      <w:bookmarkEnd w:id="1916"/>
    </w:p>
    <w:p w14:paraId="5A65AD61">
      <w:pPr>
        <w:pStyle w:val="40"/>
        <w:spacing w:after="0" w:afterLines="0"/>
        <w:ind w:left="0" w:firstLine="420" w:firstLineChars="200"/>
        <w:rPr>
          <w:rFonts w:cs="宋体"/>
          <w:color w:val="auto"/>
          <w:sz w:val="21"/>
          <w:szCs w:val="21"/>
          <w:highlight w:val="none"/>
        </w:rPr>
      </w:pPr>
      <w:r>
        <w:rPr>
          <w:rFonts w:hint="eastAsia" w:cs="宋体"/>
          <w:color w:val="auto"/>
          <w:sz w:val="21"/>
          <w:szCs w:val="21"/>
          <w:highlight w:val="none"/>
        </w:rPr>
        <w:t>除专用合同条件另有约定外，工程师应在收到承包人进度付款申请单以及相关资料后7天内完成审查并报送发包人，发包人应在收到后7天内完成审批并向承包人签发进度款支付证书。发包人逾期（包括因工程师原因延误报送的时间）未完成审批且未提出异议的，视为已签发进度款支付证书。</w:t>
      </w:r>
    </w:p>
    <w:p w14:paraId="2600522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师对承包人的进度付款申请单有异议的，有权要求承包人修正和提供补充资料，承包人应提交修正后的进度付款申请单。工程师应在收到承包人修正后的进度付款申请单及相关资料后7天内完成审查并报送发包人，发包人应在收到工程师报送的进度付款申请单及相关资料后7天内，向承包人签发无异议部分的进度款支付证书。存在争议的部分，按照第20条[争议解决]的约定处理。</w:t>
      </w:r>
    </w:p>
    <w:p w14:paraId="06FB5123">
      <w:pPr>
        <w:pStyle w:val="40"/>
        <w:spacing w:after="0" w:afterLines="0"/>
        <w:ind w:left="0" w:firstLine="420" w:firstLineChars="200"/>
        <w:rPr>
          <w:rFonts w:cs="宋体"/>
          <w:color w:val="auto"/>
          <w:kern w:val="2"/>
          <w:sz w:val="21"/>
          <w:szCs w:val="21"/>
          <w:highlight w:val="none"/>
        </w:rPr>
      </w:pPr>
      <w:r>
        <w:rPr>
          <w:rFonts w:hint="eastAsia" w:cs="宋体"/>
          <w:color w:val="auto"/>
          <w:kern w:val="2"/>
          <w:sz w:val="21"/>
          <w:szCs w:val="21"/>
          <w:highlight w:val="none"/>
        </w:rPr>
        <w:t>除专用合同条件另有约定外，发包人应在进度款支付证书签发后14天内完成支付，发包人逾期支付进度款的，按照贷款市场报价利率（LPR）支付利息；逾期支付超过56天的，按照贷款市场报价利率（LPR）的两倍支付利息。</w:t>
      </w:r>
    </w:p>
    <w:p w14:paraId="768F83F0">
      <w:pPr>
        <w:pStyle w:val="40"/>
        <w:spacing w:after="0" w:afterLines="0"/>
        <w:ind w:left="0" w:firstLine="420" w:firstLineChars="200"/>
        <w:rPr>
          <w:rFonts w:cs="宋体"/>
          <w:color w:val="auto"/>
          <w:sz w:val="21"/>
          <w:szCs w:val="21"/>
          <w:highlight w:val="none"/>
        </w:rPr>
      </w:pPr>
      <w:r>
        <w:rPr>
          <w:rFonts w:hint="eastAsia" w:cs="宋体"/>
          <w:color w:val="auto"/>
          <w:kern w:val="2"/>
          <w:sz w:val="21"/>
          <w:szCs w:val="21"/>
          <w:highlight w:val="none"/>
        </w:rPr>
        <w:t>发包人签发进度款支付证书，不表明发包人已</w:t>
      </w:r>
      <w:r>
        <w:rPr>
          <w:rFonts w:hint="eastAsia" w:cs="宋体"/>
          <w:color w:val="auto"/>
          <w:sz w:val="21"/>
          <w:szCs w:val="21"/>
          <w:highlight w:val="none"/>
        </w:rPr>
        <w:t>同意、批准或接受了承包人完成的相应部分的工作。</w:t>
      </w:r>
    </w:p>
    <w:p w14:paraId="49343C68">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917" w:name="_Ref531957023"/>
      <w:r>
        <w:rPr>
          <w:rFonts w:hint="eastAsia" w:ascii="宋体" w:hAnsi="宋体" w:cs="宋体"/>
          <w:color w:val="auto"/>
          <w:kern w:val="0"/>
          <w:szCs w:val="20"/>
          <w:highlight w:val="none"/>
          <w:lang w:bidi="ar"/>
        </w:rPr>
        <w:t>14.3.3进度付款的修正</w:t>
      </w:r>
      <w:bookmarkEnd w:id="1917"/>
    </w:p>
    <w:p w14:paraId="4DFDDD4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在对已签发的进度款支付证书进行阶段汇总和复核中发现错误、遗漏或重复的，发包人和承包人均有权提出修正申请。经发包人和承包人同意的修正，应在下期进度付款中支付或扣除。</w:t>
      </w:r>
    </w:p>
    <w:p w14:paraId="7D9C3BF9">
      <w:pPr>
        <w:adjustRightInd w:val="0"/>
        <w:snapToGrid w:val="0"/>
        <w:spacing w:line="360" w:lineRule="auto"/>
        <w:rPr>
          <w:rFonts w:ascii="宋体" w:hAnsi="宋体"/>
          <w:b/>
          <w:color w:val="auto"/>
          <w:sz w:val="24"/>
          <w:highlight w:val="none"/>
        </w:rPr>
      </w:pPr>
      <w:bookmarkStart w:id="1918" w:name="_Toc54862295"/>
      <w:bookmarkStart w:id="1919" w:name="_Toc145081655"/>
      <w:bookmarkStart w:id="1920" w:name="_Ref4538578"/>
      <w:bookmarkStart w:id="1921" w:name="_Toc161228740"/>
      <w:bookmarkStart w:id="1922" w:name="_Ref536647822"/>
      <w:bookmarkStart w:id="1923" w:name="_Ref536647814"/>
      <w:r>
        <w:rPr>
          <w:rFonts w:hint="eastAsia" w:ascii="宋体" w:hAnsi="宋体" w:eastAsia="宋体"/>
          <w:b/>
          <w:color w:val="auto"/>
          <w:sz w:val="24"/>
          <w:highlight w:val="none"/>
        </w:rPr>
        <w:t>14.4付款计划表</w:t>
      </w:r>
      <w:bookmarkEnd w:id="1918"/>
      <w:bookmarkEnd w:id="1919"/>
      <w:bookmarkEnd w:id="1920"/>
      <w:bookmarkEnd w:id="1921"/>
    </w:p>
    <w:p w14:paraId="5C51C548">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924" w:name="_Ref4570974"/>
      <w:r>
        <w:rPr>
          <w:rFonts w:hint="eastAsia" w:ascii="宋体" w:hAnsi="宋体" w:cs="宋体"/>
          <w:color w:val="auto"/>
          <w:kern w:val="0"/>
          <w:szCs w:val="20"/>
          <w:highlight w:val="none"/>
          <w:lang w:bidi="ar"/>
        </w:rPr>
        <w:t>14.4.1付款计划表的编制要求</w:t>
      </w:r>
      <w:bookmarkEnd w:id="1924"/>
    </w:p>
    <w:p w14:paraId="1103F4C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除专用合同条件另有约定外，付款计划表按如下要求编制：</w:t>
      </w:r>
    </w:p>
    <w:p w14:paraId="5DF7436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（1）付款计划表中所列的每期付款金额，应为第14.3.1项[工程进度付款申请]每期进度款的估算金额；</w:t>
      </w:r>
    </w:p>
    <w:p w14:paraId="17E8983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（2）实际进度与项目进度计划不一致的，合同当事人可按照第3.6款[商定或确定]修改付款计划表；</w:t>
      </w:r>
    </w:p>
    <w:p w14:paraId="64CD77C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（3）不采用付款计划表的，承包人应向工程师提交按季度编制的支付估算付款计划表，用于支付参考。</w:t>
      </w:r>
    </w:p>
    <w:p w14:paraId="6D4C4D46">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925" w:name="_Ref4571011"/>
      <w:r>
        <w:rPr>
          <w:rFonts w:hint="eastAsia" w:ascii="宋体" w:hAnsi="宋体" w:cs="宋体"/>
          <w:color w:val="auto"/>
          <w:kern w:val="0"/>
          <w:szCs w:val="20"/>
          <w:highlight w:val="none"/>
          <w:lang w:bidi="ar"/>
        </w:rPr>
        <w:t>14.4.2付款计划表的编制与审批</w:t>
      </w:r>
      <w:bookmarkEnd w:id="1925"/>
    </w:p>
    <w:p w14:paraId="11F3F9E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除专用合同条件另有约定外，承包人应根据第8.4款[项目进度计划]约定的项目进度计划、签约合同价和工程量等因素对总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7天内，将付款计划表及编制付款计划表的支持性资料报送工程师。</w:t>
      </w:r>
    </w:p>
    <w:p w14:paraId="79DE482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（2）工程师应在收到付款计划表后7天内完成审核并报送发包人。发包人应在收到经工程师审核的付款计划表后7天内完成审批，经发包人批准的付款计划表为有约束力的付款计划表。</w:t>
      </w:r>
    </w:p>
    <w:p w14:paraId="46496F4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（3）发包人逾期未完成付款计划表审批的，也未及时要求承包人进行修正和提供补充资料的，则承包人提交的付款计划表视为已经获得发包人批准。</w:t>
      </w:r>
    </w:p>
    <w:p w14:paraId="0DB83F77">
      <w:pPr>
        <w:adjustRightInd w:val="0"/>
        <w:snapToGrid w:val="0"/>
        <w:spacing w:line="360" w:lineRule="auto"/>
        <w:rPr>
          <w:rFonts w:ascii="宋体" w:hAnsi="宋体"/>
          <w:b/>
          <w:color w:val="auto"/>
          <w:sz w:val="24"/>
          <w:highlight w:val="none"/>
        </w:rPr>
      </w:pPr>
      <w:bookmarkStart w:id="1926" w:name="_Toc54862296"/>
      <w:bookmarkStart w:id="1927" w:name="_Toc161228741"/>
      <w:bookmarkStart w:id="1928" w:name="_Ref4538634"/>
      <w:bookmarkStart w:id="1929" w:name="_Toc145081656"/>
      <w:r>
        <w:rPr>
          <w:rFonts w:hint="eastAsia" w:ascii="宋体" w:hAnsi="宋体" w:eastAsia="宋体"/>
          <w:b/>
          <w:color w:val="auto"/>
          <w:sz w:val="24"/>
          <w:highlight w:val="none"/>
        </w:rPr>
        <w:t>14.5竣工结算</w:t>
      </w:r>
      <w:bookmarkEnd w:id="1926"/>
      <w:bookmarkEnd w:id="1927"/>
      <w:bookmarkEnd w:id="1928"/>
      <w:bookmarkEnd w:id="1929"/>
    </w:p>
    <w:p w14:paraId="1EE5AEB6">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930" w:name="_Ref4571361"/>
      <w:r>
        <w:rPr>
          <w:rFonts w:hint="eastAsia" w:ascii="宋体" w:hAnsi="宋体" w:cs="宋体"/>
          <w:color w:val="auto"/>
          <w:kern w:val="0"/>
          <w:szCs w:val="20"/>
          <w:highlight w:val="none"/>
          <w:lang w:bidi="ar"/>
        </w:rPr>
        <w:t>14.5.1竣工结算申请</w:t>
      </w:r>
      <w:bookmarkEnd w:id="1930"/>
    </w:p>
    <w:p w14:paraId="55DE191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除专用合同条件另有约定外，承包人应在工程竣工验收合格后42天内向工程师提交竣工结算申请单，并提交完整的结算资料，有关竣工结算申请单的资料清单和份数等要求由合同当事人在专用合同条件中约定。</w:t>
      </w:r>
    </w:p>
    <w:p w14:paraId="217D32D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除专用合同条件另有约定外，竣工结算申请单应包括以下内容：</w:t>
      </w:r>
    </w:p>
    <w:p w14:paraId="7BD2A76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（1）竣工结算合同价格；</w:t>
      </w:r>
    </w:p>
    <w:p w14:paraId="0D3D0BC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（2）发包人已支付承包人的款项；</w:t>
      </w:r>
    </w:p>
    <w:p w14:paraId="1300F33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采用第14.6.1项[承包人提供质量保证金的方式]第（2）种方式提供质量保证金的，应当列明应预留的质量保证金金额；采用第14.6.1项[承包人提供质量保证金的方式]中其他方式提供质量保证金的，应当按第14.6款[质量保证金]提供相关文件作为附件；</w:t>
      </w:r>
    </w:p>
    <w:p w14:paraId="6193494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（4）发包人应支付承包人的合同价款。</w:t>
      </w:r>
    </w:p>
    <w:p w14:paraId="66D4BA69">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931" w:name="_Ref4571384"/>
      <w:r>
        <w:rPr>
          <w:rFonts w:hint="eastAsia" w:ascii="宋体" w:hAnsi="宋体" w:cs="宋体"/>
          <w:color w:val="auto"/>
          <w:kern w:val="0"/>
          <w:szCs w:val="20"/>
          <w:highlight w:val="none"/>
          <w:lang w:bidi="ar"/>
        </w:rPr>
        <w:t>14.5.2竣工结算审核</w:t>
      </w:r>
      <w:bookmarkEnd w:id="1931"/>
    </w:p>
    <w:p w14:paraId="6FFFA6D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除专用合同条件另有约定外，工程师应在收到竣工结算申请单后14天内完成核查并报送发包人。发包人应在收到工程师提交的经审核的竣工结算申请单后14天内完成审批，并由工程师向承包人签发经发包人签认的竣工付款证书。工程师或发包人对竣工结算申请单有异议的，有权要求承包人进行修正和提供补充资料，承包人应提交修正后的竣工结算申请单。</w:t>
      </w:r>
    </w:p>
    <w:p w14:paraId="632F4C9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382C9496">
      <w:pPr>
        <w:adjustRightInd w:val="0"/>
        <w:snapToGrid w:val="0"/>
        <w:spacing w:line="360" w:lineRule="auto"/>
        <w:ind w:firstLine="420" w:firstLineChars="200"/>
        <w:rPr>
          <w:rFonts w:ascii="宋体" w:hAnsi="宋体" w:cs="宋体"/>
          <w:color w:val="auto"/>
          <w:szCs w:val="21"/>
          <w:highlight w:val="none"/>
        </w:rPr>
      </w:pPr>
      <w:bookmarkStart w:id="1932" w:name="_Ref4618006"/>
      <w:r>
        <w:rPr>
          <w:rFonts w:hint="eastAsia" w:ascii="宋体" w:hAnsi="宋体" w:cs="宋体"/>
          <w:color w:val="auto"/>
          <w:szCs w:val="21"/>
          <w:highlight w:val="none"/>
        </w:rPr>
        <w:t>（2）除专用合同条件另有约定外，发包人应在签发竣工付款证书后的14天内，完成对承包人的竣工付款。发包人逾期支付的，按照贷款市场报价利率（LPR）支付违约金；逾期支付超过56天的，按照贷款市场报价利率（LPR）的两倍支付违约金。</w:t>
      </w:r>
      <w:bookmarkEnd w:id="1932"/>
    </w:p>
    <w:p w14:paraId="42177EB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承包人对发包人签认的竣工付款证书有异议的，对于有异议部分应在收到发包人签认的竣工付款证书后7天内提出异议，并由合同当事人按照专用合同条件约定的方式和程序进行复核，或按照第20条[争议解决]约定处理。对于无异议部分，发包人应签发临时竣工付款证书，并按本款第（2）项完成付款。承包人逾期未提出异议的，视为认可发包人的审批结果。</w:t>
      </w:r>
    </w:p>
    <w:p w14:paraId="6A956CDE">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933" w:name="_Ref15484305"/>
      <w:r>
        <w:rPr>
          <w:rFonts w:hint="eastAsia" w:ascii="宋体" w:hAnsi="宋体" w:cs="宋体"/>
          <w:color w:val="auto"/>
          <w:kern w:val="0"/>
          <w:szCs w:val="20"/>
          <w:highlight w:val="none"/>
          <w:lang w:bidi="ar"/>
        </w:rPr>
        <w:t>14.5.3扫尾工作清单</w:t>
      </w:r>
      <w:bookmarkEnd w:id="1933"/>
    </w:p>
    <w:p w14:paraId="120AACD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经双方协商，部分工作在工程竣工验收后进行的，承包人应当编制扫尾工作清单，扫尾工作清单中应当列明承包人应当完成的扫尾工作的内容及完成时间。</w:t>
      </w:r>
    </w:p>
    <w:p w14:paraId="2333E60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承包人完成扫尾工作清单中的内容应取得的费用包含在第14.5.1项[竣工结算申请]及第14.5.2项[竣工结算审核]中一并结算。</w:t>
      </w:r>
    </w:p>
    <w:p w14:paraId="6913198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扫尾工作的缺陷责任期按第11条[缺陷责任与保修]处理。承包人未能按照扫尾工作清单约定的完成时间完成扫尾工作的，视为承包人原因导致的工程质量缺陷按照第11.3款[缺陷调查]处理。</w:t>
      </w:r>
    </w:p>
    <w:p w14:paraId="3012C204">
      <w:pPr>
        <w:adjustRightInd w:val="0"/>
        <w:snapToGrid w:val="0"/>
        <w:spacing w:line="360" w:lineRule="auto"/>
        <w:rPr>
          <w:rFonts w:ascii="宋体" w:hAnsi="宋体"/>
          <w:b/>
          <w:color w:val="auto"/>
          <w:sz w:val="24"/>
          <w:highlight w:val="none"/>
        </w:rPr>
      </w:pPr>
      <w:bookmarkStart w:id="1934" w:name="_Ref4571100"/>
      <w:bookmarkStart w:id="1935" w:name="_Ref4617582"/>
      <w:bookmarkStart w:id="1936" w:name="_Ref15395020"/>
      <w:bookmarkStart w:id="1937" w:name="_Toc145081657"/>
      <w:bookmarkStart w:id="1938" w:name="_Toc161228742"/>
      <w:bookmarkStart w:id="1939" w:name="_Ref4582115"/>
      <w:bookmarkStart w:id="1940" w:name="_Toc54862297"/>
      <w:bookmarkStart w:id="1941" w:name="_Ref4571127"/>
      <w:bookmarkStart w:id="1942" w:name="_Ref4617592"/>
      <w:bookmarkStart w:id="1943" w:name="_Hlk15394931"/>
      <w:r>
        <w:rPr>
          <w:rFonts w:hint="eastAsia" w:ascii="宋体" w:hAnsi="宋体" w:eastAsia="宋体"/>
          <w:b/>
          <w:color w:val="auto"/>
          <w:sz w:val="24"/>
          <w:highlight w:val="none"/>
        </w:rPr>
        <w:t>14.6质量保证金</w:t>
      </w:r>
      <w:bookmarkEnd w:id="1922"/>
      <w:bookmarkEnd w:id="1923"/>
      <w:bookmarkEnd w:id="1934"/>
      <w:bookmarkEnd w:id="1935"/>
      <w:bookmarkEnd w:id="1936"/>
      <w:bookmarkEnd w:id="1937"/>
      <w:bookmarkEnd w:id="1938"/>
      <w:bookmarkEnd w:id="1939"/>
      <w:bookmarkEnd w:id="1940"/>
      <w:bookmarkEnd w:id="1941"/>
      <w:bookmarkEnd w:id="1942"/>
    </w:p>
    <w:p w14:paraId="51F4210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经合同当事人协商一致提供质量保证金的，应在专用合同条件中予以明确。在工程项目竣工前，承包人已经提供履约担保的，发包人不得同时要求承包人提供质量保证金。</w:t>
      </w:r>
    </w:p>
    <w:bookmarkEnd w:id="1943"/>
    <w:p w14:paraId="5E2D0FB8">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944" w:name="_Ref531955069"/>
      <w:bookmarkStart w:id="1945" w:name="_Ref531957153"/>
      <w:r>
        <w:rPr>
          <w:rFonts w:hint="eastAsia" w:ascii="宋体" w:hAnsi="宋体" w:cs="宋体"/>
          <w:color w:val="auto"/>
          <w:kern w:val="0"/>
          <w:szCs w:val="20"/>
          <w:highlight w:val="none"/>
          <w:lang w:bidi="ar"/>
        </w:rPr>
        <w:t>14.6.1承包人提供质量保证金的方式</w:t>
      </w:r>
      <w:bookmarkEnd w:id="1944"/>
    </w:p>
    <w:p w14:paraId="3AC43BA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承包人提供质量保证金有以下三种方式：</w:t>
      </w:r>
    </w:p>
    <w:p w14:paraId="6BD74280">
      <w:pPr>
        <w:adjustRightInd w:val="0"/>
        <w:snapToGrid w:val="0"/>
        <w:spacing w:line="360" w:lineRule="auto"/>
        <w:ind w:firstLine="420" w:firstLineChars="200"/>
        <w:rPr>
          <w:rFonts w:ascii="宋体" w:hAnsi="宋体" w:cs="宋体"/>
          <w:color w:val="auto"/>
          <w:szCs w:val="21"/>
          <w:highlight w:val="none"/>
        </w:rPr>
      </w:pPr>
      <w:bookmarkStart w:id="1946" w:name="_Ref531955096"/>
      <w:r>
        <w:rPr>
          <w:rFonts w:hint="eastAsia" w:ascii="宋体" w:hAnsi="宋体" w:cs="宋体"/>
          <w:color w:val="auto"/>
          <w:szCs w:val="21"/>
          <w:highlight w:val="none"/>
        </w:rPr>
        <w:t>（1）提交工程质量保证担保；</w:t>
      </w:r>
      <w:bookmarkEnd w:id="1946"/>
    </w:p>
    <w:p w14:paraId="38211218">
      <w:pPr>
        <w:adjustRightInd w:val="0"/>
        <w:snapToGrid w:val="0"/>
        <w:spacing w:line="360" w:lineRule="auto"/>
        <w:ind w:firstLine="420" w:firstLineChars="200"/>
        <w:rPr>
          <w:rFonts w:ascii="宋体" w:hAnsi="宋体" w:cs="宋体"/>
          <w:color w:val="auto"/>
          <w:szCs w:val="21"/>
          <w:highlight w:val="none"/>
        </w:rPr>
      </w:pPr>
      <w:bookmarkStart w:id="1947" w:name="_Ref531955107"/>
      <w:r>
        <w:rPr>
          <w:rFonts w:hint="eastAsia" w:ascii="宋体" w:hAnsi="宋体" w:cs="宋体"/>
          <w:color w:val="auto"/>
          <w:szCs w:val="21"/>
          <w:highlight w:val="none"/>
        </w:rPr>
        <w:t>（2）预留相应比例的工程款；</w:t>
      </w:r>
      <w:bookmarkEnd w:id="1947"/>
    </w:p>
    <w:p w14:paraId="6072DCBA">
      <w:pPr>
        <w:adjustRightInd w:val="0"/>
        <w:snapToGrid w:val="0"/>
        <w:spacing w:line="360" w:lineRule="auto"/>
        <w:ind w:firstLine="420" w:firstLineChars="200"/>
        <w:rPr>
          <w:rFonts w:ascii="宋体" w:hAnsi="宋体" w:cs="宋体"/>
          <w:color w:val="auto"/>
          <w:szCs w:val="21"/>
          <w:highlight w:val="none"/>
        </w:rPr>
      </w:pPr>
      <w:bookmarkStart w:id="1948" w:name="_Ref531955117"/>
      <w:r>
        <w:rPr>
          <w:rFonts w:hint="eastAsia" w:ascii="宋体" w:hAnsi="宋体" w:cs="宋体"/>
          <w:color w:val="auto"/>
          <w:szCs w:val="21"/>
          <w:highlight w:val="none"/>
        </w:rPr>
        <w:t>（3）双方约定的其他方式。</w:t>
      </w:r>
      <w:bookmarkEnd w:id="1948"/>
    </w:p>
    <w:p w14:paraId="54390C3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质量保证金原则上采用上述第（1）种方式，且承包人应在工程竣工验收合格后7天内，向发包人提交工程质量保证担保。承包人提交工程质量保证担保时，发包人应同时返还预留的作为质量保证金的工程价款（如有）。但不论承包人以何种方式提供质量保证金，累计金额均不得高于工程价款结算总额的3%。</w:t>
      </w:r>
    </w:p>
    <w:p w14:paraId="1549F3B4">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949" w:name="_Ref15419738"/>
      <w:bookmarkStart w:id="1950" w:name="_Ref18931667"/>
      <w:r>
        <w:rPr>
          <w:rFonts w:hint="eastAsia" w:ascii="宋体" w:hAnsi="宋体" w:cs="宋体"/>
          <w:color w:val="auto"/>
          <w:kern w:val="0"/>
          <w:szCs w:val="20"/>
          <w:highlight w:val="none"/>
          <w:lang w:bidi="ar"/>
        </w:rPr>
        <w:t>14.6.2质量保证金的预留</w:t>
      </w:r>
      <w:bookmarkEnd w:id="1949"/>
      <w:bookmarkEnd w:id="1950"/>
    </w:p>
    <w:p w14:paraId="4A92DE7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双方约定采用预留相应比例的工程款方式提供质量保证金的，质量保证金的预留有以下三种方式：</w:t>
      </w:r>
    </w:p>
    <w:p w14:paraId="1A7D1F3B">
      <w:pPr>
        <w:adjustRightInd w:val="0"/>
        <w:snapToGrid w:val="0"/>
        <w:spacing w:line="360" w:lineRule="auto"/>
        <w:ind w:firstLine="420" w:firstLineChars="200"/>
        <w:rPr>
          <w:rFonts w:ascii="宋体" w:hAnsi="宋体" w:cs="宋体"/>
          <w:color w:val="auto"/>
          <w:szCs w:val="21"/>
          <w:highlight w:val="none"/>
        </w:rPr>
      </w:pPr>
      <w:bookmarkStart w:id="1951" w:name="_Hlk18840714"/>
      <w:bookmarkStart w:id="1952" w:name="_Ref531955143"/>
      <w:r>
        <w:rPr>
          <w:rFonts w:hint="eastAsia" w:ascii="宋体" w:hAnsi="宋体" w:cs="宋体"/>
          <w:color w:val="auto"/>
          <w:szCs w:val="21"/>
          <w:highlight w:val="none"/>
        </w:rPr>
        <w:t>（1）按专用合同条件的约定在支付工程进度款时逐次预留，直至预留的质量保证金总额达到专用合同条件约定的金额或比例为止</w:t>
      </w:r>
      <w:bookmarkEnd w:id="1951"/>
      <w:r>
        <w:rPr>
          <w:rFonts w:hint="eastAsia" w:ascii="宋体" w:hAnsi="宋体" w:cs="宋体"/>
          <w:color w:val="auto"/>
          <w:szCs w:val="21"/>
          <w:highlight w:val="none"/>
        </w:rPr>
        <w:t>。在此情形下，质量保证金的计算基数不包括预付款的支付、扣回以及价格调整的金额；</w:t>
      </w:r>
      <w:bookmarkEnd w:id="1952"/>
    </w:p>
    <w:p w14:paraId="4C9068FA">
      <w:pPr>
        <w:adjustRightInd w:val="0"/>
        <w:snapToGrid w:val="0"/>
        <w:spacing w:line="360" w:lineRule="auto"/>
        <w:ind w:firstLine="420" w:firstLineChars="200"/>
        <w:rPr>
          <w:rFonts w:ascii="宋体" w:hAnsi="宋体" w:cs="宋体"/>
          <w:color w:val="auto"/>
          <w:szCs w:val="21"/>
          <w:highlight w:val="none"/>
        </w:rPr>
      </w:pPr>
      <w:bookmarkStart w:id="1953" w:name="_Ref531955151"/>
      <w:r>
        <w:rPr>
          <w:rFonts w:hint="eastAsia" w:ascii="宋体" w:hAnsi="宋体" w:cs="宋体"/>
          <w:color w:val="auto"/>
          <w:szCs w:val="21"/>
          <w:highlight w:val="none"/>
        </w:rPr>
        <w:t>（2）工程竣工结算时一次性预留质量保证金；</w:t>
      </w:r>
      <w:bookmarkEnd w:id="1953"/>
    </w:p>
    <w:p w14:paraId="5F19D404">
      <w:pPr>
        <w:adjustRightInd w:val="0"/>
        <w:snapToGrid w:val="0"/>
        <w:spacing w:line="360" w:lineRule="auto"/>
        <w:ind w:firstLine="420" w:firstLineChars="200"/>
        <w:rPr>
          <w:rFonts w:ascii="宋体" w:hAnsi="宋体" w:cs="宋体"/>
          <w:color w:val="auto"/>
          <w:szCs w:val="21"/>
          <w:highlight w:val="none"/>
        </w:rPr>
      </w:pPr>
      <w:bookmarkStart w:id="1954" w:name="_Ref531955161"/>
      <w:r>
        <w:rPr>
          <w:rFonts w:hint="eastAsia" w:ascii="宋体" w:hAnsi="宋体" w:cs="宋体"/>
          <w:color w:val="auto"/>
          <w:szCs w:val="21"/>
          <w:highlight w:val="none"/>
        </w:rPr>
        <w:t>（3）双方约定的其他预留方式。</w:t>
      </w:r>
      <w:bookmarkEnd w:id="1954"/>
    </w:p>
    <w:p w14:paraId="3FF164E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14:paraId="1A19B16E">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955" w:name="_Ref532690096"/>
      <w:bookmarkStart w:id="1956" w:name="_Ref4571243"/>
      <w:r>
        <w:rPr>
          <w:rFonts w:hint="eastAsia" w:ascii="宋体" w:hAnsi="宋体" w:cs="宋体"/>
          <w:color w:val="auto"/>
          <w:kern w:val="0"/>
          <w:szCs w:val="20"/>
          <w:highlight w:val="none"/>
          <w:lang w:bidi="ar"/>
        </w:rPr>
        <w:t>14.6.3质量保证金的</w:t>
      </w:r>
      <w:bookmarkEnd w:id="1955"/>
      <w:r>
        <w:rPr>
          <w:rFonts w:hint="eastAsia" w:ascii="宋体" w:hAnsi="宋体" w:cs="宋体"/>
          <w:color w:val="auto"/>
          <w:kern w:val="0"/>
          <w:szCs w:val="20"/>
          <w:highlight w:val="none"/>
          <w:lang w:bidi="ar"/>
        </w:rPr>
        <w:t>返还</w:t>
      </w:r>
      <w:bookmarkEnd w:id="1956"/>
    </w:p>
    <w:p w14:paraId="60BC2DC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缺陷责任期内，承包人认真履行合同约定的责任，缺陷责任期满，发包人根据第11.6款[缺陷责任期终止证书]向承包人颁发缺陷责任期终止证书后，承包人可向发包人申请返还质量保证金。</w:t>
      </w:r>
    </w:p>
    <w:p w14:paraId="693E4AA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在接到承包人返还质量保证金申请后，应于7天内将质量保证金返还承包人，逾期未返还的，应承担违约责任。发包人在接到承包人返还质量保证金申请后7天内不予答复，视同认可承包人的返还质量保证金申请。</w:t>
      </w:r>
    </w:p>
    <w:p w14:paraId="0997229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发包人和承包人对质量保证金预留、返还以及工程维修质量、费用有争议的，按本合同第20条[争议解决]约定的争议和纠纷解决程序处理。</w:t>
      </w:r>
    </w:p>
    <w:bookmarkEnd w:id="1945"/>
    <w:p w14:paraId="5A206F77">
      <w:pPr>
        <w:adjustRightInd w:val="0"/>
        <w:snapToGrid w:val="0"/>
        <w:spacing w:line="360" w:lineRule="auto"/>
        <w:rPr>
          <w:rFonts w:ascii="宋体" w:hAnsi="宋体"/>
          <w:b/>
          <w:color w:val="auto"/>
          <w:sz w:val="24"/>
          <w:highlight w:val="none"/>
        </w:rPr>
      </w:pPr>
      <w:bookmarkStart w:id="1957" w:name="_Toc145081658"/>
      <w:bookmarkStart w:id="1958" w:name="_Ref531957341"/>
      <w:bookmarkStart w:id="1959" w:name="_Toc161228743"/>
      <w:bookmarkStart w:id="1960" w:name="_Ref531957339"/>
      <w:bookmarkStart w:id="1961" w:name="_Toc54862298"/>
      <w:r>
        <w:rPr>
          <w:rFonts w:hint="eastAsia" w:ascii="宋体" w:hAnsi="宋体" w:eastAsia="宋体"/>
          <w:b/>
          <w:color w:val="auto"/>
          <w:sz w:val="24"/>
          <w:highlight w:val="none"/>
        </w:rPr>
        <w:t>14.7最终结清</w:t>
      </w:r>
      <w:bookmarkEnd w:id="1957"/>
      <w:bookmarkEnd w:id="1958"/>
      <w:bookmarkEnd w:id="1959"/>
      <w:bookmarkEnd w:id="1960"/>
      <w:bookmarkEnd w:id="1961"/>
    </w:p>
    <w:p w14:paraId="045B5A09">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962" w:name="_Ref531957350"/>
      <w:r>
        <w:rPr>
          <w:rFonts w:hint="eastAsia" w:ascii="宋体" w:hAnsi="宋体" w:cs="宋体"/>
          <w:color w:val="auto"/>
          <w:kern w:val="0"/>
          <w:szCs w:val="20"/>
          <w:highlight w:val="none"/>
          <w:lang w:bidi="ar"/>
        </w:rPr>
        <w:t>14.7.1最终结清申请</w:t>
      </w:r>
      <w:bookmarkEnd w:id="1962"/>
      <w:r>
        <w:rPr>
          <w:rFonts w:hint="eastAsia" w:ascii="宋体" w:hAnsi="宋体" w:cs="宋体"/>
          <w:color w:val="auto"/>
          <w:kern w:val="0"/>
          <w:szCs w:val="20"/>
          <w:highlight w:val="none"/>
          <w:lang w:bidi="ar"/>
        </w:rPr>
        <w:t>单</w:t>
      </w:r>
    </w:p>
    <w:p w14:paraId="2E5FA87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（1）除专用合同条件另有约定外，承包人应在缺陷责任期终止证书颁发后7天内，按专用合同条件约定的份数向发包人提交最终结清申请单，并提供相关证明材料。</w:t>
      </w:r>
    </w:p>
    <w:p w14:paraId="48D906C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除专用合同条件另有约定外，最终结清申请单应列明质量保证金、应扣除的质量保证金、缺陷责任期内发生的增减费用。</w:t>
      </w:r>
    </w:p>
    <w:p w14:paraId="2949EC8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（2）发包人对最终结清申请单内容有异议的，有权要求承包人进行修正和提供补充资料，承包人应向发包人提交修正后的最终结清申请单。</w:t>
      </w:r>
    </w:p>
    <w:p w14:paraId="49FC1BB6">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963" w:name="_Ref531957369"/>
      <w:bookmarkStart w:id="1964" w:name="_Ref4624099"/>
      <w:r>
        <w:rPr>
          <w:rFonts w:hint="eastAsia" w:ascii="宋体" w:hAnsi="宋体" w:cs="宋体"/>
          <w:color w:val="auto"/>
          <w:kern w:val="0"/>
          <w:szCs w:val="20"/>
          <w:highlight w:val="none"/>
          <w:lang w:bidi="ar"/>
        </w:rPr>
        <w:t>14.7.2最终结清证书</w:t>
      </w:r>
      <w:bookmarkEnd w:id="1963"/>
      <w:r>
        <w:rPr>
          <w:rFonts w:hint="eastAsia" w:ascii="宋体" w:hAnsi="宋体" w:cs="宋体"/>
          <w:color w:val="auto"/>
          <w:kern w:val="0"/>
          <w:szCs w:val="20"/>
          <w:highlight w:val="none"/>
          <w:lang w:bidi="ar"/>
        </w:rPr>
        <w:t>和支付</w:t>
      </w:r>
      <w:bookmarkEnd w:id="1964"/>
    </w:p>
    <w:p w14:paraId="57731CD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除专用合同条件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51CF3FE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除专用合同条件另有约定外，发包人应在颁发最终结清证书后7天内完成支付。发包人逾期支付的，按照贷款市场报价利率（LPR）支付利息；逾期支付超过56天的，按照贷款市场报价利率（LPR）的两倍支付利息。</w:t>
      </w:r>
    </w:p>
    <w:p w14:paraId="06BD51C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（3）承包人对发包人颁发的最终结清证书有异议的，按第20条[争议解决]的约定办理。</w:t>
      </w:r>
    </w:p>
    <w:p w14:paraId="0A4C8C41">
      <w:pPr>
        <w:adjustRightInd w:val="0"/>
        <w:snapToGrid w:val="0"/>
        <w:spacing w:line="360" w:lineRule="auto"/>
        <w:rPr>
          <w:rFonts w:ascii="黑体" w:hAnsi="黑体" w:eastAsia="黑体"/>
          <w:color w:val="auto"/>
          <w:sz w:val="24"/>
          <w:highlight w:val="none"/>
        </w:rPr>
      </w:pPr>
      <w:bookmarkStart w:id="1965" w:name="_Ref11920396"/>
      <w:bookmarkStart w:id="1966" w:name="_Ref11920407"/>
      <w:bookmarkStart w:id="1967" w:name="_Toc54862299"/>
      <w:bookmarkStart w:id="1968" w:name="_Toc161228744"/>
      <w:bookmarkStart w:id="1969" w:name="_Ref11874957"/>
      <w:r>
        <w:rPr>
          <w:rFonts w:hint="eastAsia" w:ascii="黑体" w:hAnsi="黑体" w:eastAsia="黑体"/>
          <w:color w:val="auto"/>
          <w:sz w:val="24"/>
          <w:highlight w:val="none"/>
        </w:rPr>
        <w:t>第15条 违约</w:t>
      </w:r>
      <w:bookmarkEnd w:id="1782"/>
      <w:bookmarkEnd w:id="1787"/>
      <w:bookmarkEnd w:id="1788"/>
      <w:bookmarkEnd w:id="1965"/>
      <w:bookmarkEnd w:id="1966"/>
      <w:bookmarkEnd w:id="1967"/>
      <w:bookmarkEnd w:id="1968"/>
      <w:bookmarkEnd w:id="1969"/>
    </w:p>
    <w:p w14:paraId="576410DA">
      <w:pPr>
        <w:adjustRightInd w:val="0"/>
        <w:snapToGrid w:val="0"/>
        <w:spacing w:line="360" w:lineRule="auto"/>
        <w:rPr>
          <w:rFonts w:ascii="宋体" w:hAnsi="宋体"/>
          <w:b/>
          <w:color w:val="auto"/>
          <w:sz w:val="24"/>
          <w:highlight w:val="none"/>
        </w:rPr>
      </w:pPr>
      <w:bookmarkStart w:id="1970" w:name="_Toc54862300"/>
      <w:bookmarkStart w:id="1971" w:name="_Ref4534411"/>
      <w:bookmarkStart w:id="1972" w:name="_Ref4534376"/>
      <w:bookmarkStart w:id="1973" w:name="_Toc161228745"/>
      <w:bookmarkStart w:id="1974" w:name="_Ref4534384"/>
      <w:bookmarkStart w:id="1975" w:name="_Toc145081660"/>
      <w:bookmarkStart w:id="1976" w:name="_Ref4534399"/>
      <w:r>
        <w:rPr>
          <w:rFonts w:hint="eastAsia" w:ascii="宋体" w:hAnsi="宋体" w:eastAsia="宋体"/>
          <w:b/>
          <w:color w:val="auto"/>
          <w:sz w:val="24"/>
          <w:highlight w:val="none"/>
        </w:rPr>
        <w:t>15.1发包人违约</w:t>
      </w:r>
      <w:bookmarkEnd w:id="1970"/>
      <w:bookmarkEnd w:id="1971"/>
      <w:bookmarkEnd w:id="1972"/>
      <w:bookmarkEnd w:id="1973"/>
      <w:bookmarkEnd w:id="1974"/>
      <w:bookmarkEnd w:id="1975"/>
      <w:bookmarkEnd w:id="1976"/>
    </w:p>
    <w:p w14:paraId="664CB433">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977" w:name="_Ref3841087"/>
      <w:r>
        <w:rPr>
          <w:rFonts w:hint="eastAsia" w:ascii="宋体" w:hAnsi="宋体" w:cs="宋体"/>
          <w:color w:val="auto"/>
          <w:kern w:val="0"/>
          <w:szCs w:val="20"/>
          <w:highlight w:val="none"/>
          <w:lang w:bidi="ar"/>
        </w:rPr>
        <w:t>15.1.1发包人违约的情形</w:t>
      </w:r>
      <w:bookmarkEnd w:id="1977"/>
    </w:p>
    <w:p w14:paraId="043849A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除专用合同条件另有约定外，在合同履行过程中发生的下列情形，属于发包人违约：</w:t>
      </w:r>
    </w:p>
    <w:p w14:paraId="5781B4B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（1）因发包人原因导致开始工作日期延误的；</w:t>
      </w:r>
    </w:p>
    <w:p w14:paraId="0F3CBE8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（2）因发包人原因未能按合同约定支付合同价款的；</w:t>
      </w:r>
    </w:p>
    <w:p w14:paraId="09A8547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（3）发包人违反第13.1.1项约定，自行实施被取消的工作或转由他人实施的；</w:t>
      </w:r>
    </w:p>
    <w:p w14:paraId="52208F4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（4）因发包人违反合同约定造成工程暂停施工的；</w:t>
      </w:r>
    </w:p>
    <w:p w14:paraId="40963BB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（5）工程师无正当理由没有在约定期限内发出复工指示，导致承包人无法复工的；</w:t>
      </w:r>
    </w:p>
    <w:p w14:paraId="082814E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（6）发包人明确表示或者以其行为表明不履行合同主要义务的；</w:t>
      </w:r>
    </w:p>
    <w:p w14:paraId="020F24E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（7）发包人未能按照合同约定履行其他义务的。</w:t>
      </w:r>
    </w:p>
    <w:p w14:paraId="689196AB">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978" w:name="_Ref4535692"/>
      <w:r>
        <w:rPr>
          <w:rFonts w:hint="eastAsia" w:ascii="宋体" w:hAnsi="宋体" w:cs="宋体"/>
          <w:color w:val="auto"/>
          <w:kern w:val="0"/>
          <w:szCs w:val="20"/>
          <w:highlight w:val="none"/>
          <w:lang w:bidi="ar"/>
        </w:rPr>
        <w:t>15.1.2通知改正</w:t>
      </w:r>
      <w:bookmarkEnd w:id="1978"/>
    </w:p>
    <w:p w14:paraId="1FFD2BAE">
      <w:pPr>
        <w:adjustRightInd w:val="0"/>
        <w:snapToGrid w:val="0"/>
        <w:spacing w:line="360" w:lineRule="auto"/>
        <w:ind w:firstLine="420" w:firstLineChars="200"/>
        <w:rPr>
          <w:rFonts w:ascii="宋体" w:hAnsi="宋体" w:cs="宋体"/>
          <w:color w:val="auto"/>
          <w:szCs w:val="21"/>
          <w:highlight w:val="none"/>
        </w:rPr>
      </w:pPr>
      <w:bookmarkStart w:id="1979" w:name="_Hlk16248297"/>
      <w:r>
        <w:rPr>
          <w:rFonts w:hint="eastAsia" w:ascii="宋体" w:hAnsi="宋体" w:cs="宋体"/>
          <w:color w:val="auto"/>
          <w:szCs w:val="21"/>
          <w:highlight w:val="none"/>
        </w:rPr>
        <w:t>发包人发生除第15.1.1项第（6）目以外的违约情况时，承包人可向发包人发出通知，要求发包人采取有效措施纠正违约行为。发包人收到承包人通知后28天内仍不纠正违约行为的，承包人有权暂停相应部位工程实施，并通知工程师。</w:t>
      </w:r>
      <w:bookmarkEnd w:id="1979"/>
    </w:p>
    <w:p w14:paraId="70DE8DAD">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980" w:name="_Ref3841132"/>
      <w:r>
        <w:rPr>
          <w:rFonts w:hint="eastAsia" w:ascii="宋体" w:hAnsi="宋体" w:cs="宋体"/>
          <w:color w:val="auto"/>
          <w:kern w:val="0"/>
          <w:szCs w:val="20"/>
          <w:highlight w:val="none"/>
          <w:lang w:bidi="ar"/>
        </w:rPr>
        <w:t>15.1.3发包人违约的责任</w:t>
      </w:r>
      <w:bookmarkEnd w:id="1980"/>
    </w:p>
    <w:p w14:paraId="32B17767">
      <w:pPr>
        <w:adjustRightInd w:val="0"/>
        <w:snapToGrid w:val="0"/>
        <w:spacing w:line="360" w:lineRule="auto"/>
        <w:ind w:firstLine="420" w:firstLineChars="200"/>
        <w:rPr>
          <w:rFonts w:ascii="宋体" w:hAnsi="宋体" w:cs="宋体"/>
          <w:color w:val="auto"/>
          <w:szCs w:val="21"/>
          <w:highlight w:val="none"/>
        </w:rPr>
      </w:pPr>
      <w:bookmarkStart w:id="1981" w:name="_Hlk16247984"/>
      <w:r>
        <w:rPr>
          <w:rFonts w:hint="eastAsia" w:ascii="宋体" w:hAnsi="宋体" w:cs="宋体"/>
          <w:color w:val="auto"/>
          <w:szCs w:val="21"/>
          <w:highlight w:val="none"/>
        </w:rPr>
        <w:t>发包人应承担因其违约给承包人增加的费用和（或）延误的工期，并支付承包人合理的利润。此外，合同当事人可在专用合同条件中另行约定发包人违约责任的承担方式和计算方法。</w:t>
      </w:r>
      <w:bookmarkEnd w:id="1981"/>
    </w:p>
    <w:p w14:paraId="61F1CCCC">
      <w:pPr>
        <w:adjustRightInd w:val="0"/>
        <w:snapToGrid w:val="0"/>
        <w:spacing w:line="360" w:lineRule="auto"/>
        <w:rPr>
          <w:rFonts w:ascii="宋体" w:hAnsi="宋体"/>
          <w:b/>
          <w:color w:val="auto"/>
          <w:sz w:val="24"/>
          <w:highlight w:val="none"/>
        </w:rPr>
      </w:pPr>
      <w:bookmarkStart w:id="1982" w:name="_Toc145081661"/>
      <w:bookmarkStart w:id="1983" w:name="_Ref11958660"/>
      <w:bookmarkStart w:id="1984" w:name="_Toc54862301"/>
      <w:bookmarkStart w:id="1985" w:name="_Ref11958663"/>
      <w:bookmarkStart w:id="1986" w:name="_Toc161228746"/>
      <w:r>
        <w:rPr>
          <w:rFonts w:hint="eastAsia" w:ascii="宋体" w:hAnsi="宋体" w:eastAsia="宋体"/>
          <w:b/>
          <w:color w:val="auto"/>
          <w:sz w:val="24"/>
          <w:highlight w:val="none"/>
        </w:rPr>
        <w:t>15.2承包人违约</w:t>
      </w:r>
      <w:bookmarkEnd w:id="1982"/>
      <w:bookmarkEnd w:id="1983"/>
      <w:bookmarkEnd w:id="1984"/>
      <w:bookmarkEnd w:id="1985"/>
      <w:bookmarkEnd w:id="1986"/>
    </w:p>
    <w:p w14:paraId="0E78CA84">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987" w:name="_Ref3841153"/>
      <w:r>
        <w:rPr>
          <w:rFonts w:hint="eastAsia" w:ascii="宋体" w:hAnsi="宋体" w:cs="宋体"/>
          <w:color w:val="auto"/>
          <w:kern w:val="0"/>
          <w:szCs w:val="20"/>
          <w:highlight w:val="none"/>
          <w:lang w:bidi="ar"/>
        </w:rPr>
        <w:t>15.2.1承包人违约的情形</w:t>
      </w:r>
      <w:bookmarkEnd w:id="1987"/>
    </w:p>
    <w:p w14:paraId="46EEC14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除专用合同条件另有约定外，在履行合同过程中</w:t>
      </w:r>
      <w:r>
        <w:rPr>
          <w:rFonts w:hint="eastAsia" w:ascii="宋体" w:hAnsi="宋体" w:cs="宋体"/>
          <w:color w:val="auto"/>
          <w:szCs w:val="21"/>
          <w:highlight w:val="none"/>
          <w:lang w:eastAsia="zh-CN"/>
        </w:rPr>
        <w:t>发生</w:t>
      </w:r>
      <w:r>
        <w:rPr>
          <w:rFonts w:hint="eastAsia" w:ascii="宋体" w:hAnsi="宋体" w:cs="宋体"/>
          <w:color w:val="auto"/>
          <w:szCs w:val="21"/>
          <w:highlight w:val="none"/>
        </w:rPr>
        <w:t>下列情况之一的，属于承包人违约：</w:t>
      </w:r>
    </w:p>
    <w:p w14:paraId="120599F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（1）承包人的原因导致的承包人文件、实施和竣工的工程不符合法律法规、工程质量验收标准以及合同约定；</w:t>
      </w:r>
    </w:p>
    <w:p w14:paraId="16E398A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（2）承包人违反合同约定进行转包或违法分包的；</w:t>
      </w:r>
    </w:p>
    <w:p w14:paraId="7467824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（3）承包人违反约定采购和使用不合格材料或工程设备；</w:t>
      </w:r>
    </w:p>
    <w:p w14:paraId="5907B4C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（4）因承包人原因导致工程质量不符合合同要求的；</w:t>
      </w:r>
    </w:p>
    <w:p w14:paraId="638FF94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（5）承包人未经工程师批准，擅自将已按合同约定进入施工现场的施工设备、临时设施或材料撤离施工现场；</w:t>
      </w:r>
    </w:p>
    <w:p w14:paraId="6BDBAB1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（6）承包人未能按项目进度计划及时完成合同约定的工作，造成工期延误；</w:t>
      </w:r>
    </w:p>
    <w:p w14:paraId="2D08FA6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（7）由于承包人原因未能通过竣工试验或竣工后试验的；</w:t>
      </w:r>
    </w:p>
    <w:p w14:paraId="6A3FE9F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（8）承包人在缺陷责任期及保修期内，未能在合理期限对工程缺陷进行修复，或拒绝按发包人指示进行修复的；</w:t>
      </w:r>
    </w:p>
    <w:p w14:paraId="5155B86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（9）承包人明确表示或者以其行为表明不履行合同主要义务的；</w:t>
      </w:r>
    </w:p>
    <w:p w14:paraId="4D6359F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（10）承包人未能按照合同约定履行其他义务的。</w:t>
      </w:r>
    </w:p>
    <w:p w14:paraId="2762A845">
      <w:pPr>
        <w:tabs>
          <w:tab w:val="left" w:pos="851"/>
        </w:tabs>
        <w:adjustRightInd w:val="0"/>
        <w:snapToGrid w:val="0"/>
        <w:spacing w:line="360" w:lineRule="auto"/>
        <w:ind w:firstLine="420" w:firstLineChars="200"/>
        <w:rPr>
          <w:rFonts w:ascii="宋体" w:hAnsi="宋体" w:cs="宋体"/>
          <w:color w:val="auto"/>
          <w:highlight w:val="none"/>
        </w:rPr>
      </w:pPr>
      <w:bookmarkStart w:id="1988" w:name="_Ref531958512"/>
      <w:r>
        <w:rPr>
          <w:rFonts w:hint="eastAsia" w:ascii="宋体" w:hAnsi="宋体" w:cs="宋体"/>
          <w:color w:val="auto"/>
          <w:highlight w:val="none"/>
        </w:rPr>
        <w:t>15.2.2通知改正</w:t>
      </w:r>
      <w:bookmarkEnd w:id="1988"/>
    </w:p>
    <w:p w14:paraId="196EA39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承包人发生除第15.2.1项第（7）目、第（9）目约定以外的其他违约情况时，工程师可在专用合同条件约定的合理期限内向承包人发出整改通知，要求其在指定的期限内改正。</w:t>
      </w:r>
    </w:p>
    <w:p w14:paraId="0144E86B">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1989" w:name="_Ref3841166"/>
      <w:r>
        <w:rPr>
          <w:rFonts w:hint="eastAsia" w:ascii="宋体" w:hAnsi="宋体" w:cs="宋体"/>
          <w:color w:val="auto"/>
          <w:kern w:val="0"/>
          <w:szCs w:val="20"/>
          <w:highlight w:val="none"/>
          <w:lang w:bidi="ar"/>
        </w:rPr>
        <w:t>15.2.3承包人违约的责任</w:t>
      </w:r>
      <w:bookmarkEnd w:id="1989"/>
    </w:p>
    <w:p w14:paraId="552099B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承包人应承担因其违约行为而增加的费用和（或）延误的工期。此外，合同当事人可在专用合同条件中另行约定承包人违约责任的承担方式和计算方法。</w:t>
      </w:r>
    </w:p>
    <w:p w14:paraId="1858EA53">
      <w:pPr>
        <w:adjustRightInd w:val="0"/>
        <w:snapToGrid w:val="0"/>
        <w:spacing w:line="360" w:lineRule="auto"/>
        <w:rPr>
          <w:rFonts w:ascii="宋体" w:hAnsi="宋体"/>
          <w:b/>
          <w:color w:val="auto"/>
          <w:sz w:val="24"/>
          <w:highlight w:val="none"/>
        </w:rPr>
      </w:pPr>
      <w:bookmarkStart w:id="1990" w:name="_Toc161228747"/>
      <w:bookmarkStart w:id="1991" w:name="_Toc145081662"/>
      <w:bookmarkStart w:id="1992" w:name="_Toc54862302"/>
      <w:r>
        <w:rPr>
          <w:rFonts w:hint="eastAsia" w:ascii="宋体" w:hAnsi="宋体" w:eastAsia="宋体"/>
          <w:b/>
          <w:color w:val="auto"/>
          <w:sz w:val="24"/>
          <w:highlight w:val="none"/>
        </w:rPr>
        <w:t>15.3第三人造成的违约</w:t>
      </w:r>
      <w:bookmarkEnd w:id="1990"/>
      <w:bookmarkEnd w:id="1991"/>
      <w:bookmarkEnd w:id="1992"/>
    </w:p>
    <w:p w14:paraId="69A7787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在履行合同过程中，一方当事人因第三人的原因造成违约的，应当向对方当事人承担违约责任。一方当事人和第三人之间的纠纷，依照法律规定或者按照约定解决。</w:t>
      </w:r>
    </w:p>
    <w:p w14:paraId="53548287">
      <w:pPr>
        <w:adjustRightInd w:val="0"/>
        <w:snapToGrid w:val="0"/>
        <w:spacing w:line="360" w:lineRule="auto"/>
        <w:rPr>
          <w:rFonts w:ascii="黑体" w:hAnsi="黑体" w:eastAsia="黑体"/>
          <w:color w:val="auto"/>
          <w:sz w:val="24"/>
          <w:highlight w:val="none"/>
        </w:rPr>
      </w:pPr>
      <w:bookmarkStart w:id="1993" w:name="_Ref4510572"/>
      <w:bookmarkStart w:id="1994" w:name="_Toc54862303"/>
      <w:bookmarkStart w:id="1995" w:name="_Toc161228748"/>
      <w:bookmarkStart w:id="1996" w:name="_Ref532142069"/>
      <w:bookmarkStart w:id="1997" w:name="_Ref3840457"/>
      <w:r>
        <w:rPr>
          <w:rFonts w:hint="eastAsia" w:ascii="黑体" w:hAnsi="黑体" w:eastAsia="黑体"/>
          <w:color w:val="auto"/>
          <w:sz w:val="24"/>
          <w:highlight w:val="none"/>
        </w:rPr>
        <w:t>第16条 合同解除</w:t>
      </w:r>
      <w:bookmarkEnd w:id="1993"/>
      <w:bookmarkEnd w:id="1994"/>
      <w:bookmarkEnd w:id="1995"/>
    </w:p>
    <w:p w14:paraId="7DA1DA79">
      <w:pPr>
        <w:adjustRightInd w:val="0"/>
        <w:snapToGrid w:val="0"/>
        <w:spacing w:line="360" w:lineRule="auto"/>
        <w:rPr>
          <w:rFonts w:ascii="宋体" w:hAnsi="宋体"/>
          <w:b/>
          <w:color w:val="auto"/>
          <w:sz w:val="24"/>
          <w:highlight w:val="none"/>
        </w:rPr>
      </w:pPr>
      <w:bookmarkStart w:id="1998" w:name="_Ref531958502"/>
      <w:bookmarkStart w:id="1999" w:name="_Toc145081664"/>
      <w:bookmarkStart w:id="2000" w:name="_Ref531958499"/>
      <w:bookmarkStart w:id="2001" w:name="_Toc54862304"/>
      <w:bookmarkStart w:id="2002" w:name="_Toc161228749"/>
      <w:r>
        <w:rPr>
          <w:rFonts w:hint="eastAsia" w:ascii="宋体" w:hAnsi="宋体" w:eastAsia="宋体"/>
          <w:b/>
          <w:color w:val="auto"/>
          <w:sz w:val="24"/>
          <w:highlight w:val="none"/>
        </w:rPr>
        <w:t>16.1由发包人解除合同</w:t>
      </w:r>
      <w:bookmarkEnd w:id="1998"/>
      <w:bookmarkEnd w:id="1999"/>
      <w:bookmarkEnd w:id="2000"/>
      <w:bookmarkEnd w:id="2001"/>
      <w:bookmarkEnd w:id="2002"/>
    </w:p>
    <w:p w14:paraId="0F9013ED">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2003" w:name="_Ref4535422"/>
      <w:r>
        <w:rPr>
          <w:rFonts w:hint="eastAsia" w:ascii="宋体" w:hAnsi="宋体" w:cs="宋体"/>
          <w:color w:val="auto"/>
          <w:kern w:val="0"/>
          <w:szCs w:val="20"/>
          <w:highlight w:val="none"/>
          <w:lang w:bidi="ar"/>
        </w:rPr>
        <w:t>16.1.1因承包人违约解除合同</w:t>
      </w:r>
      <w:bookmarkEnd w:id="2003"/>
    </w:p>
    <w:p w14:paraId="5DCAF4A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发包人有权基于下列原因，以书面形式通知承包人解除合同，解除通知中应注明是根据第16.1.1项发出的，发包人应在发出正式解除合同通知14天前告知承包人其解除合同意向，除非承包人在收到该解除合同意向通知后14天内采取了补救措施，否则发包人可向承包人发出正式解除合同通知立即解除合同。解除日期应为承包人收到正式解除合同通知的日期，但在第（5）目的情况下，发包人无须提前告知承包人其解除合同意向，可直接发出正式解除合同通知立即解除合同：</w:t>
      </w:r>
    </w:p>
    <w:p w14:paraId="23C2558D">
      <w:pPr>
        <w:adjustRightInd w:val="0"/>
        <w:snapToGrid w:val="0"/>
        <w:spacing w:line="360" w:lineRule="auto"/>
        <w:ind w:firstLine="420" w:firstLineChars="200"/>
        <w:rPr>
          <w:rFonts w:ascii="宋体" w:hAnsi="宋体" w:cs="宋体"/>
          <w:color w:val="auto"/>
          <w:szCs w:val="21"/>
          <w:highlight w:val="none"/>
        </w:rPr>
      </w:pPr>
      <w:bookmarkStart w:id="2004" w:name="_Ref531958536"/>
      <w:r>
        <w:rPr>
          <w:rFonts w:hint="eastAsia" w:ascii="宋体" w:hAnsi="宋体" w:cs="宋体"/>
          <w:color w:val="auto"/>
          <w:szCs w:val="21"/>
          <w:highlight w:val="none"/>
        </w:rPr>
        <w:t>（1）承包人未能遵守第4.2款</w:t>
      </w:r>
      <w:bookmarkStart w:id="2005" w:name="_Hlk18839947"/>
      <w:r>
        <w:rPr>
          <w:rFonts w:hint="eastAsia" w:ascii="宋体" w:hAnsi="宋体" w:cs="宋体"/>
          <w:color w:val="auto"/>
          <w:szCs w:val="21"/>
          <w:highlight w:val="none"/>
        </w:rPr>
        <w:t>[履约担保]</w:t>
      </w:r>
      <w:bookmarkEnd w:id="2005"/>
      <w:r>
        <w:rPr>
          <w:rFonts w:hint="eastAsia" w:ascii="宋体" w:hAnsi="宋体" w:cs="宋体"/>
          <w:color w:val="auto"/>
          <w:szCs w:val="21"/>
          <w:highlight w:val="none"/>
        </w:rPr>
        <w:t>的约定；</w:t>
      </w:r>
    </w:p>
    <w:p w14:paraId="5C572CE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（2）承包人未能遵守第4.5款[分包]有关分包和转包的约定；</w:t>
      </w:r>
    </w:p>
    <w:p w14:paraId="6EFA00B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（3）承包人实际进度明显落后于进度计划，并且未按发包人的指令采取措施并修正进度计划；</w:t>
      </w:r>
    </w:p>
    <w:p w14:paraId="0CA04EC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（4）工程质量有严重缺陷，承包人无正当理由使修复开始日期拖延达28天以上；</w:t>
      </w:r>
    </w:p>
    <w:p w14:paraId="32136AD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582BAC2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（6）承包人明确表示或以自己的行为表明不履行合同或经发包人以书面形式通知其履约后仍未能依约履行合同或以不适当的方式履行合同；</w:t>
      </w:r>
    </w:p>
    <w:p w14:paraId="37A9380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（7）未能通过的竣工试验、未能通过的竣工后试验，使工程的任何部分和（或）整个工程丧失了主要使用功能、生产功能；</w:t>
      </w:r>
    </w:p>
    <w:p w14:paraId="55D6264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（8）因承包人的原因暂停工作超过56天且暂停影响到整个工程，或因承包人的原因暂停工作超过182天；</w:t>
      </w:r>
    </w:p>
    <w:p w14:paraId="51F0469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（9）承包人未能遵守第8.2款[竣工日期]规定，延误超过182天；</w:t>
      </w:r>
    </w:p>
    <w:p w14:paraId="0F9060F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（10）工程师根据第15.2.2项[通知改正]发出整改通知后，承包人在指定的合理期限内仍不纠正违约行为并致使合同目的不能实现的。</w:t>
      </w:r>
    </w:p>
    <w:bookmarkEnd w:id="2004"/>
    <w:p w14:paraId="286BA215">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2006" w:name="_Ref3841839"/>
      <w:bookmarkStart w:id="2007" w:name="_Ref4624315"/>
      <w:r>
        <w:rPr>
          <w:rFonts w:hint="eastAsia" w:ascii="宋体" w:hAnsi="宋体" w:cs="宋体"/>
          <w:color w:val="auto"/>
          <w:kern w:val="0"/>
          <w:szCs w:val="20"/>
          <w:highlight w:val="none"/>
          <w:lang w:bidi="ar"/>
        </w:rPr>
        <w:t>16.1.2因承包人违约解除合同后</w:t>
      </w:r>
      <w:bookmarkEnd w:id="2006"/>
      <w:r>
        <w:rPr>
          <w:rFonts w:hint="eastAsia" w:ascii="宋体" w:hAnsi="宋体" w:cs="宋体"/>
          <w:color w:val="auto"/>
          <w:kern w:val="0"/>
          <w:szCs w:val="20"/>
          <w:highlight w:val="none"/>
          <w:lang w:bidi="ar"/>
        </w:rPr>
        <w:t>承包人的义务</w:t>
      </w:r>
      <w:bookmarkEnd w:id="2007"/>
    </w:p>
    <w:p w14:paraId="515B01C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合同解除后，承包人应按以下约定执行：</w:t>
      </w:r>
    </w:p>
    <w:p w14:paraId="46EFF66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（1）除了为保护生命、财产或工程安全、清理和必须执行的工作外，停止执行所有被通知解除的工作，并将相关人员撤离现场；</w:t>
      </w:r>
    </w:p>
    <w:p w14:paraId="27B8537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（2）经发包人批准，承包人应将与被解除合同相关的和正在执行的分包合同及相关的责任和义务转让至发包人和（或）发包人指定方的名下，包括永久性工程及工程物资，以及相关工作；</w:t>
      </w:r>
    </w:p>
    <w:p w14:paraId="4EFD89A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（3）移交已完成的永久性工程及负责已运抵现场的工程物资。在移交前，妥善做好</w:t>
      </w:r>
      <w:r>
        <w:rPr>
          <w:rFonts w:hint="eastAsia" w:ascii="宋体" w:hAnsi="宋体" w:cs="宋体"/>
          <w:color w:val="auto"/>
          <w:szCs w:val="21"/>
          <w:highlight w:val="none"/>
          <w:lang w:val="en-US" w:eastAsia="zh-CN"/>
        </w:rPr>
        <w:t>已</w:t>
      </w:r>
      <w:r>
        <w:rPr>
          <w:rFonts w:hint="eastAsia" w:ascii="宋体" w:hAnsi="宋体" w:cs="宋体"/>
          <w:color w:val="auto"/>
          <w:szCs w:val="21"/>
          <w:highlight w:val="none"/>
        </w:rPr>
        <w:t>完工程和已运抵现场的工程物资的保管、维护和保养；</w:t>
      </w:r>
    </w:p>
    <w:p w14:paraId="287AA55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（4）将发包人提供的所有信息及承包人为本工程编制的设计文件、技术资料及其</w:t>
      </w:r>
      <w:r>
        <w:rPr>
          <w:rFonts w:hint="eastAsia" w:ascii="宋体" w:hAnsi="宋体" w:cs="宋体"/>
          <w:color w:val="auto"/>
          <w:szCs w:val="21"/>
          <w:highlight w:val="none"/>
          <w:lang w:val="en-US" w:eastAsia="zh-CN"/>
        </w:rPr>
        <w:t>他</w:t>
      </w:r>
      <w:r>
        <w:rPr>
          <w:rFonts w:hint="eastAsia" w:ascii="宋体" w:hAnsi="宋体" w:cs="宋体"/>
          <w:color w:val="auto"/>
          <w:szCs w:val="21"/>
          <w:highlight w:val="none"/>
        </w:rPr>
        <w:t>文件移交给发包人。在承包人留有的资料文件中，销毁与发包人提供的所有信息相关的数据及资料的备份；</w:t>
      </w:r>
    </w:p>
    <w:p w14:paraId="54F8195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（5）移交相应实施阶段已经付款的并已完成的和尚待完成的设计文件、图纸、资料、操作维修手册、施工组织设计、质检资料、竣工资料等；</w:t>
      </w:r>
    </w:p>
    <w:p w14:paraId="6890C233">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16.1.3因承包人违约解除合同后的估价、付款和结算</w:t>
      </w:r>
    </w:p>
    <w:p w14:paraId="688B8C5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因承包人原因导致合同解除的，则合同当事人应在合同解除后28天内完成估价、付款和清算，并按以下约定执行：</w:t>
      </w:r>
    </w:p>
    <w:p w14:paraId="7381ED8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（1）合同解除后，按第3.6款[商定或确定]商定或确定承包人实际完成工作对应的合同价款，以及承包人已提供的材料、工程设备、施工设备和临时工程等的价值；</w:t>
      </w:r>
    </w:p>
    <w:p w14:paraId="44DA016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（2）合同解除后，承包人应支付的违约金；</w:t>
      </w:r>
    </w:p>
    <w:p w14:paraId="5159709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（3）合同解除后，因解除合同给发包人造成的损失；</w:t>
      </w:r>
    </w:p>
    <w:p w14:paraId="2340A4F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（4）合同解除后，承包人应按照发包人的指示完成现场的清理和撤离；</w:t>
      </w:r>
    </w:p>
    <w:p w14:paraId="348E635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（5）发包人和承包人应在合同解除后进行清算，出具最终结清付款证书，结清全部款项。</w:t>
      </w:r>
    </w:p>
    <w:p w14:paraId="6010D85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02456E9D">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16.1.4因承包人违约解除合同的合同权益转让</w:t>
      </w:r>
    </w:p>
    <w:p w14:paraId="2E8B0EC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解除后，发包人可以继续完成工程，和（或）安排第三人完成。发包人有权要求承包人将其为实施合同而订立的材料和设备的订货合同或任何服务合同利益转让给发包人，并在承包人收到解除合同通知后的14天内，依法办理转让手续。发包人和（或）第三人有权使用承包人在施工现场的材料、设备、临时工程、承包人文件和由承包人或以其名义编制的其他文件。</w:t>
      </w:r>
    </w:p>
    <w:p w14:paraId="5573F77A">
      <w:pPr>
        <w:adjustRightInd w:val="0"/>
        <w:snapToGrid w:val="0"/>
        <w:spacing w:line="360" w:lineRule="auto"/>
        <w:rPr>
          <w:rFonts w:ascii="宋体" w:hAnsi="宋体"/>
          <w:b/>
          <w:color w:val="auto"/>
          <w:sz w:val="24"/>
          <w:highlight w:val="none"/>
        </w:rPr>
      </w:pPr>
      <w:bookmarkStart w:id="2008" w:name="_Toc161228750"/>
      <w:bookmarkStart w:id="2009" w:name="_Toc145081665"/>
      <w:bookmarkStart w:id="2010" w:name="_Toc54862305"/>
      <w:bookmarkStart w:id="2011" w:name="_Ref531958554"/>
      <w:bookmarkStart w:id="2012" w:name="_Ref531958549"/>
      <w:r>
        <w:rPr>
          <w:rFonts w:hint="eastAsia" w:ascii="宋体" w:hAnsi="宋体" w:eastAsia="宋体"/>
          <w:b/>
          <w:color w:val="auto"/>
          <w:sz w:val="24"/>
          <w:highlight w:val="none"/>
        </w:rPr>
        <w:t>16.2由承包人解除合同</w:t>
      </w:r>
      <w:bookmarkEnd w:id="2008"/>
      <w:bookmarkEnd w:id="2009"/>
      <w:bookmarkEnd w:id="2010"/>
      <w:bookmarkEnd w:id="2011"/>
      <w:bookmarkEnd w:id="2012"/>
    </w:p>
    <w:p w14:paraId="1CD024DB">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2013" w:name="_Ref3841758"/>
      <w:r>
        <w:rPr>
          <w:rFonts w:hint="eastAsia" w:ascii="宋体" w:hAnsi="宋体" w:cs="宋体"/>
          <w:color w:val="auto"/>
          <w:kern w:val="0"/>
          <w:szCs w:val="20"/>
          <w:highlight w:val="none"/>
          <w:lang w:bidi="ar"/>
        </w:rPr>
        <w:t>16.2.1因发包人违约解除合同</w:t>
      </w:r>
      <w:bookmarkEnd w:id="2013"/>
    </w:p>
    <w:p w14:paraId="227252C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承包人有权基于下列原因，以书面形式通知发包人解除合同，解除通知中应注明是根据第16.2.1项发出的，承包人应在发出正式解除合同通知14天前告知发包人其解除合同意向，除非发包人在收到该解除合同意向通知后14天内采取了补救措施，否则承包人可向发包人发出正式解除合同通知立即解除合同。解除日期应为发包人收到正式解除合同通知的日期，但在第（5）目的情况下，承包人无须提前告知发包人其解除合同意向，可直接发出正式解除合同通知立即解除合同：</w:t>
      </w:r>
    </w:p>
    <w:p w14:paraId="45BA37E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（1）承包人就发包人未能遵守第2.5.2项关于发包人的资金安排发出通知后42天内，仍未收到合理的证明；</w:t>
      </w:r>
    </w:p>
    <w:p w14:paraId="3936FE0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（2）在第14条规定的付款时间到期后42天内，承包人仍未收到应付款项；</w:t>
      </w:r>
    </w:p>
    <w:p w14:paraId="0DB45FE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（3）发包人实质上未能根据合同约定履行其义务，构成根本性违约；</w:t>
      </w:r>
    </w:p>
    <w:p w14:paraId="59807A1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（4）发承包双方订立本合同协议书后的84天内，承包人未收到根据第8.1款[开始工作]的开始工作通知；</w:t>
      </w:r>
    </w:p>
    <w:p w14:paraId="442037F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30BAD85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（6）发包人未能遵守第2.5.3项的约定提交支付担保；</w:t>
      </w:r>
    </w:p>
    <w:p w14:paraId="5CC5556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（7）发包人未能执行第15.1.2项[通知改正]的约定，致使合同目的不能实现的；</w:t>
      </w:r>
    </w:p>
    <w:p w14:paraId="28EB88C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（8）因发包人的原因暂停工作超过56天且暂停影响到整个工程，或因发包人的原因暂停工作超过182天的；</w:t>
      </w:r>
    </w:p>
    <w:p w14:paraId="63805BE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（9）因发包人原因造成开始工作日期迟于承包人收到中标通知书（或在无中标通知书的情况下，订立本合同之日）后第84天的。</w:t>
      </w:r>
    </w:p>
    <w:p w14:paraId="15C4666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接到承包人解除合同意向通知后14天内，发包人随后给予了付款，或同意复工或继续履行其义务或提供了支付担保等，承包人应尽快安排并恢复正常工作；因此造成工期延误的，竣工日期顺延；承包人因此增加的费用，由发包人承担。</w:t>
      </w:r>
    </w:p>
    <w:p w14:paraId="4740F20C">
      <w:pPr>
        <w:tabs>
          <w:tab w:val="left" w:pos="851"/>
        </w:tabs>
        <w:adjustRightInd w:val="0"/>
        <w:snapToGrid w:val="0"/>
        <w:spacing w:line="360" w:lineRule="auto"/>
        <w:ind w:firstLine="420" w:firstLineChars="200"/>
        <w:rPr>
          <w:rFonts w:ascii="宋体" w:hAnsi="宋体" w:cs="宋体"/>
          <w:color w:val="auto"/>
          <w:highlight w:val="none"/>
        </w:rPr>
      </w:pPr>
      <w:bookmarkStart w:id="2014" w:name="_Ref3842018"/>
      <w:bookmarkStart w:id="2015" w:name="_Ref4624336"/>
      <w:r>
        <w:rPr>
          <w:rFonts w:hint="eastAsia" w:ascii="宋体" w:hAnsi="宋体" w:cs="宋体"/>
          <w:color w:val="auto"/>
          <w:highlight w:val="none"/>
        </w:rPr>
        <w:t>16.2.2因发包人违约解除合同后</w:t>
      </w:r>
      <w:bookmarkEnd w:id="2014"/>
      <w:r>
        <w:rPr>
          <w:rFonts w:hint="eastAsia" w:ascii="宋体" w:hAnsi="宋体" w:cs="宋体"/>
          <w:color w:val="auto"/>
          <w:highlight w:val="none"/>
        </w:rPr>
        <w:t>承包人的义务</w:t>
      </w:r>
      <w:bookmarkEnd w:id="2015"/>
    </w:p>
    <w:p w14:paraId="127AF53E">
      <w:pPr>
        <w:pStyle w:val="40"/>
        <w:spacing w:after="0" w:afterLines="0"/>
        <w:ind w:left="0" w:firstLine="420" w:firstLineChars="200"/>
        <w:rPr>
          <w:rFonts w:cs="宋体"/>
          <w:color w:val="auto"/>
          <w:kern w:val="2"/>
          <w:sz w:val="21"/>
          <w:szCs w:val="21"/>
          <w:highlight w:val="none"/>
        </w:rPr>
      </w:pPr>
      <w:r>
        <w:rPr>
          <w:rFonts w:hint="eastAsia" w:cs="宋体"/>
          <w:color w:val="auto"/>
          <w:kern w:val="2"/>
          <w:sz w:val="21"/>
          <w:szCs w:val="21"/>
          <w:highlight w:val="none"/>
        </w:rPr>
        <w:t>合同解除后，承包人应按以下约定执行：</w:t>
      </w:r>
    </w:p>
    <w:p w14:paraId="1166AF8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（1）除为保护生命、财产、工程安全的工作外，停止所有进一步的工作；承包人因执行该保护工作而产生费用的，由发包人承担；</w:t>
      </w:r>
    </w:p>
    <w:p w14:paraId="38CED30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（2）向发包人移交承包人已获得支付的承包人文件、生产设备、材料和其他工作；</w:t>
      </w:r>
    </w:p>
    <w:p w14:paraId="64152BB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（3）从现场运走除为了安全需要以外的所有属于承包人的其他货物，并撤离现场。</w:t>
      </w:r>
    </w:p>
    <w:p w14:paraId="24E4A6BD">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16.2.3因发包人违约解除合同后的付款</w:t>
      </w:r>
    </w:p>
    <w:p w14:paraId="74E06FD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承包人按照本款约定解除合同的，发包人应在解除合同后28天内支付下列款项，并退还履约担保：</w:t>
      </w:r>
    </w:p>
    <w:p w14:paraId="6F76B4A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（1）合同解除前所完成工作的价款；</w:t>
      </w:r>
    </w:p>
    <w:p w14:paraId="0612AA4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（2）承包人为工程施工订购并已付款的材料、工程设备和其他物品的价款；发包人付款后，该材料、工程设备和其他物品归发包人所有；</w:t>
      </w:r>
    </w:p>
    <w:p w14:paraId="3ED1AFF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（3）承包人为完成工程所发生的，而发包人未支付的金额；</w:t>
      </w:r>
    </w:p>
    <w:p w14:paraId="374E8A0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（4）承包人撤离施工现场以及遣散承包人人员的款项；</w:t>
      </w:r>
    </w:p>
    <w:p w14:paraId="7D62364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（5）按照合同约定在合同解除前应支付的违约金；</w:t>
      </w:r>
    </w:p>
    <w:p w14:paraId="7F70B39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（6）按照合同约定应当支付给承包人的其他款项；</w:t>
      </w:r>
    </w:p>
    <w:p w14:paraId="0955BC7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（7）按照合同约定应返还的质量保证金；</w:t>
      </w:r>
    </w:p>
    <w:p w14:paraId="7D62070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（8）因解除合同给承包人造成的损失。</w:t>
      </w:r>
    </w:p>
    <w:p w14:paraId="7E7B127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承包人应妥善做好已完工程和与工程有关的已购材料、工程设备的保护和移交工作，并将施工设备和人员撤出施工现场，发包人应为承包人撤出提供必要条件。</w:t>
      </w:r>
    </w:p>
    <w:p w14:paraId="71E4048F">
      <w:pPr>
        <w:adjustRightInd w:val="0"/>
        <w:snapToGrid w:val="0"/>
        <w:spacing w:line="360" w:lineRule="auto"/>
        <w:rPr>
          <w:rFonts w:ascii="宋体" w:hAnsi="宋体"/>
          <w:b/>
          <w:color w:val="auto"/>
          <w:sz w:val="24"/>
          <w:highlight w:val="none"/>
        </w:rPr>
      </w:pPr>
      <w:bookmarkStart w:id="2016" w:name="_Toc161228751"/>
      <w:bookmarkStart w:id="2017" w:name="_Toc145081666"/>
      <w:bookmarkStart w:id="2018" w:name="_Ref3841966"/>
      <w:bookmarkStart w:id="2019" w:name="_Toc54862306"/>
      <w:r>
        <w:rPr>
          <w:rFonts w:hint="eastAsia" w:ascii="宋体" w:hAnsi="宋体" w:eastAsia="宋体"/>
          <w:b/>
          <w:color w:val="auto"/>
          <w:sz w:val="24"/>
          <w:highlight w:val="none"/>
        </w:rPr>
        <w:t>16.3合同解除后的事项</w:t>
      </w:r>
      <w:bookmarkEnd w:id="2016"/>
      <w:bookmarkEnd w:id="2017"/>
      <w:bookmarkEnd w:id="2018"/>
      <w:bookmarkEnd w:id="2019"/>
    </w:p>
    <w:p w14:paraId="241EA06F">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16.3.1结算约定依然有效</w:t>
      </w:r>
    </w:p>
    <w:p w14:paraId="5551332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合同解除后，由发包人或由承包人解除合同的结算及结算后的付款约定仍然有效，直至解除合同的结算工作结清。</w:t>
      </w:r>
    </w:p>
    <w:p w14:paraId="7366931C">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16.3.2解除合同的争议</w:t>
      </w:r>
    </w:p>
    <w:p w14:paraId="24D5B492">
      <w:pPr>
        <w:adjustRightInd w:val="0"/>
        <w:snapToGrid w:val="0"/>
        <w:spacing w:line="360" w:lineRule="auto"/>
        <w:ind w:firstLine="420" w:firstLineChars="200"/>
        <w:rPr>
          <w:rFonts w:ascii="宋体" w:hAnsi="宋体" w:cs="宋体"/>
          <w:color w:val="auto"/>
          <w:szCs w:val="21"/>
          <w:highlight w:val="none"/>
        </w:rPr>
      </w:pPr>
      <w:bookmarkStart w:id="2020" w:name="_Hlk18988355"/>
      <w:r>
        <w:rPr>
          <w:rFonts w:hint="eastAsia" w:ascii="宋体" w:hAnsi="宋体" w:cs="宋体"/>
          <w:color w:val="auto"/>
          <w:szCs w:val="21"/>
          <w:highlight w:val="none"/>
        </w:rPr>
        <w:t>双方对解除合同或解除合同后的结算有争议的，按照第20条[争议解决]的约定处理。</w:t>
      </w:r>
      <w:bookmarkEnd w:id="2020"/>
    </w:p>
    <w:p w14:paraId="0877FDFD">
      <w:pPr>
        <w:adjustRightInd w:val="0"/>
        <w:snapToGrid w:val="0"/>
        <w:spacing w:line="360" w:lineRule="auto"/>
        <w:rPr>
          <w:rFonts w:ascii="黑体" w:hAnsi="黑体" w:eastAsia="黑体"/>
          <w:color w:val="auto"/>
          <w:sz w:val="24"/>
          <w:highlight w:val="none"/>
        </w:rPr>
      </w:pPr>
      <w:bookmarkStart w:id="2021" w:name="_Toc54862307"/>
      <w:bookmarkStart w:id="2022" w:name="_Ref3840974"/>
      <w:bookmarkStart w:id="2023" w:name="_Toc161228752"/>
      <w:bookmarkStart w:id="2024" w:name="_Ref3840605"/>
      <w:r>
        <w:rPr>
          <w:rFonts w:hint="eastAsia" w:ascii="黑体" w:hAnsi="黑体" w:eastAsia="黑体"/>
          <w:color w:val="auto"/>
          <w:sz w:val="24"/>
          <w:highlight w:val="none"/>
        </w:rPr>
        <w:t>第17条 不可抗力</w:t>
      </w:r>
      <w:bookmarkEnd w:id="2021"/>
      <w:bookmarkEnd w:id="2022"/>
      <w:bookmarkEnd w:id="2023"/>
    </w:p>
    <w:p w14:paraId="02DBBA37">
      <w:pPr>
        <w:adjustRightInd w:val="0"/>
        <w:snapToGrid w:val="0"/>
        <w:spacing w:line="360" w:lineRule="auto"/>
        <w:rPr>
          <w:rFonts w:ascii="宋体" w:hAnsi="宋体"/>
          <w:b/>
          <w:color w:val="auto"/>
          <w:sz w:val="24"/>
          <w:highlight w:val="none"/>
        </w:rPr>
      </w:pPr>
      <w:bookmarkStart w:id="2025" w:name="_Ref531958158"/>
      <w:bookmarkStart w:id="2026" w:name="_Ref531958161"/>
      <w:bookmarkStart w:id="2027" w:name="_Toc145081668"/>
      <w:bookmarkStart w:id="2028" w:name="_Toc161228753"/>
      <w:bookmarkStart w:id="2029" w:name="_Toc54862308"/>
      <w:r>
        <w:rPr>
          <w:rFonts w:hint="eastAsia" w:ascii="宋体" w:hAnsi="宋体" w:eastAsia="宋体"/>
          <w:b/>
          <w:color w:val="auto"/>
          <w:sz w:val="24"/>
          <w:highlight w:val="none"/>
        </w:rPr>
        <w:t>17.1不可抗力的</w:t>
      </w:r>
      <w:bookmarkEnd w:id="2025"/>
      <w:bookmarkEnd w:id="2026"/>
      <w:r>
        <w:rPr>
          <w:rFonts w:hint="eastAsia" w:ascii="宋体" w:hAnsi="宋体" w:eastAsia="宋体"/>
          <w:b/>
          <w:color w:val="auto"/>
          <w:sz w:val="24"/>
          <w:highlight w:val="none"/>
        </w:rPr>
        <w:t>定义</w:t>
      </w:r>
      <w:bookmarkEnd w:id="2027"/>
      <w:bookmarkEnd w:id="2028"/>
      <w:bookmarkEnd w:id="2029"/>
    </w:p>
    <w:p w14:paraId="43E4274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14:paraId="3936A5C3">
      <w:pPr>
        <w:adjustRightInd w:val="0"/>
        <w:snapToGrid w:val="0"/>
        <w:spacing w:line="360" w:lineRule="auto"/>
        <w:rPr>
          <w:rFonts w:ascii="宋体" w:hAnsi="宋体"/>
          <w:b/>
          <w:color w:val="auto"/>
          <w:sz w:val="24"/>
          <w:highlight w:val="none"/>
        </w:rPr>
      </w:pPr>
      <w:bookmarkStart w:id="2030" w:name="_Toc145081669"/>
      <w:bookmarkStart w:id="2031" w:name="_Toc161228754"/>
      <w:bookmarkStart w:id="2032" w:name="_Toc54862309"/>
      <w:r>
        <w:rPr>
          <w:rFonts w:hint="eastAsia" w:ascii="宋体" w:hAnsi="宋体" w:eastAsia="宋体"/>
          <w:b/>
          <w:color w:val="auto"/>
          <w:sz w:val="24"/>
          <w:highlight w:val="none"/>
        </w:rPr>
        <w:t>17.2不可抗力的通知</w:t>
      </w:r>
      <w:bookmarkEnd w:id="2030"/>
      <w:bookmarkEnd w:id="2031"/>
      <w:bookmarkEnd w:id="2032"/>
    </w:p>
    <w:p w14:paraId="49646F7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合同一方当事人觉察或发现不可抗力事件发生，使其履行合同义务受到阻碍时，有义务立即通知合同另一方当事人和工程师，书面说明不可抗力和受阻碍的详细情况，并提供必要的证明。</w:t>
      </w:r>
    </w:p>
    <w:p w14:paraId="25CCFD8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不可抗力持续发生的，合同一方当事人应每隔28天向合同另一方当事人和工程师提交中间报告，说明不可抗力和履行合同受阻的情况，并于不可抗力事件结束后28天内提交最终报告及有关资料。</w:t>
      </w:r>
    </w:p>
    <w:p w14:paraId="433D6F24">
      <w:pPr>
        <w:adjustRightInd w:val="0"/>
        <w:snapToGrid w:val="0"/>
        <w:spacing w:line="360" w:lineRule="auto"/>
        <w:rPr>
          <w:rFonts w:ascii="宋体" w:hAnsi="宋体"/>
          <w:b/>
          <w:color w:val="auto"/>
          <w:sz w:val="24"/>
          <w:highlight w:val="none"/>
        </w:rPr>
      </w:pPr>
      <w:bookmarkStart w:id="2033" w:name="_Toc145081670"/>
      <w:bookmarkStart w:id="2034" w:name="_Toc161228755"/>
      <w:bookmarkStart w:id="2035" w:name="_Toc54862310"/>
      <w:r>
        <w:rPr>
          <w:rFonts w:hint="eastAsia" w:ascii="宋体" w:hAnsi="宋体" w:eastAsia="宋体"/>
          <w:b/>
          <w:color w:val="auto"/>
          <w:sz w:val="24"/>
          <w:highlight w:val="none"/>
        </w:rPr>
        <w:t>17.3将损失减至最小的义务</w:t>
      </w:r>
      <w:bookmarkEnd w:id="2033"/>
      <w:bookmarkEnd w:id="2034"/>
      <w:bookmarkEnd w:id="2035"/>
    </w:p>
    <w:p w14:paraId="2FC9925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14:paraId="6DCFA834">
      <w:pPr>
        <w:adjustRightInd w:val="0"/>
        <w:snapToGrid w:val="0"/>
        <w:spacing w:line="360" w:lineRule="auto"/>
        <w:rPr>
          <w:rFonts w:ascii="宋体" w:hAnsi="宋体"/>
          <w:b/>
          <w:color w:val="auto"/>
          <w:sz w:val="24"/>
          <w:highlight w:val="none"/>
        </w:rPr>
      </w:pPr>
      <w:bookmarkStart w:id="2036" w:name="_Ref531958170"/>
      <w:bookmarkStart w:id="2037" w:name="_Ref531958172"/>
      <w:bookmarkStart w:id="2038" w:name="_Toc161228756"/>
      <w:bookmarkStart w:id="2039" w:name="_Toc145081671"/>
      <w:bookmarkStart w:id="2040" w:name="_Ref3840916"/>
      <w:bookmarkStart w:id="2041" w:name="_Toc54862311"/>
      <w:r>
        <w:rPr>
          <w:rFonts w:hint="eastAsia" w:ascii="宋体" w:hAnsi="宋体" w:eastAsia="宋体"/>
          <w:b/>
          <w:color w:val="auto"/>
          <w:sz w:val="24"/>
          <w:highlight w:val="none"/>
        </w:rPr>
        <w:t>17.4不可抗力后果</w:t>
      </w:r>
      <w:bookmarkEnd w:id="2036"/>
      <w:bookmarkEnd w:id="2037"/>
      <w:r>
        <w:rPr>
          <w:rFonts w:hint="eastAsia" w:ascii="宋体" w:hAnsi="宋体" w:eastAsia="宋体"/>
          <w:b/>
          <w:color w:val="auto"/>
          <w:sz w:val="24"/>
          <w:highlight w:val="none"/>
        </w:rPr>
        <w:t>的承担</w:t>
      </w:r>
      <w:bookmarkEnd w:id="2038"/>
      <w:bookmarkEnd w:id="2039"/>
      <w:bookmarkEnd w:id="2040"/>
      <w:bookmarkEnd w:id="2041"/>
    </w:p>
    <w:p w14:paraId="281EBBD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不可抗力导致的人员伤亡、财产损失、费用增加和（或）工期延误等后果，由合同当事人按以下原则承担：</w:t>
      </w:r>
    </w:p>
    <w:p w14:paraId="40A16A9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（1）永久工程，包括已运至施工现场的材料和工程设备的损害，以及因工程损害造成的第三人人员伤亡和财产损失由发包人承担；</w:t>
      </w:r>
    </w:p>
    <w:p w14:paraId="2792AF7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（2）承包人提供的施工设备的损坏由承包人承担；</w:t>
      </w:r>
    </w:p>
    <w:p w14:paraId="7B8CAB9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（3）发包人和承包人各自承担其人员伤亡及其他财产损失；</w:t>
      </w:r>
    </w:p>
    <w:p w14:paraId="3BA0358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（4）因不可抗力影响承包人履行合同约定的义务，已经引起或将引起工期延误的，应当顺延工期，由此导致承包人停工的费用损失由发包人和承包人合理分担，</w:t>
      </w:r>
      <w:bookmarkStart w:id="2042" w:name="_Hlk51507024"/>
      <w:r>
        <w:rPr>
          <w:rFonts w:hint="eastAsia" w:ascii="宋体" w:hAnsi="宋体" w:cs="宋体"/>
          <w:color w:val="auto"/>
          <w:szCs w:val="21"/>
          <w:highlight w:val="none"/>
        </w:rPr>
        <w:t>停工期间必须支付的现场必要的工人工资</w:t>
      </w:r>
      <w:bookmarkEnd w:id="2042"/>
      <w:r>
        <w:rPr>
          <w:rFonts w:hint="eastAsia" w:ascii="宋体" w:hAnsi="宋体" w:cs="宋体"/>
          <w:color w:val="auto"/>
          <w:szCs w:val="21"/>
          <w:highlight w:val="none"/>
        </w:rPr>
        <w:t>由发包人承担；</w:t>
      </w:r>
    </w:p>
    <w:p w14:paraId="1507D25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（5）因不可抗力引起或将引起工期延误，发包人指示赶工的，由此增加的赶工费用由发包人承担；</w:t>
      </w:r>
    </w:p>
    <w:p w14:paraId="01677C3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（6）承包人在停工期间按照工程师或发包人要求照管、清理和修复工程的费用由发包人承担。</w:t>
      </w:r>
    </w:p>
    <w:p w14:paraId="20C1210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不可抗力引起的后果及造成的损失由合同当事人按照法律规定及合同约定各自承担。不可抗力发生前已完成的工程应当按照合同约定进行支付。</w:t>
      </w:r>
    </w:p>
    <w:p w14:paraId="156BA5A9">
      <w:pPr>
        <w:adjustRightInd w:val="0"/>
        <w:snapToGrid w:val="0"/>
        <w:spacing w:line="360" w:lineRule="auto"/>
        <w:rPr>
          <w:rFonts w:ascii="宋体" w:hAnsi="宋体"/>
          <w:b/>
          <w:color w:val="auto"/>
          <w:sz w:val="24"/>
          <w:highlight w:val="none"/>
        </w:rPr>
      </w:pPr>
      <w:bookmarkStart w:id="2043" w:name="_Toc161228757"/>
      <w:bookmarkStart w:id="2044" w:name="_Toc145081672"/>
      <w:bookmarkStart w:id="2045" w:name="_Toc54862312"/>
      <w:r>
        <w:rPr>
          <w:rFonts w:hint="eastAsia" w:ascii="宋体" w:hAnsi="宋体" w:eastAsia="宋体"/>
          <w:b/>
          <w:color w:val="auto"/>
          <w:sz w:val="24"/>
          <w:highlight w:val="none"/>
        </w:rPr>
        <w:t>17.5不可抗力影响分包人</w:t>
      </w:r>
      <w:bookmarkEnd w:id="2043"/>
      <w:bookmarkEnd w:id="2044"/>
      <w:bookmarkEnd w:id="2045"/>
    </w:p>
    <w:p w14:paraId="5958070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分包人根据分包合同的约定，有权获得更多或者更广的不可抗力而免除某些义务时，承包人不得以分包合同中不可抗力约定向发包人抗辩免除其义务。</w:t>
      </w:r>
    </w:p>
    <w:p w14:paraId="31D6EA3F">
      <w:pPr>
        <w:adjustRightInd w:val="0"/>
        <w:snapToGrid w:val="0"/>
        <w:spacing w:line="360" w:lineRule="auto"/>
        <w:rPr>
          <w:rFonts w:ascii="宋体" w:hAnsi="宋体"/>
          <w:b/>
          <w:color w:val="auto"/>
          <w:sz w:val="24"/>
          <w:highlight w:val="none"/>
        </w:rPr>
      </w:pPr>
      <w:bookmarkStart w:id="2046" w:name="_Ref531958181"/>
      <w:bookmarkStart w:id="2047" w:name="_Ref531958184"/>
      <w:bookmarkStart w:id="2048" w:name="_Ref3840892"/>
      <w:bookmarkStart w:id="2049" w:name="_Toc145081673"/>
      <w:bookmarkStart w:id="2050" w:name="_Ref4538024"/>
      <w:bookmarkStart w:id="2051" w:name="_Toc54862313"/>
      <w:bookmarkStart w:id="2052" w:name="_Toc161228758"/>
      <w:r>
        <w:rPr>
          <w:rFonts w:hint="eastAsia" w:ascii="宋体" w:hAnsi="宋体" w:eastAsia="宋体"/>
          <w:b/>
          <w:color w:val="auto"/>
          <w:sz w:val="24"/>
          <w:highlight w:val="none"/>
        </w:rPr>
        <w:t>17.6因不可抗力解除</w:t>
      </w:r>
      <w:bookmarkEnd w:id="2046"/>
      <w:bookmarkEnd w:id="2047"/>
      <w:r>
        <w:rPr>
          <w:rFonts w:hint="eastAsia" w:ascii="宋体" w:hAnsi="宋体" w:eastAsia="宋体"/>
          <w:b/>
          <w:color w:val="auto"/>
          <w:sz w:val="24"/>
          <w:highlight w:val="none"/>
        </w:rPr>
        <w:t>合同</w:t>
      </w:r>
      <w:bookmarkEnd w:id="2048"/>
      <w:bookmarkEnd w:id="2049"/>
      <w:bookmarkEnd w:id="2050"/>
      <w:bookmarkEnd w:id="2051"/>
      <w:bookmarkEnd w:id="2052"/>
    </w:p>
    <w:p w14:paraId="27A100D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单次不可抗力导致合同无法履行连续超过84天或累计超过140天的，发包人和承包人均有权解除合同。合同解除后，承包人应按照第10.5款[竣工退场]的规定进行。由双方当事人按照第3.6款[商定或确定]商定或确定发包人应支付的款项，该款项包括：</w:t>
      </w:r>
    </w:p>
    <w:p w14:paraId="5BE134C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（1）合同解除前承包人已完成工作的价款；</w:t>
      </w:r>
    </w:p>
    <w:p w14:paraId="10A3BD3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14:paraId="08C0A5E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（3）发包人指示承包人退货或解除订货合同而产生的费用，或因不能退货或解除合同而产生的损失；</w:t>
      </w:r>
    </w:p>
    <w:p w14:paraId="0E26354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（4）承包人撤离施工现场以及遣散承包人人员的费用；</w:t>
      </w:r>
    </w:p>
    <w:p w14:paraId="79322F2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（5）按照合同约定在合同解除前应支付给承包人的其他款项；</w:t>
      </w:r>
    </w:p>
    <w:p w14:paraId="135E8B4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（6）扣减承包人按照合同约定应向发包人支付的款项；</w:t>
      </w:r>
    </w:p>
    <w:p w14:paraId="08C8704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（7）双方商定或确定的其他款项。</w:t>
      </w:r>
    </w:p>
    <w:p w14:paraId="0A93E57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除专用合同条件另有约定外，合同解除后，发包人应当在商定或确定上述款项后28天内完成上述款项的支付。</w:t>
      </w:r>
    </w:p>
    <w:p w14:paraId="5BC71A54">
      <w:pPr>
        <w:adjustRightInd w:val="0"/>
        <w:snapToGrid w:val="0"/>
        <w:spacing w:line="360" w:lineRule="auto"/>
        <w:rPr>
          <w:rFonts w:ascii="黑体" w:hAnsi="黑体" w:eastAsia="黑体"/>
          <w:color w:val="auto"/>
          <w:sz w:val="24"/>
          <w:highlight w:val="none"/>
        </w:rPr>
      </w:pPr>
      <w:bookmarkStart w:id="2053" w:name="_Ref11848264"/>
      <w:bookmarkStart w:id="2054" w:name="_Ref11848274"/>
      <w:bookmarkStart w:id="2055" w:name="_Toc54862314"/>
      <w:bookmarkStart w:id="2056" w:name="_Toc161228759"/>
      <w:r>
        <w:rPr>
          <w:rFonts w:hint="eastAsia" w:ascii="黑体" w:hAnsi="黑体" w:eastAsia="黑体"/>
          <w:color w:val="auto"/>
          <w:sz w:val="24"/>
          <w:highlight w:val="none"/>
        </w:rPr>
        <w:t>第18条 保险</w:t>
      </w:r>
      <w:bookmarkEnd w:id="2024"/>
      <w:bookmarkEnd w:id="2053"/>
      <w:bookmarkEnd w:id="2054"/>
      <w:bookmarkEnd w:id="2055"/>
      <w:bookmarkEnd w:id="2056"/>
    </w:p>
    <w:p w14:paraId="59A2D4C7">
      <w:pPr>
        <w:adjustRightInd w:val="0"/>
        <w:snapToGrid w:val="0"/>
        <w:spacing w:line="360" w:lineRule="auto"/>
        <w:rPr>
          <w:rFonts w:ascii="宋体" w:hAnsi="宋体"/>
          <w:b/>
          <w:color w:val="auto"/>
          <w:sz w:val="24"/>
          <w:highlight w:val="none"/>
        </w:rPr>
      </w:pPr>
      <w:bookmarkStart w:id="2057" w:name="_Ref3840734"/>
      <w:bookmarkStart w:id="2058" w:name="_Toc54862315"/>
      <w:bookmarkStart w:id="2059" w:name="_Toc145081675"/>
      <w:bookmarkStart w:id="2060" w:name="_Ref3840730"/>
      <w:bookmarkStart w:id="2061" w:name="_Toc161228760"/>
      <w:bookmarkStart w:id="2062" w:name="_Ref531957911"/>
      <w:bookmarkStart w:id="2063" w:name="_Ref531957914"/>
      <w:bookmarkStart w:id="2064" w:name="_Toc351203616"/>
      <w:r>
        <w:rPr>
          <w:rFonts w:hint="eastAsia" w:ascii="宋体" w:hAnsi="宋体" w:eastAsia="宋体"/>
          <w:b/>
          <w:color w:val="auto"/>
          <w:sz w:val="24"/>
          <w:highlight w:val="none"/>
        </w:rPr>
        <w:t>18.1设计和工程保险</w:t>
      </w:r>
      <w:bookmarkEnd w:id="2057"/>
      <w:bookmarkEnd w:id="2058"/>
      <w:bookmarkEnd w:id="2059"/>
      <w:bookmarkEnd w:id="2060"/>
      <w:bookmarkEnd w:id="2061"/>
    </w:p>
    <w:bookmarkEnd w:id="2062"/>
    <w:bookmarkEnd w:id="2063"/>
    <w:p w14:paraId="55AFA8AC">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18.1.1双方应按照专用合同条件的约定向双方同意的保险人投保建设工程设计责任险、建筑安装工程一切险等保险。具体的投保险种、保险范围、保险金额、保险费率、保险期限等有关内容应当在专用合同条件中明确约定。</w:t>
      </w:r>
    </w:p>
    <w:p w14:paraId="78B7122A">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18.1.2双方应按照专用合同条件的约定投保第三者责任险，并在缺陷责任期终止证书颁发前维持其持续有效。第三者责任险最低投保额应在专用合同条件内约定。</w:t>
      </w:r>
    </w:p>
    <w:p w14:paraId="54CD816D">
      <w:pPr>
        <w:adjustRightInd w:val="0"/>
        <w:snapToGrid w:val="0"/>
        <w:spacing w:line="360" w:lineRule="auto"/>
        <w:rPr>
          <w:rFonts w:ascii="宋体" w:hAnsi="宋体"/>
          <w:b/>
          <w:color w:val="auto"/>
          <w:sz w:val="24"/>
          <w:highlight w:val="none"/>
        </w:rPr>
      </w:pPr>
      <w:bookmarkStart w:id="2065" w:name="_Toc145081676"/>
      <w:bookmarkStart w:id="2066" w:name="_Toc161228761"/>
      <w:bookmarkStart w:id="2067" w:name="_Ref3840683"/>
      <w:bookmarkStart w:id="2068" w:name="_Toc54862316"/>
      <w:r>
        <w:rPr>
          <w:rFonts w:hint="eastAsia" w:ascii="宋体" w:hAnsi="宋体" w:eastAsia="宋体"/>
          <w:b/>
          <w:color w:val="auto"/>
          <w:sz w:val="24"/>
          <w:highlight w:val="none"/>
        </w:rPr>
        <w:t>18.2工伤和意外伤害保险</w:t>
      </w:r>
      <w:bookmarkEnd w:id="2065"/>
      <w:bookmarkEnd w:id="2066"/>
      <w:bookmarkEnd w:id="2067"/>
      <w:bookmarkEnd w:id="2068"/>
    </w:p>
    <w:p w14:paraId="14FA79BD">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18.2.1发包人应依照法律规定为其在施工现场的雇用人员办理工伤保险，缴纳工伤保险费；并要求工程师及由发包人为履行合同聘请的第三方在施工现场的雇用人员依法办理工伤保险。</w:t>
      </w:r>
    </w:p>
    <w:p w14:paraId="2F1B14D4">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18.2.2承包人应依照法律规定为其履行合同雇用的全部人员办理工伤保险，缴纳工伤保险费，并要求分包人及由承包人为履行合同聘请的第三方雇用的全部人员依法办理工伤保险。</w:t>
      </w:r>
    </w:p>
    <w:p w14:paraId="6CB47CDF">
      <w:pPr>
        <w:tabs>
          <w:tab w:val="left" w:pos="851"/>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18.2.3发包人和承包人可以为其施工现场的全部人员办理意外伤害保险并支付保险费，包括其员工及为履行合同聘请的第三方的人员，具体事项由合同当事人在专用合同条件约定。</w:t>
      </w:r>
    </w:p>
    <w:p w14:paraId="0E06F98D">
      <w:pPr>
        <w:adjustRightInd w:val="0"/>
        <w:snapToGrid w:val="0"/>
        <w:spacing w:line="360" w:lineRule="auto"/>
        <w:rPr>
          <w:rFonts w:ascii="宋体" w:hAnsi="宋体"/>
          <w:b/>
          <w:color w:val="auto"/>
          <w:sz w:val="24"/>
          <w:highlight w:val="none"/>
        </w:rPr>
      </w:pPr>
      <w:bookmarkStart w:id="2069" w:name="_Ref3840782"/>
      <w:bookmarkStart w:id="2070" w:name="_Toc54862317"/>
      <w:bookmarkStart w:id="2071" w:name="_Toc161228762"/>
      <w:bookmarkStart w:id="2072" w:name="_Toc145081677"/>
      <w:r>
        <w:rPr>
          <w:rFonts w:hint="eastAsia" w:ascii="宋体" w:hAnsi="宋体" w:eastAsia="宋体"/>
          <w:b/>
          <w:color w:val="auto"/>
          <w:sz w:val="24"/>
          <w:highlight w:val="none"/>
        </w:rPr>
        <w:t>18.3货物保险</w:t>
      </w:r>
      <w:bookmarkEnd w:id="2069"/>
      <w:bookmarkEnd w:id="2070"/>
      <w:bookmarkEnd w:id="2071"/>
      <w:bookmarkEnd w:id="2072"/>
    </w:p>
    <w:p w14:paraId="0593D5F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w:t>
      </w:r>
      <w:r>
        <w:rPr>
          <w:rFonts w:hint="eastAsia" w:ascii="宋体" w:hAnsi="宋体" w:cs="宋体"/>
          <w:iCs/>
          <w:color w:val="auto"/>
          <w:szCs w:val="21"/>
          <w:highlight w:val="none"/>
        </w:rPr>
        <w:t>按照</w:t>
      </w:r>
      <w:r>
        <w:rPr>
          <w:rFonts w:hint="eastAsia" w:ascii="宋体" w:hAnsi="宋体" w:cs="宋体"/>
          <w:color w:val="auto"/>
          <w:szCs w:val="21"/>
          <w:highlight w:val="none"/>
        </w:rPr>
        <w:t>专用合同条件的约定为</w:t>
      </w:r>
      <w:r>
        <w:rPr>
          <w:rFonts w:hint="eastAsia" w:ascii="宋体" w:hAnsi="宋体" w:cs="宋体"/>
          <w:iCs/>
          <w:color w:val="auto"/>
          <w:szCs w:val="21"/>
          <w:highlight w:val="none"/>
        </w:rPr>
        <w:t>运抵现场的</w:t>
      </w:r>
      <w:r>
        <w:rPr>
          <w:rFonts w:hint="eastAsia" w:ascii="宋体" w:hAnsi="宋体" w:cs="宋体"/>
          <w:color w:val="auto"/>
          <w:szCs w:val="21"/>
          <w:highlight w:val="none"/>
        </w:rPr>
        <w:t>施工设备、材料、工程设备和临时工程等办理财产保险，保险期限自上述货物运抵现场至其不再为工程所需要为止。</w:t>
      </w:r>
    </w:p>
    <w:p w14:paraId="7815504F">
      <w:pPr>
        <w:adjustRightInd w:val="0"/>
        <w:snapToGrid w:val="0"/>
        <w:spacing w:line="360" w:lineRule="auto"/>
        <w:rPr>
          <w:rFonts w:ascii="宋体" w:hAnsi="宋体"/>
          <w:b/>
          <w:color w:val="auto"/>
          <w:sz w:val="24"/>
          <w:highlight w:val="none"/>
        </w:rPr>
      </w:pPr>
      <w:bookmarkStart w:id="2073" w:name="_Ref4692238"/>
      <w:bookmarkStart w:id="2074" w:name="_Toc145081678"/>
      <w:bookmarkStart w:id="2075" w:name="_Toc161228763"/>
      <w:bookmarkStart w:id="2076" w:name="_Ref4692231"/>
      <w:bookmarkStart w:id="2077" w:name="_Toc54862318"/>
      <w:r>
        <w:rPr>
          <w:rFonts w:hint="eastAsia" w:ascii="宋体" w:hAnsi="宋体" w:eastAsia="宋体"/>
          <w:b/>
          <w:color w:val="auto"/>
          <w:sz w:val="24"/>
          <w:highlight w:val="none"/>
        </w:rPr>
        <w:t>18.4其他保险</w:t>
      </w:r>
      <w:bookmarkEnd w:id="2073"/>
      <w:bookmarkEnd w:id="2074"/>
      <w:bookmarkEnd w:id="2075"/>
      <w:bookmarkEnd w:id="2076"/>
      <w:bookmarkEnd w:id="2077"/>
    </w:p>
    <w:p w14:paraId="38557BB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w:t>
      </w:r>
      <w:bookmarkEnd w:id="2064"/>
      <w:r>
        <w:rPr>
          <w:rFonts w:hint="eastAsia" w:ascii="宋体" w:hAnsi="宋体" w:cs="宋体"/>
          <w:color w:val="auto"/>
          <w:szCs w:val="21"/>
          <w:highlight w:val="none"/>
        </w:rPr>
        <w:t>保费用包含在合同价格中，但在合同执行过程中，新颁布适用的法律法规规定由承包人投保的强制保险，应根据本合同</w:t>
      </w:r>
      <w:bookmarkStart w:id="2078" w:name="_Toc351203617"/>
      <w:bookmarkStart w:id="2079" w:name="_Toc296346627"/>
      <w:bookmarkStart w:id="2080" w:name="_Toc296503126"/>
      <w:bookmarkStart w:id="2081" w:name="_Toc337558832"/>
      <w:r>
        <w:rPr>
          <w:rFonts w:hint="eastAsia" w:ascii="宋体" w:hAnsi="宋体" w:cs="宋体"/>
          <w:color w:val="auto"/>
          <w:szCs w:val="21"/>
          <w:highlight w:val="none"/>
        </w:rPr>
        <w:t>第13条[变更与调整]的约定增加合同价款。</w:t>
      </w:r>
    </w:p>
    <w:p w14:paraId="6B44F0EE">
      <w:pPr>
        <w:adjustRightInd w:val="0"/>
        <w:snapToGrid w:val="0"/>
        <w:spacing w:line="360" w:lineRule="auto"/>
        <w:rPr>
          <w:rFonts w:ascii="宋体" w:hAnsi="宋体"/>
          <w:b/>
          <w:color w:val="auto"/>
          <w:sz w:val="24"/>
          <w:highlight w:val="none"/>
        </w:rPr>
      </w:pPr>
      <w:bookmarkStart w:id="2082" w:name="_Toc54862319"/>
      <w:bookmarkStart w:id="2083" w:name="_Toc161228764"/>
      <w:bookmarkStart w:id="2084" w:name="_Toc145081679"/>
      <w:bookmarkStart w:id="2085" w:name="_Ref3840659"/>
      <w:r>
        <w:rPr>
          <w:rFonts w:hint="eastAsia" w:ascii="宋体" w:hAnsi="宋体" w:eastAsia="宋体"/>
          <w:b/>
          <w:color w:val="auto"/>
          <w:sz w:val="24"/>
          <w:highlight w:val="none"/>
        </w:rPr>
        <w:t>18.5对各项保险的一般要求</w:t>
      </w:r>
      <w:bookmarkEnd w:id="2082"/>
      <w:bookmarkEnd w:id="2083"/>
      <w:bookmarkEnd w:id="2084"/>
      <w:bookmarkEnd w:id="2085"/>
    </w:p>
    <w:p w14:paraId="0E478D3E">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18.5.1持续保险</w:t>
      </w:r>
    </w:p>
    <w:p w14:paraId="7F1F4E2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合同当事人应与保险人保持联系，使保险人能够随时了</w:t>
      </w:r>
      <w:bookmarkEnd w:id="2078"/>
      <w:r>
        <w:rPr>
          <w:rFonts w:hint="eastAsia" w:ascii="宋体" w:hAnsi="宋体" w:cs="宋体"/>
          <w:color w:val="auto"/>
          <w:szCs w:val="21"/>
          <w:highlight w:val="none"/>
        </w:rPr>
        <w:t>解</w:t>
      </w:r>
      <w:bookmarkEnd w:id="2079"/>
      <w:bookmarkEnd w:id="2080"/>
      <w:bookmarkEnd w:id="2081"/>
      <w:r>
        <w:rPr>
          <w:rFonts w:hint="eastAsia" w:ascii="宋体" w:hAnsi="宋体" w:cs="宋体"/>
          <w:color w:val="auto"/>
          <w:szCs w:val="21"/>
          <w:highlight w:val="none"/>
        </w:rPr>
        <w:t>工程实施中的变动，并确保按保险合同条款要求持续保险。</w:t>
      </w:r>
    </w:p>
    <w:p w14:paraId="4674A734">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2086" w:name="_Ref4777650"/>
      <w:r>
        <w:rPr>
          <w:rFonts w:hint="eastAsia" w:ascii="宋体" w:hAnsi="宋体" w:cs="宋体"/>
          <w:color w:val="auto"/>
          <w:kern w:val="0"/>
          <w:szCs w:val="20"/>
          <w:highlight w:val="none"/>
          <w:lang w:bidi="ar"/>
        </w:rPr>
        <w:t>18.5.2保险凭证</w:t>
      </w:r>
      <w:bookmarkEnd w:id="2086"/>
    </w:p>
    <w:p w14:paraId="6DD4A62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合同当事人应及时向另一方当事人提交其已投保的各项保险的凭证和保险单复印件，保险单必须与专用合同条件约定的条件保持一致。</w:t>
      </w:r>
    </w:p>
    <w:p w14:paraId="32B5148D">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18.5.3未按约定投保的补救</w:t>
      </w:r>
    </w:p>
    <w:p w14:paraId="66AA54F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负有投保义务的一方当事人未按合同约定办理保险，或未能使保险持续有效的，则另一方当事人可代为办理，所需费用由负有投保义务的一方当事人承担。</w:t>
      </w:r>
    </w:p>
    <w:p w14:paraId="1CC4097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负有投保</w:t>
      </w:r>
      <w:bookmarkStart w:id="2087" w:name="_Toc351203619"/>
      <w:bookmarkStart w:id="2088" w:name="_Toc337558834"/>
      <w:r>
        <w:rPr>
          <w:rFonts w:hint="eastAsia" w:ascii="宋体" w:hAnsi="宋体" w:cs="宋体"/>
          <w:color w:val="auto"/>
          <w:szCs w:val="21"/>
          <w:highlight w:val="none"/>
        </w:rPr>
        <w:t>义务的一方当事人未</w:t>
      </w:r>
      <w:bookmarkEnd w:id="2087"/>
      <w:r>
        <w:rPr>
          <w:rFonts w:hint="eastAsia" w:ascii="宋体" w:hAnsi="宋体" w:cs="宋体"/>
          <w:color w:val="auto"/>
          <w:szCs w:val="21"/>
          <w:highlight w:val="none"/>
        </w:rPr>
        <w:t>按</w:t>
      </w:r>
      <w:bookmarkEnd w:id="2088"/>
      <w:r>
        <w:rPr>
          <w:rFonts w:hint="eastAsia" w:ascii="宋体" w:hAnsi="宋体" w:cs="宋体"/>
          <w:color w:val="auto"/>
          <w:szCs w:val="21"/>
          <w:highlight w:val="none"/>
        </w:rPr>
        <w:t>合同约定办理某项保险，导致受益人未能得到足额赔偿的，由负有投保义务的一方当事人负责按照原应从该项保险得到的保险金数额进行补足。</w:t>
      </w:r>
    </w:p>
    <w:p w14:paraId="2D9B2493">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2089" w:name="_Ref4692685"/>
      <w:r>
        <w:rPr>
          <w:rFonts w:hint="eastAsia" w:ascii="宋体" w:hAnsi="宋体" w:cs="宋体"/>
          <w:color w:val="auto"/>
          <w:kern w:val="0"/>
          <w:szCs w:val="20"/>
          <w:highlight w:val="none"/>
          <w:lang w:bidi="ar"/>
        </w:rPr>
        <w:t>18.5.4通知义务</w:t>
      </w:r>
      <w:bookmarkEnd w:id="2089"/>
    </w:p>
    <w:p w14:paraId="0B97659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除专用合同条件另有约定外，任何一方当事人变更除工伤保险之外的保险合同时，应事先征得另一方当事人同意，并通知工程师。</w:t>
      </w:r>
    </w:p>
    <w:p w14:paraId="2D4AA19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保险事故发生时，投保人应按照保险合同规定的条件和期限及时向保险人报告。发包人和承包人应当在知道保险事故发生后及时通知对方。</w:t>
      </w:r>
    </w:p>
    <w:p w14:paraId="286868D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双方按本条规定投保不减少双方在合同下的其他义务。</w:t>
      </w:r>
    </w:p>
    <w:p w14:paraId="246E5F82">
      <w:pPr>
        <w:adjustRightInd w:val="0"/>
        <w:snapToGrid w:val="0"/>
        <w:spacing w:line="360" w:lineRule="auto"/>
        <w:rPr>
          <w:rFonts w:ascii="黑体" w:hAnsi="黑体" w:eastAsia="黑体"/>
          <w:color w:val="auto"/>
          <w:sz w:val="24"/>
          <w:highlight w:val="none"/>
        </w:rPr>
      </w:pPr>
      <w:bookmarkStart w:id="2090" w:name="_Ref11874997"/>
      <w:bookmarkStart w:id="2091" w:name="_Toc54862320"/>
      <w:bookmarkStart w:id="2092" w:name="_Toc161228765"/>
      <w:r>
        <w:rPr>
          <w:rFonts w:hint="eastAsia" w:ascii="黑体" w:hAnsi="黑体" w:eastAsia="黑体"/>
          <w:color w:val="auto"/>
          <w:sz w:val="24"/>
          <w:highlight w:val="none"/>
        </w:rPr>
        <w:t>第19条 索赔</w:t>
      </w:r>
      <w:bookmarkEnd w:id="1996"/>
      <w:bookmarkEnd w:id="1997"/>
      <w:bookmarkEnd w:id="2090"/>
      <w:bookmarkEnd w:id="2091"/>
      <w:bookmarkEnd w:id="2092"/>
    </w:p>
    <w:p w14:paraId="4080860A">
      <w:pPr>
        <w:adjustRightInd w:val="0"/>
        <w:snapToGrid w:val="0"/>
        <w:spacing w:line="360" w:lineRule="auto"/>
        <w:rPr>
          <w:rFonts w:ascii="宋体" w:hAnsi="宋体"/>
          <w:b/>
          <w:color w:val="auto"/>
          <w:sz w:val="24"/>
          <w:highlight w:val="none"/>
        </w:rPr>
      </w:pPr>
      <w:bookmarkStart w:id="2093" w:name="_Ref4798164"/>
      <w:bookmarkStart w:id="2094" w:name="_Ref4798173"/>
      <w:bookmarkStart w:id="2095" w:name="_Toc54862321"/>
      <w:bookmarkStart w:id="2096" w:name="_Toc145081681"/>
      <w:bookmarkStart w:id="2097" w:name="_Toc161228766"/>
      <w:r>
        <w:rPr>
          <w:rFonts w:hint="eastAsia" w:ascii="宋体" w:hAnsi="宋体" w:eastAsia="宋体"/>
          <w:b/>
          <w:color w:val="auto"/>
          <w:sz w:val="24"/>
          <w:highlight w:val="none"/>
        </w:rPr>
        <w:t>19.1索赔</w:t>
      </w:r>
      <w:bookmarkEnd w:id="2093"/>
      <w:bookmarkEnd w:id="2094"/>
      <w:r>
        <w:rPr>
          <w:rFonts w:hint="eastAsia" w:ascii="宋体" w:hAnsi="宋体" w:eastAsia="宋体"/>
          <w:b/>
          <w:color w:val="auto"/>
          <w:sz w:val="24"/>
          <w:highlight w:val="none"/>
        </w:rPr>
        <w:t>的提出</w:t>
      </w:r>
      <w:bookmarkEnd w:id="2095"/>
      <w:bookmarkEnd w:id="2096"/>
      <w:bookmarkEnd w:id="2097"/>
    </w:p>
    <w:p w14:paraId="74604E3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根据合同约定，任意一方认为有权得到追加/减少付款、延长缺陷责任期和（或）延长工期的，应按以下程序向对方提出索赔：</w:t>
      </w:r>
    </w:p>
    <w:p w14:paraId="7409827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索赔方应在知道或应当知道索赔事件发生后28天内，向对方递交索赔意向通知书，并说明发生索赔事件的事由；索赔方未在前述28天内发出索赔意向通知书的，丧失要求追加/减少付款、延长缺陷责任期和（或）延长工期的权利；</w:t>
      </w:r>
    </w:p>
    <w:p w14:paraId="6E8C914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（2）索赔方应在发出索赔意向通知书后28天内，向对方正式递交索赔报告；索赔报告应详细说明索赔理由以及要求追加的付款金额、延长缺陷责任期和（或）延长的工期，并附必要的记录和证明材料；</w:t>
      </w:r>
    </w:p>
    <w:p w14:paraId="02D3596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（3）索赔事件具有持续影响的，索赔方应每月递交延续索赔通知，说明持续影响的实际情况和记录，列出累计的追加付款金额、延长缺陷责任期和（或）工期延长天数；</w:t>
      </w:r>
    </w:p>
    <w:p w14:paraId="44A63C44">
      <w:pPr>
        <w:adjustRightInd w:val="0"/>
        <w:snapToGrid w:val="0"/>
        <w:spacing w:line="360" w:lineRule="auto"/>
        <w:ind w:firstLine="420" w:firstLineChars="200"/>
        <w:rPr>
          <w:rFonts w:ascii="宋体" w:hAnsi="宋体" w:cs="宋体"/>
          <w:color w:val="auto"/>
          <w:szCs w:val="21"/>
          <w:highlight w:val="none"/>
        </w:rPr>
      </w:pPr>
      <w:bookmarkStart w:id="2098" w:name="_Ref4796178"/>
      <w:r>
        <w:rPr>
          <w:rFonts w:hint="eastAsia" w:ascii="宋体" w:hAnsi="宋体" w:cs="宋体"/>
          <w:color w:val="auto"/>
          <w:szCs w:val="21"/>
          <w:highlight w:val="none"/>
        </w:rPr>
        <w:t>（4）在索赔事件影响结束后28天内，索赔方应向对方递交最终索赔报告，说明最终要求索赔的追加付款金额、延长缺陷责任期和（或）延长的工期，并附必要的记录和证明材料。</w:t>
      </w:r>
      <w:bookmarkEnd w:id="2098"/>
    </w:p>
    <w:p w14:paraId="19EA710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（5）承包人作为索赔方时，其索赔意向通知书、索赔报告及相关索赔文件应向工程师提出；发包人作为索赔方时，其索赔意向通知书、索赔报告及相关索赔文件可自行向承包人提出或由工程师向承包人提出。</w:t>
      </w:r>
    </w:p>
    <w:p w14:paraId="1DA5B9EA">
      <w:pPr>
        <w:adjustRightInd w:val="0"/>
        <w:snapToGrid w:val="0"/>
        <w:spacing w:line="360" w:lineRule="auto"/>
        <w:rPr>
          <w:rFonts w:ascii="宋体" w:hAnsi="宋体"/>
          <w:b/>
          <w:color w:val="auto"/>
          <w:sz w:val="24"/>
          <w:highlight w:val="none"/>
        </w:rPr>
      </w:pPr>
      <w:bookmarkStart w:id="2099" w:name="_Toc54862322"/>
      <w:bookmarkStart w:id="2100" w:name="_Toc145081682"/>
      <w:bookmarkStart w:id="2101" w:name="_Toc161228767"/>
      <w:bookmarkStart w:id="2102" w:name="_Ref4796262"/>
      <w:bookmarkStart w:id="2103" w:name="_Ref4796254"/>
      <w:r>
        <w:rPr>
          <w:rFonts w:hint="eastAsia" w:ascii="宋体" w:hAnsi="宋体" w:eastAsia="宋体"/>
          <w:b/>
          <w:color w:val="auto"/>
          <w:sz w:val="24"/>
          <w:highlight w:val="none"/>
        </w:rPr>
        <w:t>19.2承包人索赔的处理程序</w:t>
      </w:r>
      <w:bookmarkEnd w:id="2099"/>
      <w:bookmarkEnd w:id="2100"/>
      <w:bookmarkEnd w:id="2101"/>
      <w:bookmarkEnd w:id="2102"/>
      <w:bookmarkEnd w:id="2103"/>
    </w:p>
    <w:p w14:paraId="3F0DD85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（1）工程师收到承包人提交的索赔报告后，应及时审查索赔报告的内容、查验承包人的记录和证明材料，必要时工程师可要求承包人提交全部原始记录副本。</w:t>
      </w:r>
    </w:p>
    <w:p w14:paraId="55DD01B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工程师应按第3.6款[商定或确定]商定或确定追加的付款和（或）延长的工期，并在收到上述索赔报告或有关索赔的进一步证明材料后及时书面告知发包人，并在42天内，将发包人书面认可的索赔处理结果答复承包人。工程师在收到索赔报告或有关索赔的进一步证明材料后的42天内不予答复的，视为认可索赔。</w:t>
      </w:r>
    </w:p>
    <w:p w14:paraId="4A09EA5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（3）承包人接受索赔处理结果的，发包人应在作出索赔处理结果答复后28天内完成支付。承包人不接受索赔处理结果的，按照第20条[争议解决]约定处理。</w:t>
      </w:r>
    </w:p>
    <w:p w14:paraId="7F3A3DA2">
      <w:pPr>
        <w:adjustRightInd w:val="0"/>
        <w:snapToGrid w:val="0"/>
        <w:spacing w:line="360" w:lineRule="auto"/>
        <w:rPr>
          <w:rFonts w:ascii="宋体" w:hAnsi="宋体"/>
          <w:b/>
          <w:color w:val="auto"/>
          <w:sz w:val="24"/>
          <w:highlight w:val="none"/>
        </w:rPr>
      </w:pPr>
      <w:bookmarkStart w:id="2104" w:name="_Toc54862323"/>
      <w:bookmarkStart w:id="2105" w:name="_Toc161228768"/>
      <w:bookmarkStart w:id="2106" w:name="_Toc145081683"/>
      <w:r>
        <w:rPr>
          <w:rFonts w:hint="eastAsia" w:ascii="宋体" w:hAnsi="宋体" w:eastAsia="宋体"/>
          <w:b/>
          <w:color w:val="auto"/>
          <w:sz w:val="24"/>
          <w:highlight w:val="none"/>
        </w:rPr>
        <w:t>19.3发包人索赔的处理程序</w:t>
      </w:r>
      <w:bookmarkEnd w:id="2104"/>
      <w:bookmarkEnd w:id="2105"/>
      <w:bookmarkEnd w:id="2106"/>
    </w:p>
    <w:p w14:paraId="62A2534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（1）承包人收到发包人提交的索赔报告后，应及时审查索赔报告的内容、查验发包人证明材料；</w:t>
      </w:r>
    </w:p>
    <w:p w14:paraId="146C5C9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（2）承包人应在收到上述索赔报告或有关索赔的进一步证明材料后42天内，将索赔处理结果答复发包人。承包人在收到索赔通知书或有关索赔的进一步证明材料后的42天内不予答复的，视为认可索赔。</w:t>
      </w:r>
    </w:p>
    <w:p w14:paraId="48228F8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（3）发包人接受索赔处理结果的，发包人可从应支付给承包人的合同价款中扣除赔付的金额或延长缺陷责任期；发包人不接受索赔处理结果的，按第20条[争议解决]约定处理。</w:t>
      </w:r>
    </w:p>
    <w:p w14:paraId="39E65659">
      <w:pPr>
        <w:adjustRightInd w:val="0"/>
        <w:snapToGrid w:val="0"/>
        <w:spacing w:line="360" w:lineRule="auto"/>
        <w:rPr>
          <w:rFonts w:ascii="宋体" w:hAnsi="宋体"/>
          <w:b/>
          <w:color w:val="auto"/>
          <w:sz w:val="24"/>
          <w:highlight w:val="none"/>
        </w:rPr>
      </w:pPr>
      <w:bookmarkStart w:id="2107" w:name="_Toc54862324"/>
      <w:bookmarkStart w:id="2108" w:name="_Toc161228769"/>
      <w:bookmarkStart w:id="2109" w:name="_Toc145081684"/>
      <w:r>
        <w:rPr>
          <w:rFonts w:hint="eastAsia" w:ascii="宋体" w:hAnsi="宋体" w:eastAsia="宋体"/>
          <w:b/>
          <w:color w:val="auto"/>
          <w:sz w:val="24"/>
          <w:highlight w:val="none"/>
        </w:rPr>
        <w:t>19.4提出索赔的期限</w:t>
      </w:r>
      <w:bookmarkEnd w:id="2107"/>
      <w:bookmarkEnd w:id="2108"/>
      <w:bookmarkEnd w:id="2109"/>
    </w:p>
    <w:p w14:paraId="3CFC674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（1）承包人按第14.5款[竣工结算</w:t>
      </w:r>
      <w:bookmarkStart w:id="2110" w:name="_Ref3826629"/>
      <w:bookmarkStart w:id="2111" w:name="_Ref3826634"/>
      <w:r>
        <w:rPr>
          <w:rFonts w:hint="eastAsia" w:ascii="宋体" w:hAnsi="宋体" w:cs="宋体"/>
          <w:color w:val="auto"/>
          <w:szCs w:val="21"/>
          <w:highlight w:val="none"/>
        </w:rPr>
        <w:t>]约定接收竣工付款证书后，应被认为已无权再提出在合同工程接收证书颁发前所发生的任何索赔。</w:t>
      </w:r>
    </w:p>
    <w:p w14:paraId="0369078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（2）承包人按第14.7款[最终结清]提交的最终结清申请单中，只限于提出工程接收证书颁发后发生的索赔。提出索赔的期限均自接受最终结清证书时终止。</w:t>
      </w:r>
      <w:bookmarkEnd w:id="2110"/>
      <w:bookmarkEnd w:id="2111"/>
    </w:p>
    <w:p w14:paraId="1D890107">
      <w:pPr>
        <w:adjustRightInd w:val="0"/>
        <w:snapToGrid w:val="0"/>
        <w:spacing w:line="360" w:lineRule="auto"/>
        <w:rPr>
          <w:rFonts w:ascii="黑体" w:hAnsi="黑体" w:eastAsia="黑体"/>
          <w:color w:val="auto"/>
          <w:sz w:val="24"/>
          <w:highlight w:val="none"/>
        </w:rPr>
      </w:pPr>
      <w:bookmarkStart w:id="2112" w:name="_Ref532142075"/>
      <w:bookmarkStart w:id="2113" w:name="_Ref532197861"/>
      <w:bookmarkStart w:id="2114" w:name="_Toc161228770"/>
      <w:bookmarkStart w:id="2115" w:name="_Toc54862325"/>
      <w:r>
        <w:rPr>
          <w:rFonts w:hint="eastAsia" w:ascii="黑体" w:hAnsi="黑体" w:eastAsia="黑体"/>
          <w:color w:val="auto"/>
          <w:sz w:val="24"/>
          <w:highlight w:val="none"/>
        </w:rPr>
        <w:t>第20条 争议解决</w:t>
      </w:r>
      <w:bookmarkEnd w:id="2112"/>
      <w:bookmarkEnd w:id="2113"/>
      <w:bookmarkEnd w:id="2114"/>
      <w:bookmarkEnd w:id="2115"/>
    </w:p>
    <w:p w14:paraId="31C4E892">
      <w:pPr>
        <w:adjustRightInd w:val="0"/>
        <w:snapToGrid w:val="0"/>
        <w:spacing w:line="360" w:lineRule="auto"/>
        <w:rPr>
          <w:rFonts w:ascii="宋体" w:hAnsi="宋体"/>
          <w:b/>
          <w:color w:val="auto"/>
          <w:sz w:val="24"/>
          <w:highlight w:val="none"/>
        </w:rPr>
      </w:pPr>
      <w:bookmarkStart w:id="2116" w:name="_Ref415507198"/>
      <w:bookmarkStart w:id="2117" w:name="_Toc54862326"/>
      <w:bookmarkStart w:id="2118" w:name="_Toc161228771"/>
      <w:bookmarkStart w:id="2119" w:name="_Toc145081686"/>
      <w:r>
        <w:rPr>
          <w:rFonts w:hint="eastAsia" w:ascii="宋体" w:hAnsi="宋体" w:eastAsia="宋体"/>
          <w:b/>
          <w:color w:val="auto"/>
          <w:sz w:val="24"/>
          <w:highlight w:val="none"/>
        </w:rPr>
        <w:t>20.1和解</w:t>
      </w:r>
      <w:bookmarkEnd w:id="2116"/>
      <w:bookmarkEnd w:id="2117"/>
      <w:bookmarkEnd w:id="2118"/>
      <w:bookmarkEnd w:id="2119"/>
    </w:p>
    <w:p w14:paraId="5C82DA9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合同当事人可以就争议自行和解，自行和解达成协议的经双方签字并盖章后作为合同补充文件，双方均应遵照执行。</w:t>
      </w:r>
    </w:p>
    <w:p w14:paraId="59B78084">
      <w:pPr>
        <w:adjustRightInd w:val="0"/>
        <w:snapToGrid w:val="0"/>
        <w:spacing w:line="360" w:lineRule="auto"/>
        <w:rPr>
          <w:rFonts w:ascii="宋体" w:hAnsi="宋体"/>
          <w:b/>
          <w:color w:val="auto"/>
          <w:sz w:val="24"/>
          <w:highlight w:val="none"/>
        </w:rPr>
      </w:pPr>
      <w:bookmarkStart w:id="2120" w:name="_Toc54862327"/>
      <w:bookmarkStart w:id="2121" w:name="_Toc161228772"/>
      <w:bookmarkStart w:id="2122" w:name="_Toc145081687"/>
      <w:r>
        <w:rPr>
          <w:rFonts w:hint="eastAsia" w:ascii="宋体" w:hAnsi="宋体" w:eastAsia="宋体"/>
          <w:b/>
          <w:color w:val="auto"/>
          <w:sz w:val="24"/>
          <w:highlight w:val="none"/>
        </w:rPr>
        <w:t>20.2调解</w:t>
      </w:r>
      <w:bookmarkEnd w:id="2120"/>
      <w:bookmarkEnd w:id="2121"/>
      <w:bookmarkEnd w:id="2122"/>
    </w:p>
    <w:p w14:paraId="0DB1712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合同当事人可以就争议请求建设行政主管部门、行业协会或其他第三方进行调解，调解达成协议的，经双方签字盖章后作为合同补充文件，双方均应遵照执行。</w:t>
      </w:r>
    </w:p>
    <w:p w14:paraId="46F37454">
      <w:pPr>
        <w:adjustRightInd w:val="0"/>
        <w:snapToGrid w:val="0"/>
        <w:spacing w:line="360" w:lineRule="auto"/>
        <w:rPr>
          <w:rFonts w:ascii="宋体" w:hAnsi="宋体"/>
          <w:b/>
          <w:color w:val="auto"/>
          <w:sz w:val="24"/>
          <w:highlight w:val="none"/>
        </w:rPr>
      </w:pPr>
      <w:bookmarkStart w:id="2123" w:name="_Toc161228773"/>
      <w:bookmarkStart w:id="2124" w:name="_Toc145081688"/>
      <w:bookmarkStart w:id="2125" w:name="_Ref532221532"/>
      <w:bookmarkStart w:id="2126" w:name="_Toc54862328"/>
      <w:bookmarkStart w:id="2127" w:name="_Ref532221527"/>
      <w:r>
        <w:rPr>
          <w:rFonts w:hint="eastAsia" w:ascii="宋体" w:hAnsi="宋体" w:eastAsia="宋体"/>
          <w:b/>
          <w:color w:val="auto"/>
          <w:sz w:val="24"/>
          <w:highlight w:val="none"/>
        </w:rPr>
        <w:t>20.3争议评审</w:t>
      </w:r>
      <w:bookmarkEnd w:id="2123"/>
      <w:bookmarkEnd w:id="2124"/>
      <w:bookmarkEnd w:id="2125"/>
      <w:bookmarkEnd w:id="2126"/>
      <w:bookmarkEnd w:id="2127"/>
    </w:p>
    <w:p w14:paraId="3129905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合同当事人在专用合同条件中约定采取争议评审方式及评审规则解决争议的，按下列约定执行：</w:t>
      </w:r>
    </w:p>
    <w:p w14:paraId="62C7DEB0">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20.3.1争议评审小组的确定</w:t>
      </w:r>
    </w:p>
    <w:p w14:paraId="0E10366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当事人可以共同选择一名或三名争议评审员，组成争议评审小组。如专用合同条件未对成员人数进行约定，则应由三名成员组成。除专用合同条件另有约定外，合同当事人应当自合同订立后28天内，或者争议发生后14天内，选定争议评审员。</w:t>
      </w:r>
    </w:p>
    <w:p w14:paraId="3F5301E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14:paraId="098B005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除专用合同条件另有约定外，争议评审员报酬由发包人和承包人各承担一半。</w:t>
      </w:r>
    </w:p>
    <w:p w14:paraId="7C521103">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2128" w:name="_Ref532287270"/>
      <w:r>
        <w:rPr>
          <w:rFonts w:hint="eastAsia" w:ascii="宋体" w:hAnsi="宋体" w:cs="宋体"/>
          <w:color w:val="auto"/>
          <w:kern w:val="0"/>
          <w:szCs w:val="20"/>
          <w:highlight w:val="none"/>
          <w:lang w:bidi="ar"/>
        </w:rPr>
        <w:t>20.3.2争议的避免</w:t>
      </w:r>
      <w:bookmarkEnd w:id="2128"/>
    </w:p>
    <w:p w14:paraId="110A090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合同当事人协商一致，可以共同书面请求争议评审小组，就合同履行过程中可能出现争议的情况提供协助或进行非正式讨论，争议评审小组应给出公正的意见或建议。</w:t>
      </w:r>
    </w:p>
    <w:p w14:paraId="409AD74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此类协助或非正式讨论可在任何会议、施工现场视察或其他场合进行，并且除专用合同条件另有约定外，发包人和承包人均应出席。</w:t>
      </w:r>
    </w:p>
    <w:p w14:paraId="19A3E97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争议评审小组在此类非正式讨论上给出的任何意见或建议，无论是口头还是书面的，对发包人和承包人不具有约束力，争议评审小组在之后的争议评审程序或决定中也不受此类意见或建议的约束。</w:t>
      </w:r>
    </w:p>
    <w:p w14:paraId="7383C9D8">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bookmarkStart w:id="2129" w:name="_Ref4695594"/>
      <w:r>
        <w:rPr>
          <w:rFonts w:hint="eastAsia" w:ascii="宋体" w:hAnsi="宋体" w:cs="宋体"/>
          <w:color w:val="auto"/>
          <w:kern w:val="0"/>
          <w:szCs w:val="20"/>
          <w:highlight w:val="none"/>
          <w:lang w:bidi="ar"/>
        </w:rPr>
        <w:t>20.3.3争议评审小组的决定</w:t>
      </w:r>
      <w:bookmarkEnd w:id="2129"/>
    </w:p>
    <w:p w14:paraId="2ADE073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或争议评审小组建议并经双方同意的其他期限内作出书面决定，并说明理由。合同当事人可以在专用合同条件中对本项事项另行约定。</w:t>
      </w:r>
    </w:p>
    <w:p w14:paraId="030225BA">
      <w:pPr>
        <w:tabs>
          <w:tab w:val="left" w:pos="851"/>
        </w:tabs>
        <w:adjustRightInd w:val="0"/>
        <w:snapToGrid w:val="0"/>
        <w:spacing w:line="360" w:lineRule="auto"/>
        <w:ind w:firstLine="420" w:firstLineChars="200"/>
        <w:rPr>
          <w:rFonts w:ascii="宋体" w:hAnsi="宋体" w:cs="宋体"/>
          <w:color w:val="auto"/>
          <w:kern w:val="0"/>
          <w:szCs w:val="20"/>
          <w:highlight w:val="none"/>
          <w:lang w:bidi="ar"/>
        </w:rPr>
      </w:pPr>
      <w:r>
        <w:rPr>
          <w:rFonts w:hint="eastAsia" w:ascii="宋体" w:hAnsi="宋体" w:cs="宋体"/>
          <w:color w:val="auto"/>
          <w:kern w:val="0"/>
          <w:szCs w:val="20"/>
          <w:highlight w:val="none"/>
          <w:lang w:bidi="ar"/>
        </w:rPr>
        <w:t>20.3.4争议评审小组决定的效力</w:t>
      </w:r>
    </w:p>
    <w:p w14:paraId="4C92DDE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争议评审小组作出的书面决定经合同当事人签字确认后，对双方具有约束力，双方应遵照执行。</w:t>
      </w:r>
    </w:p>
    <w:p w14:paraId="75B8959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任何一方当事人不接受争议评审小组决定或不履行争议评审小组决定的，双方可选择采用其他争议解决方式。</w:t>
      </w:r>
    </w:p>
    <w:p w14:paraId="1FF2365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任何一方当事人不接受争议评审小组的决定，并不影响暂时执行争议评审小组的决定，直到在后续的采用其他争议解决方式中对争议评审小组的决定进行了改变。</w:t>
      </w:r>
    </w:p>
    <w:p w14:paraId="25069571">
      <w:pPr>
        <w:adjustRightInd w:val="0"/>
        <w:snapToGrid w:val="0"/>
        <w:spacing w:line="360" w:lineRule="auto"/>
        <w:rPr>
          <w:rFonts w:ascii="宋体" w:hAnsi="宋体"/>
          <w:b/>
          <w:color w:val="auto"/>
          <w:sz w:val="24"/>
          <w:highlight w:val="none"/>
        </w:rPr>
      </w:pPr>
      <w:bookmarkStart w:id="2130" w:name="_Toc145081689"/>
      <w:bookmarkStart w:id="2131" w:name="_Ref532221752"/>
      <w:bookmarkStart w:id="2132" w:name="_Toc54862329"/>
      <w:bookmarkStart w:id="2133" w:name="_Toc161228774"/>
      <w:bookmarkStart w:id="2134" w:name="_Ref532221748"/>
      <w:r>
        <w:rPr>
          <w:rFonts w:hint="eastAsia" w:ascii="宋体" w:hAnsi="宋体" w:eastAsia="宋体"/>
          <w:b/>
          <w:color w:val="auto"/>
          <w:sz w:val="24"/>
          <w:highlight w:val="none"/>
        </w:rPr>
        <w:t>20.4仲裁或诉讼</w:t>
      </w:r>
      <w:bookmarkEnd w:id="2130"/>
      <w:bookmarkEnd w:id="2131"/>
      <w:bookmarkEnd w:id="2132"/>
      <w:bookmarkEnd w:id="2133"/>
      <w:bookmarkEnd w:id="2134"/>
    </w:p>
    <w:p w14:paraId="1B19E641">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因合同及合同有关事项产生的争议，合同当事人可以在专用合同条件中约定以下一种方式解决争议：</w:t>
      </w:r>
    </w:p>
    <w:p w14:paraId="344C8851">
      <w:pPr>
        <w:numPr>
          <w:ilvl w:val="0"/>
          <w:numId w:val="0"/>
        </w:numPr>
        <w:adjustRightInd w:val="0"/>
        <w:snapToGrid w:val="0"/>
        <w:spacing w:line="360" w:lineRule="auto"/>
        <w:ind w:firstLine="420" w:firstLineChars="200"/>
        <w:rPr>
          <w:rFonts w:hint="eastAsia" w:cs="宋体"/>
          <w:color w:val="auto"/>
          <w:szCs w:val="21"/>
          <w:highlight w:val="none"/>
        </w:rPr>
      </w:pPr>
      <w:r>
        <w:rPr>
          <w:rFonts w:hint="eastAsia" w:ascii="Times New Roman" w:hAnsi="Times New Roman" w:eastAsia="宋体" w:cs="宋体"/>
          <w:color w:val="auto"/>
          <w:kern w:val="2"/>
          <w:sz w:val="21"/>
          <w:szCs w:val="21"/>
          <w:highlight w:val="none"/>
          <w:lang w:val="en-US" w:eastAsia="zh-CN" w:bidi="ar-SA"/>
        </w:rPr>
        <w:t>（1）</w:t>
      </w:r>
      <w:r>
        <w:rPr>
          <w:rFonts w:hint="eastAsia" w:cs="宋体"/>
          <w:color w:val="auto"/>
          <w:kern w:val="2"/>
          <w:sz w:val="21"/>
          <w:szCs w:val="21"/>
          <w:highlight w:val="none"/>
        </w:rPr>
        <w:t>向约定的仲裁委员会申请仲裁；</w:t>
      </w:r>
    </w:p>
    <w:p w14:paraId="151B2B33">
      <w:pPr>
        <w:numPr>
          <w:ilvl w:val="0"/>
          <w:numId w:val="0"/>
        </w:numPr>
        <w:adjustRightInd w:val="0"/>
        <w:snapToGrid w:val="0"/>
        <w:spacing w:line="360" w:lineRule="auto"/>
        <w:ind w:firstLine="420" w:firstLineChars="0"/>
        <w:rPr>
          <w:rFonts w:cs="宋体"/>
          <w:color w:val="auto"/>
          <w:szCs w:val="21"/>
          <w:highlight w:val="none"/>
        </w:rPr>
      </w:pPr>
      <w:r>
        <w:rPr>
          <w:rFonts w:hint="eastAsia" w:cs="宋体"/>
          <w:color w:val="auto"/>
          <w:kern w:val="2"/>
          <w:sz w:val="21"/>
          <w:szCs w:val="21"/>
          <w:highlight w:val="none"/>
        </w:rPr>
        <w:t>（2）向有管辖权的人民法院起诉。</w:t>
      </w:r>
    </w:p>
    <w:p w14:paraId="256E47FE">
      <w:pPr>
        <w:adjustRightInd w:val="0"/>
        <w:snapToGrid w:val="0"/>
        <w:spacing w:line="360" w:lineRule="auto"/>
        <w:rPr>
          <w:rFonts w:ascii="宋体" w:hAnsi="宋体"/>
          <w:b/>
          <w:color w:val="auto"/>
          <w:sz w:val="24"/>
          <w:highlight w:val="none"/>
        </w:rPr>
      </w:pPr>
      <w:bookmarkStart w:id="2135" w:name="_Toc161228775"/>
      <w:bookmarkStart w:id="2136" w:name="_Toc145081690"/>
      <w:bookmarkStart w:id="2137" w:name="_Toc54862330"/>
      <w:r>
        <w:rPr>
          <w:rFonts w:hint="eastAsia" w:ascii="宋体" w:hAnsi="宋体" w:eastAsia="宋体"/>
          <w:b/>
          <w:color w:val="auto"/>
          <w:sz w:val="24"/>
          <w:highlight w:val="none"/>
        </w:rPr>
        <w:t>20.5争议解决条款效力</w:t>
      </w:r>
      <w:bookmarkEnd w:id="2135"/>
      <w:bookmarkEnd w:id="2136"/>
      <w:bookmarkEnd w:id="2137"/>
    </w:p>
    <w:p w14:paraId="6032760E">
      <w:pPr>
        <w:adjustRightInd w:val="0"/>
        <w:snapToGrid w:val="0"/>
        <w:spacing w:line="360" w:lineRule="auto"/>
        <w:ind w:firstLine="420" w:firstLineChars="200"/>
        <w:rPr>
          <w:rFonts w:hint="eastAsia"/>
          <w:color w:val="auto"/>
          <w:highlight w:val="none"/>
        </w:rPr>
      </w:pPr>
      <w:r>
        <w:rPr>
          <w:rFonts w:hint="eastAsia" w:ascii="宋体" w:hAnsi="宋体" w:cs="宋体"/>
          <w:color w:val="auto"/>
          <w:szCs w:val="21"/>
          <w:highlight w:val="none"/>
        </w:rPr>
        <w:t>合同有关争议解决的条款独立存在，合同的不生效、无效、被撤销或者终止的，不影响合同中有关争议解决条款的效力。</w:t>
      </w:r>
    </w:p>
    <w:p w14:paraId="1F33772E">
      <w:pPr>
        <w:rPr>
          <w:rFonts w:hint="eastAsia" w:ascii="宋体" w:hAnsi="宋体"/>
          <w:bCs/>
          <w:color w:val="auto"/>
          <w:kern w:val="0"/>
          <w:szCs w:val="21"/>
          <w:highlight w:val="none"/>
        </w:rPr>
      </w:pPr>
      <w:r>
        <w:rPr>
          <w:rFonts w:hint="eastAsia" w:ascii="宋体" w:hAnsi="宋体"/>
          <w:bCs/>
          <w:color w:val="auto"/>
          <w:kern w:val="0"/>
          <w:szCs w:val="21"/>
          <w:highlight w:val="none"/>
        </w:rPr>
        <w:br w:type="page"/>
      </w:r>
    </w:p>
    <w:p w14:paraId="504824D8">
      <w:pPr>
        <w:pStyle w:val="31"/>
        <w:rPr>
          <w:rFonts w:hint="eastAsia"/>
          <w:color w:val="auto"/>
          <w:highlight w:val="none"/>
        </w:rPr>
      </w:pPr>
    </w:p>
    <w:bookmarkEnd w:id="1143"/>
    <w:bookmarkEnd w:id="1144"/>
    <w:bookmarkEnd w:id="1145"/>
    <w:bookmarkEnd w:id="1146"/>
    <w:bookmarkEnd w:id="1147"/>
    <w:bookmarkEnd w:id="1148"/>
    <w:bookmarkEnd w:id="1149"/>
    <w:bookmarkEnd w:id="1150"/>
    <w:bookmarkEnd w:id="1151"/>
    <w:p w14:paraId="0496837D">
      <w:pPr>
        <w:pStyle w:val="39"/>
        <w:keepNext w:val="0"/>
        <w:keepLines w:val="0"/>
        <w:pageBreakBefore w:val="0"/>
        <w:widowControl/>
        <w:kinsoku/>
        <w:overflowPunct/>
        <w:bidi w:val="0"/>
        <w:adjustRightInd w:val="0"/>
        <w:snapToGrid w:val="0"/>
        <w:spacing w:line="360" w:lineRule="auto"/>
        <w:jc w:val="center"/>
        <w:textAlignment w:val="auto"/>
        <w:outlineLvl w:val="2"/>
        <w:rPr>
          <w:rFonts w:hint="eastAsia" w:ascii="华文中宋" w:hAnsi="华文中宋" w:eastAsia="华文中宋"/>
          <w:b/>
          <w:bCs/>
          <w:color w:val="auto"/>
          <w:kern w:val="44"/>
          <w:sz w:val="44"/>
          <w:szCs w:val="52"/>
          <w:highlight w:val="none"/>
          <w:lang w:val="zh-CN"/>
        </w:rPr>
      </w:pPr>
      <w:bookmarkStart w:id="2138" w:name="_Toc12989"/>
      <w:bookmarkStart w:id="2139" w:name="_Toc256000166"/>
      <w:bookmarkStart w:id="2140" w:name="_Toc16761"/>
      <w:bookmarkStart w:id="2141" w:name="_Toc54862331"/>
      <w:bookmarkStart w:id="2142" w:name="_Toc256000492"/>
      <w:bookmarkStart w:id="2143" w:name="_Toc3400"/>
      <w:bookmarkStart w:id="2144" w:name="_Toc12256"/>
      <w:r>
        <w:rPr>
          <w:rFonts w:hint="eastAsia" w:ascii="华文中宋" w:hAnsi="华文中宋" w:eastAsia="华文中宋"/>
          <w:b/>
          <w:bCs/>
          <w:color w:val="auto"/>
          <w:kern w:val="44"/>
          <w:sz w:val="44"/>
          <w:szCs w:val="52"/>
          <w:highlight w:val="none"/>
          <w:lang w:val="zh-CN" w:eastAsia="zh-CN"/>
        </w:rPr>
        <w:t>第三部分 专用合同条件</w:t>
      </w:r>
      <w:bookmarkEnd w:id="2138"/>
      <w:bookmarkEnd w:id="2139"/>
      <w:bookmarkEnd w:id="2140"/>
      <w:bookmarkEnd w:id="2141"/>
      <w:bookmarkEnd w:id="2142"/>
      <w:bookmarkEnd w:id="2143"/>
      <w:bookmarkEnd w:id="2144"/>
    </w:p>
    <w:p w14:paraId="6B1E2EF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8" w:firstLineChars="200"/>
        <w:textAlignment w:val="baseline"/>
        <w:outlineLvl w:val="0"/>
        <w:rPr>
          <w:color w:val="auto"/>
          <w:highlight w:val="none"/>
        </w:rPr>
      </w:pPr>
      <w:bookmarkStart w:id="2145" w:name="_Toc309"/>
      <w:bookmarkStart w:id="2146" w:name="_Toc256000196"/>
      <w:bookmarkStart w:id="2147" w:name="_Toc122603037"/>
      <w:r>
        <w:rPr>
          <w:color w:val="auto"/>
          <w:spacing w:val="-8"/>
          <w:highlight w:val="none"/>
        </w:rPr>
        <w:t>第</w:t>
      </w:r>
      <w:r>
        <w:rPr>
          <w:color w:val="auto"/>
          <w:spacing w:val="-28"/>
          <w:highlight w:val="none"/>
        </w:rPr>
        <w:t xml:space="preserve"> </w:t>
      </w:r>
      <w:r>
        <w:rPr>
          <w:color w:val="auto"/>
          <w:spacing w:val="-8"/>
          <w:highlight w:val="none"/>
        </w:rPr>
        <w:t>1</w:t>
      </w:r>
      <w:r>
        <w:rPr>
          <w:color w:val="auto"/>
          <w:spacing w:val="-42"/>
          <w:highlight w:val="none"/>
        </w:rPr>
        <w:t xml:space="preserve"> </w:t>
      </w:r>
      <w:r>
        <w:rPr>
          <w:color w:val="auto"/>
          <w:spacing w:val="-8"/>
          <w:highlight w:val="none"/>
        </w:rPr>
        <w:t>条</w:t>
      </w:r>
      <w:r>
        <w:rPr>
          <w:color w:val="auto"/>
          <w:spacing w:val="11"/>
          <w:highlight w:val="none"/>
        </w:rPr>
        <w:t xml:space="preserve"> </w:t>
      </w:r>
      <w:r>
        <w:rPr>
          <w:color w:val="auto"/>
          <w:spacing w:val="-8"/>
          <w:highlight w:val="none"/>
        </w:rPr>
        <w:t>一般约定</w:t>
      </w:r>
      <w:bookmarkEnd w:id="2145"/>
    </w:p>
    <w:p w14:paraId="224AE25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148" w:name="_Toc12561"/>
      <w:r>
        <w:rPr>
          <w:color w:val="auto"/>
          <w:spacing w:val="-3"/>
          <w:highlight w:val="none"/>
        </w:rPr>
        <w:t>1.1 词语定义和解释</w:t>
      </w:r>
      <w:bookmarkEnd w:id="2148"/>
    </w:p>
    <w:p w14:paraId="5366E6E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outlineLvl w:val="2"/>
        <w:rPr>
          <w:color w:val="auto"/>
          <w:highlight w:val="none"/>
        </w:rPr>
      </w:pPr>
      <w:r>
        <w:rPr>
          <w:color w:val="auto"/>
          <w:spacing w:val="-5"/>
          <w:highlight w:val="none"/>
        </w:rPr>
        <w:t>1.1.1</w:t>
      </w:r>
      <w:r>
        <w:rPr>
          <w:color w:val="auto"/>
          <w:spacing w:val="14"/>
          <w:highlight w:val="none"/>
        </w:rPr>
        <w:t xml:space="preserve"> </w:t>
      </w:r>
      <w:r>
        <w:rPr>
          <w:color w:val="auto"/>
          <w:spacing w:val="-5"/>
          <w:highlight w:val="none"/>
        </w:rPr>
        <w:t>合同</w:t>
      </w:r>
    </w:p>
    <w:p w14:paraId="0CF97DDE">
      <w:pPr>
        <w:spacing w:line="360" w:lineRule="auto"/>
        <w:ind w:firstLine="400" w:firstLineChars="200"/>
        <w:rPr>
          <w:rFonts w:hint="eastAsia" w:ascii="宋体" w:hAnsi="宋体" w:cs="宋体"/>
          <w:color w:val="auto"/>
          <w:szCs w:val="21"/>
          <w:highlight w:val="none"/>
          <w:u w:val="single"/>
        </w:rPr>
      </w:pPr>
      <w:r>
        <w:rPr>
          <w:rFonts w:ascii="宋体" w:hAnsi="宋体" w:eastAsia="宋体" w:cs="宋体"/>
          <w:snapToGrid w:val="0"/>
          <w:color w:val="auto"/>
          <w:spacing w:val="-5"/>
          <w:kern w:val="0"/>
          <w:sz w:val="21"/>
          <w:szCs w:val="21"/>
          <w:highlight w:val="none"/>
          <w:lang w:val="en-US" w:eastAsia="en-US" w:bidi="ar-SA"/>
        </w:rPr>
        <w:fldChar w:fldCharType="begin"/>
      </w:r>
      <w:r>
        <w:rPr>
          <w:rFonts w:ascii="宋体" w:hAnsi="宋体" w:eastAsia="宋体" w:cs="宋体"/>
          <w:snapToGrid w:val="0"/>
          <w:color w:val="auto"/>
          <w:spacing w:val="-5"/>
          <w:kern w:val="0"/>
          <w:sz w:val="21"/>
          <w:szCs w:val="21"/>
          <w:highlight w:val="none"/>
          <w:lang w:val="en-US" w:eastAsia="en-US" w:bidi="ar-SA"/>
        </w:rPr>
        <w:instrText xml:space="preserve"> HYPERLINK "1.1.1.10" </w:instrText>
      </w:r>
      <w:r>
        <w:rPr>
          <w:rFonts w:ascii="宋体" w:hAnsi="宋体" w:eastAsia="宋体" w:cs="宋体"/>
          <w:snapToGrid w:val="0"/>
          <w:color w:val="auto"/>
          <w:spacing w:val="-5"/>
          <w:kern w:val="0"/>
          <w:sz w:val="21"/>
          <w:szCs w:val="21"/>
          <w:highlight w:val="none"/>
          <w:lang w:val="en-US" w:eastAsia="en-US" w:bidi="ar-SA"/>
        </w:rPr>
        <w:fldChar w:fldCharType="separate"/>
      </w:r>
      <w:r>
        <w:rPr>
          <w:rFonts w:ascii="宋体" w:hAnsi="宋体" w:eastAsia="宋体" w:cs="宋体"/>
          <w:snapToGrid w:val="0"/>
          <w:color w:val="auto"/>
          <w:spacing w:val="-5"/>
          <w:kern w:val="0"/>
          <w:sz w:val="21"/>
          <w:szCs w:val="21"/>
          <w:highlight w:val="none"/>
          <w:lang w:val="en-US" w:eastAsia="en-US" w:bidi="ar-SA"/>
        </w:rPr>
        <w:t>1.1.1.10</w:t>
      </w:r>
      <w:r>
        <w:rPr>
          <w:rFonts w:ascii="宋体" w:hAnsi="宋体" w:eastAsia="宋体" w:cs="宋体"/>
          <w:snapToGrid w:val="0"/>
          <w:color w:val="auto"/>
          <w:spacing w:val="-5"/>
          <w:kern w:val="0"/>
          <w:sz w:val="21"/>
          <w:szCs w:val="21"/>
          <w:highlight w:val="none"/>
          <w:lang w:val="en-US" w:eastAsia="en-US" w:bidi="ar-SA"/>
        </w:rPr>
        <w:fldChar w:fldCharType="end"/>
      </w:r>
      <w:r>
        <w:rPr>
          <w:color w:val="auto"/>
          <w:spacing w:val="-2"/>
          <w:highlight w:val="none"/>
        </w:rPr>
        <w:t xml:space="preserve"> 其他合同文件：</w:t>
      </w:r>
      <w:r>
        <w:rPr>
          <w:rFonts w:hint="eastAsia"/>
          <w:color w:val="auto"/>
          <w:spacing w:val="-2"/>
          <w:highlight w:val="none"/>
          <w:u w:val="single" w:color="auto"/>
        </w:rPr>
        <w:t>履行合同过程中各方书面盖章确认的对合同内容有实质性影响的施工组织设计、补充条款、设计变更、会议纪要、施工现场统一管理协议、和解调解协议、有关工程洽商及监理人发布的变更指示、工程签证、工程会议纪要及备忘录等。会议纪要、备忘录等仅在与主合同条款、专用合同条件及附件内容不冲突、不减损发包人及承包人权利的前提下方可作为合同组成部分</w:t>
      </w:r>
      <w:r>
        <w:rPr>
          <w:rFonts w:hint="eastAsia" w:ascii="宋体" w:hAnsi="宋体" w:cs="宋体"/>
          <w:color w:val="auto"/>
          <w:sz w:val="21"/>
          <w:szCs w:val="21"/>
          <w:highlight w:val="none"/>
          <w:u w:val="single"/>
        </w:rPr>
        <w:t>。</w:t>
      </w:r>
    </w:p>
    <w:p w14:paraId="1413EC3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1.1.3 工程和设备</w:t>
      </w:r>
    </w:p>
    <w:p w14:paraId="0920469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fldChar w:fldCharType="begin"/>
      </w:r>
      <w:r>
        <w:rPr>
          <w:color w:val="auto"/>
          <w:highlight w:val="none"/>
        </w:rPr>
        <w:instrText xml:space="preserve"> HYPERLINK "1.1.3.5" </w:instrText>
      </w:r>
      <w:r>
        <w:rPr>
          <w:color w:val="auto"/>
          <w:highlight w:val="none"/>
        </w:rPr>
        <w:fldChar w:fldCharType="separate"/>
      </w:r>
      <w:r>
        <w:rPr>
          <w:color w:val="auto"/>
          <w:spacing w:val="-1"/>
          <w:highlight w:val="none"/>
        </w:rPr>
        <w:t>1.1.3.5</w:t>
      </w:r>
      <w:r>
        <w:rPr>
          <w:color w:val="auto"/>
          <w:spacing w:val="-1"/>
          <w:highlight w:val="none"/>
        </w:rPr>
        <w:fldChar w:fldCharType="end"/>
      </w:r>
      <w:r>
        <w:rPr>
          <w:color w:val="auto"/>
          <w:spacing w:val="-1"/>
          <w:highlight w:val="none"/>
        </w:rPr>
        <w:t xml:space="preserve"> 单位/区段工程的范围：</w:t>
      </w:r>
      <w:r>
        <w:rPr>
          <w:color w:val="auto"/>
          <w:spacing w:val="-1"/>
          <w:highlight w:val="none"/>
          <w:u w:val="single" w:color="auto"/>
        </w:rPr>
        <w:t xml:space="preserve">           /          </w:t>
      </w:r>
      <w:r>
        <w:rPr>
          <w:color w:val="auto"/>
          <w:spacing w:val="-1"/>
          <w:highlight w:val="none"/>
        </w:rPr>
        <w:t>。</w:t>
      </w:r>
    </w:p>
    <w:p w14:paraId="763B9CF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fldChar w:fldCharType="begin"/>
      </w:r>
      <w:r>
        <w:rPr>
          <w:color w:val="auto"/>
          <w:highlight w:val="none"/>
        </w:rPr>
        <w:instrText xml:space="preserve"> HYPERLINK "1.1.3.9" </w:instrText>
      </w:r>
      <w:r>
        <w:rPr>
          <w:color w:val="auto"/>
          <w:highlight w:val="none"/>
        </w:rPr>
        <w:fldChar w:fldCharType="separate"/>
      </w:r>
      <w:r>
        <w:rPr>
          <w:color w:val="auto"/>
          <w:highlight w:val="none"/>
        </w:rPr>
        <w:t>1.1.3.9</w:t>
      </w:r>
      <w:r>
        <w:rPr>
          <w:color w:val="auto"/>
          <w:highlight w:val="none"/>
        </w:rPr>
        <w:fldChar w:fldCharType="end"/>
      </w:r>
      <w:r>
        <w:rPr>
          <w:color w:val="auto"/>
          <w:highlight w:val="none"/>
        </w:rPr>
        <w:t xml:space="preserve"> 作为施工场所组成部分的其他场所包括：</w:t>
      </w:r>
      <w:r>
        <w:rPr>
          <w:color w:val="auto"/>
          <w:highlight w:val="none"/>
          <w:u w:val="single" w:color="auto"/>
        </w:rPr>
        <w:t>为修建临</w:t>
      </w:r>
      <w:r>
        <w:rPr>
          <w:color w:val="auto"/>
          <w:spacing w:val="-1"/>
          <w:highlight w:val="none"/>
          <w:u w:val="single" w:color="auto"/>
        </w:rPr>
        <w:t>时施工道路租用土地、修建现场围墙占用的公共人行道、占路、占用公共场地等，费用包含在总价中</w:t>
      </w:r>
      <w:r>
        <w:rPr>
          <w:color w:val="auto"/>
          <w:spacing w:val="-1"/>
          <w:highlight w:val="none"/>
        </w:rPr>
        <w:t>。</w:t>
      </w:r>
    </w:p>
    <w:p w14:paraId="5720E65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fldChar w:fldCharType="begin"/>
      </w:r>
      <w:r>
        <w:rPr>
          <w:color w:val="auto"/>
          <w:highlight w:val="none"/>
        </w:rPr>
        <w:instrText xml:space="preserve"> HYPERLINK "1.1.3.10" </w:instrText>
      </w:r>
      <w:r>
        <w:rPr>
          <w:color w:val="auto"/>
          <w:highlight w:val="none"/>
        </w:rPr>
        <w:fldChar w:fldCharType="separate"/>
      </w:r>
      <w:r>
        <w:rPr>
          <w:color w:val="auto"/>
          <w:spacing w:val="-1"/>
          <w:highlight w:val="none"/>
        </w:rPr>
        <w:t>1.1.3.10</w:t>
      </w:r>
      <w:r>
        <w:rPr>
          <w:color w:val="auto"/>
          <w:spacing w:val="-1"/>
          <w:highlight w:val="none"/>
        </w:rPr>
        <w:fldChar w:fldCharType="end"/>
      </w:r>
      <w:r>
        <w:rPr>
          <w:color w:val="auto"/>
          <w:spacing w:val="-1"/>
          <w:highlight w:val="none"/>
        </w:rPr>
        <w:t xml:space="preserve"> 永久占地包括：</w:t>
      </w:r>
      <w:r>
        <w:rPr>
          <w:color w:val="auto"/>
          <w:spacing w:val="-1"/>
          <w:highlight w:val="none"/>
          <w:u w:val="single" w:color="auto"/>
        </w:rPr>
        <w:t xml:space="preserve">依据设计图纸确定         </w:t>
      </w:r>
      <w:r>
        <w:rPr>
          <w:color w:val="auto"/>
          <w:spacing w:val="-1"/>
          <w:highlight w:val="none"/>
        </w:rPr>
        <w:t>。</w:t>
      </w:r>
    </w:p>
    <w:p w14:paraId="2E8F023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fldChar w:fldCharType="begin"/>
      </w:r>
      <w:r>
        <w:rPr>
          <w:color w:val="auto"/>
          <w:highlight w:val="none"/>
        </w:rPr>
        <w:instrText xml:space="preserve"> HYPERLINK "1.1.3.11" </w:instrText>
      </w:r>
      <w:r>
        <w:rPr>
          <w:color w:val="auto"/>
          <w:highlight w:val="none"/>
        </w:rPr>
        <w:fldChar w:fldCharType="separate"/>
      </w:r>
      <w:r>
        <w:rPr>
          <w:color w:val="auto"/>
          <w:highlight w:val="none"/>
        </w:rPr>
        <w:t>1.1.3.11</w:t>
      </w:r>
      <w:r>
        <w:rPr>
          <w:color w:val="auto"/>
          <w:highlight w:val="none"/>
        </w:rPr>
        <w:fldChar w:fldCharType="end"/>
      </w:r>
      <w:r>
        <w:rPr>
          <w:color w:val="auto"/>
          <w:highlight w:val="none"/>
        </w:rPr>
        <w:t xml:space="preserve"> 临时占地包括：</w:t>
      </w:r>
      <w:r>
        <w:rPr>
          <w:color w:val="auto"/>
          <w:highlight w:val="none"/>
          <w:u w:val="single" w:color="auto"/>
        </w:rPr>
        <w:t>建设临时工程的</w:t>
      </w:r>
      <w:r>
        <w:rPr>
          <w:color w:val="auto"/>
          <w:spacing w:val="-1"/>
          <w:highlight w:val="none"/>
          <w:u w:val="single" w:color="auto"/>
        </w:rPr>
        <w:t>用地或用于施工所需场地，临建用地、仓储、组装用地、</w:t>
      </w:r>
      <w:r>
        <w:rPr>
          <w:color w:val="auto"/>
          <w:highlight w:val="none"/>
          <w:u w:val="single" w:color="auto"/>
        </w:rPr>
        <w:t>居住生活用地，临时占路、占人行道、占公共用场地</w:t>
      </w:r>
      <w:r>
        <w:rPr>
          <w:color w:val="auto"/>
          <w:spacing w:val="-1"/>
          <w:highlight w:val="none"/>
          <w:u w:val="single" w:color="auto"/>
        </w:rPr>
        <w:t>等，费用包含在总价中</w:t>
      </w:r>
      <w:r>
        <w:rPr>
          <w:color w:val="auto"/>
          <w:spacing w:val="-1"/>
          <w:highlight w:val="none"/>
        </w:rPr>
        <w:t>。</w:t>
      </w:r>
    </w:p>
    <w:p w14:paraId="48EFDD9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149" w:name="_Toc21008"/>
      <w:r>
        <w:rPr>
          <w:color w:val="auto"/>
          <w:spacing w:val="-3"/>
          <w:highlight w:val="none"/>
        </w:rPr>
        <w:t>1.2 语言文字</w:t>
      </w:r>
      <w:bookmarkEnd w:id="2149"/>
    </w:p>
    <w:p w14:paraId="648C32A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本合同除使用汉语外，还使用</w:t>
      </w:r>
      <w:r>
        <w:rPr>
          <w:color w:val="auto"/>
          <w:spacing w:val="-1"/>
          <w:highlight w:val="none"/>
          <w:u w:val="single" w:color="auto"/>
        </w:rPr>
        <w:t xml:space="preserve">        /        </w:t>
      </w:r>
      <w:r>
        <w:rPr>
          <w:color w:val="auto"/>
          <w:spacing w:val="-97"/>
          <w:highlight w:val="none"/>
        </w:rPr>
        <w:t xml:space="preserve"> </w:t>
      </w:r>
      <w:r>
        <w:rPr>
          <w:color w:val="auto"/>
          <w:spacing w:val="-2"/>
          <w:highlight w:val="none"/>
        </w:rPr>
        <w:t>语言。</w:t>
      </w:r>
    </w:p>
    <w:p w14:paraId="66D3E46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outlineLvl w:val="1"/>
        <w:rPr>
          <w:color w:val="auto"/>
          <w:highlight w:val="none"/>
        </w:rPr>
      </w:pPr>
      <w:bookmarkStart w:id="2150" w:name="_Toc30287"/>
      <w:r>
        <w:rPr>
          <w:color w:val="auto"/>
          <w:spacing w:val="-6"/>
          <w:highlight w:val="none"/>
        </w:rPr>
        <w:t>1.3</w:t>
      </w:r>
      <w:r>
        <w:rPr>
          <w:color w:val="auto"/>
          <w:spacing w:val="9"/>
          <w:highlight w:val="none"/>
        </w:rPr>
        <w:t xml:space="preserve"> </w:t>
      </w:r>
      <w:r>
        <w:rPr>
          <w:color w:val="auto"/>
          <w:spacing w:val="-6"/>
          <w:highlight w:val="none"/>
        </w:rPr>
        <w:t>法律</w:t>
      </w:r>
      <w:bookmarkEnd w:id="2150"/>
    </w:p>
    <w:p w14:paraId="410CAC4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适用于合同的其他规范性文件：</w:t>
      </w:r>
      <w:r>
        <w:rPr>
          <w:color w:val="auto"/>
          <w:spacing w:val="-5"/>
          <w:highlight w:val="none"/>
          <w:u w:val="single" w:color="auto"/>
        </w:rPr>
        <w:t>《中华人民共和国建筑法》、《中华人民共和国民法典》、《中华人</w:t>
      </w:r>
      <w:r>
        <w:rPr>
          <w:color w:val="auto"/>
          <w:spacing w:val="-1"/>
          <w:highlight w:val="none"/>
          <w:u w:val="single" w:color="auto"/>
        </w:rPr>
        <w:t>民共和国招标投标法》、《建筑工程施工发包与承包计价管理办法》、《建设工程价款结算暂行办法》等相关法律法规及部门规章、</w:t>
      </w:r>
      <w:bookmarkStart w:id="2399" w:name="_GoBack"/>
      <w:r>
        <w:rPr>
          <w:color w:val="auto"/>
          <w:spacing w:val="-1"/>
          <w:highlight w:val="none"/>
          <w:u w:val="single" w:color="auto"/>
        </w:rPr>
        <w:t>地方政府</w:t>
      </w:r>
      <w:bookmarkEnd w:id="2399"/>
      <w:r>
        <w:rPr>
          <w:color w:val="auto"/>
          <w:spacing w:val="-1"/>
          <w:highlight w:val="none"/>
          <w:u w:val="single" w:color="auto"/>
        </w:rPr>
        <w:t>规章</w:t>
      </w:r>
      <w:r>
        <w:rPr>
          <w:color w:val="auto"/>
          <w:spacing w:val="-1"/>
          <w:highlight w:val="none"/>
        </w:rPr>
        <w:t>。</w:t>
      </w:r>
    </w:p>
    <w:p w14:paraId="43E3176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151" w:name="_Toc26894"/>
      <w:r>
        <w:rPr>
          <w:color w:val="auto"/>
          <w:spacing w:val="-3"/>
          <w:highlight w:val="none"/>
        </w:rPr>
        <w:t>1.4 标准和规范</w:t>
      </w:r>
      <w:bookmarkEnd w:id="2151"/>
    </w:p>
    <w:p w14:paraId="2BD5DFB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1.4.1 适用于本合同的标准、规范（名称）包括：</w:t>
      </w:r>
      <w:r>
        <w:rPr>
          <w:color w:val="auto"/>
          <w:highlight w:val="none"/>
          <w:u w:val="single" w:color="auto"/>
        </w:rPr>
        <w:t>国家现行</w:t>
      </w:r>
      <w:r>
        <w:rPr>
          <w:color w:val="auto"/>
          <w:spacing w:val="-1"/>
          <w:highlight w:val="none"/>
          <w:u w:val="single" w:color="auto"/>
        </w:rPr>
        <w:t>的《建筑工程质量检验评定标准》、国家现行的各专业施工及验收规范等规定执行</w:t>
      </w:r>
      <w:r>
        <w:rPr>
          <w:color w:val="auto"/>
          <w:spacing w:val="-1"/>
          <w:highlight w:val="none"/>
        </w:rPr>
        <w:t>。</w:t>
      </w:r>
    </w:p>
    <w:p w14:paraId="003C91D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1.4.2 发包人提供的国外标准、规范的名称：</w:t>
      </w:r>
      <w:r>
        <w:rPr>
          <w:color w:val="auto"/>
          <w:highlight w:val="none"/>
          <w:u w:val="single" w:color="auto"/>
        </w:rPr>
        <w:t xml:space="preserve">    /    </w:t>
      </w:r>
      <w:r>
        <w:rPr>
          <w:color w:val="auto"/>
          <w:spacing w:val="-66"/>
          <w:highlight w:val="none"/>
        </w:rPr>
        <w:t xml:space="preserve"> </w:t>
      </w:r>
      <w:r>
        <w:rPr>
          <w:color w:val="auto"/>
          <w:highlight w:val="none"/>
        </w:rPr>
        <w:t xml:space="preserve">；发包人提供的国外标准、规范的份数： </w:t>
      </w:r>
      <w:r>
        <w:rPr>
          <w:color w:val="auto"/>
          <w:highlight w:val="none"/>
          <w:u w:val="single" w:color="auto"/>
        </w:rPr>
        <w:t xml:space="preserve">/     </w:t>
      </w:r>
      <w:r>
        <w:rPr>
          <w:color w:val="auto"/>
          <w:highlight w:val="none"/>
        </w:rPr>
        <w:t>；发包人提供的国外标准、规范的时间：</w:t>
      </w:r>
      <w:r>
        <w:rPr>
          <w:color w:val="auto"/>
          <w:highlight w:val="none"/>
          <w:u w:val="single" w:color="auto"/>
        </w:rPr>
        <w:t xml:space="preserve">    </w:t>
      </w:r>
      <w:r>
        <w:rPr>
          <w:color w:val="auto"/>
          <w:spacing w:val="-1"/>
          <w:highlight w:val="none"/>
          <w:u w:val="single" w:color="auto"/>
        </w:rPr>
        <w:t xml:space="preserve"> /      </w:t>
      </w:r>
      <w:r>
        <w:rPr>
          <w:color w:val="auto"/>
          <w:spacing w:val="-1"/>
          <w:highlight w:val="none"/>
        </w:rPr>
        <w:t>。</w:t>
      </w:r>
    </w:p>
    <w:p w14:paraId="3D0C5E7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1.4.3 没有成文规范、标准规定的约定：</w:t>
      </w:r>
      <w:r>
        <w:rPr>
          <w:color w:val="auto"/>
          <w:spacing w:val="-1"/>
          <w:highlight w:val="none"/>
          <w:u w:val="single" w:color="auto"/>
        </w:rPr>
        <w:t xml:space="preserve">      /       </w:t>
      </w:r>
      <w:r>
        <w:rPr>
          <w:color w:val="auto"/>
          <w:spacing w:val="-1"/>
          <w:highlight w:val="none"/>
        </w:rPr>
        <w:t>。</w:t>
      </w:r>
    </w:p>
    <w:p w14:paraId="4C2502F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1.4.4 发包人对于工程的技术标准、功能要求：</w:t>
      </w:r>
      <w:r>
        <w:rPr>
          <w:color w:val="auto"/>
          <w:spacing w:val="-1"/>
          <w:highlight w:val="none"/>
          <w:u w:val="single" w:color="auto"/>
        </w:rPr>
        <w:t xml:space="preserve">        </w:t>
      </w:r>
      <w:r>
        <w:rPr>
          <w:color w:val="auto"/>
          <w:spacing w:val="-1"/>
          <w:highlight w:val="none"/>
        </w:rPr>
        <w:t>。</w:t>
      </w:r>
    </w:p>
    <w:p w14:paraId="14E951F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color w:val="auto"/>
          <w:highlight w:val="none"/>
        </w:rPr>
      </w:pPr>
      <w:bookmarkStart w:id="2152" w:name="_Toc21194"/>
      <w:r>
        <w:rPr>
          <w:color w:val="auto"/>
          <w:spacing w:val="-2"/>
          <w:highlight w:val="none"/>
        </w:rPr>
        <w:t>1.5 合同文件的优先顺序</w:t>
      </w:r>
      <w:r>
        <w:rPr>
          <w:color w:val="auto"/>
          <w:spacing w:val="1"/>
          <w:highlight w:val="none"/>
        </w:rPr>
        <w:t xml:space="preserve"> </w:t>
      </w:r>
      <w:r>
        <w:rPr>
          <w:color w:val="auto"/>
          <w:spacing w:val="-5"/>
          <w:highlight w:val="none"/>
        </w:rPr>
        <w:t>合同文件组成及优先顺序为：</w:t>
      </w:r>
      <w:bookmarkEnd w:id="2152"/>
    </w:p>
    <w:p w14:paraId="7BDD3471">
      <w:pPr>
        <w:spacing w:line="360" w:lineRule="auto"/>
        <w:ind w:firstLine="600"/>
        <w:rPr>
          <w:rFonts w:hint="eastAsia" w:ascii="宋体" w:hAnsi="宋体" w:cs="宋体"/>
          <w:color w:val="auto"/>
          <w:kern w:val="0"/>
          <w:szCs w:val="21"/>
          <w:highlight w:val="none"/>
          <w:u w:val="single"/>
        </w:rPr>
      </w:pPr>
      <w:r>
        <w:rPr>
          <w:rFonts w:hint="eastAsia" w:ascii="宋体" w:hAnsi="宋体" w:cs="宋体"/>
          <w:color w:val="auto"/>
          <w:kern w:val="0"/>
          <w:sz w:val="21"/>
          <w:szCs w:val="21"/>
          <w:highlight w:val="none"/>
          <w:u w:val="single"/>
        </w:rPr>
        <w:t>（1）协议书；</w:t>
      </w:r>
    </w:p>
    <w:p w14:paraId="0A31A42C">
      <w:pPr>
        <w:spacing w:line="360" w:lineRule="auto"/>
        <w:ind w:firstLine="600"/>
        <w:rPr>
          <w:rFonts w:hint="eastAsia" w:ascii="宋体" w:hAnsi="宋体" w:cs="宋体"/>
          <w:color w:val="auto"/>
          <w:kern w:val="0"/>
          <w:szCs w:val="21"/>
          <w:highlight w:val="none"/>
          <w:u w:val="single"/>
        </w:rPr>
      </w:pPr>
      <w:r>
        <w:rPr>
          <w:rFonts w:hint="eastAsia" w:ascii="宋体" w:hAnsi="宋体" w:cs="宋体"/>
          <w:color w:val="auto"/>
          <w:kern w:val="0"/>
          <w:sz w:val="21"/>
          <w:szCs w:val="21"/>
          <w:highlight w:val="none"/>
          <w:u w:val="single"/>
        </w:rPr>
        <w:t>（2）专用合同条款及其附件；</w:t>
      </w:r>
    </w:p>
    <w:p w14:paraId="390031D1">
      <w:pPr>
        <w:spacing w:line="360" w:lineRule="auto"/>
        <w:ind w:firstLine="600"/>
        <w:rPr>
          <w:rFonts w:hint="eastAsia" w:ascii="宋体" w:hAnsi="宋体" w:cs="宋体"/>
          <w:color w:val="auto"/>
          <w:kern w:val="0"/>
          <w:szCs w:val="21"/>
          <w:highlight w:val="none"/>
          <w:u w:val="single"/>
        </w:rPr>
      </w:pPr>
      <w:r>
        <w:rPr>
          <w:rFonts w:hint="eastAsia" w:ascii="宋体" w:hAnsi="宋体" w:cs="宋体"/>
          <w:color w:val="auto"/>
          <w:kern w:val="0"/>
          <w:sz w:val="21"/>
          <w:szCs w:val="21"/>
          <w:highlight w:val="none"/>
          <w:u w:val="single"/>
        </w:rPr>
        <w:t>（3）技术标准和要求；</w:t>
      </w:r>
    </w:p>
    <w:p w14:paraId="2A7EB641">
      <w:pPr>
        <w:spacing w:line="360" w:lineRule="auto"/>
        <w:ind w:firstLine="600"/>
        <w:rPr>
          <w:rFonts w:hint="eastAsia" w:ascii="宋体" w:hAnsi="宋体" w:cs="宋体"/>
          <w:color w:val="auto"/>
          <w:kern w:val="0"/>
          <w:szCs w:val="21"/>
          <w:highlight w:val="none"/>
          <w:u w:val="single"/>
        </w:rPr>
      </w:pPr>
      <w:r>
        <w:rPr>
          <w:rFonts w:hint="eastAsia" w:ascii="宋体" w:hAnsi="宋体" w:cs="宋体"/>
          <w:color w:val="auto"/>
          <w:kern w:val="0"/>
          <w:sz w:val="21"/>
          <w:szCs w:val="21"/>
          <w:highlight w:val="none"/>
          <w:u w:val="single"/>
        </w:rPr>
        <w:t>（4）图纸；</w:t>
      </w:r>
    </w:p>
    <w:p w14:paraId="6E1FA7AB">
      <w:pPr>
        <w:spacing w:line="360" w:lineRule="auto"/>
        <w:ind w:firstLine="600"/>
        <w:rPr>
          <w:rFonts w:hint="eastAsia" w:ascii="宋体" w:hAnsi="宋体" w:cs="宋体"/>
          <w:color w:val="auto"/>
          <w:kern w:val="0"/>
          <w:szCs w:val="21"/>
          <w:highlight w:val="none"/>
          <w:u w:val="single"/>
        </w:rPr>
      </w:pPr>
      <w:r>
        <w:rPr>
          <w:rFonts w:hint="eastAsia" w:ascii="宋体" w:hAnsi="宋体" w:cs="宋体"/>
          <w:color w:val="auto"/>
          <w:kern w:val="0"/>
          <w:sz w:val="21"/>
          <w:szCs w:val="21"/>
          <w:highlight w:val="none"/>
          <w:u w:val="single"/>
        </w:rPr>
        <w:t>（5）通用合同条款；</w:t>
      </w:r>
    </w:p>
    <w:p w14:paraId="46882628">
      <w:pPr>
        <w:spacing w:line="360" w:lineRule="auto"/>
        <w:ind w:firstLine="600"/>
        <w:rPr>
          <w:rFonts w:hint="eastAsia" w:ascii="宋体" w:hAnsi="宋体" w:cs="宋体"/>
          <w:color w:val="auto"/>
          <w:kern w:val="0"/>
          <w:szCs w:val="21"/>
          <w:highlight w:val="none"/>
          <w:u w:val="single"/>
        </w:rPr>
      </w:pPr>
      <w:r>
        <w:rPr>
          <w:rFonts w:hint="eastAsia" w:ascii="宋体" w:hAnsi="宋体" w:cs="宋体"/>
          <w:color w:val="auto"/>
          <w:kern w:val="0"/>
          <w:sz w:val="21"/>
          <w:szCs w:val="21"/>
          <w:highlight w:val="none"/>
          <w:u w:val="single"/>
        </w:rPr>
        <w:t>（6）招标文件；</w:t>
      </w:r>
    </w:p>
    <w:p w14:paraId="03BF56D6">
      <w:pPr>
        <w:spacing w:line="360" w:lineRule="auto"/>
        <w:ind w:firstLine="600"/>
        <w:rPr>
          <w:rFonts w:hint="eastAsia" w:ascii="宋体" w:hAnsi="宋体" w:cs="宋体"/>
          <w:color w:val="auto"/>
          <w:kern w:val="0"/>
          <w:szCs w:val="21"/>
          <w:highlight w:val="none"/>
          <w:u w:val="single"/>
        </w:rPr>
      </w:pPr>
      <w:r>
        <w:rPr>
          <w:rFonts w:hint="eastAsia" w:ascii="宋体" w:hAnsi="宋体" w:cs="宋体"/>
          <w:color w:val="auto"/>
          <w:kern w:val="0"/>
          <w:sz w:val="21"/>
          <w:szCs w:val="21"/>
          <w:highlight w:val="none"/>
          <w:u w:val="single"/>
        </w:rPr>
        <w:t>（7）中标通知书；</w:t>
      </w:r>
    </w:p>
    <w:p w14:paraId="3BE1A39C">
      <w:pPr>
        <w:spacing w:line="360" w:lineRule="auto"/>
        <w:ind w:firstLine="600"/>
        <w:rPr>
          <w:rFonts w:hint="eastAsia" w:ascii="宋体" w:hAnsi="宋体" w:cs="宋体"/>
          <w:color w:val="auto"/>
          <w:kern w:val="0"/>
          <w:szCs w:val="21"/>
          <w:highlight w:val="none"/>
          <w:u w:val="single"/>
        </w:rPr>
      </w:pPr>
      <w:r>
        <w:rPr>
          <w:rFonts w:hint="eastAsia" w:ascii="宋体" w:hAnsi="宋体" w:cs="宋体"/>
          <w:color w:val="auto"/>
          <w:kern w:val="0"/>
          <w:sz w:val="21"/>
          <w:szCs w:val="21"/>
          <w:highlight w:val="none"/>
          <w:u w:val="single"/>
        </w:rPr>
        <w:t>（8）投标文件</w:t>
      </w:r>
    </w:p>
    <w:p w14:paraId="6E688971">
      <w:pPr>
        <w:spacing w:line="360" w:lineRule="auto"/>
        <w:ind w:firstLine="600"/>
        <w:rPr>
          <w:rFonts w:hint="eastAsia" w:ascii="宋体" w:hAnsi="宋体" w:cs="宋体"/>
          <w:color w:val="auto"/>
          <w:kern w:val="0"/>
          <w:szCs w:val="21"/>
          <w:highlight w:val="none"/>
          <w:u w:val="single"/>
        </w:rPr>
      </w:pPr>
      <w:r>
        <w:rPr>
          <w:rFonts w:hint="eastAsia" w:ascii="宋体" w:hAnsi="宋体" w:cs="宋体"/>
          <w:color w:val="auto"/>
          <w:kern w:val="0"/>
          <w:sz w:val="21"/>
          <w:szCs w:val="21"/>
          <w:highlight w:val="none"/>
          <w:u w:val="single"/>
        </w:rPr>
        <w:t>（9）已标价工程量清单或预算书；</w:t>
      </w:r>
    </w:p>
    <w:p w14:paraId="2B0B45F0">
      <w:pPr>
        <w:spacing w:line="360" w:lineRule="auto"/>
        <w:ind w:firstLine="600"/>
        <w:rPr>
          <w:rFonts w:hint="eastAsia" w:ascii="宋体" w:hAnsi="宋体" w:cs="宋体"/>
          <w:color w:val="auto"/>
          <w:kern w:val="0"/>
          <w:szCs w:val="21"/>
          <w:highlight w:val="none"/>
          <w:u w:val="single"/>
        </w:rPr>
      </w:pPr>
      <w:r>
        <w:rPr>
          <w:rFonts w:hint="eastAsia" w:ascii="宋体" w:hAnsi="宋体" w:cs="宋体"/>
          <w:color w:val="auto"/>
          <w:kern w:val="0"/>
          <w:sz w:val="21"/>
          <w:szCs w:val="21"/>
          <w:highlight w:val="none"/>
          <w:u w:val="single"/>
        </w:rPr>
        <w:t>（10）其他合同文件 。</w:t>
      </w:r>
    </w:p>
    <w:p w14:paraId="797F06CE">
      <w:pPr>
        <w:spacing w:line="360" w:lineRule="auto"/>
        <w:ind w:firstLine="600"/>
        <w:rPr>
          <w:rFonts w:hint="eastAsia" w:ascii="宋体" w:hAnsi="宋体" w:cs="宋体"/>
          <w:color w:val="auto"/>
          <w:szCs w:val="21"/>
          <w:highlight w:val="none"/>
        </w:rPr>
      </w:pPr>
      <w:r>
        <w:rPr>
          <w:rFonts w:hint="eastAsia" w:ascii="宋体" w:hAnsi="宋体" w:cs="宋体"/>
          <w:color w:val="auto"/>
          <w:kern w:val="0"/>
          <w:sz w:val="21"/>
          <w:szCs w:val="21"/>
          <w:highlight w:val="none"/>
          <w:u w:val="single"/>
        </w:rPr>
        <w:t>在合同订立及履行过程中形成的工程洽商、变更等书面协议或文件均构成合同文件组成部分。</w:t>
      </w:r>
    </w:p>
    <w:p w14:paraId="4380218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color w:val="auto"/>
          <w:highlight w:val="none"/>
        </w:rPr>
      </w:pPr>
      <w:bookmarkStart w:id="2153" w:name="_Toc28253"/>
      <w:r>
        <w:rPr>
          <w:color w:val="auto"/>
          <w:spacing w:val="-2"/>
          <w:highlight w:val="none"/>
        </w:rPr>
        <w:t>1.6 文件的提供和照管</w:t>
      </w:r>
      <w:bookmarkEnd w:id="2153"/>
    </w:p>
    <w:p w14:paraId="600AC48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1.6.1 发包人文件的提供</w:t>
      </w:r>
    </w:p>
    <w:p w14:paraId="688E665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发包人文件的提供期限、名称、数量和形式：</w:t>
      </w:r>
      <w:r>
        <w:rPr>
          <w:color w:val="auto"/>
          <w:highlight w:val="none"/>
          <w:u w:val="single" w:color="auto"/>
        </w:rPr>
        <w:t>发包人提供项目前期工作相关资料包括项</w:t>
      </w:r>
      <w:r>
        <w:rPr>
          <w:color w:val="auto"/>
          <w:spacing w:val="-1"/>
          <w:highlight w:val="none"/>
          <w:u w:val="single" w:color="auto"/>
        </w:rPr>
        <w:t>目立项、项目规划、环境保护、气象水文、地质条件以及进行工程设计、现场施工等工程</w:t>
      </w:r>
      <w:r>
        <w:rPr>
          <w:color w:val="auto"/>
          <w:spacing w:val="-2"/>
          <w:highlight w:val="none"/>
          <w:u w:val="single" w:color="auto"/>
        </w:rPr>
        <w:t>实施所需的文件</w:t>
      </w:r>
      <w:r>
        <w:rPr>
          <w:color w:val="auto"/>
          <w:spacing w:val="-2"/>
          <w:highlight w:val="none"/>
        </w:rPr>
        <w:t>。</w:t>
      </w:r>
    </w:p>
    <w:p w14:paraId="688E59E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1.6.2 承包人文件的提供</w:t>
      </w:r>
    </w:p>
    <w:p w14:paraId="3DFD854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承包人文件的内容、提供期限、名称、数量和形式</w:t>
      </w:r>
      <w:r>
        <w:rPr>
          <w:color w:val="auto"/>
          <w:spacing w:val="-54"/>
          <w:w w:val="97"/>
          <w:highlight w:val="none"/>
        </w:rPr>
        <w:t>：</w:t>
      </w:r>
      <w:r>
        <w:rPr>
          <w:color w:val="auto"/>
          <w:spacing w:val="-54"/>
          <w:w w:val="97"/>
          <w:highlight w:val="none"/>
          <w:u w:val="single" w:color="auto"/>
        </w:rPr>
        <w:t>（</w:t>
      </w:r>
      <w:r>
        <w:rPr>
          <w:color w:val="auto"/>
          <w:highlight w:val="none"/>
          <w:u w:val="single" w:color="auto"/>
        </w:rPr>
        <w:t>1）设计单位按照发包人要求提供相应数量的施工图</w:t>
      </w:r>
      <w:r>
        <w:rPr>
          <w:color w:val="auto"/>
          <w:spacing w:val="-49"/>
          <w:w w:val="88"/>
          <w:highlight w:val="none"/>
          <w:u w:val="single" w:color="auto"/>
        </w:rPr>
        <w:t>；（</w:t>
      </w:r>
      <w:r>
        <w:rPr>
          <w:color w:val="auto"/>
          <w:highlight w:val="none"/>
          <w:u w:val="single" w:color="auto"/>
        </w:rPr>
        <w:t>2）施工组织设计、总进度计划、主要材料供应计划、专项施工方案、月进度计划及工程进展汇</w:t>
      </w:r>
      <w:r>
        <w:rPr>
          <w:color w:val="auto"/>
          <w:spacing w:val="-3"/>
          <w:highlight w:val="none"/>
          <w:u w:val="single" w:color="auto"/>
        </w:rPr>
        <w:t>报等</w:t>
      </w:r>
      <w:r>
        <w:rPr>
          <w:color w:val="auto"/>
          <w:spacing w:val="-3"/>
          <w:highlight w:val="none"/>
        </w:rPr>
        <w:t>。</w:t>
      </w:r>
    </w:p>
    <w:p w14:paraId="5AE0DA0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1.6.4 文件的照管</w:t>
      </w:r>
    </w:p>
    <w:p w14:paraId="1299533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关于现场文件准备的约定：</w:t>
      </w:r>
      <w:r>
        <w:rPr>
          <w:color w:val="auto"/>
          <w:highlight w:val="none"/>
          <w:u w:val="single" w:color="auto"/>
        </w:rPr>
        <w:t>承包人应在施工现场保留一套完整的图纸和承包文件，供发</w:t>
      </w:r>
      <w:r>
        <w:rPr>
          <w:color w:val="auto"/>
          <w:spacing w:val="-1"/>
          <w:highlight w:val="none"/>
          <w:u w:val="single" w:color="auto"/>
        </w:rPr>
        <w:t>包人、监理人及有关人员进行工程检查、使用</w:t>
      </w:r>
      <w:r>
        <w:rPr>
          <w:color w:val="auto"/>
          <w:spacing w:val="-1"/>
          <w:highlight w:val="none"/>
        </w:rPr>
        <w:t>。</w:t>
      </w:r>
    </w:p>
    <w:p w14:paraId="4FC3486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outlineLvl w:val="1"/>
        <w:rPr>
          <w:color w:val="auto"/>
          <w:highlight w:val="none"/>
        </w:rPr>
      </w:pPr>
      <w:bookmarkStart w:id="2154" w:name="_Toc30014"/>
      <w:r>
        <w:rPr>
          <w:color w:val="auto"/>
          <w:spacing w:val="-6"/>
          <w:highlight w:val="none"/>
        </w:rPr>
        <w:t>1.7</w:t>
      </w:r>
      <w:r>
        <w:rPr>
          <w:color w:val="auto"/>
          <w:spacing w:val="9"/>
          <w:highlight w:val="none"/>
        </w:rPr>
        <w:t xml:space="preserve"> </w:t>
      </w:r>
      <w:r>
        <w:rPr>
          <w:color w:val="auto"/>
          <w:spacing w:val="-6"/>
          <w:highlight w:val="none"/>
        </w:rPr>
        <w:t>联络</w:t>
      </w:r>
      <w:bookmarkEnd w:id="2154"/>
    </w:p>
    <w:p w14:paraId="4676746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1.7.2 发包人指定的送达方式（包括电子传输方式</w:t>
      </w:r>
      <w:r>
        <w:rPr>
          <w:color w:val="auto"/>
          <w:spacing w:val="-3"/>
          <w:highlight w:val="none"/>
        </w:rPr>
        <w:t>）：</w:t>
      </w:r>
      <w:r>
        <w:rPr>
          <w:color w:val="auto"/>
          <w:spacing w:val="14"/>
          <w:highlight w:val="none"/>
        </w:rPr>
        <w:t xml:space="preserve"> </w:t>
      </w:r>
      <w:r>
        <w:rPr>
          <w:color w:val="auto"/>
          <w:spacing w:val="12"/>
          <w:highlight w:val="none"/>
          <w:u w:val="single" w:color="auto"/>
        </w:rPr>
        <w:t xml:space="preserve"> </w:t>
      </w:r>
      <w:r>
        <w:rPr>
          <w:color w:val="auto"/>
          <w:spacing w:val="-5"/>
          <w:highlight w:val="none"/>
          <w:u w:val="single" w:color="auto"/>
        </w:rPr>
        <w:t>书面或电子</w:t>
      </w:r>
      <w:r>
        <w:rPr>
          <w:color w:val="auto"/>
          <w:spacing w:val="-6"/>
          <w:highlight w:val="none"/>
          <w:u w:val="single" w:color="auto"/>
        </w:rPr>
        <w:t xml:space="preserve">传输  </w:t>
      </w:r>
      <w:r>
        <w:rPr>
          <w:color w:val="auto"/>
          <w:spacing w:val="-6"/>
          <w:highlight w:val="none"/>
        </w:rPr>
        <w:t>。</w:t>
      </w:r>
      <w:r>
        <w:rPr>
          <w:color w:val="auto"/>
          <w:highlight w:val="none"/>
        </w:rPr>
        <w:t xml:space="preserve"> 发包人的送达地址：</w:t>
      </w:r>
      <w:r>
        <w:rPr>
          <w:color w:val="auto"/>
          <w:highlight w:val="none"/>
          <w:u w:val="single" w:color="auto"/>
        </w:rPr>
        <w:t xml:space="preserve">施工现场，发包人项目部   </w:t>
      </w:r>
      <w:r>
        <w:rPr>
          <w:color w:val="auto"/>
          <w:spacing w:val="-1"/>
          <w:highlight w:val="none"/>
          <w:u w:val="single" w:color="auto"/>
        </w:rPr>
        <w:t xml:space="preserve">            </w:t>
      </w:r>
      <w:r>
        <w:rPr>
          <w:color w:val="auto"/>
          <w:spacing w:val="-1"/>
          <w:highlight w:val="none"/>
        </w:rPr>
        <w:t>。</w:t>
      </w:r>
    </w:p>
    <w:p w14:paraId="5413131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承包人指定的送达方式（包括电子传输方式</w:t>
      </w:r>
      <w:r>
        <w:rPr>
          <w:color w:val="auto"/>
          <w:spacing w:val="2"/>
          <w:highlight w:val="none"/>
        </w:rPr>
        <w:t>）：</w:t>
      </w:r>
      <w:r>
        <w:rPr>
          <w:color w:val="auto"/>
          <w:spacing w:val="14"/>
          <w:highlight w:val="none"/>
        </w:rPr>
        <w:t xml:space="preserve"> </w:t>
      </w:r>
      <w:r>
        <w:rPr>
          <w:color w:val="auto"/>
          <w:spacing w:val="4"/>
          <w:highlight w:val="none"/>
          <w:u w:val="single" w:color="auto"/>
        </w:rPr>
        <w:t xml:space="preserve"> </w:t>
      </w:r>
      <w:r>
        <w:rPr>
          <w:color w:val="auto"/>
          <w:spacing w:val="-5"/>
          <w:highlight w:val="none"/>
          <w:u w:val="single" w:color="auto"/>
        </w:rPr>
        <w:t xml:space="preserve">书面或电子传输  </w:t>
      </w:r>
      <w:r>
        <w:rPr>
          <w:color w:val="auto"/>
          <w:spacing w:val="-5"/>
          <w:highlight w:val="none"/>
        </w:rPr>
        <w:t>。</w:t>
      </w:r>
    </w:p>
    <w:p w14:paraId="0A13E98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承包人的送达地址：</w:t>
      </w:r>
      <w:r>
        <w:rPr>
          <w:color w:val="auto"/>
          <w:highlight w:val="none"/>
          <w:u w:val="single" w:color="auto"/>
        </w:rPr>
        <w:t xml:space="preserve">施工现场，发包人项目部   </w:t>
      </w:r>
      <w:r>
        <w:rPr>
          <w:color w:val="auto"/>
          <w:spacing w:val="-1"/>
          <w:highlight w:val="none"/>
          <w:u w:val="single" w:color="auto"/>
        </w:rPr>
        <w:t xml:space="preserve">         </w:t>
      </w:r>
      <w:r>
        <w:rPr>
          <w:color w:val="auto"/>
          <w:spacing w:val="-1"/>
          <w:highlight w:val="none"/>
        </w:rPr>
        <w:t>。</w:t>
      </w:r>
    </w:p>
    <w:p w14:paraId="7610C30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outlineLvl w:val="1"/>
        <w:rPr>
          <w:color w:val="auto"/>
          <w:highlight w:val="none"/>
        </w:rPr>
      </w:pPr>
      <w:bookmarkStart w:id="2155" w:name="_Toc26628"/>
      <w:r>
        <w:rPr>
          <w:color w:val="auto"/>
          <w:spacing w:val="-5"/>
          <w:highlight w:val="none"/>
        </w:rPr>
        <w:t>1.10</w:t>
      </w:r>
      <w:r>
        <w:rPr>
          <w:color w:val="auto"/>
          <w:spacing w:val="18"/>
          <w:highlight w:val="none"/>
        </w:rPr>
        <w:t xml:space="preserve"> </w:t>
      </w:r>
      <w:r>
        <w:rPr>
          <w:color w:val="auto"/>
          <w:spacing w:val="-5"/>
          <w:highlight w:val="none"/>
        </w:rPr>
        <w:t>知识产权</w:t>
      </w:r>
      <w:bookmarkEnd w:id="2155"/>
    </w:p>
    <w:p w14:paraId="4F63D6A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32" w:firstLineChars="200"/>
        <w:textAlignment w:val="baseline"/>
        <w:rPr>
          <w:rFonts w:hint="eastAsia" w:eastAsia="宋体"/>
          <w:color w:val="auto"/>
          <w:highlight w:val="none"/>
          <w:lang w:eastAsia="zh-CN"/>
        </w:rPr>
      </w:pPr>
      <w:r>
        <w:rPr>
          <w:color w:val="auto"/>
          <w:spacing w:val="3"/>
          <w:highlight w:val="none"/>
        </w:rPr>
        <w:t>1.10.1</w:t>
      </w:r>
      <w:r>
        <w:rPr>
          <w:color w:val="auto"/>
          <w:spacing w:val="54"/>
          <w:highlight w:val="none"/>
        </w:rPr>
        <w:t xml:space="preserve"> </w:t>
      </w:r>
      <w:r>
        <w:rPr>
          <w:color w:val="auto"/>
          <w:spacing w:val="3"/>
          <w:highlight w:val="none"/>
        </w:rPr>
        <w:t>由发包人（或以发包人名义）编制的《发包人要求》和其他文件的著作权归属：</w:t>
      </w:r>
      <w:r>
        <w:rPr>
          <w:color w:val="auto"/>
          <w:spacing w:val="3"/>
          <w:highlight w:val="none"/>
          <w:u w:val="single" w:color="auto"/>
        </w:rPr>
        <w:t xml:space="preserve"> 发包</w:t>
      </w:r>
      <w:r>
        <w:rPr>
          <w:color w:val="auto"/>
          <w:spacing w:val="-5"/>
          <w:highlight w:val="none"/>
          <w:u w:val="single" w:color="auto"/>
        </w:rPr>
        <w:t>人</w:t>
      </w:r>
      <w:r>
        <w:rPr>
          <w:rFonts w:hint="eastAsia"/>
          <w:color w:val="auto"/>
          <w:spacing w:val="-5"/>
          <w:highlight w:val="none"/>
          <w:u w:val="single" w:color="auto"/>
          <w:lang w:eastAsia="zh-CN"/>
        </w:rPr>
        <w:t>。</w:t>
      </w:r>
    </w:p>
    <w:p w14:paraId="18E683E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spacing w:val="-1"/>
          <w:highlight w:val="none"/>
        </w:rPr>
      </w:pPr>
      <w:r>
        <w:rPr>
          <w:color w:val="auto"/>
          <w:spacing w:val="-3"/>
          <w:highlight w:val="none"/>
        </w:rPr>
        <w:t>1.10.2</w:t>
      </w:r>
      <w:r>
        <w:rPr>
          <w:color w:val="auto"/>
          <w:spacing w:val="34"/>
          <w:highlight w:val="none"/>
        </w:rPr>
        <w:t xml:space="preserve"> </w:t>
      </w:r>
      <w:r>
        <w:rPr>
          <w:color w:val="auto"/>
          <w:spacing w:val="-3"/>
          <w:highlight w:val="none"/>
        </w:rPr>
        <w:t>由承包人（或以承包人名义）为实施工程所编制的</w:t>
      </w:r>
      <w:r>
        <w:rPr>
          <w:color w:val="auto"/>
          <w:spacing w:val="-4"/>
          <w:highlight w:val="none"/>
        </w:rPr>
        <w:t>文件、承包人完成的设计工作成果和建造</w:t>
      </w:r>
      <w:r>
        <w:rPr>
          <w:color w:val="auto"/>
          <w:spacing w:val="-1"/>
          <w:highlight w:val="none"/>
        </w:rPr>
        <w:t>完成的建筑物的知识产权归属：</w:t>
      </w:r>
      <w:r>
        <w:rPr>
          <w:color w:val="auto"/>
          <w:spacing w:val="-1"/>
          <w:highlight w:val="none"/>
          <w:u w:val="single" w:color="auto"/>
        </w:rPr>
        <w:t xml:space="preserve"> 发包人     </w:t>
      </w:r>
      <w:r>
        <w:rPr>
          <w:color w:val="auto"/>
          <w:spacing w:val="-1"/>
          <w:highlight w:val="none"/>
        </w:rPr>
        <w:t>。</w:t>
      </w:r>
    </w:p>
    <w:p w14:paraId="2969340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1.10.4</w:t>
      </w:r>
      <w:r>
        <w:rPr>
          <w:color w:val="auto"/>
          <w:spacing w:val="-30"/>
          <w:highlight w:val="none"/>
        </w:rPr>
        <w:t xml:space="preserve"> </w:t>
      </w:r>
      <w:r>
        <w:rPr>
          <w:color w:val="auto"/>
          <w:spacing w:val="-2"/>
          <w:highlight w:val="none"/>
        </w:rPr>
        <w:t>承包人在投标文件中采用的专利、专有技术、技术秘密的使用费的承担方式</w:t>
      </w:r>
      <w:r>
        <w:rPr>
          <w:color w:val="auto"/>
          <w:spacing w:val="-2"/>
          <w:highlight w:val="none"/>
          <w:u w:val="single" w:color="auto"/>
        </w:rPr>
        <w:t>执行通用合同条</w:t>
      </w:r>
      <w:r>
        <w:rPr>
          <w:color w:val="auto"/>
          <w:spacing w:val="-5"/>
          <w:highlight w:val="none"/>
          <w:u w:val="single" w:color="auto"/>
        </w:rPr>
        <w:t>款</w:t>
      </w:r>
      <w:r>
        <w:rPr>
          <w:color w:val="auto"/>
          <w:highlight w:val="none"/>
          <w:u w:val="single" w:color="auto"/>
        </w:rPr>
        <w:t xml:space="preserve">  </w:t>
      </w:r>
      <w:r>
        <w:rPr>
          <w:color w:val="auto"/>
          <w:spacing w:val="-5"/>
          <w:highlight w:val="none"/>
        </w:rPr>
        <w:t>。</w:t>
      </w:r>
    </w:p>
    <w:p w14:paraId="7CF747A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outlineLvl w:val="1"/>
        <w:rPr>
          <w:color w:val="auto"/>
          <w:highlight w:val="none"/>
        </w:rPr>
      </w:pPr>
      <w:bookmarkStart w:id="2156" w:name="_Toc31971"/>
      <w:r>
        <w:rPr>
          <w:color w:val="auto"/>
          <w:spacing w:val="-5"/>
          <w:highlight w:val="none"/>
        </w:rPr>
        <w:t>1.11</w:t>
      </w:r>
      <w:r>
        <w:rPr>
          <w:color w:val="auto"/>
          <w:spacing w:val="9"/>
          <w:highlight w:val="none"/>
        </w:rPr>
        <w:t xml:space="preserve"> </w:t>
      </w:r>
      <w:r>
        <w:rPr>
          <w:color w:val="auto"/>
          <w:spacing w:val="-5"/>
          <w:highlight w:val="none"/>
        </w:rPr>
        <w:t>保密</w:t>
      </w:r>
      <w:bookmarkEnd w:id="2156"/>
    </w:p>
    <w:p w14:paraId="527F72B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双方订立的商业保密协议（名称</w:t>
      </w:r>
      <w:r>
        <w:rPr>
          <w:color w:val="auto"/>
          <w:spacing w:val="6"/>
          <w:highlight w:val="none"/>
        </w:rPr>
        <w:t>）：</w:t>
      </w:r>
      <w:r>
        <w:rPr>
          <w:color w:val="auto"/>
          <w:spacing w:val="1"/>
          <w:highlight w:val="none"/>
          <w:u w:val="single" w:color="auto"/>
        </w:rPr>
        <w:t xml:space="preserve">      </w:t>
      </w:r>
      <w:r>
        <w:rPr>
          <w:color w:val="auto"/>
          <w:spacing w:val="-5"/>
          <w:highlight w:val="none"/>
          <w:u w:val="single" w:color="auto"/>
        </w:rPr>
        <w:t xml:space="preserve">/        </w:t>
      </w:r>
      <w:r>
        <w:rPr>
          <w:color w:val="auto"/>
          <w:spacing w:val="-5"/>
          <w:highlight w:val="none"/>
        </w:rPr>
        <w:t>，作为本合同附件。</w:t>
      </w:r>
    </w:p>
    <w:p w14:paraId="4ACE722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双方订立的技术保密协议（名称</w:t>
      </w:r>
      <w:r>
        <w:rPr>
          <w:color w:val="auto"/>
          <w:spacing w:val="3"/>
          <w:highlight w:val="none"/>
        </w:rPr>
        <w:t>）：</w:t>
      </w:r>
      <w:r>
        <w:rPr>
          <w:color w:val="auto"/>
          <w:spacing w:val="1"/>
          <w:highlight w:val="none"/>
          <w:u w:val="single" w:color="auto"/>
        </w:rPr>
        <w:t xml:space="preserve">       </w:t>
      </w:r>
      <w:r>
        <w:rPr>
          <w:color w:val="auto"/>
          <w:spacing w:val="-5"/>
          <w:highlight w:val="none"/>
          <w:u w:val="single" w:color="auto"/>
        </w:rPr>
        <w:t xml:space="preserve">/      </w:t>
      </w:r>
      <w:r>
        <w:rPr>
          <w:color w:val="auto"/>
          <w:spacing w:val="-5"/>
          <w:highlight w:val="none"/>
        </w:rPr>
        <w:t>，作为本合</w:t>
      </w:r>
      <w:r>
        <w:rPr>
          <w:color w:val="auto"/>
          <w:spacing w:val="-6"/>
          <w:highlight w:val="none"/>
        </w:rPr>
        <w:t>同附件。</w:t>
      </w:r>
    </w:p>
    <w:p w14:paraId="136211D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outlineLvl w:val="1"/>
        <w:rPr>
          <w:color w:val="auto"/>
          <w:highlight w:val="none"/>
        </w:rPr>
      </w:pPr>
      <w:bookmarkStart w:id="2157" w:name="_Toc11362"/>
      <w:r>
        <w:rPr>
          <w:color w:val="auto"/>
          <w:spacing w:val="-5"/>
          <w:highlight w:val="none"/>
        </w:rPr>
        <w:t>1.13</w:t>
      </w:r>
      <w:r>
        <w:rPr>
          <w:color w:val="auto"/>
          <w:spacing w:val="19"/>
          <w:highlight w:val="none"/>
        </w:rPr>
        <w:t xml:space="preserve"> </w:t>
      </w:r>
      <w:r>
        <w:rPr>
          <w:color w:val="auto"/>
          <w:spacing w:val="-5"/>
          <w:highlight w:val="none"/>
        </w:rPr>
        <w:t>责任限制</w:t>
      </w:r>
      <w:bookmarkEnd w:id="2157"/>
    </w:p>
    <w:p w14:paraId="66193FE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spacing w:val="-2"/>
          <w:highlight w:val="none"/>
        </w:rPr>
      </w:pPr>
      <w:r>
        <w:rPr>
          <w:color w:val="auto"/>
          <w:spacing w:val="-1"/>
          <w:highlight w:val="none"/>
        </w:rPr>
        <w:t>承包人对发包人赔偿责任的最高限额为</w:t>
      </w:r>
      <w:r>
        <w:rPr>
          <w:color w:val="auto"/>
          <w:spacing w:val="-1"/>
          <w:highlight w:val="none"/>
          <w:u w:val="single" w:color="auto"/>
        </w:rPr>
        <w:t xml:space="preserve">  合同</w:t>
      </w:r>
      <w:r>
        <w:rPr>
          <w:color w:val="auto"/>
          <w:spacing w:val="-2"/>
          <w:highlight w:val="none"/>
          <w:u w:val="single" w:color="auto"/>
        </w:rPr>
        <w:t>价</w:t>
      </w:r>
      <w:r>
        <w:rPr>
          <w:color w:val="auto"/>
          <w:spacing w:val="-29"/>
          <w:highlight w:val="none"/>
          <w:u w:val="single" w:color="auto"/>
        </w:rPr>
        <w:t xml:space="preserve"> </w:t>
      </w:r>
      <w:r>
        <w:rPr>
          <w:color w:val="auto"/>
          <w:spacing w:val="-2"/>
          <w:highlight w:val="none"/>
          <w:u w:val="single" w:color="auto"/>
        </w:rPr>
        <w:t xml:space="preserve">10% </w:t>
      </w:r>
      <w:r>
        <w:rPr>
          <w:color w:val="auto"/>
          <w:spacing w:val="-2"/>
          <w:highlight w:val="none"/>
        </w:rPr>
        <w:t>。</w:t>
      </w:r>
    </w:p>
    <w:p w14:paraId="52E291F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spacing w:val="-2"/>
          <w:highlight w:val="none"/>
        </w:rPr>
      </w:pPr>
      <w:r>
        <w:rPr>
          <w:rFonts w:hint="eastAsia"/>
          <w:color w:val="auto"/>
          <w:spacing w:val="-1"/>
          <w:highlight w:val="none"/>
          <w:lang w:val="en-US" w:eastAsia="zh-CN"/>
        </w:rPr>
        <w:t>发</w:t>
      </w:r>
      <w:r>
        <w:rPr>
          <w:color w:val="auto"/>
          <w:spacing w:val="-1"/>
          <w:highlight w:val="none"/>
        </w:rPr>
        <w:t>包人对</w:t>
      </w:r>
      <w:r>
        <w:rPr>
          <w:rFonts w:hint="eastAsia"/>
          <w:color w:val="auto"/>
          <w:spacing w:val="-1"/>
          <w:highlight w:val="none"/>
          <w:lang w:val="en-US" w:eastAsia="zh-CN"/>
        </w:rPr>
        <w:t>承</w:t>
      </w:r>
      <w:r>
        <w:rPr>
          <w:color w:val="auto"/>
          <w:spacing w:val="-1"/>
          <w:highlight w:val="none"/>
        </w:rPr>
        <w:t>包人赔偿责任的最高限额为</w:t>
      </w:r>
      <w:r>
        <w:rPr>
          <w:color w:val="auto"/>
          <w:spacing w:val="-1"/>
          <w:highlight w:val="none"/>
          <w:u w:val="single" w:color="auto"/>
        </w:rPr>
        <w:t xml:space="preserve">  合同</w:t>
      </w:r>
      <w:r>
        <w:rPr>
          <w:color w:val="auto"/>
          <w:spacing w:val="-2"/>
          <w:highlight w:val="none"/>
          <w:u w:val="single" w:color="auto"/>
        </w:rPr>
        <w:t>价</w:t>
      </w:r>
      <w:r>
        <w:rPr>
          <w:color w:val="auto"/>
          <w:spacing w:val="-29"/>
          <w:highlight w:val="none"/>
          <w:u w:val="single" w:color="auto"/>
        </w:rPr>
        <w:t xml:space="preserve"> </w:t>
      </w:r>
      <w:r>
        <w:rPr>
          <w:color w:val="auto"/>
          <w:spacing w:val="-2"/>
          <w:highlight w:val="none"/>
          <w:u w:val="single" w:color="auto"/>
        </w:rPr>
        <w:t xml:space="preserve">10% </w:t>
      </w:r>
      <w:r>
        <w:rPr>
          <w:color w:val="auto"/>
          <w:spacing w:val="-2"/>
          <w:highlight w:val="none"/>
        </w:rPr>
        <w:t>。</w:t>
      </w:r>
    </w:p>
    <w:p w14:paraId="099F42B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color w:val="auto"/>
          <w:highlight w:val="none"/>
        </w:rPr>
      </w:pPr>
      <w:bookmarkStart w:id="2158" w:name="_Toc29314"/>
      <w:r>
        <w:rPr>
          <w:color w:val="auto"/>
          <w:spacing w:val="-2"/>
          <w:highlight w:val="none"/>
        </w:rPr>
        <w:t>1.14 建筑信息模型技术的应用</w:t>
      </w:r>
      <w:bookmarkEnd w:id="2158"/>
    </w:p>
    <w:p w14:paraId="1DF2CB3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68" w:firstLineChars="200"/>
        <w:textAlignment w:val="baseline"/>
        <w:rPr>
          <w:color w:val="auto"/>
          <w:highlight w:val="none"/>
        </w:rPr>
      </w:pPr>
      <w:r>
        <w:rPr>
          <w:color w:val="auto"/>
          <w:spacing w:val="12"/>
          <w:highlight w:val="none"/>
        </w:rPr>
        <w:t>关于建筑信息模型技术的开发、使用、存储、传输、交付及费用约定如下：</w:t>
      </w:r>
      <w:r>
        <w:rPr>
          <w:color w:val="auto"/>
          <w:spacing w:val="-77"/>
          <w:highlight w:val="none"/>
        </w:rPr>
        <w:t xml:space="preserve"> </w:t>
      </w:r>
      <w:r>
        <w:rPr>
          <w:color w:val="auto"/>
          <w:spacing w:val="12"/>
          <w:highlight w:val="none"/>
          <w:u w:val="single" w:color="auto"/>
        </w:rPr>
        <w:t xml:space="preserve"> 执行通用合同条</w:t>
      </w:r>
      <w:r>
        <w:rPr>
          <w:color w:val="auto"/>
          <w:spacing w:val="-5"/>
          <w:highlight w:val="none"/>
          <w:u w:val="single" w:color="auto"/>
        </w:rPr>
        <w:t>款</w:t>
      </w:r>
      <w:r>
        <w:rPr>
          <w:color w:val="auto"/>
          <w:highlight w:val="none"/>
          <w:u w:val="single" w:color="auto"/>
        </w:rPr>
        <w:t xml:space="preserve"> </w:t>
      </w:r>
      <w:r>
        <w:rPr>
          <w:color w:val="auto"/>
          <w:spacing w:val="-5"/>
          <w:highlight w:val="none"/>
        </w:rPr>
        <w:t>。</w:t>
      </w:r>
    </w:p>
    <w:p w14:paraId="1E2F568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2" w:firstLineChars="200"/>
        <w:textAlignment w:val="baseline"/>
        <w:outlineLvl w:val="0"/>
        <w:rPr>
          <w:color w:val="auto"/>
          <w:highlight w:val="none"/>
        </w:rPr>
      </w:pPr>
      <w:bookmarkStart w:id="2159" w:name="_Toc1397"/>
      <w:r>
        <w:rPr>
          <w:color w:val="auto"/>
          <w:spacing w:val="-7"/>
          <w:highlight w:val="none"/>
        </w:rPr>
        <w:t>第</w:t>
      </w:r>
      <w:r>
        <w:rPr>
          <w:color w:val="auto"/>
          <w:spacing w:val="-38"/>
          <w:highlight w:val="none"/>
        </w:rPr>
        <w:t xml:space="preserve"> </w:t>
      </w:r>
      <w:r>
        <w:rPr>
          <w:color w:val="auto"/>
          <w:spacing w:val="-7"/>
          <w:highlight w:val="none"/>
        </w:rPr>
        <w:t>2</w:t>
      </w:r>
      <w:r>
        <w:rPr>
          <w:color w:val="auto"/>
          <w:spacing w:val="-42"/>
          <w:highlight w:val="none"/>
        </w:rPr>
        <w:t xml:space="preserve"> </w:t>
      </w:r>
      <w:r>
        <w:rPr>
          <w:color w:val="auto"/>
          <w:spacing w:val="-7"/>
          <w:highlight w:val="none"/>
        </w:rPr>
        <w:t>条</w:t>
      </w:r>
      <w:r>
        <w:rPr>
          <w:color w:val="auto"/>
          <w:spacing w:val="11"/>
          <w:highlight w:val="none"/>
        </w:rPr>
        <w:t xml:space="preserve"> </w:t>
      </w:r>
      <w:r>
        <w:rPr>
          <w:color w:val="auto"/>
          <w:spacing w:val="-7"/>
          <w:highlight w:val="none"/>
        </w:rPr>
        <w:t>发包人</w:t>
      </w:r>
      <w:bookmarkEnd w:id="2159"/>
    </w:p>
    <w:p w14:paraId="7F04165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1"/>
        <w:rPr>
          <w:color w:val="auto"/>
          <w:highlight w:val="none"/>
        </w:rPr>
      </w:pPr>
      <w:bookmarkStart w:id="2160" w:name="_Toc13077"/>
      <w:r>
        <w:rPr>
          <w:color w:val="auto"/>
          <w:spacing w:val="-1"/>
          <w:highlight w:val="none"/>
        </w:rPr>
        <w:t>2.2 提供施工现场和工作条件</w:t>
      </w:r>
      <w:bookmarkEnd w:id="2160"/>
    </w:p>
    <w:p w14:paraId="068DBD3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2.2.1 提供施工现场</w:t>
      </w:r>
    </w:p>
    <w:p w14:paraId="0B53677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关于发包人提供施工现场的范围和期限：</w:t>
      </w:r>
      <w:r>
        <w:rPr>
          <w:color w:val="auto"/>
          <w:spacing w:val="-1"/>
          <w:highlight w:val="none"/>
          <w:u w:val="single" w:color="auto"/>
        </w:rPr>
        <w:t xml:space="preserve"> 开工前七日 </w:t>
      </w:r>
      <w:r>
        <w:rPr>
          <w:color w:val="auto"/>
          <w:spacing w:val="-1"/>
          <w:highlight w:val="none"/>
        </w:rPr>
        <w:t>。</w:t>
      </w:r>
    </w:p>
    <w:p w14:paraId="3F4334B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2.2.2 提供工作条件</w:t>
      </w:r>
    </w:p>
    <w:p w14:paraId="05C9045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8" w:firstLineChars="200"/>
        <w:textAlignment w:val="baseline"/>
        <w:rPr>
          <w:color w:val="auto"/>
          <w:highlight w:val="none"/>
        </w:rPr>
      </w:pPr>
      <w:r>
        <w:rPr>
          <w:color w:val="auto"/>
          <w:spacing w:val="2"/>
          <w:highlight w:val="none"/>
        </w:rPr>
        <w:t>关于发包人应负责提供的工作条件包括：</w:t>
      </w:r>
      <w:r>
        <w:rPr>
          <w:color w:val="auto"/>
          <w:spacing w:val="2"/>
          <w:highlight w:val="none"/>
          <w:u w:val="single" w:color="auto"/>
        </w:rPr>
        <w:t>1、开工前七日，发包人应以书面形式将本工程的水准点、</w:t>
      </w:r>
      <w:r>
        <w:rPr>
          <w:color w:val="auto"/>
          <w:spacing w:val="12"/>
          <w:highlight w:val="none"/>
        </w:rPr>
        <w:t xml:space="preserve"> </w:t>
      </w:r>
      <w:r>
        <w:rPr>
          <w:color w:val="auto"/>
          <w:highlight w:val="none"/>
          <w:u w:val="single" w:color="auto"/>
        </w:rPr>
        <w:t>坐标控制点提供给承包人以及提供满足工程要求的“</w:t>
      </w:r>
      <w:r>
        <w:rPr>
          <w:color w:val="auto"/>
          <w:spacing w:val="-63"/>
          <w:highlight w:val="none"/>
          <w:u w:val="single" w:color="auto"/>
        </w:rPr>
        <w:t xml:space="preserve"> </w:t>
      </w:r>
      <w:r>
        <w:rPr>
          <w:color w:val="auto"/>
          <w:highlight w:val="none"/>
          <w:u w:val="single" w:color="auto"/>
        </w:rPr>
        <w:t>四通一平</w:t>
      </w:r>
      <w:r>
        <w:rPr>
          <w:color w:val="auto"/>
          <w:spacing w:val="-75"/>
          <w:highlight w:val="none"/>
          <w:u w:val="single" w:color="auto"/>
        </w:rPr>
        <w:t xml:space="preserve"> </w:t>
      </w:r>
      <w:r>
        <w:rPr>
          <w:color w:val="auto"/>
          <w:highlight w:val="none"/>
          <w:u w:val="single" w:color="auto"/>
        </w:rPr>
        <w:t>”现场。2、发包人协调处理施工现场周围</w:t>
      </w:r>
      <w:r>
        <w:rPr>
          <w:color w:val="auto"/>
          <w:spacing w:val="1"/>
          <w:highlight w:val="none"/>
          <w:u w:val="single" w:color="auto"/>
        </w:rPr>
        <w:t>地下管线和邻近建筑物、构筑物、古树名木的保护工作，并承担相关费用；3、发包人指定施工用水、用</w:t>
      </w:r>
      <w:r>
        <w:rPr>
          <w:color w:val="auto"/>
          <w:spacing w:val="-2"/>
          <w:highlight w:val="none"/>
          <w:u w:val="single" w:color="auto"/>
        </w:rPr>
        <w:t>电安装计量表位置、配电箱及管线的位置（不</w:t>
      </w:r>
      <w:r>
        <w:rPr>
          <w:rFonts w:hint="eastAsia"/>
          <w:color w:val="auto"/>
          <w:spacing w:val="-2"/>
          <w:highlight w:val="none"/>
          <w:u w:val="single" w:color="auto"/>
          <w:lang w:eastAsia="zh-CN"/>
        </w:rPr>
        <w:t>超过</w:t>
      </w:r>
      <w:r>
        <w:rPr>
          <w:color w:val="auto"/>
          <w:spacing w:val="-2"/>
          <w:highlight w:val="none"/>
          <w:u w:val="single" w:color="auto"/>
        </w:rPr>
        <w:t>施工现场50</w:t>
      </w:r>
      <w:r>
        <w:rPr>
          <w:color w:val="auto"/>
          <w:spacing w:val="-3"/>
          <w:highlight w:val="none"/>
          <w:u w:val="single" w:color="auto"/>
        </w:rPr>
        <w:t>m</w:t>
      </w:r>
      <w:r>
        <w:rPr>
          <w:color w:val="auto"/>
          <w:spacing w:val="-53"/>
          <w:w w:val="97"/>
          <w:highlight w:val="none"/>
          <w:u w:val="single" w:color="auto"/>
        </w:rPr>
        <w:t>），</w:t>
      </w:r>
      <w:r>
        <w:rPr>
          <w:color w:val="auto"/>
          <w:spacing w:val="-3"/>
          <w:highlight w:val="none"/>
          <w:u w:val="single" w:color="auto"/>
        </w:rPr>
        <w:t>承包人从发包人指定的施工用水、用电部</w:t>
      </w:r>
      <w:r>
        <w:rPr>
          <w:color w:val="auto"/>
          <w:spacing w:val="-1"/>
          <w:highlight w:val="none"/>
          <w:u w:val="single" w:color="auto"/>
        </w:rPr>
        <w:t xml:space="preserve">位上安装计量表、配电箱及管线 </w:t>
      </w:r>
      <w:r>
        <w:rPr>
          <w:color w:val="auto"/>
          <w:spacing w:val="-1"/>
          <w:highlight w:val="none"/>
        </w:rPr>
        <w:t>。</w:t>
      </w:r>
    </w:p>
    <w:p w14:paraId="4ECD3A5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1"/>
        <w:rPr>
          <w:color w:val="auto"/>
          <w:highlight w:val="none"/>
        </w:rPr>
      </w:pPr>
      <w:bookmarkStart w:id="2161" w:name="_Toc29567"/>
      <w:r>
        <w:rPr>
          <w:color w:val="auto"/>
          <w:spacing w:val="-1"/>
          <w:highlight w:val="none"/>
        </w:rPr>
        <w:t>2.3 提供基础资料</w:t>
      </w:r>
      <w:bookmarkEnd w:id="2161"/>
    </w:p>
    <w:p w14:paraId="39A2933E">
      <w:pPr>
        <w:pStyle w:val="9"/>
        <w:keepNext w:val="0"/>
        <w:keepLines w:val="0"/>
        <w:pageBreakBefore w:val="0"/>
        <w:widowControl/>
        <w:kinsoku w:val="0"/>
        <w:wordWrap/>
        <w:overflowPunct/>
        <w:topLinePunct w:val="0"/>
        <w:autoSpaceDE/>
        <w:autoSpaceDN/>
        <w:bidi w:val="0"/>
        <w:adjustRightInd w:val="0"/>
        <w:snapToGrid w:val="0"/>
        <w:spacing w:line="360" w:lineRule="auto"/>
        <w:ind w:right="0" w:rightChars="0" w:firstLine="416" w:firstLineChars="200"/>
        <w:textAlignment w:val="baseline"/>
        <w:rPr>
          <w:color w:val="auto"/>
          <w:highlight w:val="none"/>
        </w:rPr>
      </w:pPr>
      <w:r>
        <w:rPr>
          <w:color w:val="auto"/>
          <w:spacing w:val="-1"/>
          <w:highlight w:val="none"/>
        </w:rPr>
        <w:t>关于发包人应提供的基础资料的范围和期限：</w:t>
      </w:r>
      <w:r>
        <w:rPr>
          <w:color w:val="auto"/>
          <w:spacing w:val="-1"/>
          <w:highlight w:val="none"/>
          <w:u w:val="single" w:color="auto"/>
        </w:rPr>
        <w:t xml:space="preserve"> 开工前七日 </w:t>
      </w:r>
      <w:r>
        <w:rPr>
          <w:rFonts w:hint="eastAsia"/>
          <w:color w:val="auto"/>
          <w:spacing w:val="-1"/>
          <w:highlight w:val="none"/>
          <w:u w:val="single" w:color="auto"/>
          <w:lang w:eastAsia="zh-CN"/>
        </w:rPr>
        <w:t>，</w:t>
      </w:r>
      <w:r>
        <w:rPr>
          <w:rFonts w:hint="default"/>
          <w:color w:val="auto"/>
          <w:spacing w:val="1"/>
          <w:highlight w:val="none"/>
          <w:u w:val="single" w:color="auto"/>
          <w:lang w:eastAsia="zh-CN"/>
        </w:rPr>
        <w:t>若发包人未在约定期限内提供相应基础资料，导致无法开工的，工期相应后延</w:t>
      </w:r>
      <w:r>
        <w:rPr>
          <w:color w:val="auto"/>
          <w:spacing w:val="1"/>
          <w:highlight w:val="none"/>
          <w:u w:val="single" w:color="auto"/>
        </w:rPr>
        <w:t xml:space="preserve"> </w:t>
      </w:r>
      <w:r>
        <w:rPr>
          <w:color w:val="auto"/>
          <w:spacing w:val="-1"/>
          <w:highlight w:val="none"/>
        </w:rPr>
        <w:t>。</w:t>
      </w:r>
    </w:p>
    <w:p w14:paraId="0F32ACD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1"/>
        <w:rPr>
          <w:color w:val="auto"/>
          <w:highlight w:val="none"/>
        </w:rPr>
      </w:pPr>
      <w:bookmarkStart w:id="2162" w:name="_Toc8276"/>
      <w:r>
        <w:rPr>
          <w:color w:val="auto"/>
          <w:spacing w:val="-1"/>
          <w:highlight w:val="none"/>
        </w:rPr>
        <w:t>2.5 支付合同价款</w:t>
      </w:r>
      <w:bookmarkEnd w:id="2162"/>
    </w:p>
    <w:p w14:paraId="635CAA3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2.5.2 发包人提供资金来源证明及资金安排的期限要求：</w:t>
      </w:r>
      <w:r>
        <w:rPr>
          <w:color w:val="auto"/>
          <w:highlight w:val="none"/>
          <w:u w:val="single" w:color="auto"/>
        </w:rPr>
        <w:t xml:space="preserve">  执行通用合同条款     </w:t>
      </w:r>
      <w:r>
        <w:rPr>
          <w:color w:val="auto"/>
          <w:spacing w:val="-1"/>
          <w:highlight w:val="none"/>
          <w:u w:val="single" w:color="auto"/>
        </w:rPr>
        <w:t xml:space="preserve">         </w:t>
      </w:r>
      <w:r>
        <w:rPr>
          <w:color w:val="auto"/>
          <w:spacing w:val="-1"/>
          <w:highlight w:val="none"/>
        </w:rPr>
        <w:t>。</w:t>
      </w:r>
    </w:p>
    <w:p w14:paraId="6CC55D4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2.5.3 发包人提供支付担保的形式、期限、金额（或比例</w:t>
      </w:r>
      <w:r>
        <w:rPr>
          <w:color w:val="auto"/>
          <w:spacing w:val="11"/>
          <w:highlight w:val="none"/>
        </w:rPr>
        <w:t>）：</w:t>
      </w:r>
      <w:r>
        <w:rPr>
          <w:color w:val="auto"/>
          <w:spacing w:val="8"/>
          <w:highlight w:val="none"/>
          <w:u w:val="single" w:color="auto"/>
        </w:rPr>
        <w:t xml:space="preserve"> </w:t>
      </w:r>
      <w:r>
        <w:rPr>
          <w:color w:val="auto"/>
          <w:spacing w:val="-3"/>
          <w:highlight w:val="none"/>
          <w:u w:val="single" w:color="auto"/>
        </w:rPr>
        <w:t xml:space="preserve">执行通用合同条款            </w:t>
      </w:r>
      <w:r>
        <w:rPr>
          <w:color w:val="auto"/>
          <w:spacing w:val="-3"/>
          <w:highlight w:val="none"/>
        </w:rPr>
        <w:t>。</w:t>
      </w:r>
    </w:p>
    <w:p w14:paraId="409A936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color w:val="auto"/>
          <w:highlight w:val="none"/>
        </w:rPr>
      </w:pPr>
      <w:bookmarkStart w:id="2163" w:name="_Toc12748"/>
      <w:r>
        <w:rPr>
          <w:color w:val="auto"/>
          <w:spacing w:val="-2"/>
          <w:highlight w:val="none"/>
        </w:rPr>
        <w:t>2.7 其他义务</w:t>
      </w:r>
      <w:bookmarkEnd w:id="2163"/>
    </w:p>
    <w:p w14:paraId="2C494B8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发包人应履行的其他义务：</w:t>
      </w:r>
      <w:r>
        <w:rPr>
          <w:color w:val="auto"/>
          <w:spacing w:val="-2"/>
          <w:highlight w:val="none"/>
          <w:u w:val="single" w:color="auto"/>
        </w:rPr>
        <w:t xml:space="preserve"> 法律规定和（或）合</w:t>
      </w:r>
      <w:r>
        <w:rPr>
          <w:color w:val="auto"/>
          <w:spacing w:val="-3"/>
          <w:highlight w:val="none"/>
          <w:u w:val="single" w:color="auto"/>
        </w:rPr>
        <w:t>同约定必须由发包方负责办理的工程建设项目履行</w:t>
      </w:r>
      <w:r>
        <w:rPr>
          <w:color w:val="auto"/>
          <w:spacing w:val="-4"/>
          <w:highlight w:val="none"/>
          <w:u w:val="single" w:color="auto"/>
        </w:rPr>
        <w:t>的各类审批、核准或备案手续，发包方应按时办理。法律规定和（或）合同约定由承包方负责的</w:t>
      </w:r>
      <w:r>
        <w:rPr>
          <w:color w:val="auto"/>
          <w:spacing w:val="-5"/>
          <w:highlight w:val="none"/>
          <w:u w:val="single" w:color="auto"/>
        </w:rPr>
        <w:t>有关施工</w:t>
      </w:r>
      <w:r>
        <w:rPr>
          <w:color w:val="auto"/>
          <w:spacing w:val="-1"/>
          <w:highlight w:val="none"/>
          <w:u w:val="single" w:color="auto"/>
        </w:rPr>
        <w:t>证件和批件，发包方应给予必要的协助。发包方应按合同约定向承包方及时支付合同价款。专用合同条款对发包方工程款支付担保有约定的，从其约定。</w:t>
      </w:r>
    </w:p>
    <w:p w14:paraId="799FA73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0"/>
        <w:rPr>
          <w:color w:val="auto"/>
          <w:highlight w:val="none"/>
        </w:rPr>
      </w:pPr>
      <w:bookmarkStart w:id="2164" w:name="_Toc20204"/>
      <w:r>
        <w:rPr>
          <w:color w:val="auto"/>
          <w:spacing w:val="-3"/>
          <w:highlight w:val="none"/>
        </w:rPr>
        <w:t>第</w:t>
      </w:r>
      <w:r>
        <w:rPr>
          <w:color w:val="auto"/>
          <w:spacing w:val="-40"/>
          <w:highlight w:val="none"/>
        </w:rPr>
        <w:t xml:space="preserve"> </w:t>
      </w:r>
      <w:r>
        <w:rPr>
          <w:color w:val="auto"/>
          <w:spacing w:val="-3"/>
          <w:highlight w:val="none"/>
        </w:rPr>
        <w:t>3</w:t>
      </w:r>
      <w:r>
        <w:rPr>
          <w:color w:val="auto"/>
          <w:spacing w:val="-43"/>
          <w:highlight w:val="none"/>
        </w:rPr>
        <w:t xml:space="preserve"> </w:t>
      </w:r>
      <w:r>
        <w:rPr>
          <w:color w:val="auto"/>
          <w:spacing w:val="-3"/>
          <w:highlight w:val="none"/>
        </w:rPr>
        <w:t>条 发包人的管理</w:t>
      </w:r>
      <w:bookmarkEnd w:id="2164"/>
    </w:p>
    <w:p w14:paraId="312FB79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color w:val="auto"/>
          <w:highlight w:val="none"/>
        </w:rPr>
      </w:pPr>
      <w:bookmarkStart w:id="2165" w:name="_Toc30370"/>
      <w:r>
        <w:rPr>
          <w:color w:val="auto"/>
          <w:spacing w:val="-2"/>
          <w:highlight w:val="none"/>
        </w:rPr>
        <w:t>3.1 发包人代表</w:t>
      </w:r>
      <w:bookmarkEnd w:id="2165"/>
    </w:p>
    <w:p w14:paraId="4C3EE3C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发包人代表的姓名</w:t>
      </w:r>
      <w:r>
        <w:rPr>
          <w:color w:val="auto"/>
          <w:spacing w:val="1"/>
          <w:highlight w:val="none"/>
        </w:rPr>
        <w:t>：</w:t>
      </w:r>
      <w:r>
        <w:rPr>
          <w:color w:val="auto"/>
          <w:highlight w:val="none"/>
          <w:u w:val="single" w:color="auto"/>
        </w:rPr>
        <w:t xml:space="preserve">    </w:t>
      </w:r>
      <w:r>
        <w:rPr>
          <w:rFonts w:hint="eastAsia"/>
          <w:color w:val="auto"/>
          <w:highlight w:val="none"/>
          <w:u w:val="single" w:color="auto"/>
          <w:lang w:val="en-US" w:eastAsia="zh-CN"/>
        </w:rPr>
        <w:t xml:space="preserve">    </w:t>
      </w:r>
      <w:r>
        <w:rPr>
          <w:color w:val="auto"/>
          <w:highlight w:val="none"/>
          <w:u w:val="single" w:color="auto"/>
        </w:rPr>
        <w:t xml:space="preserve">   </w:t>
      </w:r>
      <w:r>
        <w:rPr>
          <w:rFonts w:hint="eastAsia"/>
          <w:color w:val="auto"/>
          <w:highlight w:val="none"/>
          <w:u w:val="single" w:color="auto"/>
          <w:lang w:val="en-US" w:eastAsia="zh-CN"/>
        </w:rPr>
        <w:t xml:space="preserve">        </w:t>
      </w:r>
      <w:r>
        <w:rPr>
          <w:color w:val="auto"/>
          <w:highlight w:val="none"/>
          <w:u w:val="single" w:color="auto"/>
        </w:rPr>
        <w:t xml:space="preserve">  </w:t>
      </w:r>
      <w:r>
        <w:rPr>
          <w:color w:val="auto"/>
          <w:spacing w:val="1"/>
          <w:highlight w:val="none"/>
        </w:rPr>
        <w:t>；</w:t>
      </w:r>
    </w:p>
    <w:p w14:paraId="10AE521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发包人代表的身份证号</w:t>
      </w:r>
      <w:r>
        <w:rPr>
          <w:color w:val="auto"/>
          <w:spacing w:val="3"/>
          <w:highlight w:val="none"/>
        </w:rPr>
        <w:t>：</w:t>
      </w:r>
      <w:r>
        <w:rPr>
          <w:color w:val="auto"/>
          <w:highlight w:val="none"/>
          <w:u w:val="single" w:color="auto"/>
        </w:rPr>
        <w:t xml:space="preserve">   </w:t>
      </w:r>
      <w:r>
        <w:rPr>
          <w:color w:val="auto"/>
          <w:spacing w:val="3"/>
          <w:highlight w:val="none"/>
        </w:rPr>
        <w:t>；</w:t>
      </w:r>
    </w:p>
    <w:p w14:paraId="1CAA5F1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发包人代表的职务</w:t>
      </w:r>
      <w:r>
        <w:rPr>
          <w:color w:val="auto"/>
          <w:spacing w:val="1"/>
          <w:highlight w:val="none"/>
        </w:rPr>
        <w:t>：</w:t>
      </w:r>
      <w:r>
        <w:rPr>
          <w:color w:val="auto"/>
          <w:highlight w:val="none"/>
          <w:u w:val="single" w:color="auto"/>
        </w:rPr>
        <w:t xml:space="preserve">                       </w:t>
      </w:r>
      <w:r>
        <w:rPr>
          <w:color w:val="auto"/>
          <w:spacing w:val="1"/>
          <w:highlight w:val="none"/>
        </w:rPr>
        <w:t>；</w:t>
      </w:r>
    </w:p>
    <w:p w14:paraId="2F955D4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发包人代表的联系电话</w:t>
      </w:r>
      <w:r>
        <w:rPr>
          <w:color w:val="auto"/>
          <w:spacing w:val="3"/>
          <w:highlight w:val="none"/>
        </w:rPr>
        <w:t>：</w:t>
      </w:r>
      <w:r>
        <w:rPr>
          <w:color w:val="auto"/>
          <w:highlight w:val="none"/>
          <w:u w:val="single" w:color="auto"/>
        </w:rPr>
        <w:t xml:space="preserve">                  </w:t>
      </w:r>
      <w:r>
        <w:rPr>
          <w:color w:val="auto"/>
          <w:spacing w:val="3"/>
          <w:highlight w:val="none"/>
        </w:rPr>
        <w:t>；</w:t>
      </w:r>
    </w:p>
    <w:p w14:paraId="7D95E80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发包人代表的电子邮箱</w:t>
      </w:r>
      <w:r>
        <w:rPr>
          <w:color w:val="auto"/>
          <w:spacing w:val="3"/>
          <w:highlight w:val="none"/>
        </w:rPr>
        <w:t>：</w:t>
      </w:r>
      <w:r>
        <w:rPr>
          <w:color w:val="auto"/>
          <w:highlight w:val="none"/>
          <w:u w:val="single" w:color="auto"/>
        </w:rPr>
        <w:t xml:space="preserve">  </w:t>
      </w:r>
      <w:r>
        <w:rPr>
          <w:rFonts w:hint="eastAsia"/>
          <w:color w:val="auto"/>
          <w:highlight w:val="none"/>
          <w:u w:val="single" w:color="auto"/>
          <w:lang w:val="en-US" w:eastAsia="zh-CN"/>
        </w:rPr>
        <w:t xml:space="preserve">  </w:t>
      </w:r>
      <w:r>
        <w:rPr>
          <w:color w:val="auto"/>
          <w:highlight w:val="none"/>
          <w:u w:val="single" w:color="auto"/>
        </w:rPr>
        <w:t xml:space="preserve"> </w:t>
      </w:r>
      <w:r>
        <w:rPr>
          <w:color w:val="auto"/>
          <w:spacing w:val="3"/>
          <w:highlight w:val="none"/>
        </w:rPr>
        <w:t>；</w:t>
      </w:r>
    </w:p>
    <w:p w14:paraId="711A06E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发包人代表的通信地址</w:t>
      </w:r>
      <w:r>
        <w:rPr>
          <w:color w:val="auto"/>
          <w:spacing w:val="3"/>
          <w:highlight w:val="none"/>
        </w:rPr>
        <w:t>：</w:t>
      </w:r>
      <w:r>
        <w:rPr>
          <w:color w:val="auto"/>
          <w:highlight w:val="none"/>
          <w:u w:val="single" w:color="auto"/>
        </w:rPr>
        <w:t xml:space="preserve">                 </w:t>
      </w:r>
      <w:r>
        <w:rPr>
          <w:color w:val="auto"/>
          <w:spacing w:val="3"/>
          <w:highlight w:val="none"/>
        </w:rPr>
        <w:t>；</w:t>
      </w:r>
    </w:p>
    <w:p w14:paraId="17CEDB9E">
      <w:pPr>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Autospacing="0" w:line="360" w:lineRule="auto"/>
        <w:ind w:left="0" w:firstLine="416" w:firstLineChars="200"/>
        <w:jc w:val="left"/>
        <w:textAlignment w:val="baseline"/>
        <w:rPr>
          <w:rFonts w:hint="default"/>
          <w:color w:val="auto"/>
          <w:spacing w:val="-1"/>
          <w:highlight w:val="none"/>
          <w:u w:val="single"/>
        </w:rPr>
      </w:pPr>
      <w:r>
        <w:rPr>
          <w:color w:val="auto"/>
          <w:spacing w:val="-1"/>
          <w:highlight w:val="none"/>
        </w:rPr>
        <w:t>发包人对发包人代表的授权范围如下</w:t>
      </w:r>
      <w:r>
        <w:rPr>
          <w:color w:val="auto"/>
          <w:spacing w:val="1"/>
          <w:highlight w:val="none"/>
        </w:rPr>
        <w:t>：</w:t>
      </w:r>
      <w:r>
        <w:rPr>
          <w:rFonts w:hint="default"/>
          <w:color w:val="auto"/>
          <w:spacing w:val="-1"/>
          <w:highlight w:val="none"/>
          <w:u w:val="single"/>
          <w:lang w:val="en-US" w:eastAsia="zh-CN"/>
        </w:rPr>
        <w:t>代表发包人履行合同约定的日常管理职责，监督工程进度、质量、安全及合同执行情况；在发包人授权范围内，向承包人发出与工程相关的指令、通知，接收承包人提交的报告、文件等资料；协调发包人与承包人及其他相关方之间的工作关系；处理工程实施过程中的一般性事务和常规问题。涉及工程重大变更、合同价款调整、工期大幅变动、解除合同等核心权利</w:t>
      </w:r>
      <w:r>
        <w:rPr>
          <w:rFonts w:hint="eastAsia"/>
          <w:color w:val="auto"/>
          <w:spacing w:val="-1"/>
          <w:highlight w:val="none"/>
          <w:u w:val="single"/>
          <w:lang w:val="en-US" w:eastAsia="zh-CN"/>
        </w:rPr>
        <w:t>。</w:t>
      </w:r>
    </w:p>
    <w:p w14:paraId="622757D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发包人代表的职责：</w:t>
      </w:r>
      <w:r>
        <w:rPr>
          <w:color w:val="auto"/>
          <w:highlight w:val="none"/>
          <w:u w:val="single" w:color="auto"/>
        </w:rPr>
        <w:t xml:space="preserve">                    </w:t>
      </w:r>
      <w:r>
        <w:rPr>
          <w:color w:val="auto"/>
          <w:spacing w:val="-1"/>
          <w:highlight w:val="none"/>
          <w:u w:val="single" w:color="auto"/>
        </w:rPr>
        <w:t xml:space="preserve">            </w:t>
      </w:r>
      <w:r>
        <w:rPr>
          <w:color w:val="auto"/>
          <w:spacing w:val="-1"/>
          <w:highlight w:val="none"/>
        </w:rPr>
        <w:t>。</w:t>
      </w:r>
    </w:p>
    <w:p w14:paraId="0DCBF9A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color w:val="auto"/>
          <w:highlight w:val="none"/>
        </w:rPr>
      </w:pPr>
      <w:bookmarkStart w:id="2166" w:name="_Toc26418"/>
      <w:r>
        <w:rPr>
          <w:color w:val="auto"/>
          <w:spacing w:val="-2"/>
          <w:highlight w:val="none"/>
        </w:rPr>
        <w:t>3.2 发包人人员</w:t>
      </w:r>
      <w:bookmarkEnd w:id="2166"/>
    </w:p>
    <w:p w14:paraId="38B4E2B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发包人人员姓名</w:t>
      </w:r>
      <w:r>
        <w:rPr>
          <w:color w:val="auto"/>
          <w:highlight w:val="none"/>
        </w:rPr>
        <w:t>：</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r>
        <w:rPr>
          <w:color w:val="auto"/>
          <w:highlight w:val="none"/>
        </w:rPr>
        <w:t>；</w:t>
      </w:r>
    </w:p>
    <w:p w14:paraId="44A61E1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发包人人员职务</w:t>
      </w:r>
      <w:r>
        <w:rPr>
          <w:color w:val="auto"/>
          <w:highlight w:val="none"/>
        </w:rPr>
        <w:t>：</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r>
        <w:rPr>
          <w:color w:val="auto"/>
          <w:highlight w:val="none"/>
        </w:rPr>
        <w:t>；</w:t>
      </w:r>
    </w:p>
    <w:p w14:paraId="3BFF4B9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发包人人员职责：</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r>
        <w:rPr>
          <w:color w:val="auto"/>
          <w:spacing w:val="-1"/>
          <w:highlight w:val="none"/>
          <w:u w:val="single" w:color="auto"/>
        </w:rPr>
        <w:t xml:space="preserve">          </w:t>
      </w:r>
      <w:r>
        <w:rPr>
          <w:color w:val="auto"/>
          <w:spacing w:val="-1"/>
          <w:highlight w:val="none"/>
        </w:rPr>
        <w:t>。</w:t>
      </w:r>
    </w:p>
    <w:p w14:paraId="7519738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1"/>
        <w:rPr>
          <w:color w:val="auto"/>
          <w:highlight w:val="none"/>
        </w:rPr>
      </w:pPr>
      <w:bookmarkStart w:id="2167" w:name="_Toc28571"/>
      <w:r>
        <w:rPr>
          <w:color w:val="auto"/>
          <w:spacing w:val="-4"/>
          <w:highlight w:val="none"/>
        </w:rPr>
        <w:t>3.3</w:t>
      </w:r>
      <w:r>
        <w:rPr>
          <w:color w:val="auto"/>
          <w:spacing w:val="14"/>
          <w:highlight w:val="none"/>
        </w:rPr>
        <w:t xml:space="preserve"> </w:t>
      </w:r>
      <w:r>
        <w:rPr>
          <w:color w:val="auto"/>
          <w:spacing w:val="-4"/>
          <w:highlight w:val="none"/>
        </w:rPr>
        <w:t>工程师</w:t>
      </w:r>
      <w:bookmarkEnd w:id="2167"/>
    </w:p>
    <w:p w14:paraId="793332F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color w:val="auto"/>
          <w:highlight w:val="none"/>
        </w:rPr>
      </w:pPr>
      <w:r>
        <w:rPr>
          <w:color w:val="auto"/>
          <w:spacing w:val="-13"/>
          <w:highlight w:val="none"/>
        </w:rPr>
        <w:t>3.3.1</w:t>
      </w:r>
      <w:r>
        <w:rPr>
          <w:color w:val="auto"/>
          <w:spacing w:val="54"/>
          <w:highlight w:val="none"/>
        </w:rPr>
        <w:t xml:space="preserve"> </w:t>
      </w:r>
      <w:r>
        <w:rPr>
          <w:color w:val="auto"/>
          <w:spacing w:val="-13"/>
          <w:highlight w:val="none"/>
        </w:rPr>
        <w:t>工</w:t>
      </w:r>
      <w:r>
        <w:rPr>
          <w:color w:val="auto"/>
          <w:spacing w:val="-54"/>
          <w:highlight w:val="none"/>
        </w:rPr>
        <w:t xml:space="preserve"> </w:t>
      </w:r>
      <w:r>
        <w:rPr>
          <w:color w:val="auto"/>
          <w:spacing w:val="-13"/>
          <w:highlight w:val="none"/>
        </w:rPr>
        <w:t>程</w:t>
      </w:r>
      <w:r>
        <w:rPr>
          <w:color w:val="auto"/>
          <w:spacing w:val="-51"/>
          <w:highlight w:val="none"/>
        </w:rPr>
        <w:t xml:space="preserve"> </w:t>
      </w:r>
      <w:r>
        <w:rPr>
          <w:color w:val="auto"/>
          <w:spacing w:val="-13"/>
          <w:highlight w:val="none"/>
        </w:rPr>
        <w:t>师</w:t>
      </w:r>
      <w:r>
        <w:rPr>
          <w:color w:val="auto"/>
          <w:spacing w:val="-51"/>
          <w:highlight w:val="none"/>
        </w:rPr>
        <w:t xml:space="preserve"> </w:t>
      </w:r>
      <w:r>
        <w:rPr>
          <w:color w:val="auto"/>
          <w:spacing w:val="-13"/>
          <w:highlight w:val="none"/>
        </w:rPr>
        <w:t>名</w:t>
      </w:r>
      <w:r>
        <w:rPr>
          <w:color w:val="auto"/>
          <w:spacing w:val="-55"/>
          <w:highlight w:val="none"/>
        </w:rPr>
        <w:t xml:space="preserve"> </w:t>
      </w:r>
      <w:r>
        <w:rPr>
          <w:color w:val="auto"/>
          <w:spacing w:val="-13"/>
          <w:highlight w:val="none"/>
        </w:rPr>
        <w:t>称</w:t>
      </w:r>
      <w:r>
        <w:rPr>
          <w:color w:val="auto"/>
          <w:spacing w:val="-35"/>
          <w:highlight w:val="none"/>
        </w:rPr>
        <w:t xml:space="preserve"> </w:t>
      </w:r>
      <w:r>
        <w:rPr>
          <w:color w:val="auto"/>
          <w:spacing w:val="-20"/>
          <w:highlight w:val="none"/>
        </w:rPr>
        <w:t>：</w:t>
      </w:r>
      <w:r>
        <w:rPr>
          <w:color w:val="auto"/>
          <w:spacing w:val="-62"/>
          <w:highlight w:val="none"/>
        </w:rPr>
        <w:t xml:space="preserve"> </w:t>
      </w:r>
      <w:r>
        <w:rPr>
          <w:color w:val="auto"/>
          <w:spacing w:val="2"/>
          <w:highlight w:val="none"/>
          <w:u w:val="single" w:color="auto"/>
        </w:rPr>
        <w:t xml:space="preserve">                                  </w:t>
      </w:r>
      <w:r>
        <w:rPr>
          <w:color w:val="auto"/>
          <w:spacing w:val="1"/>
          <w:highlight w:val="none"/>
          <w:u w:val="single" w:color="auto"/>
        </w:rPr>
        <w:t xml:space="preserve">  </w:t>
      </w:r>
      <w:r>
        <w:rPr>
          <w:color w:val="auto"/>
          <w:spacing w:val="-78"/>
          <w:highlight w:val="none"/>
        </w:rPr>
        <w:t xml:space="preserve"> </w:t>
      </w:r>
      <w:r>
        <w:rPr>
          <w:color w:val="auto"/>
          <w:spacing w:val="-20"/>
          <w:highlight w:val="none"/>
        </w:rPr>
        <w:t>；</w:t>
      </w:r>
      <w:r>
        <w:rPr>
          <w:color w:val="auto"/>
          <w:spacing w:val="-52"/>
          <w:highlight w:val="none"/>
        </w:rPr>
        <w:t xml:space="preserve"> </w:t>
      </w:r>
      <w:r>
        <w:rPr>
          <w:color w:val="auto"/>
          <w:spacing w:val="-13"/>
          <w:highlight w:val="none"/>
        </w:rPr>
        <w:t>工</w:t>
      </w:r>
      <w:r>
        <w:rPr>
          <w:color w:val="auto"/>
          <w:spacing w:val="-54"/>
          <w:highlight w:val="none"/>
        </w:rPr>
        <w:t xml:space="preserve"> </w:t>
      </w:r>
      <w:r>
        <w:rPr>
          <w:color w:val="auto"/>
          <w:spacing w:val="-13"/>
          <w:highlight w:val="none"/>
        </w:rPr>
        <w:t>程</w:t>
      </w:r>
      <w:r>
        <w:rPr>
          <w:color w:val="auto"/>
          <w:spacing w:val="-51"/>
          <w:highlight w:val="none"/>
        </w:rPr>
        <w:t xml:space="preserve"> </w:t>
      </w:r>
      <w:r>
        <w:rPr>
          <w:color w:val="auto"/>
          <w:spacing w:val="-13"/>
          <w:highlight w:val="none"/>
        </w:rPr>
        <w:t>师</w:t>
      </w:r>
      <w:r>
        <w:rPr>
          <w:color w:val="auto"/>
          <w:spacing w:val="-53"/>
          <w:highlight w:val="none"/>
        </w:rPr>
        <w:t xml:space="preserve"> </w:t>
      </w:r>
      <w:r>
        <w:rPr>
          <w:color w:val="auto"/>
          <w:spacing w:val="-13"/>
          <w:highlight w:val="none"/>
        </w:rPr>
        <w:t>监</w:t>
      </w:r>
      <w:r>
        <w:rPr>
          <w:color w:val="auto"/>
          <w:spacing w:val="-49"/>
          <w:highlight w:val="none"/>
        </w:rPr>
        <w:t xml:space="preserve"> </w:t>
      </w:r>
      <w:r>
        <w:rPr>
          <w:color w:val="auto"/>
          <w:spacing w:val="-13"/>
          <w:highlight w:val="none"/>
        </w:rPr>
        <w:t>督</w:t>
      </w:r>
      <w:r>
        <w:rPr>
          <w:color w:val="auto"/>
          <w:spacing w:val="-50"/>
          <w:highlight w:val="none"/>
        </w:rPr>
        <w:t xml:space="preserve"> </w:t>
      </w:r>
      <w:r>
        <w:rPr>
          <w:color w:val="auto"/>
          <w:spacing w:val="-13"/>
          <w:highlight w:val="none"/>
        </w:rPr>
        <w:t>管</w:t>
      </w:r>
      <w:r>
        <w:rPr>
          <w:color w:val="auto"/>
          <w:spacing w:val="-51"/>
          <w:highlight w:val="none"/>
        </w:rPr>
        <w:t xml:space="preserve"> </w:t>
      </w:r>
      <w:r>
        <w:rPr>
          <w:color w:val="auto"/>
          <w:spacing w:val="-13"/>
          <w:highlight w:val="none"/>
        </w:rPr>
        <w:t>理</w:t>
      </w:r>
      <w:r>
        <w:rPr>
          <w:color w:val="auto"/>
          <w:spacing w:val="-48"/>
          <w:highlight w:val="none"/>
        </w:rPr>
        <w:t xml:space="preserve"> </w:t>
      </w:r>
      <w:r>
        <w:rPr>
          <w:color w:val="auto"/>
          <w:spacing w:val="-13"/>
          <w:highlight w:val="none"/>
        </w:rPr>
        <w:t>范</w:t>
      </w:r>
      <w:r>
        <w:rPr>
          <w:color w:val="auto"/>
          <w:spacing w:val="-35"/>
          <w:highlight w:val="none"/>
        </w:rPr>
        <w:t xml:space="preserve"> </w:t>
      </w:r>
      <w:r>
        <w:rPr>
          <w:color w:val="auto"/>
          <w:spacing w:val="-13"/>
          <w:highlight w:val="none"/>
        </w:rPr>
        <w:t>围</w:t>
      </w:r>
      <w:r>
        <w:rPr>
          <w:color w:val="auto"/>
          <w:spacing w:val="-39"/>
          <w:highlight w:val="none"/>
        </w:rPr>
        <w:t xml:space="preserve"> </w:t>
      </w:r>
      <w:r>
        <w:rPr>
          <w:color w:val="auto"/>
          <w:spacing w:val="-13"/>
          <w:highlight w:val="none"/>
        </w:rPr>
        <w:t>、</w:t>
      </w:r>
      <w:r>
        <w:rPr>
          <w:color w:val="auto"/>
          <w:spacing w:val="-28"/>
          <w:highlight w:val="none"/>
        </w:rPr>
        <w:t xml:space="preserve"> </w:t>
      </w:r>
      <w:r>
        <w:rPr>
          <w:color w:val="auto"/>
          <w:spacing w:val="-13"/>
          <w:highlight w:val="none"/>
        </w:rPr>
        <w:t>内</w:t>
      </w:r>
      <w:r>
        <w:rPr>
          <w:color w:val="auto"/>
          <w:highlight w:val="none"/>
        </w:rPr>
        <w:t>容</w:t>
      </w:r>
      <w:r>
        <w:rPr>
          <w:color w:val="auto"/>
          <w:spacing w:val="-3"/>
          <w:highlight w:val="none"/>
        </w:rPr>
        <w:t>：</w:t>
      </w:r>
      <w:r>
        <w:rPr>
          <w:color w:val="auto"/>
          <w:highlight w:val="none"/>
          <w:u w:val="single" w:color="auto"/>
        </w:rPr>
        <w:t xml:space="preserve">                      </w:t>
      </w:r>
      <w:r>
        <w:rPr>
          <w:color w:val="auto"/>
          <w:spacing w:val="-3"/>
          <w:highlight w:val="none"/>
        </w:rPr>
        <w:t>；</w:t>
      </w:r>
      <w:r>
        <w:rPr>
          <w:color w:val="auto"/>
          <w:highlight w:val="none"/>
        </w:rPr>
        <w:t>工程师权限：</w:t>
      </w:r>
      <w:r>
        <w:rPr>
          <w:color w:val="auto"/>
          <w:highlight w:val="none"/>
          <w:u w:val="single" w:color="auto"/>
        </w:rPr>
        <w:t xml:space="preserve">                   </w:t>
      </w:r>
      <w:r>
        <w:rPr>
          <w:color w:val="auto"/>
          <w:spacing w:val="-1"/>
          <w:highlight w:val="none"/>
          <w:u w:val="single" w:color="auto"/>
        </w:rPr>
        <w:t xml:space="preserve">      </w:t>
      </w:r>
      <w:r>
        <w:rPr>
          <w:color w:val="auto"/>
          <w:spacing w:val="-1"/>
          <w:highlight w:val="none"/>
        </w:rPr>
        <w:t>。</w:t>
      </w:r>
    </w:p>
    <w:p w14:paraId="2F171C5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168" w:name="_Toc21637"/>
      <w:r>
        <w:rPr>
          <w:color w:val="auto"/>
          <w:spacing w:val="-3"/>
          <w:highlight w:val="none"/>
        </w:rPr>
        <w:t>3.6</w:t>
      </w:r>
      <w:r>
        <w:rPr>
          <w:color w:val="auto"/>
          <w:spacing w:val="13"/>
          <w:highlight w:val="none"/>
        </w:rPr>
        <w:t xml:space="preserve"> </w:t>
      </w:r>
      <w:r>
        <w:rPr>
          <w:color w:val="auto"/>
          <w:spacing w:val="-3"/>
          <w:highlight w:val="none"/>
        </w:rPr>
        <w:t>商定或确定</w:t>
      </w:r>
      <w:bookmarkEnd w:id="2168"/>
    </w:p>
    <w:p w14:paraId="499E1C7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3.6.2 关于商定时间限制的具体约定</w:t>
      </w:r>
      <w:r>
        <w:rPr>
          <w:color w:val="auto"/>
          <w:spacing w:val="-1"/>
          <w:highlight w:val="none"/>
        </w:rPr>
        <w:t>：</w:t>
      </w:r>
      <w:r>
        <w:rPr>
          <w:color w:val="auto"/>
          <w:spacing w:val="-1"/>
          <w:highlight w:val="none"/>
          <w:u w:val="single" w:color="auto"/>
        </w:rPr>
        <w:t xml:space="preserve">  执行通用合同条款  </w:t>
      </w:r>
      <w:r>
        <w:rPr>
          <w:color w:val="auto"/>
          <w:spacing w:val="-1"/>
          <w:highlight w:val="none"/>
        </w:rPr>
        <w:t>。</w:t>
      </w:r>
    </w:p>
    <w:p w14:paraId="5980DF2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3.6.3</w:t>
      </w:r>
      <w:r>
        <w:rPr>
          <w:color w:val="auto"/>
          <w:spacing w:val="-38"/>
          <w:highlight w:val="none"/>
        </w:rPr>
        <w:t xml:space="preserve"> </w:t>
      </w:r>
      <w:r>
        <w:rPr>
          <w:color w:val="auto"/>
          <w:spacing w:val="-2"/>
          <w:highlight w:val="none"/>
        </w:rPr>
        <w:t>关于商定或确定效力的具体约定：</w:t>
      </w:r>
      <w:r>
        <w:rPr>
          <w:color w:val="auto"/>
          <w:spacing w:val="-44"/>
          <w:highlight w:val="none"/>
          <w:u w:val="single" w:color="auto"/>
        </w:rPr>
        <w:t xml:space="preserve"> </w:t>
      </w:r>
      <w:r>
        <w:rPr>
          <w:color w:val="auto"/>
          <w:spacing w:val="-2"/>
          <w:highlight w:val="none"/>
          <w:u w:val="single" w:color="auto"/>
        </w:rPr>
        <w:t>执行通用合同条款</w:t>
      </w:r>
      <w:r>
        <w:rPr>
          <w:color w:val="auto"/>
          <w:spacing w:val="-53"/>
          <w:highlight w:val="none"/>
          <w:u w:val="single" w:color="auto"/>
        </w:rPr>
        <w:t xml:space="preserve"> </w:t>
      </w:r>
      <w:r>
        <w:rPr>
          <w:color w:val="auto"/>
          <w:spacing w:val="-2"/>
          <w:highlight w:val="none"/>
        </w:rPr>
        <w:t>；关于对工程师的确定提出异议的具体</w:t>
      </w:r>
      <w:r>
        <w:rPr>
          <w:color w:val="auto"/>
          <w:spacing w:val="-1"/>
          <w:highlight w:val="none"/>
        </w:rPr>
        <w:t>约定：</w:t>
      </w:r>
      <w:r>
        <w:rPr>
          <w:color w:val="auto"/>
          <w:spacing w:val="-1"/>
          <w:highlight w:val="none"/>
          <w:u w:val="single" w:color="auto"/>
        </w:rPr>
        <w:t xml:space="preserve"> 执行通用合同条款 </w:t>
      </w:r>
      <w:r>
        <w:rPr>
          <w:color w:val="auto"/>
          <w:spacing w:val="-1"/>
          <w:highlight w:val="none"/>
        </w:rPr>
        <w:t>。</w:t>
      </w:r>
    </w:p>
    <w:p w14:paraId="3C1B997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1"/>
        <w:rPr>
          <w:color w:val="auto"/>
          <w:highlight w:val="none"/>
        </w:rPr>
      </w:pPr>
      <w:bookmarkStart w:id="2169" w:name="_Toc17923"/>
      <w:r>
        <w:rPr>
          <w:color w:val="auto"/>
          <w:spacing w:val="-4"/>
          <w:highlight w:val="none"/>
        </w:rPr>
        <w:t>3.7</w:t>
      </w:r>
      <w:r>
        <w:rPr>
          <w:color w:val="auto"/>
          <w:spacing w:val="10"/>
          <w:highlight w:val="none"/>
        </w:rPr>
        <w:t xml:space="preserve"> </w:t>
      </w:r>
      <w:r>
        <w:rPr>
          <w:color w:val="auto"/>
          <w:spacing w:val="-4"/>
          <w:highlight w:val="none"/>
        </w:rPr>
        <w:t>会议</w:t>
      </w:r>
      <w:bookmarkEnd w:id="2169"/>
    </w:p>
    <w:p w14:paraId="51B0610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3.7.1 关于召开会议的具体约定：</w:t>
      </w:r>
      <w:r>
        <w:rPr>
          <w:color w:val="auto"/>
          <w:spacing w:val="-1"/>
          <w:highlight w:val="none"/>
          <w:u w:val="single" w:color="auto"/>
        </w:rPr>
        <w:t xml:space="preserve"> 执行通用合同条款  </w:t>
      </w:r>
      <w:r>
        <w:rPr>
          <w:color w:val="auto"/>
          <w:spacing w:val="-1"/>
          <w:highlight w:val="none"/>
        </w:rPr>
        <w:t>。</w:t>
      </w:r>
    </w:p>
    <w:p w14:paraId="6F75994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3.7.2 关于保存和提供会议纪要的具体</w:t>
      </w:r>
      <w:r>
        <w:rPr>
          <w:color w:val="auto"/>
          <w:spacing w:val="-1"/>
          <w:highlight w:val="none"/>
        </w:rPr>
        <w:t>约定：</w:t>
      </w:r>
      <w:r>
        <w:rPr>
          <w:color w:val="auto"/>
          <w:spacing w:val="-1"/>
          <w:highlight w:val="none"/>
          <w:u w:val="single" w:color="auto"/>
        </w:rPr>
        <w:t xml:space="preserve"> 执行通用合同条款 </w:t>
      </w:r>
      <w:r>
        <w:rPr>
          <w:color w:val="auto"/>
          <w:spacing w:val="-1"/>
          <w:highlight w:val="none"/>
        </w:rPr>
        <w:t>。</w:t>
      </w:r>
    </w:p>
    <w:p w14:paraId="3079F82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0"/>
        <w:rPr>
          <w:color w:val="auto"/>
          <w:highlight w:val="none"/>
        </w:rPr>
      </w:pPr>
      <w:bookmarkStart w:id="2170" w:name="_Toc201"/>
      <w:r>
        <w:rPr>
          <w:color w:val="auto"/>
          <w:spacing w:val="-4"/>
          <w:highlight w:val="none"/>
        </w:rPr>
        <w:t>第</w:t>
      </w:r>
      <w:r>
        <w:rPr>
          <w:color w:val="auto"/>
          <w:spacing w:val="-41"/>
          <w:highlight w:val="none"/>
        </w:rPr>
        <w:t xml:space="preserve"> </w:t>
      </w:r>
      <w:r>
        <w:rPr>
          <w:color w:val="auto"/>
          <w:spacing w:val="-4"/>
          <w:highlight w:val="none"/>
        </w:rPr>
        <w:t>4</w:t>
      </w:r>
      <w:r>
        <w:rPr>
          <w:color w:val="auto"/>
          <w:spacing w:val="-43"/>
          <w:highlight w:val="none"/>
        </w:rPr>
        <w:t xml:space="preserve"> </w:t>
      </w:r>
      <w:r>
        <w:rPr>
          <w:color w:val="auto"/>
          <w:spacing w:val="-4"/>
          <w:highlight w:val="none"/>
        </w:rPr>
        <w:t>条 承包人</w:t>
      </w:r>
      <w:bookmarkEnd w:id="2170"/>
    </w:p>
    <w:p w14:paraId="5A41842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1"/>
        <w:rPr>
          <w:color w:val="auto"/>
          <w:highlight w:val="none"/>
        </w:rPr>
      </w:pPr>
      <w:bookmarkStart w:id="2171" w:name="_Toc4843"/>
      <w:r>
        <w:rPr>
          <w:color w:val="auto"/>
          <w:spacing w:val="-1"/>
          <w:highlight w:val="none"/>
        </w:rPr>
        <w:t>4.1 承包人的一般义务</w:t>
      </w:r>
      <w:bookmarkEnd w:id="2171"/>
    </w:p>
    <w:p w14:paraId="0716D8D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承包人应履行的其他义务：</w:t>
      </w:r>
      <w:r>
        <w:rPr>
          <w:color w:val="auto"/>
          <w:highlight w:val="none"/>
          <w:u w:val="single" w:color="auto"/>
        </w:rPr>
        <w:t xml:space="preserve">             /     </w:t>
      </w:r>
      <w:r>
        <w:rPr>
          <w:color w:val="auto"/>
          <w:spacing w:val="-1"/>
          <w:highlight w:val="none"/>
          <w:u w:val="single" w:color="auto"/>
        </w:rPr>
        <w:t xml:space="preserve">         </w:t>
      </w:r>
      <w:r>
        <w:rPr>
          <w:color w:val="auto"/>
          <w:spacing w:val="-1"/>
          <w:highlight w:val="none"/>
        </w:rPr>
        <w:t>。</w:t>
      </w:r>
    </w:p>
    <w:p w14:paraId="28EA917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172" w:name="_Toc1175"/>
      <w:r>
        <w:rPr>
          <w:color w:val="auto"/>
          <w:spacing w:val="-3"/>
          <w:highlight w:val="none"/>
        </w:rPr>
        <w:t>4.2</w:t>
      </w:r>
      <w:r>
        <w:rPr>
          <w:color w:val="auto"/>
          <w:spacing w:val="15"/>
          <w:highlight w:val="none"/>
        </w:rPr>
        <w:t xml:space="preserve"> </w:t>
      </w:r>
      <w:r>
        <w:rPr>
          <w:color w:val="auto"/>
          <w:spacing w:val="-3"/>
          <w:highlight w:val="none"/>
        </w:rPr>
        <w:t>履约担保</w:t>
      </w:r>
      <w:bookmarkEnd w:id="2172"/>
    </w:p>
    <w:p w14:paraId="5EDC227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1"/>
        <w:rPr>
          <w:rFonts w:hint="eastAsia"/>
          <w:color w:val="auto"/>
          <w:spacing w:val="-1"/>
          <w:highlight w:val="none"/>
        </w:rPr>
      </w:pPr>
      <w:bookmarkStart w:id="2173" w:name="_Toc10513"/>
      <w:r>
        <w:rPr>
          <w:rFonts w:hint="eastAsia"/>
          <w:color w:val="auto"/>
          <w:spacing w:val="-1"/>
          <w:highlight w:val="none"/>
        </w:rPr>
        <w:t xml:space="preserve">承包人是否提供履约担保： </w:t>
      </w:r>
      <w:r>
        <w:rPr>
          <w:rFonts w:hint="eastAsia"/>
          <w:color w:val="auto"/>
          <w:spacing w:val="-1"/>
          <w:highlight w:val="none"/>
          <w:u w:val="single"/>
        </w:rPr>
        <w:t xml:space="preserve"> 是  </w:t>
      </w:r>
      <w:r>
        <w:rPr>
          <w:rFonts w:hint="eastAsia"/>
          <w:color w:val="auto"/>
          <w:spacing w:val="-1"/>
          <w:highlight w:val="none"/>
        </w:rPr>
        <w:t>。</w:t>
      </w:r>
    </w:p>
    <w:p w14:paraId="08D27F5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1"/>
        <w:rPr>
          <w:rFonts w:hint="default" w:eastAsia="宋体"/>
          <w:color w:val="auto"/>
          <w:spacing w:val="-1"/>
          <w:highlight w:val="none"/>
          <w:u w:val="single"/>
          <w:lang w:val="en-US" w:eastAsia="zh-CN"/>
        </w:rPr>
      </w:pPr>
      <w:r>
        <w:rPr>
          <w:rFonts w:hint="eastAsia"/>
          <w:color w:val="auto"/>
          <w:spacing w:val="-1"/>
          <w:highlight w:val="none"/>
        </w:rPr>
        <w:t xml:space="preserve">履约担保的方式、金额及期限:  </w:t>
      </w:r>
      <w:r>
        <w:rPr>
          <w:rFonts w:hint="eastAsia"/>
          <w:color w:val="auto"/>
          <w:spacing w:val="-1"/>
          <w:highlight w:val="none"/>
          <w:u w:val="single"/>
        </w:rPr>
        <w:t>承包人应在合同签订后为履行合同向发包人提供担保额度为</w:t>
      </w:r>
      <w:r>
        <w:rPr>
          <w:rFonts w:hint="eastAsia"/>
          <w:color w:val="auto"/>
          <w:spacing w:val="-1"/>
          <w:highlight w:val="none"/>
          <w:u w:val="single"/>
          <w:lang w:val="en-US" w:eastAsia="zh-CN"/>
        </w:rPr>
        <w:t>合同总价</w:t>
      </w:r>
      <w:r>
        <w:rPr>
          <w:rFonts w:hint="eastAsia"/>
          <w:color w:val="auto"/>
          <w:spacing w:val="-1"/>
          <w:highlight w:val="none"/>
          <w:u w:val="single"/>
        </w:rPr>
        <w:t>10%的</w:t>
      </w:r>
      <w:r>
        <w:rPr>
          <w:rFonts w:hint="eastAsia"/>
          <w:color w:val="auto"/>
          <w:spacing w:val="-1"/>
          <w:highlight w:val="none"/>
          <w:u w:val="single"/>
          <w:lang w:val="en-US" w:eastAsia="zh-CN"/>
        </w:rPr>
        <w:t>履约保证金，可为现金履约担保及经发包人认可的履约保函</w:t>
      </w:r>
      <w:r>
        <w:rPr>
          <w:rFonts w:hint="eastAsia"/>
          <w:color w:val="auto"/>
          <w:spacing w:val="-1"/>
          <w:highlight w:val="none"/>
          <w:u w:val="single"/>
          <w:lang w:eastAsia="zh-CN"/>
        </w:rPr>
        <w:t>，</w:t>
      </w:r>
      <w:r>
        <w:rPr>
          <w:rFonts w:hint="eastAsia"/>
          <w:color w:val="auto"/>
          <w:spacing w:val="-1"/>
          <w:highlight w:val="none"/>
          <w:u w:val="single"/>
          <w:lang w:val="en-US" w:eastAsia="zh-CN"/>
        </w:rPr>
        <w:t>担保期限应保证竣工验收前一直有效。</w:t>
      </w:r>
    </w:p>
    <w:p w14:paraId="7A6DB73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1"/>
        <w:rPr>
          <w:color w:val="auto"/>
          <w:highlight w:val="none"/>
        </w:rPr>
      </w:pPr>
      <w:r>
        <w:rPr>
          <w:color w:val="auto"/>
          <w:spacing w:val="-1"/>
          <w:highlight w:val="none"/>
        </w:rPr>
        <w:t>4.3 工程总承包项目经理</w:t>
      </w:r>
      <w:bookmarkEnd w:id="2173"/>
    </w:p>
    <w:p w14:paraId="5224EC1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4.3.1 工程总承包项目经理姓名</w:t>
      </w:r>
      <w:r>
        <w:rPr>
          <w:color w:val="auto"/>
          <w:spacing w:val="-20"/>
          <w:highlight w:val="none"/>
        </w:rPr>
        <w:t>：</w:t>
      </w:r>
      <w:r>
        <w:rPr>
          <w:color w:val="auto"/>
          <w:highlight w:val="none"/>
          <w:u w:val="single" w:color="auto"/>
        </w:rPr>
        <w:t xml:space="preserve">      </w:t>
      </w:r>
      <w:r>
        <w:rPr>
          <w:rFonts w:hint="eastAsia"/>
          <w:color w:val="auto"/>
          <w:highlight w:val="none"/>
          <w:u w:val="single" w:color="auto"/>
          <w:lang w:val="en-US" w:eastAsia="zh-CN"/>
        </w:rPr>
        <w:t xml:space="preserve">  </w:t>
      </w:r>
      <w:r>
        <w:rPr>
          <w:color w:val="auto"/>
          <w:highlight w:val="none"/>
          <w:u w:val="single" w:color="auto"/>
        </w:rPr>
        <w:t xml:space="preserve">      </w:t>
      </w:r>
      <w:r>
        <w:rPr>
          <w:color w:val="auto"/>
          <w:spacing w:val="-20"/>
          <w:highlight w:val="none"/>
        </w:rPr>
        <w:t>；</w:t>
      </w:r>
      <w:r>
        <w:rPr>
          <w:color w:val="auto"/>
          <w:highlight w:val="none"/>
        </w:rPr>
        <w:t xml:space="preserve"> </w:t>
      </w:r>
    </w:p>
    <w:p w14:paraId="4AC76EA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执业资格或职称类型：</w:t>
      </w:r>
      <w:r>
        <w:rPr>
          <w:color w:val="auto"/>
          <w:highlight w:val="none"/>
          <w:u w:val="single" w:color="auto"/>
        </w:rPr>
        <w:t xml:space="preserve">        </w:t>
      </w:r>
      <w:r>
        <w:rPr>
          <w:rFonts w:hint="eastAsia"/>
          <w:color w:val="auto"/>
          <w:highlight w:val="none"/>
          <w:u w:val="single" w:color="auto"/>
          <w:lang w:val="en-US" w:eastAsia="zh-CN"/>
        </w:rPr>
        <w:t xml:space="preserve">  </w:t>
      </w:r>
      <w:r>
        <w:rPr>
          <w:color w:val="auto"/>
          <w:highlight w:val="none"/>
          <w:u w:val="single" w:color="auto"/>
        </w:rPr>
        <w:t xml:space="preserve">    </w:t>
      </w:r>
      <w:r>
        <w:rPr>
          <w:rFonts w:hint="eastAsia"/>
          <w:color w:val="auto"/>
          <w:highlight w:val="none"/>
          <w:u w:val="single" w:color="auto"/>
          <w:lang w:val="en-US" w:eastAsia="zh-CN"/>
        </w:rPr>
        <w:t xml:space="preserve"> </w:t>
      </w:r>
      <w:r>
        <w:rPr>
          <w:color w:val="auto"/>
          <w:highlight w:val="none"/>
          <w:u w:val="single" w:color="auto"/>
        </w:rPr>
        <w:t xml:space="preserve">   </w:t>
      </w:r>
      <w:r>
        <w:rPr>
          <w:color w:val="auto"/>
          <w:spacing w:val="-77"/>
          <w:highlight w:val="none"/>
        </w:rPr>
        <w:t xml:space="preserve"> </w:t>
      </w:r>
      <w:r>
        <w:rPr>
          <w:color w:val="auto"/>
          <w:spacing w:val="-1"/>
          <w:highlight w:val="none"/>
        </w:rPr>
        <w:t>；</w:t>
      </w:r>
      <w:r>
        <w:rPr>
          <w:color w:val="auto"/>
          <w:highlight w:val="none"/>
        </w:rPr>
        <w:t xml:space="preserve"> </w:t>
      </w:r>
    </w:p>
    <w:p w14:paraId="20D1FE3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执业资格证或职称证号码</w:t>
      </w:r>
      <w:r>
        <w:rPr>
          <w:color w:val="auto"/>
          <w:highlight w:val="none"/>
        </w:rPr>
        <w:t>：</w:t>
      </w:r>
      <w:r>
        <w:rPr>
          <w:color w:val="auto"/>
          <w:highlight w:val="none"/>
          <w:u w:val="single" w:color="auto"/>
        </w:rPr>
        <w:t xml:space="preserve">   </w:t>
      </w:r>
      <w:r>
        <w:rPr>
          <w:rFonts w:hint="eastAsia"/>
          <w:color w:val="auto"/>
          <w:highlight w:val="none"/>
          <w:u w:val="single" w:color="auto"/>
          <w:lang w:val="en-US" w:eastAsia="zh-CN"/>
        </w:rPr>
        <w:t xml:space="preserve">     </w:t>
      </w:r>
      <w:r>
        <w:rPr>
          <w:color w:val="auto"/>
          <w:highlight w:val="none"/>
          <w:u w:val="single" w:color="auto"/>
        </w:rPr>
        <w:t xml:space="preserve">  </w:t>
      </w:r>
      <w:r>
        <w:rPr>
          <w:color w:val="auto"/>
          <w:spacing w:val="-77"/>
          <w:highlight w:val="none"/>
        </w:rPr>
        <w:t xml:space="preserve"> </w:t>
      </w:r>
      <w:r>
        <w:rPr>
          <w:color w:val="auto"/>
          <w:highlight w:val="none"/>
        </w:rPr>
        <w:t xml:space="preserve">； </w:t>
      </w:r>
    </w:p>
    <w:p w14:paraId="57A8EE4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联系电话</w:t>
      </w:r>
      <w:r>
        <w:rPr>
          <w:color w:val="auto"/>
          <w:spacing w:val="-1"/>
          <w:highlight w:val="none"/>
        </w:rPr>
        <w:t>：</w:t>
      </w:r>
      <w:r>
        <w:rPr>
          <w:color w:val="auto"/>
          <w:highlight w:val="none"/>
          <w:u w:val="single" w:color="auto"/>
        </w:rPr>
        <w:t xml:space="preserve">  </w:t>
      </w:r>
      <w:r>
        <w:rPr>
          <w:rFonts w:hint="eastAsia"/>
          <w:color w:val="auto"/>
          <w:highlight w:val="none"/>
          <w:u w:val="single" w:color="auto"/>
          <w:lang w:val="en-US" w:eastAsia="zh-CN"/>
        </w:rPr>
        <w:t xml:space="preserve">          </w:t>
      </w:r>
      <w:r>
        <w:rPr>
          <w:color w:val="auto"/>
          <w:highlight w:val="none"/>
          <w:u w:val="single" w:color="auto"/>
        </w:rPr>
        <w:t xml:space="preserve">     </w:t>
      </w:r>
      <w:r>
        <w:rPr>
          <w:rFonts w:hint="eastAsia"/>
          <w:color w:val="auto"/>
          <w:highlight w:val="none"/>
          <w:u w:val="single" w:color="auto"/>
          <w:lang w:val="en-US" w:eastAsia="zh-CN"/>
        </w:rPr>
        <w:t xml:space="preserve">        </w:t>
      </w:r>
      <w:r>
        <w:rPr>
          <w:color w:val="auto"/>
          <w:highlight w:val="none"/>
          <w:u w:val="single" w:color="auto"/>
        </w:rPr>
        <w:t xml:space="preserve"> </w:t>
      </w:r>
      <w:r>
        <w:rPr>
          <w:color w:val="auto"/>
          <w:spacing w:val="-78"/>
          <w:highlight w:val="none"/>
        </w:rPr>
        <w:t xml:space="preserve"> </w:t>
      </w:r>
      <w:r>
        <w:rPr>
          <w:color w:val="auto"/>
          <w:spacing w:val="-1"/>
          <w:highlight w:val="none"/>
        </w:rPr>
        <w:t>；</w:t>
      </w:r>
      <w:r>
        <w:rPr>
          <w:color w:val="auto"/>
          <w:highlight w:val="none"/>
        </w:rPr>
        <w:t xml:space="preserve"> </w:t>
      </w:r>
    </w:p>
    <w:p w14:paraId="77853F5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电子邮箱</w:t>
      </w:r>
      <w:r>
        <w:rPr>
          <w:color w:val="auto"/>
          <w:spacing w:val="-25"/>
          <w:highlight w:val="none"/>
        </w:rPr>
        <w:t>：</w:t>
      </w:r>
      <w:r>
        <w:rPr>
          <w:color w:val="auto"/>
          <w:highlight w:val="none"/>
          <w:u w:val="single" w:color="auto"/>
        </w:rPr>
        <w:t xml:space="preserve">  </w:t>
      </w:r>
      <w:r>
        <w:rPr>
          <w:rFonts w:hint="eastAsia"/>
          <w:color w:val="auto"/>
          <w:highlight w:val="none"/>
          <w:u w:val="single" w:color="auto"/>
          <w:lang w:val="en-US" w:eastAsia="zh-CN"/>
        </w:rPr>
        <w:t xml:space="preserve">            </w:t>
      </w:r>
      <w:r>
        <w:rPr>
          <w:color w:val="auto"/>
          <w:highlight w:val="none"/>
          <w:u w:val="single" w:color="auto"/>
        </w:rPr>
        <w:t xml:space="preserve"> </w:t>
      </w:r>
      <w:r>
        <w:rPr>
          <w:rFonts w:hint="eastAsia"/>
          <w:color w:val="auto"/>
          <w:highlight w:val="none"/>
          <w:u w:val="single" w:color="auto"/>
          <w:lang w:val="en-US" w:eastAsia="zh-CN"/>
        </w:rPr>
        <w:t xml:space="preserve">        </w:t>
      </w:r>
      <w:r>
        <w:rPr>
          <w:color w:val="auto"/>
          <w:spacing w:val="-1"/>
          <w:highlight w:val="none"/>
          <w:u w:val="single" w:color="auto"/>
        </w:rPr>
        <w:t xml:space="preserve"> </w:t>
      </w:r>
      <w:r>
        <w:rPr>
          <w:rFonts w:hint="eastAsia"/>
          <w:color w:val="auto"/>
          <w:highlight w:val="none"/>
          <w:u w:val="single" w:color="auto"/>
          <w:lang w:val="en-US" w:eastAsia="zh-CN"/>
        </w:rPr>
        <w:t xml:space="preserve"> </w:t>
      </w:r>
      <w:r>
        <w:rPr>
          <w:color w:val="auto"/>
          <w:highlight w:val="none"/>
          <w:u w:val="single" w:color="auto"/>
        </w:rPr>
        <w:t xml:space="preserve">     </w:t>
      </w:r>
      <w:r>
        <w:rPr>
          <w:rFonts w:hint="eastAsia"/>
          <w:color w:val="auto"/>
          <w:highlight w:val="none"/>
          <w:u w:val="single" w:color="auto"/>
          <w:lang w:val="en-US" w:eastAsia="zh-CN"/>
        </w:rPr>
        <w:t xml:space="preserve">       </w:t>
      </w:r>
      <w:r>
        <w:rPr>
          <w:color w:val="auto"/>
          <w:highlight w:val="none"/>
          <w:u w:val="single" w:color="auto"/>
        </w:rPr>
        <w:t xml:space="preserve"> </w:t>
      </w:r>
      <w:r>
        <w:rPr>
          <w:color w:val="auto"/>
          <w:spacing w:val="-25"/>
          <w:highlight w:val="none"/>
        </w:rPr>
        <w:t>；</w:t>
      </w:r>
      <w:r>
        <w:rPr>
          <w:color w:val="auto"/>
          <w:highlight w:val="none"/>
        </w:rPr>
        <w:t xml:space="preserve"> </w:t>
      </w:r>
    </w:p>
    <w:p w14:paraId="05CC190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通信地址：</w:t>
      </w:r>
      <w:r>
        <w:rPr>
          <w:color w:val="auto"/>
          <w:highlight w:val="none"/>
          <w:u w:val="single" w:color="auto"/>
        </w:rPr>
        <w:t xml:space="preserve"> </w:t>
      </w:r>
      <w:r>
        <w:rPr>
          <w:rFonts w:hint="eastAsia"/>
          <w:color w:val="auto"/>
          <w:highlight w:val="none"/>
          <w:u w:val="single" w:color="auto"/>
          <w:lang w:val="en-US" w:eastAsia="zh-CN"/>
        </w:rPr>
        <w:t xml:space="preserve">                     </w:t>
      </w:r>
      <w:r>
        <w:rPr>
          <w:color w:val="auto"/>
          <w:highlight w:val="none"/>
          <w:u w:val="single" w:color="auto"/>
        </w:rPr>
        <w:t xml:space="preserve"> </w:t>
      </w:r>
      <w:r>
        <w:rPr>
          <w:rFonts w:hint="eastAsia"/>
          <w:color w:val="auto"/>
          <w:spacing w:val="-1"/>
          <w:highlight w:val="none"/>
          <w:u w:val="single" w:color="auto"/>
          <w:lang w:val="en-US" w:eastAsia="zh-CN"/>
        </w:rPr>
        <w:t xml:space="preserve">       </w:t>
      </w:r>
      <w:r>
        <w:rPr>
          <w:color w:val="auto"/>
          <w:spacing w:val="-1"/>
          <w:highlight w:val="none"/>
          <w:u w:val="single" w:color="auto"/>
        </w:rPr>
        <w:t xml:space="preserve">      </w:t>
      </w:r>
      <w:r>
        <w:rPr>
          <w:color w:val="auto"/>
          <w:spacing w:val="-1"/>
          <w:highlight w:val="none"/>
        </w:rPr>
        <w:t>。</w:t>
      </w:r>
    </w:p>
    <w:p w14:paraId="2DD24BF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承包人未提交劳动合同，以及没有为工程总承包项目经理</w:t>
      </w:r>
      <w:r>
        <w:rPr>
          <w:color w:val="auto"/>
          <w:spacing w:val="-3"/>
          <w:highlight w:val="none"/>
        </w:rPr>
        <w:t>缴纳社会保险证明的违约责任：</w:t>
      </w:r>
      <w:r>
        <w:rPr>
          <w:color w:val="auto"/>
          <w:spacing w:val="-3"/>
          <w:highlight w:val="none"/>
          <w:u w:val="single" w:color="auto"/>
        </w:rPr>
        <w:t xml:space="preserve"> 执行通用</w:t>
      </w:r>
      <w:r>
        <w:rPr>
          <w:color w:val="auto"/>
          <w:spacing w:val="-2"/>
          <w:highlight w:val="none"/>
          <w:u w:val="single" w:color="auto"/>
        </w:rPr>
        <w:t xml:space="preserve">合同条款 </w:t>
      </w:r>
      <w:r>
        <w:rPr>
          <w:color w:val="auto"/>
          <w:spacing w:val="-2"/>
          <w:highlight w:val="none"/>
        </w:rPr>
        <w:t>。</w:t>
      </w:r>
    </w:p>
    <w:p w14:paraId="03A9FE48">
      <w:pPr>
        <w:spacing w:line="360" w:lineRule="auto"/>
        <w:ind w:firstLine="600"/>
        <w:rPr>
          <w:color w:val="auto"/>
          <w:highlight w:val="none"/>
        </w:rPr>
      </w:pPr>
      <w:r>
        <w:rPr>
          <w:color w:val="auto"/>
          <w:spacing w:val="-2"/>
          <w:highlight w:val="none"/>
        </w:rPr>
        <w:t>4.3.2 工程总承包项目经理每月在现场的时间要求：</w:t>
      </w:r>
      <w:r>
        <w:rPr>
          <w:color w:val="auto"/>
          <w:spacing w:val="-2"/>
          <w:highlight w:val="none"/>
          <w:u w:val="single" w:color="auto"/>
        </w:rPr>
        <w:t xml:space="preserve"> 不少于</w:t>
      </w:r>
      <w:r>
        <w:rPr>
          <w:color w:val="auto"/>
          <w:spacing w:val="-42"/>
          <w:highlight w:val="none"/>
          <w:u w:val="single" w:color="auto"/>
        </w:rPr>
        <w:t xml:space="preserve"> </w:t>
      </w:r>
      <w:r>
        <w:rPr>
          <w:color w:val="auto"/>
          <w:spacing w:val="-2"/>
          <w:highlight w:val="none"/>
          <w:u w:val="single" w:color="auto"/>
        </w:rPr>
        <w:t xml:space="preserve">22 日 </w:t>
      </w:r>
      <w:r>
        <w:rPr>
          <w:color w:val="auto"/>
          <w:spacing w:val="-2"/>
          <w:highlight w:val="none"/>
        </w:rPr>
        <w:t>。</w:t>
      </w:r>
    </w:p>
    <w:p w14:paraId="615215B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4" w:firstLineChars="200"/>
        <w:textAlignment w:val="baseline"/>
        <w:rPr>
          <w:color w:val="auto"/>
          <w:highlight w:val="none"/>
        </w:rPr>
      </w:pPr>
      <w:r>
        <w:rPr>
          <w:color w:val="auto"/>
          <w:spacing w:val="1"/>
          <w:highlight w:val="none"/>
        </w:rPr>
        <w:t>工程总承包项目经理未经批准擅自离开施工现场的违约责任：</w:t>
      </w:r>
      <w:r>
        <w:rPr>
          <w:color w:val="auto"/>
          <w:spacing w:val="1"/>
          <w:highlight w:val="none"/>
          <w:u w:val="single" w:color="auto"/>
        </w:rPr>
        <w:t xml:space="preserve"> 承包人承担每次</w:t>
      </w:r>
      <w:r>
        <w:rPr>
          <w:color w:val="auto"/>
          <w:spacing w:val="-10"/>
          <w:highlight w:val="none"/>
          <w:u w:val="single" w:color="auto"/>
        </w:rPr>
        <w:t xml:space="preserve"> </w:t>
      </w:r>
      <w:r>
        <w:rPr>
          <w:color w:val="auto"/>
          <w:spacing w:val="1"/>
          <w:highlight w:val="none"/>
          <w:u w:val="single" w:color="auto"/>
        </w:rPr>
        <w:t>10000</w:t>
      </w:r>
      <w:r>
        <w:rPr>
          <w:color w:val="auto"/>
          <w:spacing w:val="-39"/>
          <w:highlight w:val="none"/>
          <w:u w:val="single" w:color="auto"/>
        </w:rPr>
        <w:t xml:space="preserve"> </w:t>
      </w:r>
      <w:r>
        <w:rPr>
          <w:color w:val="auto"/>
          <w:spacing w:val="1"/>
          <w:highlight w:val="none"/>
          <w:u w:val="single" w:color="auto"/>
        </w:rPr>
        <w:t>元的违约责</w:t>
      </w:r>
      <w:r>
        <w:rPr>
          <w:color w:val="auto"/>
          <w:spacing w:val="-3"/>
          <w:highlight w:val="none"/>
          <w:u w:val="single" w:color="auto"/>
        </w:rPr>
        <w:t xml:space="preserve">任 </w:t>
      </w:r>
      <w:r>
        <w:rPr>
          <w:color w:val="auto"/>
          <w:spacing w:val="-3"/>
          <w:highlight w:val="none"/>
        </w:rPr>
        <w:t>。</w:t>
      </w:r>
    </w:p>
    <w:p w14:paraId="04AE409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4.3.3 承包人对工程总承包项目经理的授权范围:</w:t>
      </w:r>
      <w:r>
        <w:rPr>
          <w:color w:val="auto"/>
          <w:highlight w:val="none"/>
          <w:u w:val="single" w:color="auto"/>
        </w:rPr>
        <w:t xml:space="preserve"> 执</w:t>
      </w:r>
      <w:r>
        <w:rPr>
          <w:color w:val="auto"/>
          <w:spacing w:val="-1"/>
          <w:highlight w:val="none"/>
          <w:u w:val="single" w:color="auto"/>
        </w:rPr>
        <w:t xml:space="preserve">行通用合同条款 </w:t>
      </w:r>
      <w:r>
        <w:rPr>
          <w:color w:val="auto"/>
          <w:spacing w:val="-1"/>
          <w:highlight w:val="none"/>
        </w:rPr>
        <w:t>。</w:t>
      </w:r>
    </w:p>
    <w:p w14:paraId="6FB78A7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4.3.4 承包人擅自更换工程总承包项目经理的违约责任：</w:t>
      </w:r>
      <w:r>
        <w:rPr>
          <w:color w:val="auto"/>
          <w:spacing w:val="-1"/>
          <w:highlight w:val="none"/>
          <w:u w:val="single" w:color="auto"/>
        </w:rPr>
        <w:t xml:space="preserve"> 承包人承担每次</w:t>
      </w:r>
      <w:r>
        <w:rPr>
          <w:color w:val="auto"/>
          <w:spacing w:val="-23"/>
          <w:highlight w:val="none"/>
          <w:u w:val="single" w:color="auto"/>
        </w:rPr>
        <w:t xml:space="preserve"> </w:t>
      </w:r>
      <w:r>
        <w:rPr>
          <w:color w:val="auto"/>
          <w:spacing w:val="-1"/>
          <w:highlight w:val="none"/>
          <w:u w:val="single" w:color="auto"/>
        </w:rPr>
        <w:t>5000</w:t>
      </w:r>
      <w:r>
        <w:rPr>
          <w:color w:val="auto"/>
          <w:spacing w:val="-43"/>
          <w:highlight w:val="none"/>
          <w:u w:val="single" w:color="auto"/>
        </w:rPr>
        <w:t xml:space="preserve"> </w:t>
      </w:r>
      <w:r>
        <w:rPr>
          <w:color w:val="auto"/>
          <w:spacing w:val="-1"/>
          <w:highlight w:val="none"/>
          <w:u w:val="single" w:color="auto"/>
        </w:rPr>
        <w:t xml:space="preserve">元的违约责任 </w:t>
      </w:r>
      <w:r>
        <w:rPr>
          <w:color w:val="auto"/>
          <w:spacing w:val="-1"/>
          <w:highlight w:val="none"/>
        </w:rPr>
        <w:t>。</w:t>
      </w:r>
    </w:p>
    <w:p w14:paraId="521B40A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4" w:firstLineChars="200"/>
        <w:textAlignment w:val="baseline"/>
        <w:rPr>
          <w:rFonts w:hint="eastAsia" w:eastAsia="宋体"/>
          <w:color w:val="auto"/>
          <w:highlight w:val="none"/>
          <w:lang w:eastAsia="zh-CN"/>
        </w:rPr>
      </w:pPr>
      <w:r>
        <w:rPr>
          <w:color w:val="auto"/>
          <w:spacing w:val="1"/>
          <w:highlight w:val="none"/>
        </w:rPr>
        <w:t>4.3.5 承包人无正当理由拒绝更换工程总承包项目经理的违约责任:</w:t>
      </w:r>
      <w:r>
        <w:rPr>
          <w:color w:val="auto"/>
          <w:spacing w:val="1"/>
          <w:highlight w:val="none"/>
          <w:u w:val="single" w:color="auto"/>
        </w:rPr>
        <w:t xml:space="preserve"> 承包人承担5000元</w:t>
      </w:r>
      <w:r>
        <w:rPr>
          <w:color w:val="auto"/>
          <w:highlight w:val="none"/>
          <w:u w:val="single" w:color="auto"/>
        </w:rPr>
        <w:t>的违约责任</w:t>
      </w:r>
      <w:r>
        <w:rPr>
          <w:rFonts w:hint="eastAsia"/>
          <w:color w:val="auto"/>
          <w:highlight w:val="none"/>
          <w:u w:val="single" w:color="auto"/>
          <w:lang w:eastAsia="zh-CN"/>
        </w:rPr>
        <w:t>。</w:t>
      </w:r>
    </w:p>
    <w:p w14:paraId="7958F26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1"/>
        <w:rPr>
          <w:color w:val="auto"/>
          <w:highlight w:val="none"/>
        </w:rPr>
      </w:pPr>
      <w:bookmarkStart w:id="2174" w:name="_Toc14872"/>
      <w:r>
        <w:rPr>
          <w:color w:val="auto"/>
          <w:spacing w:val="-1"/>
          <w:highlight w:val="none"/>
        </w:rPr>
        <w:t>4.4 承包人人员</w:t>
      </w:r>
      <w:bookmarkEnd w:id="2174"/>
    </w:p>
    <w:p w14:paraId="2281727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4.4.1 人员安排</w:t>
      </w:r>
    </w:p>
    <w:p w14:paraId="094B578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承包人提交项目管理机构及施工现场人员安排的报告的期限：</w:t>
      </w:r>
      <w:r>
        <w:rPr>
          <w:color w:val="auto"/>
          <w:spacing w:val="-1"/>
          <w:highlight w:val="none"/>
          <w:u w:val="single" w:color="auto"/>
        </w:rPr>
        <w:t xml:space="preserve"> 进场后</w:t>
      </w:r>
      <w:r>
        <w:rPr>
          <w:color w:val="auto"/>
          <w:spacing w:val="-36"/>
          <w:highlight w:val="none"/>
          <w:u w:val="single" w:color="auto"/>
        </w:rPr>
        <w:t xml:space="preserve"> </w:t>
      </w:r>
      <w:r>
        <w:rPr>
          <w:color w:val="auto"/>
          <w:spacing w:val="-1"/>
          <w:highlight w:val="none"/>
          <w:u w:val="single" w:color="auto"/>
        </w:rPr>
        <w:t>28</w:t>
      </w:r>
      <w:r>
        <w:rPr>
          <w:color w:val="auto"/>
          <w:spacing w:val="-40"/>
          <w:highlight w:val="none"/>
          <w:u w:val="single" w:color="auto"/>
        </w:rPr>
        <w:t xml:space="preserve"> </w:t>
      </w:r>
      <w:r>
        <w:rPr>
          <w:color w:val="auto"/>
          <w:spacing w:val="-1"/>
          <w:highlight w:val="none"/>
          <w:u w:val="single" w:color="auto"/>
        </w:rPr>
        <w:t xml:space="preserve">天内   </w:t>
      </w:r>
      <w:r>
        <w:rPr>
          <w:color w:val="auto"/>
          <w:spacing w:val="-1"/>
          <w:highlight w:val="none"/>
        </w:rPr>
        <w:t>。</w:t>
      </w:r>
    </w:p>
    <w:p w14:paraId="276ADF9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承包人提交关键人员信息及注册执业资格等证明其具备担</w:t>
      </w:r>
      <w:r>
        <w:rPr>
          <w:color w:val="auto"/>
          <w:spacing w:val="-3"/>
          <w:highlight w:val="none"/>
        </w:rPr>
        <w:t>任关键人员能力的相关文件的期限：</w:t>
      </w:r>
      <w:r>
        <w:rPr>
          <w:color w:val="auto"/>
          <w:spacing w:val="-3"/>
          <w:highlight w:val="none"/>
          <w:u w:val="single" w:color="auto"/>
        </w:rPr>
        <w:t xml:space="preserve"> 进场</w:t>
      </w:r>
      <w:r>
        <w:rPr>
          <w:color w:val="auto"/>
          <w:spacing w:val="-5"/>
          <w:highlight w:val="none"/>
          <w:u w:val="single" w:color="auto"/>
        </w:rPr>
        <w:t>后</w:t>
      </w:r>
      <w:r>
        <w:rPr>
          <w:color w:val="auto"/>
          <w:spacing w:val="-36"/>
          <w:highlight w:val="none"/>
          <w:u w:val="single" w:color="auto"/>
        </w:rPr>
        <w:t xml:space="preserve"> </w:t>
      </w:r>
      <w:r>
        <w:rPr>
          <w:color w:val="auto"/>
          <w:spacing w:val="-5"/>
          <w:highlight w:val="none"/>
          <w:u w:val="single" w:color="auto"/>
        </w:rPr>
        <w:t>28</w:t>
      </w:r>
      <w:r>
        <w:rPr>
          <w:color w:val="auto"/>
          <w:spacing w:val="-40"/>
          <w:highlight w:val="none"/>
          <w:u w:val="single" w:color="auto"/>
        </w:rPr>
        <w:t xml:space="preserve"> </w:t>
      </w:r>
      <w:r>
        <w:rPr>
          <w:color w:val="auto"/>
          <w:spacing w:val="-5"/>
          <w:highlight w:val="none"/>
          <w:u w:val="single" w:color="auto"/>
        </w:rPr>
        <w:t xml:space="preserve">天内  </w:t>
      </w:r>
      <w:r>
        <w:rPr>
          <w:color w:val="auto"/>
          <w:spacing w:val="-5"/>
          <w:highlight w:val="none"/>
        </w:rPr>
        <w:t>。</w:t>
      </w:r>
    </w:p>
    <w:p w14:paraId="5687211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4.4.2 关键人员更换</w:t>
      </w:r>
    </w:p>
    <w:p w14:paraId="09A78FE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承包人擅自更换关键人员的违约责任：</w:t>
      </w:r>
      <w:r>
        <w:rPr>
          <w:color w:val="auto"/>
          <w:highlight w:val="none"/>
          <w:u w:val="single" w:color="auto"/>
        </w:rPr>
        <w:t>发包人或监理人发出整改意见，逾期未整改的视为承包</w:t>
      </w:r>
      <w:r>
        <w:rPr>
          <w:color w:val="auto"/>
          <w:spacing w:val="-1"/>
          <w:highlight w:val="none"/>
          <w:u w:val="single" w:color="auto"/>
        </w:rPr>
        <w:t>人违</w:t>
      </w:r>
      <w:r>
        <w:rPr>
          <w:color w:val="auto"/>
          <w:spacing w:val="-2"/>
          <w:highlight w:val="none"/>
          <w:u w:val="single" w:color="auto"/>
        </w:rPr>
        <w:t>约，依法承担违约责任</w:t>
      </w:r>
      <w:r>
        <w:rPr>
          <w:color w:val="auto"/>
          <w:spacing w:val="-2"/>
          <w:highlight w:val="none"/>
        </w:rPr>
        <w:t>。</w:t>
      </w:r>
    </w:p>
    <w:p w14:paraId="4E55601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承包人无正当理由拒绝撤换关键人员的违约责任：</w:t>
      </w:r>
      <w:r>
        <w:rPr>
          <w:color w:val="auto"/>
          <w:highlight w:val="none"/>
          <w:u w:val="single" w:color="auto"/>
        </w:rPr>
        <w:t>发包人或监理人发出整改意见，逾期未整改</w:t>
      </w:r>
      <w:r>
        <w:rPr>
          <w:color w:val="auto"/>
          <w:spacing w:val="-1"/>
          <w:highlight w:val="none"/>
          <w:u w:val="single" w:color="auto"/>
        </w:rPr>
        <w:t xml:space="preserve">的视为承包人违约，依法承担违约责任   </w:t>
      </w:r>
      <w:r>
        <w:rPr>
          <w:color w:val="auto"/>
          <w:spacing w:val="-1"/>
          <w:highlight w:val="none"/>
        </w:rPr>
        <w:t>。</w:t>
      </w:r>
    </w:p>
    <w:p w14:paraId="67DAB8B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4.4.3 现场管理关键人员在岗要求</w:t>
      </w:r>
    </w:p>
    <w:p w14:paraId="35E50BF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承包人现场管理关键人员离开施工现场的批准要求：</w:t>
      </w:r>
      <w:r>
        <w:rPr>
          <w:color w:val="auto"/>
          <w:highlight w:val="none"/>
          <w:u w:val="single" w:color="auto"/>
        </w:rPr>
        <w:t>实行请假制度，</w:t>
      </w:r>
      <w:r>
        <w:rPr>
          <w:color w:val="auto"/>
          <w:spacing w:val="-1"/>
          <w:highlight w:val="none"/>
          <w:u w:val="single" w:color="auto"/>
        </w:rPr>
        <w:t xml:space="preserve">经项目经理批准  </w:t>
      </w:r>
      <w:r>
        <w:rPr>
          <w:color w:val="auto"/>
          <w:spacing w:val="-1"/>
          <w:highlight w:val="none"/>
        </w:rPr>
        <w:t>。</w:t>
      </w:r>
    </w:p>
    <w:p w14:paraId="313B729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承包人现场管理关键人员擅自离开施工现场的违约责任：</w:t>
      </w:r>
      <w:r>
        <w:rPr>
          <w:color w:val="auto"/>
          <w:highlight w:val="none"/>
          <w:u w:val="single" w:color="auto"/>
        </w:rPr>
        <w:t>发包人或监理人发出整改意见，逾期</w:t>
      </w:r>
      <w:r>
        <w:rPr>
          <w:color w:val="auto"/>
          <w:spacing w:val="-1"/>
          <w:highlight w:val="none"/>
          <w:u w:val="single" w:color="auto"/>
        </w:rPr>
        <w:t xml:space="preserve">未整改的视为承包人违约，依法承担违约责任 </w:t>
      </w:r>
      <w:r>
        <w:rPr>
          <w:color w:val="auto"/>
          <w:spacing w:val="-1"/>
          <w:highlight w:val="none"/>
        </w:rPr>
        <w:t>。</w:t>
      </w:r>
    </w:p>
    <w:p w14:paraId="192C0B8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175" w:name="_Toc2768"/>
      <w:r>
        <w:rPr>
          <w:color w:val="auto"/>
          <w:spacing w:val="-3"/>
          <w:highlight w:val="none"/>
        </w:rPr>
        <w:t>4.5</w:t>
      </w:r>
      <w:r>
        <w:rPr>
          <w:color w:val="auto"/>
          <w:spacing w:val="12"/>
          <w:highlight w:val="none"/>
        </w:rPr>
        <w:t xml:space="preserve"> </w:t>
      </w:r>
      <w:r>
        <w:rPr>
          <w:color w:val="auto"/>
          <w:spacing w:val="-3"/>
          <w:highlight w:val="none"/>
        </w:rPr>
        <w:t>分包</w:t>
      </w:r>
      <w:bookmarkEnd w:id="2175"/>
    </w:p>
    <w:p w14:paraId="2AD4E32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4.5.1 一般约定</w:t>
      </w:r>
    </w:p>
    <w:p w14:paraId="757D3B4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禁止分包的工程包括：</w:t>
      </w:r>
      <w:r>
        <w:rPr>
          <w:color w:val="auto"/>
          <w:highlight w:val="none"/>
          <w:u w:val="single" w:color="auto"/>
        </w:rPr>
        <w:t xml:space="preserve"> 法律法规禁止分包的工程 </w:t>
      </w:r>
      <w:r>
        <w:rPr>
          <w:color w:val="auto"/>
          <w:spacing w:val="-1"/>
          <w:highlight w:val="none"/>
          <w:u w:val="single" w:color="auto"/>
        </w:rPr>
        <w:t xml:space="preserve">  </w:t>
      </w:r>
      <w:r>
        <w:rPr>
          <w:color w:val="auto"/>
          <w:spacing w:val="-1"/>
          <w:highlight w:val="none"/>
        </w:rPr>
        <w:t>。</w:t>
      </w:r>
    </w:p>
    <w:p w14:paraId="535AAD4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4.5.2 分包的确定</w:t>
      </w:r>
    </w:p>
    <w:p w14:paraId="088E1E9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允许分包的工程包括：</w:t>
      </w:r>
      <w:r>
        <w:rPr>
          <w:color w:val="auto"/>
          <w:spacing w:val="-1"/>
          <w:highlight w:val="none"/>
          <w:u w:val="single" w:color="auto"/>
        </w:rPr>
        <w:t xml:space="preserve"> 按照国家相关法律法规执行 </w:t>
      </w:r>
      <w:r>
        <w:rPr>
          <w:color w:val="auto"/>
          <w:spacing w:val="-1"/>
          <w:highlight w:val="none"/>
        </w:rPr>
        <w:t>。</w:t>
      </w:r>
    </w:p>
    <w:p w14:paraId="6FB3C47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其他关于分包的约定：</w:t>
      </w:r>
      <w:r>
        <w:rPr>
          <w:color w:val="auto"/>
          <w:spacing w:val="-1"/>
          <w:highlight w:val="none"/>
          <w:u w:val="single" w:color="auto"/>
        </w:rPr>
        <w:t xml:space="preserve"> 法律法规允许分包的工程 </w:t>
      </w:r>
      <w:r>
        <w:rPr>
          <w:rFonts w:hint="eastAsia"/>
          <w:color w:val="auto"/>
          <w:spacing w:val="-1"/>
          <w:highlight w:val="none"/>
          <w:u w:val="single" w:color="auto"/>
          <w:lang w:val="en-US" w:eastAsia="zh-CN"/>
        </w:rPr>
        <w:t xml:space="preserve"> </w:t>
      </w:r>
      <w:r>
        <w:rPr>
          <w:color w:val="auto"/>
          <w:spacing w:val="-1"/>
          <w:highlight w:val="none"/>
          <w:u w:val="single" w:color="auto"/>
        </w:rPr>
        <w:t xml:space="preserve"> </w:t>
      </w:r>
      <w:r>
        <w:rPr>
          <w:color w:val="auto"/>
          <w:spacing w:val="-1"/>
          <w:highlight w:val="none"/>
        </w:rPr>
        <w:t>。</w:t>
      </w:r>
    </w:p>
    <w:p w14:paraId="4E46384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4.5.5 分包合同价款支付</w:t>
      </w:r>
    </w:p>
    <w:p w14:paraId="3696D27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关于分包合同价款支付的约定：</w:t>
      </w:r>
      <w:r>
        <w:rPr>
          <w:color w:val="auto"/>
          <w:highlight w:val="none"/>
          <w:u w:val="single" w:color="auto"/>
        </w:rPr>
        <w:t xml:space="preserve">         /</w:t>
      </w:r>
      <w:r>
        <w:rPr>
          <w:color w:val="auto"/>
          <w:spacing w:val="-1"/>
          <w:highlight w:val="none"/>
          <w:u w:val="single" w:color="auto"/>
        </w:rPr>
        <w:t xml:space="preserve">        </w:t>
      </w:r>
      <w:r>
        <w:rPr>
          <w:color w:val="auto"/>
          <w:spacing w:val="-1"/>
          <w:highlight w:val="none"/>
        </w:rPr>
        <w:t>。</w:t>
      </w:r>
    </w:p>
    <w:p w14:paraId="0D76059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176" w:name="_Toc20400"/>
      <w:r>
        <w:rPr>
          <w:color w:val="auto"/>
          <w:spacing w:val="-3"/>
          <w:highlight w:val="none"/>
        </w:rPr>
        <w:t>4.6</w:t>
      </w:r>
      <w:r>
        <w:rPr>
          <w:color w:val="auto"/>
          <w:spacing w:val="12"/>
          <w:highlight w:val="none"/>
        </w:rPr>
        <w:t xml:space="preserve"> </w:t>
      </w:r>
      <w:r>
        <w:rPr>
          <w:color w:val="auto"/>
          <w:spacing w:val="-3"/>
          <w:highlight w:val="none"/>
        </w:rPr>
        <w:t>联合体</w:t>
      </w:r>
      <w:bookmarkEnd w:id="2176"/>
    </w:p>
    <w:p w14:paraId="3EC5969A">
      <w:pPr>
        <w:spacing w:line="360" w:lineRule="auto"/>
        <w:ind w:firstLine="600"/>
        <w:rPr>
          <w:color w:val="auto"/>
          <w:highlight w:val="none"/>
        </w:rPr>
      </w:pPr>
      <w:r>
        <w:rPr>
          <w:color w:val="auto"/>
          <w:highlight w:val="none"/>
        </w:rPr>
        <w:t>4.6.2 联合体各成员的分工、费用收取、发票开具等事项：</w:t>
      </w:r>
      <w:r>
        <w:rPr>
          <w:color w:val="auto"/>
          <w:highlight w:val="none"/>
          <w:u w:val="single" w:color="auto"/>
        </w:rPr>
        <w:t>联合体各成员分工承担的工作内容必须</w:t>
      </w:r>
      <w:r>
        <w:rPr>
          <w:color w:val="auto"/>
          <w:spacing w:val="-1"/>
          <w:highlight w:val="none"/>
          <w:u w:val="single" w:color="auto"/>
        </w:rPr>
        <w:t>与适用法律规定的该成员的资质资格相适应，并应具有相应的项目管理体系和项目管理能力，且不应根据其就承包工作的分工而减免对发包人的任何合同责任。发包人向联合体牵头方支付合同款项，再由牵头方向成员方支付，联合体成员分别向发包人开具发票</w:t>
      </w:r>
      <w:r>
        <w:rPr>
          <w:color w:val="auto"/>
          <w:spacing w:val="-1"/>
          <w:highlight w:val="none"/>
          <w:u w:val="single"/>
        </w:rPr>
        <w:t>。</w:t>
      </w:r>
      <w:r>
        <w:rPr>
          <w:rFonts w:hint="eastAsia" w:ascii="宋体" w:hAnsi="宋体" w:cs="宋体"/>
          <w:color w:val="auto"/>
          <w:sz w:val="21"/>
          <w:szCs w:val="21"/>
          <w:highlight w:val="none"/>
          <w:u w:val="single"/>
        </w:rPr>
        <w:t>联合体各成员对合同项下全部义务和责任承担连带责任，发包人有权向联合体任一成员主张全部权利。联合体成员之间不得因内部争议影响发包人权益或合同履行。</w:t>
      </w:r>
    </w:p>
    <w:p w14:paraId="030561C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1"/>
        <w:rPr>
          <w:color w:val="auto"/>
          <w:highlight w:val="none"/>
        </w:rPr>
      </w:pPr>
      <w:bookmarkStart w:id="2177" w:name="_Toc21675"/>
      <w:r>
        <w:rPr>
          <w:color w:val="auto"/>
          <w:spacing w:val="-1"/>
          <w:highlight w:val="none"/>
        </w:rPr>
        <w:t>4.7 承包人现场查勘</w:t>
      </w:r>
      <w:bookmarkEnd w:id="2177"/>
    </w:p>
    <w:p w14:paraId="73E42C78">
      <w:pPr>
        <w:spacing w:line="360" w:lineRule="auto"/>
        <w:ind w:firstLine="600"/>
        <w:rPr>
          <w:color w:val="auto"/>
          <w:highlight w:val="none"/>
        </w:rPr>
      </w:pPr>
      <w:r>
        <w:rPr>
          <w:color w:val="auto"/>
          <w:highlight w:val="none"/>
        </w:rPr>
        <w:t>4.7.1 双方当事人对现场查勘的责任承担的约定：</w:t>
      </w:r>
      <w:r>
        <w:rPr>
          <w:color w:val="auto"/>
          <w:highlight w:val="none"/>
          <w:u w:val="single" w:color="auto"/>
        </w:rPr>
        <w:t xml:space="preserve"> 承包人自行勘察，风险由承</w:t>
      </w:r>
      <w:r>
        <w:rPr>
          <w:color w:val="auto"/>
          <w:spacing w:val="-1"/>
          <w:highlight w:val="none"/>
          <w:u w:val="single" w:color="auto"/>
        </w:rPr>
        <w:t xml:space="preserve">包 人自行承担 </w:t>
      </w:r>
      <w:r>
        <w:rPr>
          <w:color w:val="auto"/>
          <w:spacing w:val="-1"/>
          <w:highlight w:val="none"/>
        </w:rPr>
        <w:t>。</w:t>
      </w:r>
    </w:p>
    <w:p w14:paraId="35C0004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1"/>
        <w:rPr>
          <w:color w:val="auto"/>
          <w:highlight w:val="none"/>
        </w:rPr>
      </w:pPr>
      <w:bookmarkStart w:id="2178" w:name="_Toc8403"/>
      <w:r>
        <w:rPr>
          <w:color w:val="auto"/>
          <w:spacing w:val="-1"/>
          <w:highlight w:val="none"/>
        </w:rPr>
        <w:t>4.8 不可预见的困难</w:t>
      </w:r>
      <w:bookmarkEnd w:id="2178"/>
    </w:p>
    <w:p w14:paraId="3CD86B9C">
      <w:pPr>
        <w:spacing w:line="360" w:lineRule="auto"/>
        <w:ind w:firstLine="600"/>
        <w:rPr>
          <w:rFonts w:hint="eastAsia" w:eastAsia="宋体"/>
          <w:color w:val="auto"/>
          <w:highlight w:val="none"/>
          <w:lang w:eastAsia="zh-CN"/>
        </w:rPr>
      </w:pPr>
      <w:r>
        <w:rPr>
          <w:color w:val="auto"/>
          <w:spacing w:val="1"/>
          <w:highlight w:val="none"/>
        </w:rPr>
        <w:t>不可预见的困难包括</w:t>
      </w:r>
      <w:r>
        <w:rPr>
          <w:color w:val="auto"/>
          <w:spacing w:val="-15"/>
          <w:highlight w:val="none"/>
        </w:rPr>
        <w:t>：</w:t>
      </w:r>
      <w:r>
        <w:rPr>
          <w:color w:val="auto"/>
          <w:highlight w:val="none"/>
          <w:u w:val="single" w:color="auto"/>
        </w:rPr>
        <w:t xml:space="preserve"> </w:t>
      </w:r>
      <w:r>
        <w:rPr>
          <w:color w:val="auto"/>
          <w:spacing w:val="-15"/>
          <w:highlight w:val="none"/>
          <w:u w:val="single" w:color="auto"/>
        </w:rPr>
        <w:t>（</w:t>
      </w:r>
      <w:r>
        <w:rPr>
          <w:color w:val="auto"/>
          <w:spacing w:val="1"/>
          <w:highlight w:val="none"/>
          <w:u w:val="single" w:color="auto"/>
        </w:rPr>
        <w:t>1）台风、龙卷风、暴雨、洪水、连</w:t>
      </w:r>
      <w:r>
        <w:rPr>
          <w:color w:val="auto"/>
          <w:highlight w:val="none"/>
          <w:u w:val="single" w:color="auto"/>
        </w:rPr>
        <w:t>续三天以上的大雨、战争或冲突、政</w:t>
      </w:r>
      <w:r>
        <w:rPr>
          <w:color w:val="auto"/>
          <w:spacing w:val="-3"/>
          <w:highlight w:val="none"/>
          <w:u w:val="single" w:color="auto"/>
        </w:rPr>
        <w:t xml:space="preserve">府公布的疫情  </w:t>
      </w:r>
      <w:r>
        <w:rPr>
          <w:color w:val="auto"/>
          <w:spacing w:val="-47"/>
          <w:w w:val="84"/>
          <w:highlight w:val="none"/>
          <w:u w:val="single" w:color="auto"/>
        </w:rPr>
        <w:t>；（</w:t>
      </w:r>
      <w:r>
        <w:rPr>
          <w:color w:val="auto"/>
          <w:spacing w:val="-3"/>
          <w:highlight w:val="none"/>
          <w:u w:val="single" w:color="auto"/>
        </w:rPr>
        <w:t>2）日气温超过</w:t>
      </w:r>
      <w:r>
        <w:rPr>
          <w:color w:val="auto"/>
          <w:spacing w:val="-35"/>
          <w:highlight w:val="none"/>
          <w:u w:val="single" w:color="auto"/>
        </w:rPr>
        <w:t xml:space="preserve"> </w:t>
      </w:r>
      <w:r>
        <w:rPr>
          <w:color w:val="auto"/>
          <w:spacing w:val="-3"/>
          <w:highlight w:val="none"/>
          <w:u w:val="single" w:color="auto"/>
        </w:rPr>
        <w:t>38℃的高温大于</w:t>
      </w:r>
      <w:r>
        <w:rPr>
          <w:color w:val="auto"/>
          <w:spacing w:val="-41"/>
          <w:highlight w:val="none"/>
          <w:u w:val="single" w:color="auto"/>
        </w:rPr>
        <w:t xml:space="preserve"> </w:t>
      </w:r>
      <w:r>
        <w:rPr>
          <w:color w:val="auto"/>
          <w:spacing w:val="-3"/>
          <w:highlight w:val="none"/>
          <w:u w:val="single" w:color="auto"/>
        </w:rPr>
        <w:t>3</w:t>
      </w:r>
      <w:r>
        <w:rPr>
          <w:color w:val="auto"/>
          <w:spacing w:val="-40"/>
          <w:highlight w:val="none"/>
          <w:u w:val="single" w:color="auto"/>
        </w:rPr>
        <w:t xml:space="preserve"> </w:t>
      </w:r>
      <w:r>
        <w:rPr>
          <w:color w:val="auto"/>
          <w:spacing w:val="-3"/>
          <w:highlight w:val="none"/>
          <w:u w:val="single" w:color="auto"/>
        </w:rPr>
        <w:t>天；日气温低于-15℃</w:t>
      </w:r>
      <w:r>
        <w:rPr>
          <w:color w:val="auto"/>
          <w:spacing w:val="27"/>
          <w:highlight w:val="none"/>
          <w:u w:val="single" w:color="auto"/>
        </w:rPr>
        <w:t xml:space="preserve"> </w:t>
      </w:r>
      <w:r>
        <w:rPr>
          <w:color w:val="auto"/>
          <w:spacing w:val="-47"/>
          <w:w w:val="84"/>
          <w:highlight w:val="none"/>
          <w:u w:val="single" w:color="auto"/>
        </w:rPr>
        <w:t>；（</w:t>
      </w:r>
      <w:r>
        <w:rPr>
          <w:color w:val="auto"/>
          <w:spacing w:val="-3"/>
          <w:highlight w:val="none"/>
          <w:u w:val="single" w:color="auto"/>
        </w:rPr>
        <w:t>3）其他异常恶劣气候灾害。</w:t>
      </w:r>
      <w:r>
        <w:rPr>
          <w:color w:val="auto"/>
          <w:highlight w:val="none"/>
        </w:rPr>
        <w:t xml:space="preserve"> </w:t>
      </w:r>
      <w:r>
        <w:rPr>
          <w:color w:val="auto"/>
          <w:spacing w:val="-1"/>
          <w:highlight w:val="none"/>
          <w:u w:val="single" w:color="auto"/>
        </w:rPr>
        <w:t>承包人应在上述情形发生后第一时间通知发包人和监理人</w:t>
      </w:r>
      <w:r>
        <w:rPr>
          <w:rFonts w:hint="eastAsia" w:eastAsia="宋体"/>
          <w:color w:val="auto"/>
          <w:spacing w:val="-1"/>
          <w:highlight w:val="none"/>
          <w:u w:val="single" w:color="auto"/>
          <w:lang w:eastAsia="zh-CN"/>
        </w:rPr>
        <w:t>。</w:t>
      </w:r>
    </w:p>
    <w:p w14:paraId="374144A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8" w:firstLineChars="200"/>
        <w:textAlignment w:val="baseline"/>
        <w:outlineLvl w:val="0"/>
        <w:rPr>
          <w:color w:val="auto"/>
          <w:highlight w:val="none"/>
        </w:rPr>
      </w:pPr>
      <w:bookmarkStart w:id="2179" w:name="_Toc26944"/>
      <w:r>
        <w:rPr>
          <w:color w:val="auto"/>
          <w:spacing w:val="-8"/>
          <w:highlight w:val="none"/>
        </w:rPr>
        <w:t>第</w:t>
      </w:r>
      <w:r>
        <w:rPr>
          <w:color w:val="auto"/>
          <w:spacing w:val="-38"/>
          <w:highlight w:val="none"/>
        </w:rPr>
        <w:t xml:space="preserve"> </w:t>
      </w:r>
      <w:r>
        <w:rPr>
          <w:color w:val="auto"/>
          <w:spacing w:val="-8"/>
          <w:highlight w:val="none"/>
        </w:rPr>
        <w:t>5</w:t>
      </w:r>
      <w:r>
        <w:rPr>
          <w:color w:val="auto"/>
          <w:spacing w:val="-42"/>
          <w:highlight w:val="none"/>
        </w:rPr>
        <w:t xml:space="preserve"> </w:t>
      </w:r>
      <w:r>
        <w:rPr>
          <w:color w:val="auto"/>
          <w:spacing w:val="-8"/>
          <w:highlight w:val="none"/>
        </w:rPr>
        <w:t>条</w:t>
      </w:r>
      <w:r>
        <w:rPr>
          <w:color w:val="auto"/>
          <w:spacing w:val="11"/>
          <w:highlight w:val="none"/>
        </w:rPr>
        <w:t xml:space="preserve"> </w:t>
      </w:r>
      <w:r>
        <w:rPr>
          <w:color w:val="auto"/>
          <w:spacing w:val="-8"/>
          <w:highlight w:val="none"/>
        </w:rPr>
        <w:t>设计</w:t>
      </w:r>
      <w:bookmarkEnd w:id="2179"/>
    </w:p>
    <w:p w14:paraId="71D92A9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color w:val="auto"/>
          <w:highlight w:val="none"/>
        </w:rPr>
      </w:pPr>
      <w:r>
        <w:rPr>
          <w:color w:val="auto"/>
          <w:spacing w:val="-2"/>
          <w:highlight w:val="none"/>
        </w:rPr>
        <w:t>5.2 承包人文件审查</w:t>
      </w:r>
    </w:p>
    <w:p w14:paraId="08506D2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5.2.1 承包人文件审查的期限：</w:t>
      </w:r>
      <w:r>
        <w:rPr>
          <w:color w:val="auto"/>
          <w:highlight w:val="none"/>
          <w:u w:val="single" w:color="auto"/>
        </w:rPr>
        <w:t xml:space="preserve"> 按照</w:t>
      </w:r>
      <w:r>
        <w:rPr>
          <w:color w:val="auto"/>
          <w:spacing w:val="-1"/>
          <w:highlight w:val="none"/>
          <w:u w:val="single" w:color="auto"/>
        </w:rPr>
        <w:t xml:space="preserve">建设主管部门或发包人要求 </w:t>
      </w:r>
      <w:r>
        <w:rPr>
          <w:color w:val="auto"/>
          <w:spacing w:val="-1"/>
          <w:highlight w:val="none"/>
        </w:rPr>
        <w:t>。</w:t>
      </w:r>
    </w:p>
    <w:p w14:paraId="7AC4F93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5.2.2 审查会议的审查形式和时间安排为：</w:t>
      </w:r>
      <w:r>
        <w:rPr>
          <w:color w:val="auto"/>
          <w:spacing w:val="-4"/>
          <w:highlight w:val="none"/>
          <w:u w:val="single" w:color="auto"/>
        </w:rPr>
        <w:t xml:space="preserve"> 满足工程进度</w:t>
      </w:r>
      <w:r>
        <w:rPr>
          <w:color w:val="auto"/>
          <w:spacing w:val="-5"/>
          <w:highlight w:val="none"/>
          <w:u w:val="single" w:color="auto"/>
        </w:rPr>
        <w:t>要求</w:t>
      </w:r>
      <w:r>
        <w:rPr>
          <w:color w:val="auto"/>
          <w:spacing w:val="-5"/>
          <w:highlight w:val="none"/>
        </w:rPr>
        <w:t>，审查会议的相关费用由</w:t>
      </w:r>
      <w:r>
        <w:rPr>
          <w:color w:val="auto"/>
          <w:spacing w:val="-105"/>
          <w:highlight w:val="none"/>
        </w:rPr>
        <w:t xml:space="preserve"> </w:t>
      </w:r>
      <w:r>
        <w:rPr>
          <w:color w:val="auto"/>
          <w:spacing w:val="-5"/>
          <w:highlight w:val="none"/>
          <w:u w:val="single" w:color="auto"/>
        </w:rPr>
        <w:t xml:space="preserve">  承包人(只</w:t>
      </w:r>
      <w:r>
        <w:rPr>
          <w:color w:val="auto"/>
          <w:spacing w:val="-2"/>
          <w:highlight w:val="none"/>
          <w:u w:val="single" w:color="auto"/>
        </w:rPr>
        <w:t xml:space="preserve">含承包方施工图审查及专项方案论证） </w:t>
      </w:r>
      <w:r>
        <w:rPr>
          <w:color w:val="auto"/>
          <w:spacing w:val="-90"/>
          <w:highlight w:val="none"/>
        </w:rPr>
        <w:t xml:space="preserve"> </w:t>
      </w:r>
      <w:r>
        <w:rPr>
          <w:color w:val="auto"/>
          <w:spacing w:val="-2"/>
          <w:highlight w:val="none"/>
        </w:rPr>
        <w:t>承担。</w:t>
      </w:r>
    </w:p>
    <w:p w14:paraId="15CD158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5.2.3 关于第三方审查单位的约定：</w:t>
      </w:r>
      <w:r>
        <w:rPr>
          <w:color w:val="auto"/>
          <w:spacing w:val="-1"/>
          <w:highlight w:val="none"/>
          <w:u w:val="single" w:color="auto"/>
        </w:rPr>
        <w:t xml:space="preserve"> 经发包人同意 </w:t>
      </w:r>
      <w:r>
        <w:rPr>
          <w:color w:val="auto"/>
          <w:spacing w:val="-1"/>
          <w:highlight w:val="none"/>
        </w:rPr>
        <w:t>。</w:t>
      </w:r>
    </w:p>
    <w:p w14:paraId="7E81794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1"/>
        <w:rPr>
          <w:color w:val="auto"/>
          <w:highlight w:val="none"/>
        </w:rPr>
      </w:pPr>
      <w:bookmarkStart w:id="2180" w:name="_Toc20884"/>
      <w:r>
        <w:rPr>
          <w:color w:val="auto"/>
          <w:spacing w:val="-4"/>
          <w:highlight w:val="none"/>
        </w:rPr>
        <w:t>5.3</w:t>
      </w:r>
      <w:r>
        <w:rPr>
          <w:color w:val="auto"/>
          <w:spacing w:val="11"/>
          <w:highlight w:val="none"/>
        </w:rPr>
        <w:t xml:space="preserve"> </w:t>
      </w:r>
      <w:r>
        <w:rPr>
          <w:color w:val="auto"/>
          <w:spacing w:val="-4"/>
          <w:highlight w:val="none"/>
        </w:rPr>
        <w:t>培训</w:t>
      </w:r>
      <w:bookmarkEnd w:id="2180"/>
    </w:p>
    <w:p w14:paraId="4F15966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培训的时长为</w:t>
      </w:r>
      <w:r>
        <w:rPr>
          <w:color w:val="auto"/>
          <w:highlight w:val="none"/>
          <w:u w:val="single" w:color="auto"/>
        </w:rPr>
        <w:t xml:space="preserve"> / </w:t>
      </w:r>
      <w:r>
        <w:rPr>
          <w:color w:val="auto"/>
          <w:highlight w:val="none"/>
        </w:rPr>
        <w:t>，承包人应为培训提供的人员、设施和其他</w:t>
      </w:r>
      <w:r>
        <w:rPr>
          <w:color w:val="auto"/>
          <w:spacing w:val="-1"/>
          <w:highlight w:val="none"/>
        </w:rPr>
        <w:t>必要条件为</w:t>
      </w:r>
      <w:r>
        <w:rPr>
          <w:color w:val="auto"/>
          <w:spacing w:val="-94"/>
          <w:highlight w:val="none"/>
        </w:rPr>
        <w:t xml:space="preserve"> </w:t>
      </w:r>
      <w:r>
        <w:rPr>
          <w:color w:val="auto"/>
          <w:spacing w:val="-1"/>
          <w:highlight w:val="none"/>
          <w:u w:val="single" w:color="auto"/>
        </w:rPr>
        <w:t xml:space="preserve">             / </w:t>
      </w:r>
      <w:r>
        <w:rPr>
          <w:color w:val="auto"/>
          <w:spacing w:val="-1"/>
          <w:highlight w:val="none"/>
        </w:rPr>
        <w:t>。</w:t>
      </w:r>
    </w:p>
    <w:p w14:paraId="32F5563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color w:val="auto"/>
          <w:highlight w:val="none"/>
        </w:rPr>
      </w:pPr>
      <w:bookmarkStart w:id="2181" w:name="_Toc8197"/>
      <w:r>
        <w:rPr>
          <w:color w:val="auto"/>
          <w:spacing w:val="-2"/>
          <w:highlight w:val="none"/>
        </w:rPr>
        <w:t>5.4 竣工文件</w:t>
      </w:r>
      <w:bookmarkEnd w:id="2181"/>
    </w:p>
    <w:p w14:paraId="18E3BC9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5.4.1 竣工文件的形式、提供的份数、技术标准</w:t>
      </w:r>
      <w:r>
        <w:rPr>
          <w:color w:val="auto"/>
          <w:spacing w:val="-5"/>
          <w:highlight w:val="none"/>
        </w:rPr>
        <w:t xml:space="preserve">以及其他相关要求： </w:t>
      </w:r>
      <w:r>
        <w:rPr>
          <w:color w:val="auto"/>
          <w:spacing w:val="-5"/>
          <w:highlight w:val="none"/>
          <w:u w:val="single" w:color="auto"/>
        </w:rPr>
        <w:t xml:space="preserve"> 合同工程保修证书签发后，承</w:t>
      </w:r>
      <w:r>
        <w:rPr>
          <w:color w:val="auto"/>
          <w:spacing w:val="-1"/>
          <w:highlight w:val="none"/>
          <w:u w:val="single" w:color="auto"/>
        </w:rPr>
        <w:t xml:space="preserve">包方负责组织编制竣工图或委托其他单位编制竣工图，并向发包方提交四套竣工资料及一套电子版（施工单位自留两份工程资料） </w:t>
      </w:r>
      <w:r>
        <w:rPr>
          <w:color w:val="auto"/>
          <w:spacing w:val="-1"/>
          <w:highlight w:val="none"/>
        </w:rPr>
        <w:t>。</w:t>
      </w:r>
    </w:p>
    <w:p w14:paraId="02418CE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5.4.3 关于竣工文件的其他约定：</w:t>
      </w:r>
      <w:r>
        <w:rPr>
          <w:color w:val="auto"/>
          <w:highlight w:val="none"/>
          <w:u w:val="single" w:color="auto"/>
        </w:rPr>
        <w:t xml:space="preserve">        </w:t>
      </w:r>
      <w:r>
        <w:rPr>
          <w:color w:val="auto"/>
          <w:spacing w:val="-1"/>
          <w:highlight w:val="none"/>
          <w:u w:val="single" w:color="auto"/>
        </w:rPr>
        <w:t xml:space="preserve">  /          </w:t>
      </w:r>
      <w:r>
        <w:rPr>
          <w:color w:val="auto"/>
          <w:spacing w:val="-1"/>
          <w:highlight w:val="none"/>
        </w:rPr>
        <w:t>。</w:t>
      </w:r>
    </w:p>
    <w:p w14:paraId="116B4E3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color w:val="auto"/>
          <w:highlight w:val="none"/>
        </w:rPr>
      </w:pPr>
      <w:bookmarkStart w:id="2182" w:name="_Toc7460"/>
      <w:r>
        <w:rPr>
          <w:color w:val="auto"/>
          <w:spacing w:val="-2"/>
          <w:highlight w:val="none"/>
        </w:rPr>
        <w:t>5.5 操作和维修手册</w:t>
      </w:r>
      <w:bookmarkEnd w:id="2182"/>
    </w:p>
    <w:p w14:paraId="32EB0D1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5.5.3 对最终操作和维修手册的约定：</w:t>
      </w:r>
      <w:r>
        <w:rPr>
          <w:color w:val="auto"/>
          <w:highlight w:val="none"/>
          <w:u w:val="single" w:color="auto"/>
        </w:rPr>
        <w:t xml:space="preserve">     </w:t>
      </w:r>
      <w:r>
        <w:rPr>
          <w:color w:val="auto"/>
          <w:spacing w:val="-1"/>
          <w:highlight w:val="none"/>
          <w:u w:val="single" w:color="auto"/>
        </w:rPr>
        <w:t xml:space="preserve">   /        </w:t>
      </w:r>
      <w:r>
        <w:rPr>
          <w:color w:val="auto"/>
          <w:spacing w:val="-1"/>
          <w:highlight w:val="none"/>
        </w:rPr>
        <w:t>。</w:t>
      </w:r>
    </w:p>
    <w:p w14:paraId="2ACB454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0"/>
        <w:rPr>
          <w:color w:val="auto"/>
          <w:highlight w:val="none"/>
        </w:rPr>
      </w:pPr>
      <w:bookmarkStart w:id="2183" w:name="_Toc9437"/>
      <w:r>
        <w:rPr>
          <w:color w:val="auto"/>
          <w:spacing w:val="-3"/>
          <w:highlight w:val="none"/>
        </w:rPr>
        <w:t>第</w:t>
      </w:r>
      <w:r>
        <w:rPr>
          <w:color w:val="auto"/>
          <w:spacing w:val="-38"/>
          <w:highlight w:val="none"/>
        </w:rPr>
        <w:t xml:space="preserve"> </w:t>
      </w:r>
      <w:r>
        <w:rPr>
          <w:color w:val="auto"/>
          <w:spacing w:val="-3"/>
          <w:highlight w:val="none"/>
        </w:rPr>
        <w:t>6</w:t>
      </w:r>
      <w:r>
        <w:rPr>
          <w:color w:val="auto"/>
          <w:spacing w:val="-43"/>
          <w:highlight w:val="none"/>
        </w:rPr>
        <w:t xml:space="preserve"> </w:t>
      </w:r>
      <w:r>
        <w:rPr>
          <w:color w:val="auto"/>
          <w:spacing w:val="-3"/>
          <w:highlight w:val="none"/>
        </w:rPr>
        <w:t>条 材料、工程设备</w:t>
      </w:r>
      <w:bookmarkEnd w:id="2183"/>
    </w:p>
    <w:p w14:paraId="0F9DE6A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184" w:name="_Toc10017"/>
      <w:r>
        <w:rPr>
          <w:color w:val="auto"/>
          <w:spacing w:val="-3"/>
          <w:highlight w:val="none"/>
        </w:rPr>
        <w:t>6.1</w:t>
      </w:r>
      <w:r>
        <w:rPr>
          <w:color w:val="auto"/>
          <w:spacing w:val="13"/>
          <w:highlight w:val="none"/>
        </w:rPr>
        <w:t xml:space="preserve"> </w:t>
      </w:r>
      <w:r>
        <w:rPr>
          <w:color w:val="auto"/>
          <w:spacing w:val="-3"/>
          <w:highlight w:val="none"/>
        </w:rPr>
        <w:t>实施方法</w:t>
      </w:r>
      <w:bookmarkEnd w:id="2184"/>
    </w:p>
    <w:p w14:paraId="1182A0D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双方当事人约定的实施方法、设备、设施和材料：</w:t>
      </w:r>
      <w:r>
        <w:rPr>
          <w:color w:val="auto"/>
          <w:highlight w:val="none"/>
          <w:u w:val="single" w:color="auto"/>
        </w:rPr>
        <w:t xml:space="preserve">  承包方应按照合同及采购合同附件约定条</w:t>
      </w:r>
      <w:r>
        <w:rPr>
          <w:color w:val="auto"/>
          <w:spacing w:val="-1"/>
          <w:highlight w:val="none"/>
          <w:u w:val="single" w:color="auto"/>
        </w:rPr>
        <w:t>款，</w:t>
      </w:r>
      <w:r>
        <w:rPr>
          <w:color w:val="auto"/>
          <w:highlight w:val="none"/>
          <w:u w:val="single" w:color="auto"/>
        </w:rPr>
        <w:t>采购工程设备、材料、成品和半成品、备品备件、专用工具等合同工</w:t>
      </w:r>
      <w:r>
        <w:rPr>
          <w:color w:val="auto"/>
          <w:spacing w:val="-1"/>
          <w:highlight w:val="none"/>
          <w:u w:val="single" w:color="auto"/>
        </w:rPr>
        <w:t xml:space="preserve">程所需全部货物 </w:t>
      </w:r>
      <w:r>
        <w:rPr>
          <w:color w:val="auto"/>
          <w:spacing w:val="-1"/>
          <w:highlight w:val="none"/>
        </w:rPr>
        <w:t>。</w:t>
      </w:r>
    </w:p>
    <w:p w14:paraId="37D1C6F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1"/>
        <w:rPr>
          <w:color w:val="auto"/>
          <w:highlight w:val="none"/>
        </w:rPr>
      </w:pPr>
      <w:bookmarkStart w:id="2185" w:name="_Toc20474"/>
      <w:r>
        <w:rPr>
          <w:color w:val="auto"/>
          <w:spacing w:val="-1"/>
          <w:highlight w:val="none"/>
        </w:rPr>
        <w:t>6.2 材料和工程设备</w:t>
      </w:r>
      <w:bookmarkEnd w:id="2185"/>
    </w:p>
    <w:p w14:paraId="7F59249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6.2.1 发包人提供的材料和工程设备</w:t>
      </w:r>
    </w:p>
    <w:p w14:paraId="5C5E5E5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发包人提供的材料和工程设备验收后，由</w:t>
      </w:r>
      <w:r>
        <w:rPr>
          <w:color w:val="auto"/>
          <w:spacing w:val="-2"/>
          <w:highlight w:val="none"/>
          <w:u w:val="single" w:color="auto"/>
        </w:rPr>
        <w:t xml:space="preserve">  承包人  </w:t>
      </w:r>
      <w:r>
        <w:rPr>
          <w:color w:val="auto"/>
          <w:spacing w:val="-71"/>
          <w:highlight w:val="none"/>
        </w:rPr>
        <w:t xml:space="preserve"> </w:t>
      </w:r>
      <w:r>
        <w:rPr>
          <w:color w:val="auto"/>
          <w:spacing w:val="-2"/>
          <w:highlight w:val="none"/>
        </w:rPr>
        <w:t>负责接收、运输和保管。</w:t>
      </w:r>
    </w:p>
    <w:p w14:paraId="6DEF5B9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6.2.3 材料和工程设备的保管</w:t>
      </w:r>
    </w:p>
    <w:p w14:paraId="54B1D25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发包人供应的材料和工程设备的保管费用由</w:t>
      </w:r>
      <w:r>
        <w:rPr>
          <w:color w:val="auto"/>
          <w:spacing w:val="-1"/>
          <w:highlight w:val="none"/>
          <w:u w:val="single" w:color="auto"/>
        </w:rPr>
        <w:t xml:space="preserve"> </w:t>
      </w:r>
      <w:r>
        <w:rPr>
          <w:rFonts w:hint="eastAsia"/>
          <w:color w:val="auto"/>
          <w:spacing w:val="-1"/>
          <w:highlight w:val="none"/>
          <w:u w:val="single" w:color="auto"/>
          <w:lang w:val="en-US" w:eastAsia="zh-CN"/>
        </w:rPr>
        <w:t>发包人</w:t>
      </w:r>
      <w:r>
        <w:rPr>
          <w:color w:val="auto"/>
          <w:spacing w:val="-1"/>
          <w:highlight w:val="none"/>
          <w:u w:val="single" w:color="auto"/>
        </w:rPr>
        <w:t xml:space="preserve"> </w:t>
      </w:r>
      <w:r>
        <w:rPr>
          <w:color w:val="auto"/>
          <w:spacing w:val="-2"/>
          <w:highlight w:val="none"/>
        </w:rPr>
        <w:t>承担。</w:t>
      </w:r>
    </w:p>
    <w:p w14:paraId="559C06F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承包人提交保管、维护方案的时间：</w:t>
      </w:r>
      <w:r>
        <w:rPr>
          <w:color w:val="auto"/>
          <w:highlight w:val="none"/>
          <w:u w:val="single" w:color="auto"/>
        </w:rPr>
        <w:t xml:space="preserve">        / </w:t>
      </w:r>
      <w:r>
        <w:rPr>
          <w:color w:val="auto"/>
          <w:spacing w:val="-1"/>
          <w:highlight w:val="none"/>
          <w:u w:val="single" w:color="auto"/>
        </w:rPr>
        <w:t xml:space="preserve">         </w:t>
      </w:r>
      <w:r>
        <w:rPr>
          <w:color w:val="auto"/>
          <w:spacing w:val="-1"/>
          <w:highlight w:val="none"/>
        </w:rPr>
        <w:t>。</w:t>
      </w:r>
    </w:p>
    <w:p w14:paraId="7F133CF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发包人提供的库房、堆场、设施和设备：</w:t>
      </w:r>
      <w:r>
        <w:rPr>
          <w:color w:val="auto"/>
          <w:highlight w:val="none"/>
          <w:u w:val="single" w:color="auto"/>
        </w:rPr>
        <w:t xml:space="preserve">   </w:t>
      </w:r>
      <w:r>
        <w:rPr>
          <w:color w:val="auto"/>
          <w:spacing w:val="-1"/>
          <w:highlight w:val="none"/>
          <w:u w:val="single" w:color="auto"/>
        </w:rPr>
        <w:t xml:space="preserve">   /        </w:t>
      </w:r>
      <w:r>
        <w:rPr>
          <w:color w:val="auto"/>
          <w:spacing w:val="-1"/>
          <w:highlight w:val="none"/>
        </w:rPr>
        <w:t>。</w:t>
      </w:r>
    </w:p>
    <w:p w14:paraId="3133301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186" w:name="_Toc4784"/>
      <w:r>
        <w:rPr>
          <w:color w:val="auto"/>
          <w:spacing w:val="-3"/>
          <w:highlight w:val="none"/>
        </w:rPr>
        <w:t>6.3</w:t>
      </w:r>
      <w:r>
        <w:rPr>
          <w:color w:val="auto"/>
          <w:spacing w:val="7"/>
          <w:highlight w:val="none"/>
        </w:rPr>
        <w:t xml:space="preserve"> </w:t>
      </w:r>
      <w:r>
        <w:rPr>
          <w:color w:val="auto"/>
          <w:spacing w:val="-3"/>
          <w:highlight w:val="none"/>
        </w:rPr>
        <w:t>样品</w:t>
      </w:r>
      <w:bookmarkEnd w:id="2186"/>
    </w:p>
    <w:p w14:paraId="3305453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6.3.1 样品的报送与封存</w:t>
      </w:r>
    </w:p>
    <w:p w14:paraId="68F9232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 xml:space="preserve">需要承包人报送样品的材料或工程设备，样品种类、名称、规格、数量： </w:t>
      </w:r>
      <w:r>
        <w:rPr>
          <w:color w:val="auto"/>
          <w:spacing w:val="-5"/>
          <w:highlight w:val="none"/>
          <w:u w:val="single" w:color="auto"/>
        </w:rPr>
        <w:t xml:space="preserve"> 按管理部门和发包人需</w:t>
      </w:r>
      <w:r>
        <w:rPr>
          <w:color w:val="auto"/>
          <w:spacing w:val="-1"/>
          <w:highlight w:val="none"/>
          <w:u w:val="single" w:color="auto"/>
        </w:rPr>
        <w:t xml:space="preserve">求确定 </w:t>
      </w:r>
      <w:r>
        <w:rPr>
          <w:color w:val="auto"/>
          <w:spacing w:val="-1"/>
          <w:highlight w:val="none"/>
        </w:rPr>
        <w:t>。</w:t>
      </w:r>
    </w:p>
    <w:p w14:paraId="506BD3C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1"/>
        <w:rPr>
          <w:color w:val="auto"/>
          <w:highlight w:val="none"/>
        </w:rPr>
      </w:pPr>
      <w:bookmarkStart w:id="2187" w:name="_Toc28222"/>
      <w:r>
        <w:rPr>
          <w:color w:val="auto"/>
          <w:spacing w:val="-1"/>
          <w:highlight w:val="none"/>
        </w:rPr>
        <w:t>6.4 质量检查</w:t>
      </w:r>
      <w:bookmarkEnd w:id="2187"/>
    </w:p>
    <w:p w14:paraId="50C752C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6.4.1 工程质量要求</w:t>
      </w:r>
    </w:p>
    <w:p w14:paraId="2903781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工程质量的特殊标准或要求：</w:t>
      </w:r>
      <w:r>
        <w:rPr>
          <w:color w:val="auto"/>
          <w:highlight w:val="none"/>
          <w:u w:val="single" w:color="auto"/>
        </w:rPr>
        <w:t xml:space="preserve">  符合现行国家有关工</w:t>
      </w:r>
      <w:r>
        <w:rPr>
          <w:color w:val="auto"/>
          <w:spacing w:val="-1"/>
          <w:highlight w:val="none"/>
          <w:u w:val="single" w:color="auto"/>
        </w:rPr>
        <w:t xml:space="preserve">程施工质量验收规范  </w:t>
      </w:r>
      <w:r>
        <w:rPr>
          <w:color w:val="auto"/>
          <w:spacing w:val="-1"/>
          <w:highlight w:val="none"/>
        </w:rPr>
        <w:t>。</w:t>
      </w:r>
    </w:p>
    <w:p w14:paraId="76968C6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6.4.2 质量检查</w:t>
      </w:r>
    </w:p>
    <w:p w14:paraId="7A269E0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除通用合同条件已列明的质量检查的地点外，发包人有权进行质量检</w:t>
      </w:r>
      <w:r>
        <w:rPr>
          <w:color w:val="auto"/>
          <w:spacing w:val="-1"/>
          <w:highlight w:val="none"/>
        </w:rPr>
        <w:t>查的其他地点：</w:t>
      </w:r>
      <w:r>
        <w:rPr>
          <w:color w:val="auto"/>
          <w:spacing w:val="-1"/>
          <w:highlight w:val="none"/>
          <w:u w:val="single" w:color="auto"/>
        </w:rPr>
        <w:t xml:space="preserve">  设备供应商</w:t>
      </w:r>
      <w:r>
        <w:rPr>
          <w:color w:val="auto"/>
          <w:spacing w:val="-2"/>
          <w:highlight w:val="none"/>
          <w:u w:val="single" w:color="auto"/>
        </w:rPr>
        <w:t xml:space="preserve">生产地  </w:t>
      </w:r>
      <w:r>
        <w:rPr>
          <w:color w:val="auto"/>
          <w:spacing w:val="-2"/>
          <w:highlight w:val="none"/>
        </w:rPr>
        <w:t>。</w:t>
      </w:r>
    </w:p>
    <w:p w14:paraId="71A26E6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2"/>
        <w:rPr>
          <w:color w:val="auto"/>
          <w:highlight w:val="none"/>
        </w:rPr>
      </w:pPr>
      <w:r>
        <w:rPr>
          <w:color w:val="auto"/>
          <w:spacing w:val="-3"/>
          <w:highlight w:val="none"/>
        </w:rPr>
        <w:t>6.4.3</w:t>
      </w:r>
      <w:r>
        <w:rPr>
          <w:color w:val="auto"/>
          <w:spacing w:val="25"/>
          <w:highlight w:val="none"/>
        </w:rPr>
        <w:t xml:space="preserve"> </w:t>
      </w:r>
      <w:r>
        <w:rPr>
          <w:color w:val="auto"/>
          <w:spacing w:val="-3"/>
          <w:highlight w:val="none"/>
        </w:rPr>
        <w:t>隐蔽工程检查</w:t>
      </w:r>
    </w:p>
    <w:p w14:paraId="319A4CF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关于隐蔽工程和中间验收的特别约定：</w:t>
      </w:r>
      <w:r>
        <w:rPr>
          <w:color w:val="auto"/>
          <w:spacing w:val="-1"/>
          <w:highlight w:val="none"/>
          <w:u w:val="single" w:color="auto"/>
        </w:rPr>
        <w:t xml:space="preserve"> 执行通用合同条款 </w:t>
      </w:r>
      <w:r>
        <w:rPr>
          <w:color w:val="auto"/>
          <w:spacing w:val="-1"/>
          <w:highlight w:val="none"/>
        </w:rPr>
        <w:t>。</w:t>
      </w:r>
    </w:p>
    <w:p w14:paraId="272F1CC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1"/>
        <w:rPr>
          <w:color w:val="auto"/>
          <w:highlight w:val="none"/>
        </w:rPr>
      </w:pPr>
      <w:bookmarkStart w:id="2188" w:name="_Toc7733"/>
      <w:r>
        <w:rPr>
          <w:color w:val="auto"/>
          <w:spacing w:val="-4"/>
          <w:highlight w:val="none"/>
        </w:rPr>
        <w:t>6.5</w:t>
      </w:r>
      <w:r>
        <w:rPr>
          <w:color w:val="auto"/>
          <w:spacing w:val="40"/>
          <w:highlight w:val="none"/>
        </w:rPr>
        <w:t xml:space="preserve"> </w:t>
      </w:r>
      <w:r>
        <w:rPr>
          <w:color w:val="auto"/>
          <w:spacing w:val="-4"/>
          <w:highlight w:val="none"/>
        </w:rPr>
        <w:t>由承包人试验和检验</w:t>
      </w:r>
      <w:bookmarkEnd w:id="2188"/>
    </w:p>
    <w:p w14:paraId="105F999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6.5.1 试验设备与试验人员</w:t>
      </w:r>
    </w:p>
    <w:p w14:paraId="2200AFD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试验的内容、时间和地点：</w:t>
      </w:r>
      <w:r>
        <w:rPr>
          <w:color w:val="auto"/>
          <w:spacing w:val="-1"/>
          <w:highlight w:val="none"/>
          <w:u w:val="single" w:color="auto"/>
        </w:rPr>
        <w:t xml:space="preserve"> 执行通用合同条款 </w:t>
      </w:r>
      <w:r>
        <w:rPr>
          <w:color w:val="auto"/>
          <w:spacing w:val="-1"/>
          <w:highlight w:val="none"/>
        </w:rPr>
        <w:t>。</w:t>
      </w:r>
    </w:p>
    <w:p w14:paraId="7F84E2A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试验所需要的试验设备、取样装置、试验场所和试验条件：</w:t>
      </w:r>
      <w:r>
        <w:rPr>
          <w:color w:val="auto"/>
          <w:highlight w:val="none"/>
          <w:u w:val="single" w:color="auto"/>
        </w:rPr>
        <w:t xml:space="preserve">     </w:t>
      </w:r>
      <w:r>
        <w:rPr>
          <w:color w:val="auto"/>
          <w:spacing w:val="-1"/>
          <w:highlight w:val="none"/>
          <w:u w:val="single" w:color="auto"/>
        </w:rPr>
        <w:t xml:space="preserve"> /       </w:t>
      </w:r>
      <w:r>
        <w:rPr>
          <w:color w:val="auto"/>
          <w:spacing w:val="-1"/>
          <w:highlight w:val="none"/>
        </w:rPr>
        <w:t>。</w:t>
      </w:r>
    </w:p>
    <w:p w14:paraId="3F99652F">
      <w:pPr>
        <w:spacing w:line="360" w:lineRule="auto"/>
        <w:ind w:firstLine="600"/>
        <w:rPr>
          <w:rFonts w:hint="eastAsia" w:ascii="宋体" w:hAnsi="宋体" w:cs="宋体"/>
          <w:color w:val="auto"/>
          <w:szCs w:val="21"/>
          <w:highlight w:val="none"/>
          <w:u w:val="single"/>
        </w:rPr>
      </w:pPr>
      <w:r>
        <w:rPr>
          <w:color w:val="auto"/>
          <w:highlight w:val="none"/>
        </w:rPr>
        <w:t>试验和检验费用的计价原则：</w:t>
      </w:r>
      <w:r>
        <w:rPr>
          <w:color w:val="auto"/>
          <w:highlight w:val="none"/>
          <w:u w:val="single" w:color="auto"/>
        </w:rPr>
        <w:t xml:space="preserve">  常规试验、检测</w:t>
      </w:r>
      <w:r>
        <w:rPr>
          <w:color w:val="auto"/>
          <w:spacing w:val="-1"/>
          <w:highlight w:val="none"/>
          <w:u w:val="single" w:color="auto"/>
        </w:rPr>
        <w:t>费包含在合同内价内</w:t>
      </w:r>
      <w:r>
        <w:rPr>
          <w:color w:val="auto"/>
          <w:spacing w:val="-1"/>
          <w:highlight w:val="none"/>
          <w:u w:val="single"/>
        </w:rPr>
        <w:t>。</w:t>
      </w:r>
      <w:r>
        <w:rPr>
          <w:rFonts w:hint="eastAsia"/>
          <w:color w:val="auto"/>
          <w:highlight w:val="none"/>
          <w:u w:val="single"/>
        </w:rPr>
        <w:t>对建筑以及材料、构件和建筑安装物进行一般鉴定、检查，以及新结构、新材料的试验费，对构件破坏性试验及其他特殊要求检验试验的，由发包人另行委托具备资质的第三方进行检测，费用由发包人承担。</w:t>
      </w:r>
      <w:r>
        <w:rPr>
          <w:rFonts w:hint="eastAsia" w:eastAsia="宋体"/>
          <w:color w:val="auto"/>
          <w:highlight w:val="none"/>
          <w:u w:val="single"/>
          <w:lang w:val="en-US" w:eastAsia="zh-CN"/>
        </w:rPr>
        <w:t>承包</w:t>
      </w:r>
      <w:r>
        <w:rPr>
          <w:rFonts w:hint="eastAsia"/>
          <w:color w:val="auto"/>
          <w:highlight w:val="none"/>
          <w:u w:val="single"/>
        </w:rPr>
        <w:t>人需承担试验所耗用的材料费用，但对</w:t>
      </w:r>
      <w:r>
        <w:rPr>
          <w:rFonts w:hint="eastAsia" w:eastAsia="宋体"/>
          <w:color w:val="auto"/>
          <w:highlight w:val="none"/>
          <w:u w:val="single"/>
          <w:lang w:val="en-US" w:eastAsia="zh-CN"/>
        </w:rPr>
        <w:t>承包</w:t>
      </w:r>
      <w:r>
        <w:rPr>
          <w:rFonts w:hint="eastAsia"/>
          <w:color w:val="auto"/>
          <w:highlight w:val="none"/>
          <w:u w:val="single"/>
        </w:rPr>
        <w:t>人提供的具有合格证明的材料进行检测不合格的，该检测费用由</w:t>
      </w:r>
      <w:r>
        <w:rPr>
          <w:rFonts w:hint="eastAsia" w:eastAsia="宋体"/>
          <w:color w:val="auto"/>
          <w:highlight w:val="none"/>
          <w:u w:val="single"/>
          <w:lang w:val="en-US" w:eastAsia="zh-CN"/>
        </w:rPr>
        <w:t>承包</w:t>
      </w:r>
      <w:r>
        <w:rPr>
          <w:rFonts w:hint="eastAsia"/>
          <w:color w:val="auto"/>
          <w:highlight w:val="none"/>
          <w:u w:val="single"/>
        </w:rPr>
        <w:t>人支付</w:t>
      </w:r>
      <w:r>
        <w:rPr>
          <w:rFonts w:hint="eastAsia" w:ascii="宋体" w:hAnsi="宋体" w:cs="宋体"/>
          <w:color w:val="auto"/>
          <w:sz w:val="21"/>
          <w:szCs w:val="21"/>
          <w:highlight w:val="none"/>
        </w:rPr>
        <w:t>。</w:t>
      </w:r>
    </w:p>
    <w:p w14:paraId="559743C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2" w:firstLineChars="200"/>
        <w:textAlignment w:val="baseline"/>
        <w:outlineLvl w:val="0"/>
        <w:rPr>
          <w:color w:val="auto"/>
          <w:highlight w:val="none"/>
        </w:rPr>
      </w:pPr>
      <w:bookmarkStart w:id="2189" w:name="_Toc32092"/>
      <w:r>
        <w:rPr>
          <w:b/>
          <w:bCs/>
          <w:color w:val="auto"/>
          <w:spacing w:val="-10"/>
          <w:highlight w:val="none"/>
        </w:rPr>
        <w:t>第</w:t>
      </w:r>
      <w:r>
        <w:rPr>
          <w:color w:val="auto"/>
          <w:spacing w:val="-39"/>
          <w:highlight w:val="none"/>
        </w:rPr>
        <w:t xml:space="preserve"> </w:t>
      </w:r>
      <w:r>
        <w:rPr>
          <w:b/>
          <w:bCs/>
          <w:color w:val="auto"/>
          <w:spacing w:val="-10"/>
          <w:highlight w:val="none"/>
        </w:rPr>
        <w:t>7</w:t>
      </w:r>
      <w:r>
        <w:rPr>
          <w:color w:val="auto"/>
          <w:spacing w:val="-42"/>
          <w:highlight w:val="none"/>
        </w:rPr>
        <w:t xml:space="preserve"> </w:t>
      </w:r>
      <w:r>
        <w:rPr>
          <w:b/>
          <w:bCs/>
          <w:color w:val="auto"/>
          <w:spacing w:val="-10"/>
          <w:highlight w:val="none"/>
        </w:rPr>
        <w:t>条</w:t>
      </w:r>
      <w:r>
        <w:rPr>
          <w:color w:val="auto"/>
          <w:spacing w:val="9"/>
          <w:highlight w:val="none"/>
        </w:rPr>
        <w:t xml:space="preserve"> </w:t>
      </w:r>
      <w:r>
        <w:rPr>
          <w:b/>
          <w:bCs/>
          <w:color w:val="auto"/>
          <w:spacing w:val="-10"/>
          <w:highlight w:val="none"/>
        </w:rPr>
        <w:t>施工</w:t>
      </w:r>
      <w:bookmarkEnd w:id="2189"/>
    </w:p>
    <w:p w14:paraId="75BD7D8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1"/>
        <w:rPr>
          <w:color w:val="auto"/>
          <w:highlight w:val="none"/>
        </w:rPr>
      </w:pPr>
      <w:bookmarkStart w:id="2190" w:name="_Toc11760"/>
      <w:r>
        <w:rPr>
          <w:color w:val="auto"/>
          <w:spacing w:val="-4"/>
          <w:highlight w:val="none"/>
        </w:rPr>
        <w:t>7.1</w:t>
      </w:r>
      <w:r>
        <w:rPr>
          <w:color w:val="auto"/>
          <w:spacing w:val="16"/>
          <w:highlight w:val="none"/>
        </w:rPr>
        <w:t xml:space="preserve"> </w:t>
      </w:r>
      <w:r>
        <w:rPr>
          <w:color w:val="auto"/>
          <w:spacing w:val="-4"/>
          <w:highlight w:val="none"/>
        </w:rPr>
        <w:t>交通运输</w:t>
      </w:r>
      <w:bookmarkEnd w:id="2190"/>
    </w:p>
    <w:p w14:paraId="63AAA6E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2"/>
        <w:rPr>
          <w:color w:val="auto"/>
          <w:highlight w:val="none"/>
        </w:rPr>
      </w:pPr>
      <w:r>
        <w:rPr>
          <w:color w:val="auto"/>
          <w:spacing w:val="-3"/>
          <w:highlight w:val="none"/>
        </w:rPr>
        <w:t>7.1.1</w:t>
      </w:r>
      <w:r>
        <w:rPr>
          <w:color w:val="auto"/>
          <w:spacing w:val="26"/>
          <w:highlight w:val="none"/>
        </w:rPr>
        <w:t xml:space="preserve"> </w:t>
      </w:r>
      <w:r>
        <w:rPr>
          <w:color w:val="auto"/>
          <w:spacing w:val="-3"/>
          <w:highlight w:val="none"/>
        </w:rPr>
        <w:t>出入现场的权利</w:t>
      </w:r>
    </w:p>
    <w:p w14:paraId="07DF9F4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关于出入现场的权利的约定：</w:t>
      </w:r>
      <w:r>
        <w:rPr>
          <w:color w:val="auto"/>
          <w:spacing w:val="-2"/>
          <w:highlight w:val="none"/>
          <w:u w:val="single" w:color="auto"/>
        </w:rPr>
        <w:t xml:space="preserve"> 发包人负责取得出</w:t>
      </w:r>
      <w:r>
        <w:rPr>
          <w:color w:val="auto"/>
          <w:spacing w:val="-3"/>
          <w:highlight w:val="none"/>
          <w:u w:val="single" w:color="auto"/>
        </w:rPr>
        <w:t>入施工现场所需的批准手续和全部权利，以及取得</w:t>
      </w:r>
      <w:r>
        <w:rPr>
          <w:color w:val="auto"/>
          <w:spacing w:val="-1"/>
          <w:highlight w:val="none"/>
          <w:u w:val="single" w:color="auto"/>
        </w:rPr>
        <w:t xml:space="preserve">因施工所需修建道路及其他基础设施的权利并承担相应手续费用和建设费用 </w:t>
      </w:r>
      <w:r>
        <w:rPr>
          <w:color w:val="auto"/>
          <w:spacing w:val="-1"/>
          <w:highlight w:val="none"/>
        </w:rPr>
        <w:t>。</w:t>
      </w:r>
    </w:p>
    <w:p w14:paraId="0C50D9C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7.1.2 场外交通</w:t>
      </w:r>
    </w:p>
    <w:p w14:paraId="73C3DD7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关于场外交通的特别约定：</w:t>
      </w:r>
      <w:r>
        <w:rPr>
          <w:color w:val="auto"/>
          <w:highlight w:val="none"/>
          <w:u w:val="single" w:color="auto"/>
        </w:rPr>
        <w:t xml:space="preserve">            /  </w:t>
      </w:r>
      <w:r>
        <w:rPr>
          <w:color w:val="auto"/>
          <w:spacing w:val="-1"/>
          <w:highlight w:val="none"/>
          <w:u w:val="single" w:color="auto"/>
        </w:rPr>
        <w:t xml:space="preserve">            </w:t>
      </w:r>
      <w:r>
        <w:rPr>
          <w:color w:val="auto"/>
          <w:spacing w:val="-1"/>
          <w:highlight w:val="none"/>
        </w:rPr>
        <w:t>。</w:t>
      </w:r>
    </w:p>
    <w:p w14:paraId="4CDD9EC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7.1.3 场内交通</w:t>
      </w:r>
    </w:p>
    <w:p w14:paraId="214AD93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关于场内交通的特别约定：</w:t>
      </w:r>
      <w:r>
        <w:rPr>
          <w:color w:val="auto"/>
          <w:spacing w:val="-4"/>
          <w:highlight w:val="none"/>
          <w:u w:val="single" w:color="auto"/>
        </w:rPr>
        <w:t xml:space="preserve"> 承包人可利用场内已有道路、通道及交通设施</w:t>
      </w:r>
      <w:r>
        <w:rPr>
          <w:color w:val="auto"/>
          <w:spacing w:val="-5"/>
          <w:highlight w:val="none"/>
          <w:u w:val="single" w:color="auto"/>
        </w:rPr>
        <w:t>，但对其通往施工范围道</w:t>
      </w:r>
      <w:r>
        <w:rPr>
          <w:color w:val="auto"/>
          <w:spacing w:val="-1"/>
          <w:highlight w:val="none"/>
          <w:u w:val="single" w:color="auto"/>
        </w:rPr>
        <w:t xml:space="preserve">路不负责对其的加固、改造、修复、重建等所有费用 </w:t>
      </w:r>
      <w:r>
        <w:rPr>
          <w:color w:val="auto"/>
          <w:spacing w:val="-1"/>
          <w:highlight w:val="none"/>
        </w:rPr>
        <w:t>。</w:t>
      </w:r>
    </w:p>
    <w:p w14:paraId="69837BC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关于场内交通与场外交通边界的约定：</w:t>
      </w:r>
      <w:r>
        <w:rPr>
          <w:color w:val="auto"/>
          <w:highlight w:val="none"/>
          <w:u w:val="single" w:color="auto"/>
        </w:rPr>
        <w:t xml:space="preserve"> 施</w:t>
      </w:r>
      <w:r>
        <w:rPr>
          <w:color w:val="auto"/>
          <w:spacing w:val="-1"/>
          <w:highlight w:val="none"/>
          <w:u w:val="single" w:color="auto"/>
        </w:rPr>
        <w:t xml:space="preserve">工红线范围内为场内交通 </w:t>
      </w:r>
      <w:r>
        <w:rPr>
          <w:color w:val="auto"/>
          <w:spacing w:val="-1"/>
          <w:highlight w:val="none"/>
        </w:rPr>
        <w:t>。</w:t>
      </w:r>
    </w:p>
    <w:p w14:paraId="7D84904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7.1.4 超大件和超重件的运输</w:t>
      </w:r>
    </w:p>
    <w:p w14:paraId="20CC5DB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运输超大件或超重件所需的道路和桥梁临时加固改造费用和其他有关费用由</w:t>
      </w:r>
      <w:r>
        <w:rPr>
          <w:color w:val="auto"/>
          <w:spacing w:val="-1"/>
          <w:highlight w:val="none"/>
          <w:u w:val="single" w:color="auto"/>
        </w:rPr>
        <w:t xml:space="preserve"> 发包人 </w:t>
      </w:r>
      <w:r>
        <w:rPr>
          <w:color w:val="auto"/>
          <w:spacing w:val="-1"/>
          <w:highlight w:val="none"/>
        </w:rPr>
        <w:t>承担。</w:t>
      </w:r>
    </w:p>
    <w:p w14:paraId="2249BA4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1"/>
        <w:rPr>
          <w:color w:val="auto"/>
          <w:highlight w:val="none"/>
        </w:rPr>
      </w:pPr>
      <w:bookmarkStart w:id="2191" w:name="_Toc8329"/>
      <w:r>
        <w:rPr>
          <w:color w:val="auto"/>
          <w:spacing w:val="-1"/>
          <w:highlight w:val="none"/>
        </w:rPr>
        <w:t>7.2 施工设备和临时设施</w:t>
      </w:r>
      <w:bookmarkEnd w:id="2191"/>
    </w:p>
    <w:p w14:paraId="046C90B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7.2.1 承包人提供的施工设备和临时设施</w:t>
      </w:r>
    </w:p>
    <w:p w14:paraId="6FE6370D">
      <w:pPr>
        <w:spacing w:line="360" w:lineRule="auto"/>
        <w:ind w:firstLine="600"/>
        <w:rPr>
          <w:rFonts w:hint="eastAsia" w:ascii="宋体" w:hAnsi="宋体" w:cs="宋体"/>
          <w:color w:val="auto"/>
          <w:sz w:val="21"/>
          <w:szCs w:val="21"/>
          <w:highlight w:val="none"/>
        </w:rPr>
      </w:pPr>
      <w:r>
        <w:rPr>
          <w:color w:val="auto"/>
          <w:spacing w:val="-3"/>
          <w:highlight w:val="none"/>
        </w:rPr>
        <w:t>临时设施的费用和临时占地手续和费用承担的特别约定：</w:t>
      </w:r>
      <w:r>
        <w:rPr>
          <w:color w:val="auto"/>
          <w:spacing w:val="-3"/>
          <w:highlight w:val="none"/>
          <w:u w:val="single" w:color="auto"/>
        </w:rPr>
        <w:t xml:space="preserve"> </w:t>
      </w:r>
      <w:r>
        <w:rPr>
          <w:rFonts w:hint="eastAsia" w:ascii="宋体" w:hAnsi="宋体" w:cs="宋体"/>
          <w:color w:val="auto"/>
          <w:sz w:val="21"/>
          <w:szCs w:val="21"/>
          <w:highlight w:val="none"/>
          <w:u w:val="single"/>
        </w:rPr>
        <w:t xml:space="preserve"> 临时设施费</w:t>
      </w:r>
      <w:r>
        <w:rPr>
          <w:rFonts w:hint="eastAsia" w:ascii="宋体" w:hAnsi="宋体" w:cs="宋体"/>
          <w:color w:val="auto"/>
          <w:sz w:val="21"/>
          <w:szCs w:val="21"/>
          <w:highlight w:val="none"/>
          <w:u w:val="single"/>
          <w:lang w:val="en-US" w:eastAsia="zh-CN"/>
        </w:rPr>
        <w:t>计取给承包人后，</w:t>
      </w:r>
      <w:r>
        <w:rPr>
          <w:rFonts w:hint="eastAsia" w:ascii="宋体" w:hAnsi="宋体" w:cs="宋体"/>
          <w:color w:val="auto"/>
          <w:sz w:val="21"/>
          <w:szCs w:val="21"/>
          <w:highlight w:val="none"/>
          <w:u w:val="single"/>
        </w:rPr>
        <w:t>承包人范围内的临时设施及临时用地费用由</w:t>
      </w:r>
      <w:r>
        <w:rPr>
          <w:rFonts w:hint="eastAsia" w:ascii="宋体" w:hAnsi="宋体" w:cs="宋体"/>
          <w:color w:val="auto"/>
          <w:sz w:val="21"/>
          <w:szCs w:val="21"/>
          <w:highlight w:val="none"/>
          <w:u w:val="single"/>
          <w:lang w:val="en-US" w:eastAsia="zh-CN"/>
        </w:rPr>
        <w:t>承</w:t>
      </w:r>
      <w:r>
        <w:rPr>
          <w:rFonts w:hint="eastAsia" w:ascii="宋体" w:hAnsi="宋体" w:cs="宋体"/>
          <w:color w:val="auto"/>
          <w:sz w:val="21"/>
          <w:szCs w:val="21"/>
          <w:highlight w:val="none"/>
          <w:u w:val="single"/>
        </w:rPr>
        <w:t xml:space="preserve">包人承担，发包人范围内的临时设施及临时用地费用由发包人承担，临时占地手续由使用方自行办理 </w:t>
      </w:r>
      <w:r>
        <w:rPr>
          <w:rFonts w:hint="eastAsia" w:ascii="宋体" w:hAnsi="宋体" w:cs="宋体"/>
          <w:color w:val="auto"/>
          <w:sz w:val="21"/>
          <w:szCs w:val="21"/>
          <w:highlight w:val="none"/>
        </w:rPr>
        <w:t>。</w:t>
      </w:r>
    </w:p>
    <w:p w14:paraId="4124A7C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7.2.2 发包人提供的施工设备和临时设施</w:t>
      </w:r>
    </w:p>
    <w:p w14:paraId="3A8099A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发包人提供的施工设备或临时设施范围：</w:t>
      </w:r>
      <w:r>
        <w:rPr>
          <w:color w:val="auto"/>
          <w:highlight w:val="none"/>
          <w:u w:val="single" w:color="auto"/>
        </w:rPr>
        <w:t xml:space="preserve">    </w:t>
      </w:r>
      <w:r>
        <w:rPr>
          <w:color w:val="auto"/>
          <w:spacing w:val="-1"/>
          <w:highlight w:val="none"/>
          <w:u w:val="single" w:color="auto"/>
        </w:rPr>
        <w:t xml:space="preserve">  /         </w:t>
      </w:r>
      <w:r>
        <w:rPr>
          <w:color w:val="auto"/>
          <w:spacing w:val="-1"/>
          <w:highlight w:val="none"/>
        </w:rPr>
        <w:t>。</w:t>
      </w:r>
    </w:p>
    <w:p w14:paraId="7211374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192" w:name="_Toc12399"/>
      <w:r>
        <w:rPr>
          <w:color w:val="auto"/>
          <w:spacing w:val="-3"/>
          <w:highlight w:val="none"/>
        </w:rPr>
        <w:t>7.3</w:t>
      </w:r>
      <w:r>
        <w:rPr>
          <w:color w:val="auto"/>
          <w:spacing w:val="9"/>
          <w:highlight w:val="none"/>
        </w:rPr>
        <w:t xml:space="preserve"> </w:t>
      </w:r>
      <w:r>
        <w:rPr>
          <w:color w:val="auto"/>
          <w:spacing w:val="-3"/>
          <w:highlight w:val="none"/>
        </w:rPr>
        <w:t>现场合作</w:t>
      </w:r>
      <w:bookmarkEnd w:id="2192"/>
    </w:p>
    <w:p w14:paraId="645A5B2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关于现场合作费用的特别约定：</w:t>
      </w:r>
      <w:r>
        <w:rPr>
          <w:color w:val="auto"/>
          <w:highlight w:val="none"/>
          <w:u w:val="single" w:color="auto"/>
        </w:rPr>
        <w:t xml:space="preserve">          / </w:t>
      </w:r>
      <w:r>
        <w:rPr>
          <w:color w:val="auto"/>
          <w:spacing w:val="-1"/>
          <w:highlight w:val="none"/>
          <w:u w:val="single" w:color="auto"/>
        </w:rPr>
        <w:t xml:space="preserve">            </w:t>
      </w:r>
      <w:r>
        <w:rPr>
          <w:color w:val="auto"/>
          <w:spacing w:val="-1"/>
          <w:highlight w:val="none"/>
        </w:rPr>
        <w:t>。</w:t>
      </w:r>
    </w:p>
    <w:p w14:paraId="1B756A4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color w:val="auto"/>
          <w:highlight w:val="none"/>
        </w:rPr>
      </w:pPr>
      <w:bookmarkStart w:id="2193" w:name="_Toc11164"/>
      <w:r>
        <w:rPr>
          <w:color w:val="auto"/>
          <w:spacing w:val="-2"/>
          <w:highlight w:val="none"/>
        </w:rPr>
        <w:t>7.4 测量放线</w:t>
      </w:r>
      <w:bookmarkEnd w:id="2193"/>
    </w:p>
    <w:p w14:paraId="1F22A68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7.4.1</w:t>
      </w:r>
      <w:r>
        <w:rPr>
          <w:color w:val="auto"/>
          <w:spacing w:val="-39"/>
          <w:highlight w:val="none"/>
        </w:rPr>
        <w:t xml:space="preserve"> </w:t>
      </w:r>
      <w:r>
        <w:rPr>
          <w:color w:val="auto"/>
          <w:spacing w:val="-1"/>
          <w:highlight w:val="none"/>
        </w:rPr>
        <w:t>关于测量放线的特别约定的技术规范：</w:t>
      </w:r>
      <w:r>
        <w:rPr>
          <w:color w:val="auto"/>
          <w:spacing w:val="-43"/>
          <w:highlight w:val="none"/>
          <w:u w:val="single" w:color="auto"/>
        </w:rPr>
        <w:t xml:space="preserve"> </w:t>
      </w:r>
      <w:r>
        <w:rPr>
          <w:color w:val="auto"/>
          <w:spacing w:val="-1"/>
          <w:highlight w:val="none"/>
          <w:u w:val="single" w:color="auto"/>
        </w:rPr>
        <w:t>/</w:t>
      </w:r>
      <w:r>
        <w:rPr>
          <w:color w:val="auto"/>
          <w:spacing w:val="-51"/>
          <w:highlight w:val="none"/>
          <w:u w:val="single" w:color="auto"/>
        </w:rPr>
        <w:t xml:space="preserve"> </w:t>
      </w:r>
      <w:r>
        <w:rPr>
          <w:color w:val="auto"/>
          <w:spacing w:val="-1"/>
          <w:highlight w:val="none"/>
        </w:rPr>
        <w:t>。施工控制网资料的告知期限：</w:t>
      </w:r>
      <w:r>
        <w:rPr>
          <w:color w:val="auto"/>
          <w:spacing w:val="-39"/>
          <w:highlight w:val="none"/>
          <w:u w:val="single" w:color="auto"/>
        </w:rPr>
        <w:t xml:space="preserve"> </w:t>
      </w:r>
      <w:r>
        <w:rPr>
          <w:color w:val="auto"/>
          <w:spacing w:val="-1"/>
          <w:highlight w:val="none"/>
          <w:u w:val="single" w:color="auto"/>
        </w:rPr>
        <w:t xml:space="preserve">发包人通过监理人向承包人提供测量基准点、基准线和水准点及其书面资料的期限为开工前七天内  </w:t>
      </w:r>
      <w:r>
        <w:rPr>
          <w:color w:val="auto"/>
          <w:spacing w:val="-1"/>
          <w:highlight w:val="none"/>
        </w:rPr>
        <w:t>。</w:t>
      </w:r>
    </w:p>
    <w:p w14:paraId="643C33C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color w:val="auto"/>
          <w:highlight w:val="none"/>
        </w:rPr>
      </w:pPr>
      <w:bookmarkStart w:id="2194" w:name="_Toc21412"/>
      <w:r>
        <w:rPr>
          <w:color w:val="auto"/>
          <w:spacing w:val="-2"/>
          <w:highlight w:val="none"/>
        </w:rPr>
        <w:t>7.5 现场劳动用工</w:t>
      </w:r>
      <w:bookmarkEnd w:id="2194"/>
    </w:p>
    <w:p w14:paraId="4DFF76A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7.5.2</w:t>
      </w:r>
      <w:r>
        <w:rPr>
          <w:color w:val="auto"/>
          <w:spacing w:val="-26"/>
          <w:highlight w:val="none"/>
        </w:rPr>
        <w:t xml:space="preserve"> </w:t>
      </w:r>
      <w:r>
        <w:rPr>
          <w:color w:val="auto"/>
          <w:spacing w:val="-1"/>
          <w:highlight w:val="none"/>
        </w:rPr>
        <w:t>合同当事人对建筑工人工资清偿事宜和违约责任的约定：</w:t>
      </w:r>
      <w:r>
        <w:rPr>
          <w:color w:val="auto"/>
          <w:spacing w:val="-41"/>
          <w:highlight w:val="none"/>
          <w:u w:val="single" w:color="auto"/>
        </w:rPr>
        <w:t xml:space="preserve"> </w:t>
      </w:r>
      <w:r>
        <w:rPr>
          <w:color w:val="auto"/>
          <w:spacing w:val="-1"/>
          <w:highlight w:val="none"/>
          <w:u w:val="single" w:color="auto"/>
        </w:rPr>
        <w:t xml:space="preserve">农民工工资管理应按照国家、省、市相关主管部门最新要求执行 </w:t>
      </w:r>
      <w:r>
        <w:rPr>
          <w:color w:val="auto"/>
          <w:spacing w:val="-1"/>
          <w:highlight w:val="none"/>
        </w:rPr>
        <w:t>。</w:t>
      </w:r>
    </w:p>
    <w:p w14:paraId="0E2C0F6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color w:val="auto"/>
          <w:highlight w:val="none"/>
        </w:rPr>
      </w:pPr>
      <w:bookmarkStart w:id="2195" w:name="_Toc82"/>
      <w:r>
        <w:rPr>
          <w:color w:val="auto"/>
          <w:spacing w:val="-2"/>
          <w:highlight w:val="none"/>
        </w:rPr>
        <w:t>7.6 安全文明施工</w:t>
      </w:r>
      <w:bookmarkEnd w:id="2195"/>
    </w:p>
    <w:p w14:paraId="36C4F23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7.6.1 安全生产要求</w:t>
      </w:r>
    </w:p>
    <w:p w14:paraId="5395290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jc w:val="both"/>
        <w:textAlignment w:val="baseline"/>
        <w:rPr>
          <w:color w:val="auto"/>
          <w:highlight w:val="none"/>
        </w:rPr>
      </w:pPr>
      <w:r>
        <w:rPr>
          <w:color w:val="auto"/>
          <w:spacing w:val="-5"/>
          <w:highlight w:val="none"/>
        </w:rPr>
        <w:t>合同当事人对安全施工的要求：</w:t>
      </w:r>
      <w:r>
        <w:rPr>
          <w:color w:val="auto"/>
          <w:spacing w:val="-5"/>
          <w:highlight w:val="none"/>
          <w:u w:val="single" w:color="auto"/>
        </w:rPr>
        <w:t xml:space="preserve"> 承包方应遵</w:t>
      </w:r>
      <w:r>
        <w:rPr>
          <w:color w:val="auto"/>
          <w:spacing w:val="-6"/>
          <w:highlight w:val="none"/>
          <w:u w:val="single" w:color="auto"/>
        </w:rPr>
        <w:t>守执行《中华人民共和国安全生产法》、《建设工程安</w:t>
      </w:r>
      <w:r>
        <w:rPr>
          <w:color w:val="auto"/>
          <w:spacing w:val="-3"/>
          <w:highlight w:val="none"/>
          <w:u w:val="single" w:color="auto"/>
        </w:rPr>
        <w:t>全生产管理条例》、《生产安全事故报告和调查处理条例》等国</w:t>
      </w:r>
      <w:r>
        <w:rPr>
          <w:color w:val="auto"/>
          <w:spacing w:val="-4"/>
          <w:highlight w:val="none"/>
          <w:u w:val="single" w:color="auto"/>
        </w:rPr>
        <w:t>家法律、法规和行业安全标准。并按规定</w:t>
      </w:r>
      <w:r>
        <w:rPr>
          <w:color w:val="auto"/>
          <w:highlight w:val="none"/>
          <w:u w:val="single" w:color="auto"/>
        </w:rPr>
        <w:t>建立健全安全管理责任体系，严格控制分包方安全准入管理，与分</w:t>
      </w:r>
      <w:r>
        <w:rPr>
          <w:color w:val="auto"/>
          <w:spacing w:val="-1"/>
          <w:highlight w:val="none"/>
          <w:u w:val="single" w:color="auto"/>
        </w:rPr>
        <w:t xml:space="preserve">包方签订安全协议 </w:t>
      </w:r>
      <w:r>
        <w:rPr>
          <w:color w:val="auto"/>
          <w:spacing w:val="-1"/>
          <w:highlight w:val="none"/>
        </w:rPr>
        <w:t>。</w:t>
      </w:r>
    </w:p>
    <w:p w14:paraId="4A8DC40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7.6.3 文明施工</w:t>
      </w:r>
    </w:p>
    <w:p w14:paraId="7332246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合同当事人对文明施工的要求：</w:t>
      </w:r>
      <w:r>
        <w:rPr>
          <w:color w:val="auto"/>
          <w:highlight w:val="none"/>
          <w:u w:val="single" w:color="auto"/>
        </w:rPr>
        <w:t xml:space="preserve"> 承包方必须采取一切必要措施和手段强化</w:t>
      </w:r>
      <w:r>
        <w:rPr>
          <w:color w:val="auto"/>
          <w:spacing w:val="-1"/>
          <w:highlight w:val="none"/>
          <w:u w:val="single" w:color="auto"/>
        </w:rPr>
        <w:t>施工安全健康文明管理，</w:t>
      </w:r>
      <w:r>
        <w:rPr>
          <w:color w:val="auto"/>
          <w:highlight w:val="none"/>
          <w:u w:val="single" w:color="auto"/>
        </w:rPr>
        <w:t>努力提高安全健康与文明施工水平，确定严格的安全施工秩序以保证施工人员在施</w:t>
      </w:r>
      <w:r>
        <w:rPr>
          <w:color w:val="auto"/>
          <w:spacing w:val="-1"/>
          <w:highlight w:val="none"/>
          <w:u w:val="single" w:color="auto"/>
        </w:rPr>
        <w:t xml:space="preserve">工中的安全与健康 </w:t>
      </w:r>
      <w:r>
        <w:rPr>
          <w:color w:val="auto"/>
          <w:spacing w:val="-1"/>
          <w:highlight w:val="none"/>
        </w:rPr>
        <w:t>。</w:t>
      </w:r>
    </w:p>
    <w:p w14:paraId="11454FD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1"/>
        <w:rPr>
          <w:color w:val="auto"/>
          <w:highlight w:val="none"/>
        </w:rPr>
      </w:pPr>
      <w:bookmarkStart w:id="2196" w:name="_Toc30626"/>
      <w:r>
        <w:rPr>
          <w:color w:val="auto"/>
          <w:spacing w:val="-4"/>
          <w:highlight w:val="none"/>
        </w:rPr>
        <w:t>7.9</w:t>
      </w:r>
      <w:r>
        <w:rPr>
          <w:color w:val="auto"/>
          <w:spacing w:val="28"/>
          <w:highlight w:val="none"/>
        </w:rPr>
        <w:t xml:space="preserve"> </w:t>
      </w:r>
      <w:r>
        <w:rPr>
          <w:color w:val="auto"/>
          <w:spacing w:val="-4"/>
          <w:highlight w:val="none"/>
        </w:rPr>
        <w:t>临时性公用设施</w:t>
      </w:r>
      <w:bookmarkEnd w:id="2196"/>
    </w:p>
    <w:p w14:paraId="24FE3EA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关于临时性公用设施的特别约定：</w:t>
      </w:r>
      <w:r>
        <w:rPr>
          <w:color w:val="auto"/>
          <w:spacing w:val="-1"/>
          <w:highlight w:val="none"/>
          <w:u w:val="single" w:color="auto"/>
        </w:rPr>
        <w:t xml:space="preserve"> 执行通用合同条款 </w:t>
      </w:r>
      <w:r>
        <w:rPr>
          <w:color w:val="auto"/>
          <w:spacing w:val="-1"/>
          <w:highlight w:val="none"/>
        </w:rPr>
        <w:t>。</w:t>
      </w:r>
    </w:p>
    <w:p w14:paraId="36F0FB0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color w:val="auto"/>
          <w:highlight w:val="none"/>
        </w:rPr>
      </w:pPr>
      <w:bookmarkStart w:id="2197" w:name="_Toc5779"/>
      <w:r>
        <w:rPr>
          <w:color w:val="auto"/>
          <w:spacing w:val="-2"/>
          <w:highlight w:val="none"/>
        </w:rPr>
        <w:t>7.10 现场安保</w:t>
      </w:r>
      <w:bookmarkEnd w:id="2197"/>
    </w:p>
    <w:p w14:paraId="615D987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承包人现场安保义务的特别约定：</w:t>
      </w:r>
      <w:r>
        <w:rPr>
          <w:color w:val="auto"/>
          <w:spacing w:val="-1"/>
          <w:highlight w:val="none"/>
          <w:u w:val="single" w:color="auto"/>
        </w:rPr>
        <w:t xml:space="preserve"> 执行通用合同条款 </w:t>
      </w:r>
      <w:r>
        <w:rPr>
          <w:color w:val="auto"/>
          <w:spacing w:val="-1"/>
          <w:highlight w:val="none"/>
        </w:rPr>
        <w:t>。</w:t>
      </w:r>
    </w:p>
    <w:p w14:paraId="120837A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0"/>
        <w:rPr>
          <w:color w:val="auto"/>
          <w:highlight w:val="none"/>
        </w:rPr>
      </w:pPr>
      <w:bookmarkStart w:id="2198" w:name="_Toc29774"/>
      <w:r>
        <w:rPr>
          <w:color w:val="auto"/>
          <w:spacing w:val="-3"/>
          <w:highlight w:val="none"/>
        </w:rPr>
        <w:t>第</w:t>
      </w:r>
      <w:r>
        <w:rPr>
          <w:color w:val="auto"/>
          <w:spacing w:val="-43"/>
          <w:highlight w:val="none"/>
        </w:rPr>
        <w:t xml:space="preserve"> </w:t>
      </w:r>
      <w:r>
        <w:rPr>
          <w:color w:val="auto"/>
          <w:spacing w:val="-3"/>
          <w:highlight w:val="none"/>
        </w:rPr>
        <w:t>8</w:t>
      </w:r>
      <w:r>
        <w:rPr>
          <w:color w:val="auto"/>
          <w:spacing w:val="-43"/>
          <w:highlight w:val="none"/>
        </w:rPr>
        <w:t xml:space="preserve"> </w:t>
      </w:r>
      <w:r>
        <w:rPr>
          <w:color w:val="auto"/>
          <w:spacing w:val="-3"/>
          <w:highlight w:val="none"/>
        </w:rPr>
        <w:t>条 工期和进度</w:t>
      </w:r>
      <w:bookmarkEnd w:id="2198"/>
    </w:p>
    <w:p w14:paraId="52F1027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1"/>
        <w:rPr>
          <w:color w:val="auto"/>
          <w:highlight w:val="none"/>
        </w:rPr>
      </w:pPr>
      <w:bookmarkStart w:id="2199" w:name="_Toc4067"/>
      <w:r>
        <w:rPr>
          <w:color w:val="auto"/>
          <w:spacing w:val="-1"/>
          <w:highlight w:val="none"/>
        </w:rPr>
        <w:t>8.1 开始工作</w:t>
      </w:r>
      <w:bookmarkEnd w:id="2199"/>
    </w:p>
    <w:p w14:paraId="2BB0A83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8.1.1 开始准备工作：</w:t>
      </w:r>
      <w:r>
        <w:rPr>
          <w:color w:val="auto"/>
          <w:highlight w:val="none"/>
          <w:u w:val="single" w:color="auto"/>
        </w:rPr>
        <w:t xml:space="preserve">    监理人</w:t>
      </w:r>
      <w:r>
        <w:rPr>
          <w:color w:val="auto"/>
          <w:spacing w:val="-1"/>
          <w:highlight w:val="none"/>
          <w:u w:val="single" w:color="auto"/>
        </w:rPr>
        <w:t xml:space="preserve">书面通知为准    </w:t>
      </w:r>
      <w:r>
        <w:rPr>
          <w:color w:val="auto"/>
          <w:spacing w:val="-1"/>
          <w:highlight w:val="none"/>
        </w:rPr>
        <w:t>。</w:t>
      </w:r>
    </w:p>
    <w:p w14:paraId="19DAE11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4" w:firstLineChars="200"/>
        <w:textAlignment w:val="baseline"/>
        <w:rPr>
          <w:rFonts w:hint="eastAsia" w:eastAsia="宋体"/>
          <w:color w:val="auto"/>
          <w:highlight w:val="none"/>
          <w:lang w:eastAsia="zh-CN"/>
        </w:rPr>
      </w:pPr>
      <w:r>
        <w:rPr>
          <w:color w:val="auto"/>
          <w:spacing w:val="1"/>
          <w:highlight w:val="none"/>
        </w:rPr>
        <w:t>8.1.2 发包人可在计划开始工作之日起</w:t>
      </w:r>
      <w:r>
        <w:rPr>
          <w:color w:val="auto"/>
          <w:spacing w:val="-41"/>
          <w:highlight w:val="none"/>
        </w:rPr>
        <w:t xml:space="preserve"> </w:t>
      </w:r>
      <w:r>
        <w:rPr>
          <w:color w:val="auto"/>
          <w:spacing w:val="1"/>
          <w:highlight w:val="none"/>
        </w:rPr>
        <w:t>84 日后发出开始工作通知的特殊情形</w:t>
      </w:r>
      <w:r>
        <w:rPr>
          <w:color w:val="auto"/>
          <w:highlight w:val="none"/>
        </w:rPr>
        <w:t>：</w:t>
      </w:r>
      <w:r>
        <w:rPr>
          <w:color w:val="auto"/>
          <w:highlight w:val="none"/>
          <w:u w:val="single" w:color="auto"/>
        </w:rPr>
        <w:t xml:space="preserve"> 执行通用合同条</w:t>
      </w:r>
      <w:r>
        <w:rPr>
          <w:color w:val="auto"/>
          <w:spacing w:val="-3"/>
          <w:highlight w:val="none"/>
          <w:u w:val="single" w:color="auto"/>
        </w:rPr>
        <w:t xml:space="preserve">款 </w:t>
      </w:r>
      <w:r>
        <w:rPr>
          <w:rFonts w:hint="eastAsia"/>
          <w:color w:val="auto"/>
          <w:spacing w:val="-3"/>
          <w:highlight w:val="none"/>
          <w:u w:val="single" w:color="auto"/>
          <w:lang w:eastAsia="zh-CN"/>
        </w:rPr>
        <w:t>。</w:t>
      </w:r>
    </w:p>
    <w:p w14:paraId="5DCEA1B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1"/>
        <w:rPr>
          <w:color w:val="auto"/>
          <w:highlight w:val="none"/>
        </w:rPr>
      </w:pPr>
      <w:bookmarkStart w:id="2200" w:name="_Toc12678"/>
      <w:r>
        <w:rPr>
          <w:color w:val="auto"/>
          <w:spacing w:val="-1"/>
          <w:highlight w:val="none"/>
        </w:rPr>
        <w:t>8.2 竣工日期</w:t>
      </w:r>
      <w:bookmarkEnd w:id="2200"/>
    </w:p>
    <w:p w14:paraId="6D80E01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竣工日期的约定：</w:t>
      </w:r>
      <w:r>
        <w:rPr>
          <w:color w:val="auto"/>
          <w:spacing w:val="-1"/>
          <w:highlight w:val="none"/>
          <w:u w:val="single" w:color="auto"/>
        </w:rPr>
        <w:t xml:space="preserve">  执行专用条款  </w:t>
      </w:r>
      <w:r>
        <w:rPr>
          <w:color w:val="auto"/>
          <w:spacing w:val="-1"/>
          <w:highlight w:val="none"/>
        </w:rPr>
        <w:t>。</w:t>
      </w:r>
    </w:p>
    <w:p w14:paraId="20557DD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1"/>
        <w:rPr>
          <w:color w:val="auto"/>
          <w:highlight w:val="none"/>
        </w:rPr>
      </w:pPr>
      <w:bookmarkStart w:id="2201" w:name="_Toc30570"/>
      <w:r>
        <w:rPr>
          <w:color w:val="auto"/>
          <w:spacing w:val="-1"/>
          <w:highlight w:val="none"/>
        </w:rPr>
        <w:t>8.3 项目实施计划</w:t>
      </w:r>
      <w:bookmarkEnd w:id="2201"/>
    </w:p>
    <w:p w14:paraId="4803240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8.3.1 项目实施计划的内容</w:t>
      </w:r>
    </w:p>
    <w:p w14:paraId="4013F1E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项目实施计划的内容：</w:t>
      </w:r>
      <w:r>
        <w:rPr>
          <w:color w:val="auto"/>
          <w:spacing w:val="-1"/>
          <w:highlight w:val="none"/>
          <w:u w:val="single" w:color="auto"/>
        </w:rPr>
        <w:t xml:space="preserve">  详见施工组织设计 </w:t>
      </w:r>
      <w:r>
        <w:rPr>
          <w:color w:val="auto"/>
          <w:spacing w:val="-1"/>
          <w:highlight w:val="none"/>
        </w:rPr>
        <w:t>。</w:t>
      </w:r>
    </w:p>
    <w:p w14:paraId="365509A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8.3.2 项目实施计划的提交和修改</w:t>
      </w:r>
    </w:p>
    <w:p w14:paraId="537CE7C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项目实施计划的提交及修改期限：</w:t>
      </w:r>
      <w:r>
        <w:rPr>
          <w:color w:val="auto"/>
          <w:spacing w:val="-2"/>
          <w:highlight w:val="none"/>
          <w:u w:val="single" w:color="auto"/>
        </w:rPr>
        <w:t xml:space="preserve"> 开工后</w:t>
      </w:r>
      <w:r>
        <w:rPr>
          <w:color w:val="auto"/>
          <w:spacing w:val="-29"/>
          <w:highlight w:val="none"/>
          <w:u w:val="single" w:color="auto"/>
        </w:rPr>
        <w:t xml:space="preserve"> </w:t>
      </w:r>
      <w:r>
        <w:rPr>
          <w:color w:val="auto"/>
          <w:spacing w:val="-2"/>
          <w:highlight w:val="none"/>
          <w:u w:val="single" w:color="auto"/>
        </w:rPr>
        <w:t>14</w:t>
      </w:r>
      <w:r>
        <w:rPr>
          <w:color w:val="auto"/>
          <w:spacing w:val="-41"/>
          <w:highlight w:val="none"/>
          <w:u w:val="single" w:color="auto"/>
        </w:rPr>
        <w:t xml:space="preserve"> </w:t>
      </w:r>
      <w:r>
        <w:rPr>
          <w:color w:val="auto"/>
          <w:spacing w:val="-2"/>
          <w:highlight w:val="none"/>
          <w:u w:val="single" w:color="auto"/>
        </w:rPr>
        <w:t xml:space="preserve">天 </w:t>
      </w:r>
      <w:r>
        <w:rPr>
          <w:color w:val="auto"/>
          <w:spacing w:val="-2"/>
          <w:highlight w:val="none"/>
        </w:rPr>
        <w:t>。</w:t>
      </w:r>
    </w:p>
    <w:p w14:paraId="76A8D51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1"/>
        <w:rPr>
          <w:color w:val="auto"/>
          <w:highlight w:val="none"/>
        </w:rPr>
      </w:pPr>
      <w:bookmarkStart w:id="2202" w:name="_Toc19849"/>
      <w:r>
        <w:rPr>
          <w:color w:val="auto"/>
          <w:spacing w:val="-1"/>
          <w:highlight w:val="none"/>
        </w:rPr>
        <w:t>8.4 项目进度计划</w:t>
      </w:r>
      <w:bookmarkEnd w:id="2202"/>
    </w:p>
    <w:p w14:paraId="3705888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8.4.1 工程师在收到进度计划后确认或提出修改意见的期限：</w:t>
      </w:r>
      <w:r>
        <w:rPr>
          <w:color w:val="auto"/>
          <w:highlight w:val="none"/>
          <w:u w:val="single" w:color="auto"/>
        </w:rPr>
        <w:t xml:space="preserve">  收到施工进</w:t>
      </w:r>
      <w:r>
        <w:rPr>
          <w:color w:val="auto"/>
          <w:spacing w:val="-1"/>
          <w:highlight w:val="none"/>
          <w:u w:val="single" w:color="auto"/>
        </w:rPr>
        <w:t xml:space="preserve">度计划后七日内   </w:t>
      </w:r>
      <w:r>
        <w:rPr>
          <w:color w:val="auto"/>
          <w:spacing w:val="-1"/>
          <w:highlight w:val="none"/>
        </w:rPr>
        <w:t>。</w:t>
      </w:r>
    </w:p>
    <w:p w14:paraId="1CADFE4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8.4.2 进度计划的具体要求：</w:t>
      </w:r>
      <w:r>
        <w:rPr>
          <w:color w:val="auto"/>
          <w:spacing w:val="-1"/>
          <w:highlight w:val="none"/>
          <w:u w:val="single" w:color="auto"/>
        </w:rPr>
        <w:t xml:space="preserve">  开工后</w:t>
      </w:r>
      <w:r>
        <w:rPr>
          <w:color w:val="auto"/>
          <w:spacing w:val="-41"/>
          <w:highlight w:val="none"/>
          <w:u w:val="single" w:color="auto"/>
        </w:rPr>
        <w:t xml:space="preserve"> </w:t>
      </w:r>
      <w:r>
        <w:rPr>
          <w:color w:val="auto"/>
          <w:spacing w:val="-1"/>
          <w:highlight w:val="none"/>
          <w:u w:val="single" w:color="auto"/>
        </w:rPr>
        <w:t>28</w:t>
      </w:r>
      <w:r>
        <w:rPr>
          <w:color w:val="auto"/>
          <w:spacing w:val="-41"/>
          <w:highlight w:val="none"/>
          <w:u w:val="single" w:color="auto"/>
        </w:rPr>
        <w:t xml:space="preserve"> </w:t>
      </w:r>
      <w:r>
        <w:rPr>
          <w:color w:val="auto"/>
          <w:spacing w:val="-1"/>
          <w:highlight w:val="none"/>
          <w:u w:val="single" w:color="auto"/>
        </w:rPr>
        <w:t>天内报</w:t>
      </w:r>
      <w:r>
        <w:rPr>
          <w:color w:val="auto"/>
          <w:spacing w:val="-2"/>
          <w:highlight w:val="none"/>
          <w:u w:val="single" w:color="auto"/>
        </w:rPr>
        <w:t xml:space="preserve">送  </w:t>
      </w:r>
      <w:r>
        <w:rPr>
          <w:color w:val="auto"/>
          <w:spacing w:val="-2"/>
          <w:highlight w:val="none"/>
        </w:rPr>
        <w:t>。</w:t>
      </w:r>
    </w:p>
    <w:p w14:paraId="330CE53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关键路径及关键路径变化的确定原则：</w:t>
      </w:r>
      <w:r>
        <w:rPr>
          <w:color w:val="auto"/>
          <w:highlight w:val="none"/>
          <w:u w:val="single" w:color="auto"/>
        </w:rPr>
        <w:t xml:space="preserve">      </w:t>
      </w:r>
      <w:r>
        <w:rPr>
          <w:color w:val="auto"/>
          <w:spacing w:val="-1"/>
          <w:highlight w:val="none"/>
          <w:u w:val="single" w:color="auto"/>
        </w:rPr>
        <w:t xml:space="preserve">  /         </w:t>
      </w:r>
      <w:r>
        <w:rPr>
          <w:color w:val="auto"/>
          <w:spacing w:val="-1"/>
          <w:highlight w:val="none"/>
        </w:rPr>
        <w:t>。</w:t>
      </w:r>
    </w:p>
    <w:p w14:paraId="3554784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4" w:firstLineChars="200"/>
        <w:textAlignment w:val="baseline"/>
        <w:rPr>
          <w:color w:val="auto"/>
          <w:highlight w:val="none"/>
        </w:rPr>
      </w:pPr>
      <w:r>
        <w:rPr>
          <w:color w:val="auto"/>
          <w:spacing w:val="1"/>
          <w:highlight w:val="none"/>
        </w:rPr>
        <w:t>承包人提交项目进度计划的份数和时间：</w:t>
      </w:r>
      <w:r>
        <w:rPr>
          <w:color w:val="auto"/>
          <w:spacing w:val="1"/>
          <w:highlight w:val="none"/>
          <w:u w:val="single" w:color="auto"/>
        </w:rPr>
        <w:t xml:space="preserve"> 5</w:t>
      </w:r>
      <w:r>
        <w:rPr>
          <w:color w:val="auto"/>
          <w:spacing w:val="-44"/>
          <w:highlight w:val="none"/>
          <w:u w:val="single" w:color="auto"/>
        </w:rPr>
        <w:t xml:space="preserve"> </w:t>
      </w:r>
      <w:r>
        <w:rPr>
          <w:color w:val="auto"/>
          <w:spacing w:val="1"/>
          <w:highlight w:val="none"/>
          <w:u w:val="single" w:color="auto"/>
        </w:rPr>
        <w:t>份，</w:t>
      </w:r>
      <w:r>
        <w:rPr>
          <w:color w:val="auto"/>
          <w:highlight w:val="none"/>
          <w:u w:val="single" w:color="auto"/>
        </w:rPr>
        <w:t>开工后28</w:t>
      </w:r>
      <w:r>
        <w:rPr>
          <w:color w:val="auto"/>
          <w:spacing w:val="-40"/>
          <w:highlight w:val="none"/>
          <w:u w:val="single" w:color="auto"/>
        </w:rPr>
        <w:t xml:space="preserve"> </w:t>
      </w:r>
      <w:r>
        <w:rPr>
          <w:color w:val="auto"/>
          <w:highlight w:val="none"/>
          <w:u w:val="single" w:color="auto"/>
        </w:rPr>
        <w:t xml:space="preserve">天内提供 </w:t>
      </w:r>
      <w:r>
        <w:rPr>
          <w:color w:val="auto"/>
          <w:highlight w:val="none"/>
        </w:rPr>
        <w:t>。</w:t>
      </w:r>
    </w:p>
    <w:p w14:paraId="5F5075B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8.4.3 进度计划的修订</w:t>
      </w:r>
    </w:p>
    <w:p w14:paraId="1C231D3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承包人提交修订项目进度计划申请报告的期限：</w:t>
      </w:r>
      <w:r>
        <w:rPr>
          <w:color w:val="auto"/>
          <w:spacing w:val="-3"/>
          <w:highlight w:val="none"/>
          <w:u w:val="single" w:color="auto"/>
        </w:rPr>
        <w:t>5</w:t>
      </w:r>
      <w:r>
        <w:rPr>
          <w:color w:val="auto"/>
          <w:spacing w:val="-29"/>
          <w:highlight w:val="none"/>
          <w:u w:val="single" w:color="auto"/>
        </w:rPr>
        <w:t xml:space="preserve"> </w:t>
      </w:r>
      <w:r>
        <w:rPr>
          <w:color w:val="auto"/>
          <w:spacing w:val="-3"/>
          <w:highlight w:val="none"/>
          <w:u w:val="single" w:color="auto"/>
        </w:rPr>
        <w:t>份，开工后</w:t>
      </w:r>
      <w:r>
        <w:rPr>
          <w:color w:val="auto"/>
          <w:spacing w:val="-39"/>
          <w:highlight w:val="none"/>
          <w:u w:val="single" w:color="auto"/>
        </w:rPr>
        <w:t xml:space="preserve"> </w:t>
      </w:r>
      <w:r>
        <w:rPr>
          <w:color w:val="auto"/>
          <w:spacing w:val="-3"/>
          <w:highlight w:val="none"/>
          <w:u w:val="single" w:color="auto"/>
        </w:rPr>
        <w:t>7 日提供</w:t>
      </w:r>
      <w:r>
        <w:rPr>
          <w:color w:val="auto"/>
          <w:spacing w:val="-3"/>
          <w:highlight w:val="none"/>
        </w:rPr>
        <w:t>。</w:t>
      </w:r>
    </w:p>
    <w:p w14:paraId="027443B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发包人批复修订项目进度计划申请报告的期限：</w:t>
      </w:r>
      <w:r>
        <w:rPr>
          <w:color w:val="auto"/>
          <w:spacing w:val="-1"/>
          <w:highlight w:val="none"/>
          <w:u w:val="single" w:color="auto"/>
        </w:rPr>
        <w:t>承包人提供修订项目进度计划</w:t>
      </w:r>
      <w:r>
        <w:rPr>
          <w:color w:val="auto"/>
          <w:spacing w:val="-40"/>
          <w:highlight w:val="none"/>
          <w:u w:val="single" w:color="auto"/>
        </w:rPr>
        <w:t xml:space="preserve"> </w:t>
      </w:r>
      <w:r>
        <w:rPr>
          <w:color w:val="auto"/>
          <w:spacing w:val="-1"/>
          <w:highlight w:val="none"/>
          <w:u w:val="single" w:color="auto"/>
        </w:rPr>
        <w:t>7</w:t>
      </w:r>
      <w:r>
        <w:rPr>
          <w:color w:val="auto"/>
          <w:spacing w:val="-40"/>
          <w:highlight w:val="none"/>
          <w:u w:val="single" w:color="auto"/>
        </w:rPr>
        <w:t xml:space="preserve"> </w:t>
      </w:r>
      <w:r>
        <w:rPr>
          <w:color w:val="auto"/>
          <w:spacing w:val="-1"/>
          <w:highlight w:val="none"/>
          <w:u w:val="single" w:color="auto"/>
        </w:rPr>
        <w:t>天内</w:t>
      </w:r>
      <w:r>
        <w:rPr>
          <w:color w:val="auto"/>
          <w:spacing w:val="-1"/>
          <w:highlight w:val="none"/>
        </w:rPr>
        <w:t>。</w:t>
      </w:r>
    </w:p>
    <w:p w14:paraId="69064B5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承包人答复发包人提出修订合同计划的期限：</w:t>
      </w:r>
      <w:r>
        <w:rPr>
          <w:color w:val="auto"/>
          <w:spacing w:val="-1"/>
          <w:highlight w:val="none"/>
          <w:u w:val="single" w:color="auto"/>
        </w:rPr>
        <w:t>收到施工进度修订计划后</w:t>
      </w:r>
      <w:r>
        <w:rPr>
          <w:color w:val="auto"/>
          <w:spacing w:val="-40"/>
          <w:highlight w:val="none"/>
          <w:u w:val="single" w:color="auto"/>
        </w:rPr>
        <w:t xml:space="preserve"> </w:t>
      </w:r>
      <w:r>
        <w:rPr>
          <w:color w:val="auto"/>
          <w:spacing w:val="-1"/>
          <w:highlight w:val="none"/>
          <w:u w:val="single" w:color="auto"/>
        </w:rPr>
        <w:t>7</w:t>
      </w:r>
      <w:r>
        <w:rPr>
          <w:color w:val="auto"/>
          <w:spacing w:val="-40"/>
          <w:highlight w:val="none"/>
          <w:u w:val="single" w:color="auto"/>
        </w:rPr>
        <w:t xml:space="preserve"> </w:t>
      </w:r>
      <w:r>
        <w:rPr>
          <w:color w:val="auto"/>
          <w:spacing w:val="-1"/>
          <w:highlight w:val="none"/>
          <w:u w:val="single" w:color="auto"/>
        </w:rPr>
        <w:t>天内</w:t>
      </w:r>
      <w:r>
        <w:rPr>
          <w:color w:val="auto"/>
          <w:spacing w:val="-1"/>
          <w:highlight w:val="none"/>
        </w:rPr>
        <w:t>。</w:t>
      </w:r>
    </w:p>
    <w:p w14:paraId="46260DA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1"/>
        <w:rPr>
          <w:color w:val="auto"/>
          <w:highlight w:val="none"/>
        </w:rPr>
      </w:pPr>
      <w:bookmarkStart w:id="2203" w:name="_Toc6969"/>
      <w:r>
        <w:rPr>
          <w:color w:val="auto"/>
          <w:spacing w:val="-1"/>
          <w:highlight w:val="none"/>
        </w:rPr>
        <w:t>8.5 进度报告</w:t>
      </w:r>
      <w:bookmarkEnd w:id="2203"/>
    </w:p>
    <w:p w14:paraId="6A0E20A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进度报告的具体要求：</w:t>
      </w:r>
      <w:r>
        <w:rPr>
          <w:color w:val="auto"/>
          <w:spacing w:val="-1"/>
          <w:highlight w:val="none"/>
          <w:u w:val="single" w:color="auto"/>
        </w:rPr>
        <w:t xml:space="preserve"> 执行通用合同条款 </w:t>
      </w:r>
      <w:r>
        <w:rPr>
          <w:color w:val="auto"/>
          <w:spacing w:val="-1"/>
          <w:highlight w:val="none"/>
        </w:rPr>
        <w:t>。</w:t>
      </w:r>
    </w:p>
    <w:p w14:paraId="36861E1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204" w:name="_Toc11181"/>
      <w:r>
        <w:rPr>
          <w:color w:val="auto"/>
          <w:spacing w:val="-3"/>
          <w:highlight w:val="none"/>
        </w:rPr>
        <w:t>8.7</w:t>
      </w:r>
      <w:r>
        <w:rPr>
          <w:color w:val="auto"/>
          <w:spacing w:val="13"/>
          <w:highlight w:val="none"/>
        </w:rPr>
        <w:t xml:space="preserve"> </w:t>
      </w:r>
      <w:r>
        <w:rPr>
          <w:color w:val="auto"/>
          <w:spacing w:val="-3"/>
          <w:highlight w:val="none"/>
        </w:rPr>
        <w:t>工期延误</w:t>
      </w:r>
      <w:bookmarkEnd w:id="2204"/>
    </w:p>
    <w:p w14:paraId="424495D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8.7.3 行政审批迟延</w:t>
      </w:r>
    </w:p>
    <w:p w14:paraId="1976C6E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行政审批报送的职责分工：</w:t>
      </w:r>
      <w:r>
        <w:rPr>
          <w:color w:val="auto"/>
          <w:spacing w:val="-1"/>
          <w:highlight w:val="none"/>
          <w:u w:val="single" w:color="auto"/>
        </w:rPr>
        <w:t xml:space="preserve"> 执行通用合同条款 </w:t>
      </w:r>
      <w:r>
        <w:rPr>
          <w:color w:val="auto"/>
          <w:spacing w:val="-1"/>
          <w:highlight w:val="none"/>
        </w:rPr>
        <w:t>。</w:t>
      </w:r>
    </w:p>
    <w:p w14:paraId="1C5D3D7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8.7.4 异常恶劣的气候条件</w:t>
      </w:r>
    </w:p>
    <w:p w14:paraId="1CA13CE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双方约定视为异常恶劣的气候条件的情形：</w:t>
      </w:r>
    </w:p>
    <w:p w14:paraId="7E3D853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u w:val="single" w:color="auto"/>
        </w:rPr>
        <w:t>50年一遇及以上的风、雨、雪、洪水，且对工程进度造成实质性影响，同时需要提供政府气象部门</w:t>
      </w:r>
      <w:r>
        <w:rPr>
          <w:color w:val="auto"/>
          <w:spacing w:val="-1"/>
          <w:highlight w:val="none"/>
          <w:u w:val="single" w:color="auto"/>
        </w:rPr>
        <w:t>的相关证明材料。由于异常恶劣气候的条件导致工期延误的，承包人有权要求发包人延长工期。</w:t>
      </w:r>
    </w:p>
    <w:p w14:paraId="611FD34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205" w:name="_Toc4279"/>
      <w:r>
        <w:rPr>
          <w:color w:val="auto"/>
          <w:spacing w:val="-3"/>
          <w:highlight w:val="none"/>
        </w:rPr>
        <w:t>8.8</w:t>
      </w:r>
      <w:r>
        <w:rPr>
          <w:color w:val="auto"/>
          <w:spacing w:val="13"/>
          <w:highlight w:val="none"/>
        </w:rPr>
        <w:t xml:space="preserve"> </w:t>
      </w:r>
      <w:r>
        <w:rPr>
          <w:color w:val="auto"/>
          <w:spacing w:val="-3"/>
          <w:highlight w:val="none"/>
        </w:rPr>
        <w:t>工期提前</w:t>
      </w:r>
      <w:bookmarkEnd w:id="2205"/>
    </w:p>
    <w:p w14:paraId="7701B81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8.8.2 承包人提前竣工的奖励：</w:t>
      </w:r>
      <w:r>
        <w:rPr>
          <w:color w:val="auto"/>
          <w:highlight w:val="none"/>
          <w:u w:val="single" w:color="auto"/>
        </w:rPr>
        <w:t xml:space="preserve">           /  </w:t>
      </w:r>
      <w:r>
        <w:rPr>
          <w:color w:val="auto"/>
          <w:spacing w:val="-1"/>
          <w:highlight w:val="none"/>
          <w:u w:val="single" w:color="auto"/>
        </w:rPr>
        <w:t xml:space="preserve">          </w:t>
      </w:r>
      <w:r>
        <w:rPr>
          <w:color w:val="auto"/>
          <w:spacing w:val="-1"/>
          <w:highlight w:val="none"/>
        </w:rPr>
        <w:t>。</w:t>
      </w:r>
    </w:p>
    <w:p w14:paraId="45C37E9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0"/>
        <w:rPr>
          <w:color w:val="auto"/>
          <w:highlight w:val="none"/>
        </w:rPr>
      </w:pPr>
      <w:bookmarkStart w:id="2206" w:name="_Toc21916"/>
      <w:r>
        <w:rPr>
          <w:color w:val="auto"/>
          <w:spacing w:val="-4"/>
          <w:highlight w:val="none"/>
        </w:rPr>
        <w:t>第</w:t>
      </w:r>
      <w:r>
        <w:rPr>
          <w:color w:val="auto"/>
          <w:spacing w:val="-23"/>
          <w:highlight w:val="none"/>
        </w:rPr>
        <w:t xml:space="preserve"> </w:t>
      </w:r>
      <w:r>
        <w:rPr>
          <w:color w:val="auto"/>
          <w:spacing w:val="-4"/>
          <w:highlight w:val="none"/>
        </w:rPr>
        <w:t>10</w:t>
      </w:r>
      <w:r>
        <w:rPr>
          <w:color w:val="auto"/>
          <w:spacing w:val="-43"/>
          <w:highlight w:val="none"/>
        </w:rPr>
        <w:t xml:space="preserve"> </w:t>
      </w:r>
      <w:r>
        <w:rPr>
          <w:color w:val="auto"/>
          <w:spacing w:val="-4"/>
          <w:highlight w:val="none"/>
        </w:rPr>
        <w:t>条 验收和工程接收</w:t>
      </w:r>
      <w:bookmarkEnd w:id="2206"/>
    </w:p>
    <w:p w14:paraId="636DB1D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207" w:name="_Toc17744"/>
      <w:r>
        <w:rPr>
          <w:color w:val="auto"/>
          <w:spacing w:val="-3"/>
          <w:highlight w:val="none"/>
        </w:rPr>
        <w:t>10.1 竣工验收</w:t>
      </w:r>
      <w:bookmarkEnd w:id="2207"/>
    </w:p>
    <w:p w14:paraId="3FE0F4D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jc w:val="both"/>
        <w:textAlignment w:val="baseline"/>
        <w:rPr>
          <w:color w:val="auto"/>
          <w:highlight w:val="none"/>
        </w:rPr>
      </w:pPr>
      <w:r>
        <w:rPr>
          <w:color w:val="auto"/>
          <w:spacing w:val="-2"/>
          <w:highlight w:val="none"/>
        </w:rPr>
        <w:t>10.1.2 关于竣工验收程序的约定</w:t>
      </w:r>
      <w:r>
        <w:rPr>
          <w:color w:val="auto"/>
          <w:spacing w:val="-16"/>
          <w:highlight w:val="none"/>
        </w:rPr>
        <w:t>：</w:t>
      </w:r>
      <w:r>
        <w:rPr>
          <w:color w:val="auto"/>
          <w:highlight w:val="none"/>
          <w:u w:val="single" w:color="auto"/>
        </w:rPr>
        <w:t xml:space="preserve"> </w:t>
      </w:r>
      <w:r>
        <w:rPr>
          <w:color w:val="auto"/>
          <w:spacing w:val="-16"/>
          <w:highlight w:val="none"/>
          <w:u w:val="single" w:color="auto"/>
        </w:rPr>
        <w:t>（</w:t>
      </w:r>
      <w:r>
        <w:rPr>
          <w:color w:val="auto"/>
          <w:spacing w:val="-2"/>
          <w:highlight w:val="none"/>
          <w:u w:val="single" w:color="auto"/>
        </w:rPr>
        <w:t>1）承包人向监理人报送竣工验收申请报告，监理人应在收到</w:t>
      </w:r>
      <w:r>
        <w:rPr>
          <w:color w:val="auto"/>
          <w:spacing w:val="1"/>
          <w:highlight w:val="none"/>
          <w:u w:val="single" w:color="auto"/>
        </w:rPr>
        <w:t>竣工验收申请报告后</w:t>
      </w:r>
      <w:r>
        <w:rPr>
          <w:color w:val="auto"/>
          <w:spacing w:val="-27"/>
          <w:highlight w:val="none"/>
          <w:u w:val="single" w:color="auto"/>
        </w:rPr>
        <w:t xml:space="preserve"> </w:t>
      </w:r>
      <w:r>
        <w:rPr>
          <w:color w:val="auto"/>
          <w:spacing w:val="1"/>
          <w:highlight w:val="none"/>
          <w:u w:val="single" w:color="auto"/>
        </w:rPr>
        <w:t>14</w:t>
      </w:r>
      <w:r>
        <w:rPr>
          <w:color w:val="auto"/>
          <w:spacing w:val="-38"/>
          <w:highlight w:val="none"/>
          <w:u w:val="single" w:color="auto"/>
        </w:rPr>
        <w:t xml:space="preserve"> </w:t>
      </w:r>
      <w:r>
        <w:rPr>
          <w:color w:val="auto"/>
          <w:spacing w:val="1"/>
          <w:highlight w:val="none"/>
          <w:u w:val="single" w:color="auto"/>
        </w:rPr>
        <w:t>天内完成审查并报送发包人。监理人审查后认为尚</w:t>
      </w:r>
      <w:r>
        <w:rPr>
          <w:color w:val="auto"/>
          <w:highlight w:val="none"/>
          <w:u w:val="single" w:color="auto"/>
        </w:rPr>
        <w:t>不具备验收条件的，应书面通</w:t>
      </w:r>
      <w:r>
        <w:rPr>
          <w:color w:val="auto"/>
          <w:spacing w:val="-1"/>
          <w:highlight w:val="none"/>
          <w:u w:val="single" w:color="auto"/>
        </w:rPr>
        <w:t>知承包人在竣工验收前承包人还需完成的工作内容，承包人应在完成监理人通知的全部工作内容后，再次</w:t>
      </w:r>
      <w:r>
        <w:rPr>
          <w:color w:val="auto"/>
          <w:spacing w:val="-3"/>
          <w:highlight w:val="none"/>
          <w:u w:val="single" w:color="auto"/>
        </w:rPr>
        <w:t>提交竣工验收申请报告。（2）监理人审查后认为已具备竣工验收条件的，应将竣工验收申请报告提交发包</w:t>
      </w:r>
      <w:r>
        <w:rPr>
          <w:color w:val="auto"/>
          <w:spacing w:val="1"/>
          <w:highlight w:val="none"/>
          <w:u w:val="single" w:color="auto"/>
        </w:rPr>
        <w:t>人，发包人应在收到经监理人审核的竣工验收申请报告后</w:t>
      </w:r>
      <w:r>
        <w:rPr>
          <w:color w:val="auto"/>
          <w:spacing w:val="-40"/>
          <w:highlight w:val="none"/>
          <w:u w:val="single" w:color="auto"/>
        </w:rPr>
        <w:t xml:space="preserve"> </w:t>
      </w:r>
      <w:r>
        <w:rPr>
          <w:color w:val="auto"/>
          <w:spacing w:val="1"/>
          <w:highlight w:val="none"/>
          <w:u w:val="single" w:color="auto"/>
        </w:rPr>
        <w:t>28</w:t>
      </w:r>
      <w:r>
        <w:rPr>
          <w:color w:val="auto"/>
          <w:spacing w:val="-38"/>
          <w:highlight w:val="none"/>
          <w:u w:val="single" w:color="auto"/>
        </w:rPr>
        <w:t xml:space="preserve"> </w:t>
      </w:r>
      <w:r>
        <w:rPr>
          <w:color w:val="auto"/>
          <w:spacing w:val="1"/>
          <w:highlight w:val="none"/>
          <w:u w:val="single" w:color="auto"/>
        </w:rPr>
        <w:t>天内审批完毕并组织发包人、监理人、承包</w:t>
      </w:r>
      <w:r>
        <w:rPr>
          <w:color w:val="auto"/>
          <w:spacing w:val="-1"/>
          <w:highlight w:val="none"/>
          <w:u w:val="single" w:color="auto"/>
        </w:rPr>
        <w:t>人、设计人等相关单位完成竣工验收。（3）竣工</w:t>
      </w:r>
      <w:r>
        <w:rPr>
          <w:color w:val="auto"/>
          <w:spacing w:val="-2"/>
          <w:highlight w:val="none"/>
          <w:u w:val="single" w:color="auto"/>
        </w:rPr>
        <w:t>验收合格的，发包人、应在验收合格后</w:t>
      </w:r>
      <w:r>
        <w:rPr>
          <w:color w:val="auto"/>
          <w:spacing w:val="-27"/>
          <w:highlight w:val="none"/>
          <w:u w:val="single" w:color="auto"/>
        </w:rPr>
        <w:t xml:space="preserve"> </w:t>
      </w:r>
      <w:r>
        <w:rPr>
          <w:color w:val="auto"/>
          <w:spacing w:val="-2"/>
          <w:highlight w:val="none"/>
          <w:u w:val="single" w:color="auto"/>
        </w:rPr>
        <w:t>14</w:t>
      </w:r>
      <w:r>
        <w:rPr>
          <w:color w:val="auto"/>
          <w:spacing w:val="-38"/>
          <w:highlight w:val="none"/>
          <w:u w:val="single" w:color="auto"/>
        </w:rPr>
        <w:t xml:space="preserve"> </w:t>
      </w:r>
      <w:r>
        <w:rPr>
          <w:color w:val="auto"/>
          <w:spacing w:val="-2"/>
          <w:highlight w:val="none"/>
          <w:u w:val="single" w:color="auto"/>
        </w:rPr>
        <w:t>天内向承包人</w:t>
      </w:r>
      <w:r>
        <w:rPr>
          <w:color w:val="auto"/>
          <w:spacing w:val="-3"/>
          <w:highlight w:val="none"/>
          <w:u w:val="single" w:color="auto"/>
        </w:rPr>
        <w:t>签发工程接收证书。（4）竣工验收不合格的，监理人应按照验收意见发出指示，书面要求承包人对不合格</w:t>
      </w:r>
      <w:r>
        <w:rPr>
          <w:color w:val="auto"/>
          <w:spacing w:val="-4"/>
          <w:highlight w:val="none"/>
          <w:u w:val="single" w:color="auto"/>
        </w:rPr>
        <w:t>工程返工、修复或采取其他补救措施，由此</w:t>
      </w:r>
      <w:r>
        <w:rPr>
          <w:color w:val="auto"/>
          <w:spacing w:val="-5"/>
          <w:highlight w:val="none"/>
          <w:u w:val="single" w:color="auto"/>
        </w:rPr>
        <w:t>增加的费用和（或）延误的工期由承包人承担。承包人在完成</w:t>
      </w:r>
      <w:r>
        <w:rPr>
          <w:color w:val="auto"/>
          <w:spacing w:val="-4"/>
          <w:highlight w:val="none"/>
          <w:u w:val="single" w:color="auto"/>
        </w:rPr>
        <w:t>不合格工程的返工、修复或采取其他补救措施后，应重新提交竣工验收申请报告，并按本项约定的程序重</w:t>
      </w:r>
      <w:r>
        <w:rPr>
          <w:color w:val="auto"/>
          <w:spacing w:val="-7"/>
          <w:highlight w:val="none"/>
          <w:u w:val="single" w:color="auto"/>
        </w:rPr>
        <w:t>新进行验收。（5）工程未经验收或验收不合格，发包人、擅自使用的，应在转移占有工程后</w:t>
      </w:r>
      <w:r>
        <w:rPr>
          <w:color w:val="auto"/>
          <w:spacing w:val="-40"/>
          <w:highlight w:val="none"/>
          <w:u w:val="single" w:color="auto"/>
        </w:rPr>
        <w:t xml:space="preserve"> </w:t>
      </w:r>
      <w:r>
        <w:rPr>
          <w:color w:val="auto"/>
          <w:spacing w:val="-7"/>
          <w:highlight w:val="none"/>
          <w:u w:val="single" w:color="auto"/>
        </w:rPr>
        <w:t>7</w:t>
      </w:r>
      <w:r>
        <w:rPr>
          <w:color w:val="auto"/>
          <w:spacing w:val="-40"/>
          <w:highlight w:val="none"/>
          <w:u w:val="single" w:color="auto"/>
        </w:rPr>
        <w:t xml:space="preserve"> </w:t>
      </w:r>
      <w:r>
        <w:rPr>
          <w:color w:val="auto"/>
          <w:spacing w:val="-7"/>
          <w:highlight w:val="none"/>
          <w:u w:val="single" w:color="auto"/>
        </w:rPr>
        <w:t>天内向承包</w:t>
      </w:r>
      <w:r>
        <w:rPr>
          <w:color w:val="auto"/>
          <w:highlight w:val="none"/>
          <w:u w:val="single" w:color="auto"/>
        </w:rPr>
        <w:t>人颁发工程接收证书；发包人逾期不颁发工程接收证书的，自转移占有后第</w:t>
      </w:r>
      <w:r>
        <w:rPr>
          <w:color w:val="auto"/>
          <w:spacing w:val="-27"/>
          <w:highlight w:val="none"/>
          <w:u w:val="single" w:color="auto"/>
        </w:rPr>
        <w:t xml:space="preserve"> </w:t>
      </w:r>
      <w:r>
        <w:rPr>
          <w:color w:val="auto"/>
          <w:spacing w:val="-1"/>
          <w:highlight w:val="none"/>
          <w:u w:val="single" w:color="auto"/>
        </w:rPr>
        <w:t>15</w:t>
      </w:r>
      <w:r>
        <w:rPr>
          <w:color w:val="auto"/>
          <w:spacing w:val="-38"/>
          <w:highlight w:val="none"/>
          <w:u w:val="single" w:color="auto"/>
        </w:rPr>
        <w:t xml:space="preserve"> </w:t>
      </w:r>
      <w:r>
        <w:rPr>
          <w:color w:val="auto"/>
          <w:spacing w:val="-1"/>
          <w:highlight w:val="none"/>
          <w:u w:val="single" w:color="auto"/>
        </w:rPr>
        <w:t>天起视为已颁发工程接收</w:t>
      </w:r>
      <w:r>
        <w:rPr>
          <w:color w:val="auto"/>
          <w:spacing w:val="-3"/>
          <w:highlight w:val="none"/>
          <w:u w:val="single" w:color="auto"/>
        </w:rPr>
        <w:t xml:space="preserve">证书 </w:t>
      </w:r>
      <w:r>
        <w:rPr>
          <w:color w:val="auto"/>
          <w:spacing w:val="-3"/>
          <w:highlight w:val="none"/>
        </w:rPr>
        <w:t>。</w:t>
      </w:r>
    </w:p>
    <w:p w14:paraId="4BE36BF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发包人不按照合同约定组织竣工验收、颁发工程接收证书的违约金的计算方式：</w:t>
      </w:r>
      <w:r>
        <w:rPr>
          <w:color w:val="auto"/>
          <w:highlight w:val="none"/>
          <w:u w:val="single" w:color="auto"/>
        </w:rPr>
        <w:t xml:space="preserve">  执行</w:t>
      </w:r>
      <w:r>
        <w:rPr>
          <w:color w:val="auto"/>
          <w:spacing w:val="-1"/>
          <w:highlight w:val="none"/>
          <w:u w:val="single" w:color="auto"/>
        </w:rPr>
        <w:t>通用合同条</w:t>
      </w:r>
      <w:r>
        <w:rPr>
          <w:color w:val="auto"/>
          <w:spacing w:val="-3"/>
          <w:highlight w:val="none"/>
          <w:u w:val="single" w:color="auto"/>
        </w:rPr>
        <w:t xml:space="preserve">款  </w:t>
      </w:r>
      <w:r>
        <w:rPr>
          <w:color w:val="auto"/>
          <w:spacing w:val="-3"/>
          <w:highlight w:val="none"/>
        </w:rPr>
        <w:t>。</w:t>
      </w:r>
    </w:p>
    <w:p w14:paraId="7F870B3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本款新增</w:t>
      </w:r>
    </w:p>
    <w:p w14:paraId="703F481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10.1.3</w:t>
      </w:r>
      <w:r>
        <w:rPr>
          <w:color w:val="auto"/>
          <w:spacing w:val="-30"/>
          <w:highlight w:val="none"/>
        </w:rPr>
        <w:t xml:space="preserve"> </w:t>
      </w:r>
      <w:r>
        <w:rPr>
          <w:color w:val="auto"/>
          <w:spacing w:val="-2"/>
          <w:highlight w:val="none"/>
        </w:rPr>
        <w:t>竣工资料应满足国家及发包人有关档案验收的规定，所有资料均应有电子文档，竣工结算资料应满足国家要求，并随竣工资料一并提交。</w:t>
      </w:r>
    </w:p>
    <w:p w14:paraId="045D378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1"/>
        <w:rPr>
          <w:color w:val="auto"/>
          <w:highlight w:val="none"/>
        </w:rPr>
      </w:pPr>
      <w:bookmarkStart w:id="2208" w:name="_Toc11192"/>
      <w:r>
        <w:rPr>
          <w:color w:val="auto"/>
          <w:spacing w:val="-4"/>
          <w:highlight w:val="none"/>
        </w:rPr>
        <w:t>10.3</w:t>
      </w:r>
      <w:r>
        <w:rPr>
          <w:color w:val="auto"/>
          <w:spacing w:val="14"/>
          <w:highlight w:val="none"/>
        </w:rPr>
        <w:t xml:space="preserve">   </w:t>
      </w:r>
      <w:r>
        <w:rPr>
          <w:color w:val="auto"/>
          <w:spacing w:val="-4"/>
          <w:highlight w:val="none"/>
        </w:rPr>
        <w:t>工程的接收</w:t>
      </w:r>
      <w:bookmarkEnd w:id="2208"/>
    </w:p>
    <w:p w14:paraId="571A967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10.3.1</w:t>
      </w:r>
      <w:r>
        <w:rPr>
          <w:color w:val="auto"/>
          <w:spacing w:val="-41"/>
          <w:highlight w:val="none"/>
        </w:rPr>
        <w:t xml:space="preserve"> </w:t>
      </w:r>
      <w:r>
        <w:rPr>
          <w:color w:val="auto"/>
          <w:spacing w:val="-1"/>
          <w:highlight w:val="none"/>
        </w:rPr>
        <w:t>工程接收的先后顺序、时间安排和其他要求：</w:t>
      </w:r>
      <w:r>
        <w:rPr>
          <w:color w:val="auto"/>
          <w:spacing w:val="-1"/>
          <w:highlight w:val="none"/>
          <w:u w:val="single" w:color="auto"/>
        </w:rPr>
        <w:t xml:space="preserve"> 执行通用合同条款 </w:t>
      </w:r>
      <w:r>
        <w:rPr>
          <w:color w:val="auto"/>
          <w:spacing w:val="-1"/>
          <w:highlight w:val="none"/>
        </w:rPr>
        <w:t>。</w:t>
      </w:r>
    </w:p>
    <w:p w14:paraId="2A51735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rFonts w:hint="eastAsia" w:eastAsia="宋体"/>
          <w:color w:val="auto"/>
          <w:highlight w:val="none"/>
          <w:lang w:eastAsia="zh-CN"/>
        </w:rPr>
      </w:pPr>
      <w:r>
        <w:rPr>
          <w:color w:val="auto"/>
          <w:spacing w:val="-4"/>
          <w:highlight w:val="none"/>
        </w:rPr>
        <w:t xml:space="preserve">10.3.2 </w:t>
      </w:r>
      <w:r>
        <w:rPr>
          <w:rFonts w:hint="eastAsia"/>
          <w:color w:val="auto"/>
          <w:spacing w:val="-4"/>
          <w:highlight w:val="none"/>
          <w:lang w:eastAsia="zh-CN"/>
        </w:rPr>
        <w:t>接收</w:t>
      </w:r>
      <w:r>
        <w:rPr>
          <w:color w:val="auto"/>
          <w:spacing w:val="-4"/>
          <w:highlight w:val="none"/>
        </w:rPr>
        <w:t>工程时承包人需提交竣工验收资料的类别、内容、份数和提交时间：</w:t>
      </w:r>
      <w:r>
        <w:rPr>
          <w:color w:val="auto"/>
          <w:spacing w:val="-35"/>
          <w:highlight w:val="none"/>
        </w:rPr>
        <w:t xml:space="preserve"> </w:t>
      </w:r>
      <w:r>
        <w:rPr>
          <w:color w:val="auto"/>
          <w:spacing w:val="-4"/>
          <w:highlight w:val="none"/>
          <w:u w:val="single" w:color="auto"/>
        </w:rPr>
        <w:t xml:space="preserve"> 执行通用合同条</w:t>
      </w:r>
      <w:r>
        <w:rPr>
          <w:color w:val="auto"/>
          <w:spacing w:val="-3"/>
          <w:highlight w:val="none"/>
          <w:u w:val="single" w:color="auto"/>
        </w:rPr>
        <w:t xml:space="preserve">款 </w:t>
      </w:r>
      <w:r>
        <w:rPr>
          <w:rFonts w:hint="eastAsia"/>
          <w:color w:val="auto"/>
          <w:spacing w:val="-3"/>
          <w:highlight w:val="none"/>
          <w:u w:val="single" w:color="auto"/>
          <w:lang w:eastAsia="zh-CN"/>
        </w:rPr>
        <w:t>。</w:t>
      </w:r>
    </w:p>
    <w:p w14:paraId="3449129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10.3.3 发包人逾期接收工程的违约责任：</w:t>
      </w:r>
      <w:r>
        <w:rPr>
          <w:color w:val="auto"/>
          <w:spacing w:val="-1"/>
          <w:highlight w:val="none"/>
          <w:u w:val="single" w:color="auto"/>
        </w:rPr>
        <w:t xml:space="preserve"> 执行通用合同条款 </w:t>
      </w:r>
      <w:r>
        <w:rPr>
          <w:color w:val="auto"/>
          <w:spacing w:val="-1"/>
          <w:highlight w:val="none"/>
        </w:rPr>
        <w:t>。</w:t>
      </w:r>
    </w:p>
    <w:p w14:paraId="56CD648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10.3.4 承包人无正当理由不移交工程的违约责任：</w:t>
      </w:r>
      <w:r>
        <w:rPr>
          <w:color w:val="auto"/>
          <w:spacing w:val="-1"/>
          <w:highlight w:val="none"/>
          <w:u w:val="single" w:color="auto"/>
        </w:rPr>
        <w:t xml:space="preserve"> 执行通用合同条款 </w:t>
      </w:r>
      <w:r>
        <w:rPr>
          <w:color w:val="auto"/>
          <w:spacing w:val="-1"/>
          <w:highlight w:val="none"/>
        </w:rPr>
        <w:t>。</w:t>
      </w:r>
    </w:p>
    <w:p w14:paraId="1F2B05A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209" w:name="_Toc17896"/>
      <w:r>
        <w:rPr>
          <w:color w:val="auto"/>
          <w:spacing w:val="-3"/>
          <w:highlight w:val="none"/>
        </w:rPr>
        <w:t>10.4 接收证书</w:t>
      </w:r>
      <w:bookmarkEnd w:id="2209"/>
    </w:p>
    <w:p w14:paraId="73DD901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10.4.1 工程接收证书颁发时间：</w:t>
      </w:r>
      <w:r>
        <w:rPr>
          <w:color w:val="auto"/>
          <w:spacing w:val="-3"/>
          <w:highlight w:val="none"/>
          <w:u w:val="single" w:color="auto"/>
        </w:rPr>
        <w:t xml:space="preserve"> 竣工验收合格后</w:t>
      </w:r>
      <w:r>
        <w:rPr>
          <w:color w:val="auto"/>
          <w:spacing w:val="-34"/>
          <w:highlight w:val="none"/>
          <w:u w:val="single" w:color="auto"/>
        </w:rPr>
        <w:t xml:space="preserve"> </w:t>
      </w:r>
      <w:r>
        <w:rPr>
          <w:color w:val="auto"/>
          <w:spacing w:val="-3"/>
          <w:highlight w:val="none"/>
          <w:u w:val="single" w:color="auto"/>
        </w:rPr>
        <w:t xml:space="preserve">7 日内 </w:t>
      </w:r>
      <w:r>
        <w:rPr>
          <w:color w:val="auto"/>
          <w:spacing w:val="-3"/>
          <w:highlight w:val="none"/>
        </w:rPr>
        <w:t>。</w:t>
      </w:r>
    </w:p>
    <w:p w14:paraId="49A6F7E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210" w:name="_Toc1359"/>
      <w:r>
        <w:rPr>
          <w:color w:val="auto"/>
          <w:spacing w:val="-3"/>
          <w:highlight w:val="none"/>
        </w:rPr>
        <w:t>10.5 竣工退场</w:t>
      </w:r>
      <w:bookmarkEnd w:id="2210"/>
    </w:p>
    <w:p w14:paraId="56074AE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10.5.1 竣工退场的相关约定：</w:t>
      </w:r>
      <w:r>
        <w:rPr>
          <w:color w:val="auto"/>
          <w:spacing w:val="-3"/>
          <w:highlight w:val="none"/>
          <w:u w:val="single" w:color="auto"/>
        </w:rPr>
        <w:t xml:space="preserve"> 工程移交后</w:t>
      </w:r>
      <w:r>
        <w:rPr>
          <w:color w:val="auto"/>
          <w:spacing w:val="-40"/>
          <w:highlight w:val="none"/>
          <w:u w:val="single" w:color="auto"/>
        </w:rPr>
        <w:t xml:space="preserve"> </w:t>
      </w:r>
      <w:r>
        <w:rPr>
          <w:color w:val="auto"/>
          <w:spacing w:val="-3"/>
          <w:highlight w:val="none"/>
          <w:u w:val="single" w:color="auto"/>
        </w:rPr>
        <w:t xml:space="preserve">30 日内 </w:t>
      </w:r>
      <w:r>
        <w:rPr>
          <w:color w:val="auto"/>
          <w:spacing w:val="-3"/>
          <w:highlight w:val="none"/>
        </w:rPr>
        <w:t>。</w:t>
      </w:r>
    </w:p>
    <w:p w14:paraId="09CFCEE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10.5.3</w:t>
      </w:r>
      <w:r>
        <w:rPr>
          <w:color w:val="auto"/>
          <w:spacing w:val="-35"/>
          <w:highlight w:val="none"/>
        </w:rPr>
        <w:t xml:space="preserve"> </w:t>
      </w:r>
      <w:r>
        <w:rPr>
          <w:color w:val="auto"/>
          <w:spacing w:val="-4"/>
          <w:highlight w:val="none"/>
        </w:rPr>
        <w:t>人员撤离</w:t>
      </w:r>
    </w:p>
    <w:p w14:paraId="6C4DE834">
      <w:pPr>
        <w:pStyle w:val="9"/>
        <w:pageBreakBefore w:val="0"/>
        <w:widowControl/>
        <w:kinsoku w:val="0"/>
        <w:wordWrap/>
        <w:overflowPunct/>
        <w:topLinePunct/>
        <w:autoSpaceDE w:val="0"/>
        <w:autoSpaceDN w:val="0"/>
        <w:bidi w:val="0"/>
        <w:adjustRightInd w:val="0"/>
        <w:snapToGrid w:val="0"/>
        <w:spacing w:line="360" w:lineRule="auto"/>
        <w:ind w:right="0" w:rightChars="0" w:firstLine="416" w:firstLineChars="200"/>
        <w:textAlignment w:val="baseline"/>
        <w:rPr>
          <w:color w:val="auto"/>
          <w:spacing w:val="-1"/>
          <w:highlight w:val="none"/>
        </w:rPr>
      </w:pPr>
      <w:r>
        <w:rPr>
          <w:color w:val="auto"/>
          <w:spacing w:val="-1"/>
          <w:highlight w:val="none"/>
        </w:rPr>
        <w:t>工程师同意需在缺陷责任期内继续工作和使用的人员 、 施工设备和临时工程的内容：</w:t>
      </w:r>
      <w:r>
        <w:rPr>
          <w:rFonts w:hint="eastAsia"/>
          <w:color w:val="auto"/>
          <w:spacing w:val="-1"/>
          <w:highlight w:val="none"/>
          <w:u w:val="single"/>
          <w:lang w:val="en-US" w:eastAsia="zh-CN"/>
        </w:rPr>
        <w:t xml:space="preserve">  /  </w:t>
      </w:r>
      <w:r>
        <w:rPr>
          <w:color w:val="auto"/>
          <w:spacing w:val="-1"/>
          <w:highlight w:val="none"/>
        </w:rPr>
        <w:t>。</w:t>
      </w:r>
    </w:p>
    <w:p w14:paraId="1E8367E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0"/>
        <w:rPr>
          <w:color w:val="auto"/>
          <w:highlight w:val="none"/>
        </w:rPr>
      </w:pPr>
      <w:bookmarkStart w:id="2211" w:name="_Toc31393"/>
      <w:r>
        <w:rPr>
          <w:color w:val="auto"/>
          <w:spacing w:val="-4"/>
          <w:highlight w:val="none"/>
        </w:rPr>
        <w:t>第</w:t>
      </w:r>
      <w:r>
        <w:rPr>
          <w:color w:val="auto"/>
          <w:spacing w:val="-23"/>
          <w:highlight w:val="none"/>
        </w:rPr>
        <w:t xml:space="preserve"> </w:t>
      </w:r>
      <w:r>
        <w:rPr>
          <w:color w:val="auto"/>
          <w:spacing w:val="-4"/>
          <w:highlight w:val="none"/>
        </w:rPr>
        <w:t>11</w:t>
      </w:r>
      <w:r>
        <w:rPr>
          <w:color w:val="auto"/>
          <w:spacing w:val="-43"/>
          <w:highlight w:val="none"/>
        </w:rPr>
        <w:t xml:space="preserve"> </w:t>
      </w:r>
      <w:r>
        <w:rPr>
          <w:color w:val="auto"/>
          <w:spacing w:val="-4"/>
          <w:highlight w:val="none"/>
        </w:rPr>
        <w:t>条 缺陷责任与保修</w:t>
      </w:r>
      <w:bookmarkEnd w:id="2211"/>
    </w:p>
    <w:p w14:paraId="598964B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212" w:name="_Toc10186"/>
      <w:r>
        <w:rPr>
          <w:color w:val="auto"/>
          <w:spacing w:val="-3"/>
          <w:highlight w:val="none"/>
        </w:rPr>
        <w:t>11.2 缺陷责任期</w:t>
      </w:r>
      <w:bookmarkEnd w:id="2212"/>
    </w:p>
    <w:p w14:paraId="6B24DB1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缺陷责任期的期限：</w:t>
      </w:r>
      <w:r>
        <w:rPr>
          <w:color w:val="auto"/>
          <w:spacing w:val="-1"/>
          <w:highlight w:val="none"/>
          <w:u w:val="single" w:color="auto"/>
        </w:rPr>
        <w:t xml:space="preserve">   12</w:t>
      </w:r>
      <w:r>
        <w:rPr>
          <w:color w:val="auto"/>
          <w:spacing w:val="-32"/>
          <w:highlight w:val="none"/>
          <w:u w:val="single" w:color="auto"/>
        </w:rPr>
        <w:t xml:space="preserve"> </w:t>
      </w:r>
      <w:r>
        <w:rPr>
          <w:color w:val="auto"/>
          <w:spacing w:val="-1"/>
          <w:highlight w:val="none"/>
          <w:u w:val="single" w:color="auto"/>
        </w:rPr>
        <w:t xml:space="preserve">个月（竣工验收合格之日起）  </w:t>
      </w:r>
      <w:r>
        <w:rPr>
          <w:color w:val="auto"/>
          <w:spacing w:val="-1"/>
          <w:highlight w:val="none"/>
        </w:rPr>
        <w:t>。</w:t>
      </w:r>
    </w:p>
    <w:p w14:paraId="16080E8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213" w:name="_Toc16869"/>
      <w:r>
        <w:rPr>
          <w:color w:val="auto"/>
          <w:spacing w:val="-3"/>
          <w:highlight w:val="none"/>
        </w:rPr>
        <w:t>11.3 缺陷调查</w:t>
      </w:r>
      <w:bookmarkEnd w:id="2213"/>
    </w:p>
    <w:p w14:paraId="54AE934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11.3.4 修复通知</w:t>
      </w:r>
    </w:p>
    <w:p w14:paraId="5140EB9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承包人收到保修通知并到达工程现场的合理时间：</w:t>
      </w:r>
      <w:r>
        <w:rPr>
          <w:color w:val="auto"/>
          <w:spacing w:val="-4"/>
          <w:highlight w:val="none"/>
          <w:u w:val="single" w:color="auto"/>
        </w:rPr>
        <w:t xml:space="preserve"> 承包人收到书面通知后的</w:t>
      </w:r>
      <w:r>
        <w:rPr>
          <w:color w:val="auto"/>
          <w:spacing w:val="-32"/>
          <w:highlight w:val="none"/>
          <w:u w:val="single" w:color="auto"/>
        </w:rPr>
        <w:t xml:space="preserve"> </w:t>
      </w:r>
      <w:r>
        <w:rPr>
          <w:color w:val="auto"/>
          <w:spacing w:val="-4"/>
          <w:highlight w:val="none"/>
          <w:u w:val="single" w:color="auto"/>
        </w:rPr>
        <w:t>5 日内到达现场，并在</w:t>
      </w:r>
      <w:r>
        <w:rPr>
          <w:color w:val="auto"/>
          <w:spacing w:val="-1"/>
          <w:highlight w:val="none"/>
          <w:u w:val="single" w:color="auto"/>
        </w:rPr>
        <w:t xml:space="preserve">约定的时间内安排维修人员到场维修，达到合格标准 </w:t>
      </w:r>
      <w:r>
        <w:rPr>
          <w:color w:val="auto"/>
          <w:spacing w:val="-1"/>
          <w:highlight w:val="none"/>
        </w:rPr>
        <w:t>。</w:t>
      </w:r>
    </w:p>
    <w:p w14:paraId="42387A4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color w:val="auto"/>
          <w:highlight w:val="none"/>
        </w:rPr>
      </w:pPr>
      <w:bookmarkStart w:id="2214" w:name="_Toc29694"/>
      <w:r>
        <w:rPr>
          <w:color w:val="auto"/>
          <w:spacing w:val="-2"/>
          <w:highlight w:val="none"/>
        </w:rPr>
        <w:t>11.6 缺陷责任期终止证书</w:t>
      </w:r>
      <w:bookmarkEnd w:id="2214"/>
    </w:p>
    <w:p w14:paraId="16B421E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承包人应于缺陷责任期届满后</w:t>
      </w:r>
      <w:r>
        <w:rPr>
          <w:color w:val="auto"/>
          <w:spacing w:val="-40"/>
          <w:highlight w:val="none"/>
          <w:u w:val="single" w:color="auto"/>
        </w:rPr>
        <w:t xml:space="preserve"> </w:t>
      </w:r>
      <w:r>
        <w:rPr>
          <w:color w:val="auto"/>
          <w:spacing w:val="-3"/>
          <w:highlight w:val="none"/>
          <w:u w:val="single" w:color="auto"/>
        </w:rPr>
        <w:t>28</w:t>
      </w:r>
      <w:r>
        <w:rPr>
          <w:color w:val="auto"/>
          <w:spacing w:val="-40"/>
          <w:highlight w:val="none"/>
          <w:u w:val="single" w:color="auto"/>
        </w:rPr>
        <w:t xml:space="preserve"> </w:t>
      </w:r>
      <w:r>
        <w:rPr>
          <w:color w:val="auto"/>
          <w:spacing w:val="-3"/>
          <w:highlight w:val="none"/>
        </w:rPr>
        <w:t>天内向发包人发出缺陷责任期届满通知，发包人应在收到缺陷责任</w:t>
      </w:r>
      <w:r>
        <w:rPr>
          <w:color w:val="auto"/>
          <w:spacing w:val="-1"/>
          <w:highlight w:val="none"/>
        </w:rPr>
        <w:t>期满通知后</w:t>
      </w:r>
      <w:r>
        <w:rPr>
          <w:color w:val="auto"/>
          <w:spacing w:val="-40"/>
          <w:highlight w:val="none"/>
          <w:u w:val="single" w:color="auto"/>
        </w:rPr>
        <w:t xml:space="preserve"> </w:t>
      </w:r>
      <w:r>
        <w:rPr>
          <w:color w:val="auto"/>
          <w:spacing w:val="-1"/>
          <w:highlight w:val="none"/>
          <w:u w:val="single" w:color="auto"/>
        </w:rPr>
        <w:t>7</w:t>
      </w:r>
      <w:r>
        <w:rPr>
          <w:color w:val="auto"/>
          <w:spacing w:val="-40"/>
          <w:highlight w:val="none"/>
          <w:u w:val="single" w:color="auto"/>
        </w:rPr>
        <w:t xml:space="preserve"> </w:t>
      </w:r>
      <w:r>
        <w:rPr>
          <w:color w:val="auto"/>
          <w:spacing w:val="-1"/>
          <w:highlight w:val="none"/>
        </w:rPr>
        <w:t>天内核实承包人是否履行缺陷修复义务，承包人未能履行缺陷修复</w:t>
      </w:r>
      <w:r>
        <w:rPr>
          <w:color w:val="auto"/>
          <w:spacing w:val="-2"/>
          <w:highlight w:val="none"/>
        </w:rPr>
        <w:t>义务的，发包人有权扣除</w:t>
      </w:r>
      <w:r>
        <w:rPr>
          <w:color w:val="auto"/>
          <w:spacing w:val="-1"/>
          <w:highlight w:val="none"/>
        </w:rPr>
        <w:t>相应金额的维修费用。发包人应在收到缺陷责任期届满通知后</w:t>
      </w:r>
      <w:r>
        <w:rPr>
          <w:color w:val="auto"/>
          <w:spacing w:val="-1"/>
          <w:highlight w:val="none"/>
          <w:u w:val="single" w:color="auto"/>
        </w:rPr>
        <w:t xml:space="preserve"> 14 </w:t>
      </w:r>
      <w:r>
        <w:rPr>
          <w:color w:val="auto"/>
          <w:spacing w:val="-1"/>
          <w:highlight w:val="none"/>
        </w:rPr>
        <w:t>天内，向承包人颁发缺陷责任期终止证</w:t>
      </w:r>
      <w:r>
        <w:rPr>
          <w:color w:val="auto"/>
          <w:spacing w:val="-10"/>
          <w:highlight w:val="none"/>
        </w:rPr>
        <w:t>书。</w:t>
      </w:r>
    </w:p>
    <w:p w14:paraId="79C7046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r>
        <w:rPr>
          <w:color w:val="auto"/>
          <w:spacing w:val="-3"/>
          <w:highlight w:val="none"/>
        </w:rPr>
        <w:t>11.7 保修责任</w:t>
      </w:r>
    </w:p>
    <w:p w14:paraId="3D12CF4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工程质量保修范围、期限和责任为：</w:t>
      </w:r>
      <w:r>
        <w:rPr>
          <w:color w:val="auto"/>
          <w:spacing w:val="-1"/>
          <w:highlight w:val="none"/>
          <w:u w:val="single" w:color="auto"/>
        </w:rPr>
        <w:t xml:space="preserve">详见工程质量保修书  </w:t>
      </w:r>
      <w:r>
        <w:rPr>
          <w:color w:val="auto"/>
          <w:spacing w:val="-1"/>
          <w:highlight w:val="none"/>
        </w:rPr>
        <w:t>。</w:t>
      </w:r>
    </w:p>
    <w:p w14:paraId="75F2ACD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outlineLvl w:val="0"/>
        <w:rPr>
          <w:color w:val="auto"/>
          <w:highlight w:val="none"/>
        </w:rPr>
      </w:pPr>
      <w:bookmarkStart w:id="2215" w:name="_Toc25405"/>
      <w:r>
        <w:rPr>
          <w:color w:val="auto"/>
          <w:spacing w:val="-5"/>
          <w:highlight w:val="none"/>
        </w:rPr>
        <w:t>第</w:t>
      </w:r>
      <w:r>
        <w:rPr>
          <w:color w:val="auto"/>
          <w:spacing w:val="-20"/>
          <w:highlight w:val="none"/>
        </w:rPr>
        <w:t xml:space="preserve"> </w:t>
      </w:r>
      <w:r>
        <w:rPr>
          <w:color w:val="auto"/>
          <w:spacing w:val="-5"/>
          <w:highlight w:val="none"/>
        </w:rPr>
        <w:t>13</w:t>
      </w:r>
      <w:r>
        <w:rPr>
          <w:color w:val="auto"/>
          <w:spacing w:val="-43"/>
          <w:highlight w:val="none"/>
        </w:rPr>
        <w:t xml:space="preserve"> </w:t>
      </w:r>
      <w:r>
        <w:rPr>
          <w:color w:val="auto"/>
          <w:spacing w:val="-5"/>
          <w:highlight w:val="none"/>
        </w:rPr>
        <w:t>条 变更与调整</w:t>
      </w:r>
      <w:bookmarkEnd w:id="2215"/>
    </w:p>
    <w:p w14:paraId="4ED839C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color w:val="auto"/>
          <w:highlight w:val="none"/>
        </w:rPr>
      </w:pPr>
      <w:bookmarkStart w:id="2216" w:name="_Toc28913"/>
      <w:r>
        <w:rPr>
          <w:color w:val="auto"/>
          <w:spacing w:val="-2"/>
          <w:highlight w:val="none"/>
        </w:rPr>
        <w:t>13.2 承包人的合理化建议</w:t>
      </w:r>
      <w:bookmarkEnd w:id="2216"/>
    </w:p>
    <w:p w14:paraId="0B0026B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rFonts w:hint="eastAsia" w:eastAsia="宋体"/>
          <w:color w:val="auto"/>
          <w:highlight w:val="none"/>
          <w:lang w:eastAsia="zh-CN"/>
        </w:rPr>
      </w:pPr>
      <w:r>
        <w:rPr>
          <w:color w:val="auto"/>
          <w:spacing w:val="-1"/>
          <w:highlight w:val="none"/>
        </w:rPr>
        <w:t>13.2.2 工程师应在收到承包人提交的合理化建议后</w:t>
      </w:r>
      <w:r>
        <w:rPr>
          <w:color w:val="auto"/>
          <w:spacing w:val="-1"/>
          <w:highlight w:val="none"/>
          <w:u w:val="single" w:color="auto"/>
        </w:rPr>
        <w:t xml:space="preserve">  7  </w:t>
      </w:r>
      <w:r>
        <w:rPr>
          <w:color w:val="auto"/>
          <w:spacing w:val="-61"/>
          <w:highlight w:val="none"/>
        </w:rPr>
        <w:t xml:space="preserve"> </w:t>
      </w:r>
      <w:r>
        <w:rPr>
          <w:color w:val="auto"/>
          <w:spacing w:val="-1"/>
          <w:highlight w:val="none"/>
        </w:rPr>
        <w:t>日内审查完</w:t>
      </w:r>
      <w:r>
        <w:rPr>
          <w:color w:val="auto"/>
          <w:spacing w:val="-2"/>
          <w:highlight w:val="none"/>
        </w:rPr>
        <w:t>毕并报送发包人，发现其中存</w:t>
      </w:r>
      <w:r>
        <w:rPr>
          <w:color w:val="auto"/>
          <w:highlight w:val="none"/>
        </w:rPr>
        <w:t>在技术上的缺陷，应通知承包人修改。发包人应在收到工程师报送的合理化建议后</w:t>
      </w:r>
      <w:r>
        <w:rPr>
          <w:color w:val="auto"/>
          <w:highlight w:val="none"/>
          <w:u w:val="single" w:color="auto"/>
        </w:rPr>
        <w:t xml:space="preserve">  7  </w:t>
      </w:r>
      <w:r>
        <w:rPr>
          <w:color w:val="auto"/>
          <w:spacing w:val="-61"/>
          <w:highlight w:val="none"/>
        </w:rPr>
        <w:t xml:space="preserve"> </w:t>
      </w:r>
      <w:r>
        <w:rPr>
          <w:color w:val="auto"/>
          <w:highlight w:val="none"/>
        </w:rPr>
        <w:t>日内审批完毕。</w:t>
      </w:r>
      <w:r>
        <w:rPr>
          <w:color w:val="auto"/>
          <w:spacing w:val="-1"/>
          <w:highlight w:val="none"/>
        </w:rPr>
        <w:t>合理化建议经发包人批准的，工程师应及时发出变更指示，由此引起的合同价格调整按照</w:t>
      </w:r>
      <w:r>
        <w:rPr>
          <w:color w:val="auto"/>
          <w:spacing w:val="-1"/>
          <w:highlight w:val="none"/>
          <w:u w:val="single" w:color="auto"/>
        </w:rPr>
        <w:t xml:space="preserve">  项目所在地最</w:t>
      </w:r>
      <w:r>
        <w:rPr>
          <w:color w:val="auto"/>
          <w:highlight w:val="none"/>
          <w:u w:val="single" w:color="auto"/>
        </w:rPr>
        <w:t xml:space="preserve">新省定额及相关配套文件 </w:t>
      </w:r>
      <w:r>
        <w:rPr>
          <w:color w:val="auto"/>
          <w:highlight w:val="none"/>
        </w:rPr>
        <w:t>执行。发包人不同意变更的，工程</w:t>
      </w:r>
      <w:r>
        <w:rPr>
          <w:color w:val="auto"/>
          <w:spacing w:val="-1"/>
          <w:highlight w:val="none"/>
        </w:rPr>
        <w:t>师应书面通知承包人</w:t>
      </w:r>
      <w:r>
        <w:rPr>
          <w:rFonts w:hint="eastAsia"/>
          <w:color w:val="auto"/>
          <w:spacing w:val="-1"/>
          <w:highlight w:val="none"/>
          <w:lang w:eastAsia="zh-CN"/>
        </w:rPr>
        <w:t>。</w:t>
      </w:r>
    </w:p>
    <w:p w14:paraId="5D3FCEE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13.2.3 承包人提出的合理化变更建议的利益分享约定：</w:t>
      </w:r>
      <w:r>
        <w:rPr>
          <w:color w:val="auto"/>
          <w:spacing w:val="-1"/>
          <w:highlight w:val="none"/>
          <w:u w:val="single" w:color="auto"/>
        </w:rPr>
        <w:t xml:space="preserve">   /   </w:t>
      </w:r>
      <w:r>
        <w:rPr>
          <w:color w:val="auto"/>
          <w:spacing w:val="-1"/>
          <w:highlight w:val="none"/>
        </w:rPr>
        <w:t>。</w:t>
      </w:r>
    </w:p>
    <w:p w14:paraId="3C0153B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217" w:name="_Toc31211"/>
      <w:r>
        <w:rPr>
          <w:color w:val="auto"/>
          <w:spacing w:val="-3"/>
          <w:highlight w:val="none"/>
        </w:rPr>
        <w:t>13.3 变更程序</w:t>
      </w:r>
      <w:bookmarkEnd w:id="2217"/>
    </w:p>
    <w:p w14:paraId="38E410E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13.3.3 变更估价</w:t>
      </w:r>
    </w:p>
    <w:p w14:paraId="542EE3C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outlineLvl w:val="3"/>
        <w:rPr>
          <w:color w:val="auto"/>
          <w:highlight w:val="none"/>
        </w:rPr>
      </w:pPr>
      <w:r>
        <w:rPr>
          <w:color w:val="auto"/>
          <w:highlight w:val="none"/>
        </w:rPr>
        <w:fldChar w:fldCharType="begin"/>
      </w:r>
      <w:r>
        <w:rPr>
          <w:color w:val="auto"/>
          <w:highlight w:val="none"/>
        </w:rPr>
        <w:instrText xml:space="preserve"> HYPERLINK "13.3.3.1" </w:instrText>
      </w:r>
      <w:r>
        <w:rPr>
          <w:color w:val="auto"/>
          <w:highlight w:val="none"/>
        </w:rPr>
        <w:fldChar w:fldCharType="separate"/>
      </w:r>
      <w:r>
        <w:rPr>
          <w:color w:val="auto"/>
          <w:spacing w:val="-2"/>
          <w:highlight w:val="none"/>
        </w:rPr>
        <w:t>13.3.3.1</w:t>
      </w:r>
      <w:r>
        <w:rPr>
          <w:color w:val="auto"/>
          <w:spacing w:val="-2"/>
          <w:highlight w:val="none"/>
        </w:rPr>
        <w:fldChar w:fldCharType="end"/>
      </w:r>
      <w:r>
        <w:rPr>
          <w:color w:val="auto"/>
          <w:spacing w:val="-2"/>
          <w:highlight w:val="none"/>
        </w:rPr>
        <w:t xml:space="preserve"> 变更估价原则</w:t>
      </w:r>
    </w:p>
    <w:p w14:paraId="73F7C0E3">
      <w:pPr>
        <w:pStyle w:val="9"/>
        <w:pageBreakBefore w:val="0"/>
        <w:widowControl/>
        <w:kinsoku w:val="0"/>
        <w:wordWrap/>
        <w:overflowPunct/>
        <w:topLinePunct/>
        <w:autoSpaceDE w:val="0"/>
        <w:autoSpaceDN w:val="0"/>
        <w:bidi w:val="0"/>
        <w:adjustRightInd w:val="0"/>
        <w:snapToGrid w:val="0"/>
        <w:spacing w:line="360" w:lineRule="auto"/>
        <w:ind w:right="0" w:rightChars="0"/>
        <w:textAlignment w:val="baseline"/>
        <w:rPr>
          <w:color w:val="auto"/>
          <w:highlight w:val="none"/>
        </w:rPr>
      </w:pPr>
      <w:r>
        <w:rPr>
          <w:color w:val="auto"/>
          <w:spacing w:val="-9"/>
          <w:highlight w:val="none"/>
        </w:rPr>
        <w:t>关于变更估价原则的约定：</w:t>
      </w:r>
      <w:r>
        <w:rPr>
          <w:color w:val="auto"/>
          <w:spacing w:val="-9"/>
          <w:highlight w:val="none"/>
          <w:u w:val="single" w:color="auto"/>
        </w:rPr>
        <w:t>按辽宁省</w:t>
      </w:r>
      <w:r>
        <w:rPr>
          <w:rFonts w:hint="eastAsia"/>
          <w:color w:val="auto"/>
          <w:spacing w:val="-9"/>
          <w:highlight w:val="none"/>
          <w:u w:val="single" w:color="auto"/>
          <w:lang w:val="en-US" w:eastAsia="zh-CN"/>
        </w:rPr>
        <w:t>2024</w:t>
      </w:r>
      <w:r>
        <w:rPr>
          <w:color w:val="auto"/>
          <w:spacing w:val="-9"/>
          <w:highlight w:val="none"/>
          <w:u w:val="single" w:color="auto"/>
        </w:rPr>
        <w:t>《房屋建筑与装</w:t>
      </w:r>
      <w:r>
        <w:rPr>
          <w:color w:val="auto"/>
          <w:spacing w:val="-10"/>
          <w:highlight w:val="none"/>
          <w:u w:val="single" w:color="auto"/>
        </w:rPr>
        <w:t>饰工程定额》、《通用安装工程定额》、《市</w:t>
      </w:r>
      <w:r>
        <w:rPr>
          <w:color w:val="auto"/>
          <w:spacing w:val="-15"/>
          <w:highlight w:val="none"/>
          <w:u w:val="single" w:color="auto"/>
        </w:rPr>
        <w:t>政工程定额》、《园林绿化工程定额》、《绿色建筑工程定额》、《装配式建筑工程定额》及相关配套文件</w:t>
      </w:r>
      <w:r>
        <w:rPr>
          <w:rFonts w:hint="eastAsia"/>
          <w:color w:val="auto"/>
          <w:spacing w:val="-15"/>
          <w:highlight w:val="none"/>
          <w:u w:val="single" w:color="auto"/>
          <w:lang w:val="en-US" w:eastAsia="zh-CN"/>
        </w:rPr>
        <w:t>下浮        进行</w:t>
      </w:r>
      <w:r>
        <w:rPr>
          <w:color w:val="auto"/>
          <w:spacing w:val="-15"/>
          <w:highlight w:val="none"/>
          <w:u w:val="single" w:color="auto"/>
        </w:rPr>
        <w:t>计价。</w:t>
      </w:r>
      <w:r>
        <w:rPr>
          <w:color w:val="auto"/>
          <w:spacing w:val="-1"/>
          <w:highlight w:val="none"/>
          <w:u w:val="single" w:color="auto"/>
        </w:rPr>
        <w:t>材料价格首选工期同期营口市造价信息中的材料价格，营口市造价信息中未涉及的材料价格，参照</w:t>
      </w:r>
      <w:r>
        <w:rPr>
          <w:rFonts w:hint="eastAsia"/>
          <w:color w:val="auto"/>
          <w:spacing w:val="-1"/>
          <w:highlight w:val="none"/>
          <w:u w:val="single" w:color="auto"/>
          <w:lang w:val="en-US" w:eastAsia="zh-CN"/>
        </w:rPr>
        <w:t>沈阳市</w:t>
      </w:r>
      <w:r>
        <w:rPr>
          <w:color w:val="auto"/>
          <w:spacing w:val="-4"/>
          <w:highlight w:val="none"/>
          <w:u w:val="single" w:color="auto"/>
        </w:rPr>
        <w:t>造价信息中的材料价格。材料价格在营口市造价信息</w:t>
      </w:r>
      <w:r>
        <w:rPr>
          <w:color w:val="auto"/>
          <w:spacing w:val="-5"/>
          <w:highlight w:val="none"/>
          <w:u w:val="single" w:color="auto"/>
        </w:rPr>
        <w:t>、</w:t>
      </w:r>
      <w:r>
        <w:rPr>
          <w:rFonts w:hint="eastAsia"/>
          <w:color w:val="auto"/>
          <w:spacing w:val="-5"/>
          <w:highlight w:val="none"/>
          <w:u w:val="single" w:color="auto"/>
          <w:lang w:val="en-US" w:eastAsia="zh-CN"/>
        </w:rPr>
        <w:t>沈阳市</w:t>
      </w:r>
      <w:r>
        <w:rPr>
          <w:color w:val="auto"/>
          <w:spacing w:val="-5"/>
          <w:highlight w:val="none"/>
          <w:u w:val="single" w:color="auto"/>
        </w:rPr>
        <w:t>造价信息中都没有的，由发包方或监理单位</w:t>
      </w:r>
      <w:r>
        <w:rPr>
          <w:color w:val="auto"/>
          <w:spacing w:val="-4"/>
          <w:highlight w:val="none"/>
          <w:u w:val="single" w:color="auto"/>
        </w:rPr>
        <w:t>会同承包方经市场调查、询价后，应在</w:t>
      </w:r>
      <w:r>
        <w:rPr>
          <w:color w:val="auto"/>
          <w:spacing w:val="-40"/>
          <w:highlight w:val="none"/>
          <w:u w:val="single" w:color="auto"/>
        </w:rPr>
        <w:t xml:space="preserve"> </w:t>
      </w:r>
      <w:r>
        <w:rPr>
          <w:color w:val="auto"/>
          <w:spacing w:val="-4"/>
          <w:highlight w:val="none"/>
          <w:u w:val="single" w:color="auto"/>
        </w:rPr>
        <w:t>3</w:t>
      </w:r>
      <w:r>
        <w:rPr>
          <w:color w:val="auto"/>
          <w:spacing w:val="-45"/>
          <w:highlight w:val="none"/>
          <w:u w:val="single" w:color="auto"/>
        </w:rPr>
        <w:t xml:space="preserve"> </w:t>
      </w:r>
      <w:r>
        <w:rPr>
          <w:color w:val="auto"/>
          <w:spacing w:val="-4"/>
          <w:highlight w:val="none"/>
          <w:u w:val="single" w:color="auto"/>
        </w:rPr>
        <w:t>个工作日内共同确定采购</w:t>
      </w:r>
      <w:r>
        <w:rPr>
          <w:color w:val="auto"/>
          <w:spacing w:val="-5"/>
          <w:highlight w:val="none"/>
          <w:u w:val="single" w:color="auto"/>
        </w:rPr>
        <w:t>单价及品牌</w:t>
      </w:r>
      <w:r>
        <w:rPr>
          <w:color w:val="auto"/>
          <w:spacing w:val="-2"/>
          <w:highlight w:val="none"/>
          <w:u w:val="single" w:color="auto"/>
        </w:rPr>
        <w:t xml:space="preserve"> </w:t>
      </w:r>
      <w:r>
        <w:rPr>
          <w:color w:val="auto"/>
          <w:spacing w:val="-2"/>
          <w:highlight w:val="none"/>
        </w:rPr>
        <w:t>。</w:t>
      </w:r>
    </w:p>
    <w:p w14:paraId="64B6C8A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outlineLvl w:val="1"/>
        <w:rPr>
          <w:color w:val="auto"/>
          <w:highlight w:val="none"/>
        </w:rPr>
      </w:pPr>
      <w:bookmarkStart w:id="2218" w:name="_Toc31786"/>
      <w:r>
        <w:rPr>
          <w:color w:val="auto"/>
          <w:spacing w:val="-5"/>
          <w:highlight w:val="none"/>
        </w:rPr>
        <w:t>13.4</w:t>
      </w:r>
      <w:r>
        <w:rPr>
          <w:color w:val="auto"/>
          <w:spacing w:val="15"/>
          <w:highlight w:val="none"/>
        </w:rPr>
        <w:t xml:space="preserve"> </w:t>
      </w:r>
      <w:r>
        <w:rPr>
          <w:color w:val="auto"/>
          <w:spacing w:val="-5"/>
          <w:highlight w:val="none"/>
        </w:rPr>
        <w:t>暂估价</w:t>
      </w:r>
      <w:bookmarkEnd w:id="2218"/>
    </w:p>
    <w:p w14:paraId="741B180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13.4.1 依法必须招标的暂估价项目</w:t>
      </w:r>
    </w:p>
    <w:p w14:paraId="4061487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承包人可以参与投标的暂估价项目范围：</w:t>
      </w:r>
      <w:r>
        <w:rPr>
          <w:color w:val="auto"/>
          <w:highlight w:val="none"/>
          <w:u w:val="single" w:color="auto"/>
        </w:rPr>
        <w:t xml:space="preserve">      </w:t>
      </w:r>
      <w:r>
        <w:rPr>
          <w:color w:val="auto"/>
          <w:spacing w:val="-1"/>
          <w:highlight w:val="none"/>
          <w:u w:val="single" w:color="auto"/>
        </w:rPr>
        <w:t xml:space="preserve"> /       </w:t>
      </w:r>
      <w:r>
        <w:rPr>
          <w:color w:val="auto"/>
          <w:spacing w:val="-1"/>
          <w:highlight w:val="none"/>
        </w:rPr>
        <w:t>。</w:t>
      </w:r>
    </w:p>
    <w:p w14:paraId="317C1D8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承包人不得参与投标的暂估价项目范围：</w:t>
      </w:r>
      <w:r>
        <w:rPr>
          <w:color w:val="auto"/>
          <w:highlight w:val="none"/>
          <w:u w:val="single" w:color="auto"/>
        </w:rPr>
        <w:t xml:space="preserve">      </w:t>
      </w:r>
      <w:r>
        <w:rPr>
          <w:color w:val="auto"/>
          <w:spacing w:val="-1"/>
          <w:highlight w:val="none"/>
          <w:u w:val="single" w:color="auto"/>
        </w:rPr>
        <w:t xml:space="preserve"> /       </w:t>
      </w:r>
      <w:r>
        <w:rPr>
          <w:color w:val="auto"/>
          <w:spacing w:val="-1"/>
          <w:highlight w:val="none"/>
        </w:rPr>
        <w:t>。</w:t>
      </w:r>
    </w:p>
    <w:p w14:paraId="6C9B4DB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招投标程序及其他约定：</w:t>
      </w:r>
      <w:r>
        <w:rPr>
          <w:color w:val="auto"/>
          <w:highlight w:val="none"/>
          <w:u w:val="single" w:color="auto"/>
        </w:rPr>
        <w:t xml:space="preserve">             /     </w:t>
      </w:r>
      <w:r>
        <w:rPr>
          <w:color w:val="auto"/>
          <w:spacing w:val="-1"/>
          <w:highlight w:val="none"/>
          <w:u w:val="single" w:color="auto"/>
        </w:rPr>
        <w:t xml:space="preserve">          </w:t>
      </w:r>
      <w:r>
        <w:rPr>
          <w:color w:val="auto"/>
          <w:spacing w:val="-1"/>
          <w:highlight w:val="none"/>
        </w:rPr>
        <w:t>。</w:t>
      </w:r>
    </w:p>
    <w:p w14:paraId="5AABE7B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13.4.2 不属于依法必须招标的暂估价</w:t>
      </w:r>
      <w:r>
        <w:rPr>
          <w:color w:val="auto"/>
          <w:spacing w:val="-2"/>
          <w:highlight w:val="none"/>
        </w:rPr>
        <w:t>项目</w:t>
      </w:r>
    </w:p>
    <w:p w14:paraId="2C96F04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不属于依法必须招标的暂估价项目的协商及估</w:t>
      </w:r>
      <w:r>
        <w:rPr>
          <w:color w:val="auto"/>
          <w:spacing w:val="-1"/>
          <w:highlight w:val="none"/>
        </w:rPr>
        <w:t>价的约定：</w:t>
      </w:r>
      <w:r>
        <w:rPr>
          <w:color w:val="auto"/>
          <w:spacing w:val="-1"/>
          <w:highlight w:val="none"/>
          <w:u w:val="single" w:color="auto"/>
        </w:rPr>
        <w:t xml:space="preserve">   /   </w:t>
      </w:r>
      <w:r>
        <w:rPr>
          <w:color w:val="auto"/>
          <w:spacing w:val="-1"/>
          <w:highlight w:val="none"/>
        </w:rPr>
        <w:t>。</w:t>
      </w:r>
    </w:p>
    <w:p w14:paraId="102230B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outlineLvl w:val="1"/>
        <w:rPr>
          <w:color w:val="auto"/>
          <w:highlight w:val="none"/>
        </w:rPr>
      </w:pPr>
      <w:bookmarkStart w:id="2219" w:name="_Toc17300"/>
      <w:r>
        <w:rPr>
          <w:color w:val="auto"/>
          <w:spacing w:val="-5"/>
          <w:highlight w:val="none"/>
        </w:rPr>
        <w:t>13.5</w:t>
      </w:r>
      <w:r>
        <w:rPr>
          <w:color w:val="auto"/>
          <w:spacing w:val="18"/>
          <w:highlight w:val="none"/>
        </w:rPr>
        <w:t xml:space="preserve"> </w:t>
      </w:r>
      <w:r>
        <w:rPr>
          <w:color w:val="auto"/>
          <w:spacing w:val="-5"/>
          <w:highlight w:val="none"/>
        </w:rPr>
        <w:t>暂列金额</w:t>
      </w:r>
      <w:bookmarkEnd w:id="2219"/>
    </w:p>
    <w:p w14:paraId="190DB15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其他关于暂列金额使用的约定：</w:t>
      </w:r>
      <w:r>
        <w:rPr>
          <w:color w:val="auto"/>
          <w:highlight w:val="none"/>
          <w:u w:val="single" w:color="auto"/>
        </w:rPr>
        <w:t xml:space="preserve">  </w:t>
      </w:r>
      <w:r>
        <w:rPr>
          <w:rFonts w:hint="eastAsia"/>
          <w:color w:val="auto"/>
          <w:highlight w:val="none"/>
          <w:u w:val="single" w:color="auto"/>
          <w:lang w:val="en-US" w:eastAsia="zh-CN"/>
        </w:rPr>
        <w:t>执行通用条款</w:t>
      </w:r>
      <w:r>
        <w:rPr>
          <w:color w:val="auto"/>
          <w:spacing w:val="-1"/>
          <w:highlight w:val="none"/>
          <w:u w:val="single" w:color="auto"/>
        </w:rPr>
        <w:t xml:space="preserve">  </w:t>
      </w:r>
      <w:r>
        <w:rPr>
          <w:color w:val="auto"/>
          <w:spacing w:val="-1"/>
          <w:highlight w:val="none"/>
        </w:rPr>
        <w:t>。</w:t>
      </w:r>
    </w:p>
    <w:p w14:paraId="624658E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rFonts w:hint="eastAsia" w:eastAsia="宋体"/>
          <w:color w:val="auto"/>
          <w:highlight w:val="none"/>
          <w:lang w:eastAsia="zh-CN"/>
        </w:rPr>
      </w:pPr>
      <w:bookmarkStart w:id="2220" w:name="_Toc20945"/>
      <w:r>
        <w:rPr>
          <w:color w:val="auto"/>
          <w:spacing w:val="-2"/>
          <w:highlight w:val="none"/>
        </w:rPr>
        <w:t>13.8 市场价格波动引起的调整</w:t>
      </w:r>
      <w:bookmarkEnd w:id="2220"/>
      <w:r>
        <w:rPr>
          <w:rFonts w:hint="eastAsia"/>
          <w:color w:val="auto"/>
          <w:spacing w:val="-2"/>
          <w:highlight w:val="none"/>
          <w:lang w:eastAsia="zh-CN"/>
        </w:rPr>
        <w:t>（</w:t>
      </w:r>
      <w:r>
        <w:rPr>
          <w:rFonts w:hint="eastAsia"/>
          <w:color w:val="auto"/>
          <w:spacing w:val="-2"/>
          <w:highlight w:val="none"/>
          <w:lang w:val="en-US" w:eastAsia="zh-CN"/>
        </w:rPr>
        <w:t>不采用</w:t>
      </w:r>
      <w:r>
        <w:rPr>
          <w:rFonts w:hint="eastAsia"/>
          <w:color w:val="auto"/>
          <w:spacing w:val="-2"/>
          <w:highlight w:val="none"/>
          <w:lang w:eastAsia="zh-CN"/>
        </w:rPr>
        <w:t>）</w:t>
      </w:r>
    </w:p>
    <w:p w14:paraId="3852A2E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13.8.2 关于是否采用《价格指数权重表》的约定：</w:t>
      </w:r>
      <w:r>
        <w:rPr>
          <w:color w:val="auto"/>
          <w:spacing w:val="-1"/>
          <w:highlight w:val="none"/>
          <w:u w:val="single" w:color="auto"/>
        </w:rPr>
        <w:t xml:space="preserve">  /   </w:t>
      </w:r>
      <w:r>
        <w:rPr>
          <w:color w:val="auto"/>
          <w:spacing w:val="-1"/>
          <w:highlight w:val="none"/>
        </w:rPr>
        <w:t>。</w:t>
      </w:r>
    </w:p>
    <w:p w14:paraId="1343AE78">
      <w:pPr>
        <w:pStyle w:val="9"/>
        <w:pageBreakBefore w:val="0"/>
        <w:widowControl/>
        <w:tabs>
          <w:tab w:val="left" w:pos="1140"/>
        </w:tabs>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13.8.3 关于采用其他方式调整合同价款的约定</w:t>
      </w:r>
      <w:r>
        <w:rPr>
          <w:color w:val="auto"/>
          <w:spacing w:val="-54"/>
          <w:w w:val="96"/>
          <w:highlight w:val="none"/>
        </w:rPr>
        <w:t>：（</w:t>
      </w:r>
      <w:r>
        <w:rPr>
          <w:color w:val="auto"/>
          <w:highlight w:val="none"/>
        </w:rPr>
        <w:t>1）</w:t>
      </w:r>
      <w:r>
        <w:rPr>
          <w:color w:val="auto"/>
          <w:highlight w:val="none"/>
          <w:u w:val="single" w:color="auto"/>
        </w:rPr>
        <w:t>按辽宁省</w:t>
      </w:r>
      <w:r>
        <w:rPr>
          <w:rFonts w:hint="eastAsia"/>
          <w:color w:val="auto"/>
          <w:highlight w:val="none"/>
          <w:u w:val="single" w:color="auto"/>
          <w:lang w:val="en-US" w:eastAsia="zh-CN"/>
        </w:rPr>
        <w:t>2024</w:t>
      </w:r>
      <w:r>
        <w:rPr>
          <w:color w:val="auto"/>
          <w:highlight w:val="none"/>
          <w:u w:val="single" w:color="auto"/>
        </w:rPr>
        <w:t>《房屋建筑与装饰工程定额》、</w:t>
      </w:r>
      <w:r>
        <w:rPr>
          <w:color w:val="auto"/>
          <w:spacing w:val="2"/>
          <w:highlight w:val="none"/>
        </w:rPr>
        <w:t xml:space="preserve"> </w:t>
      </w:r>
      <w:r>
        <w:rPr>
          <w:color w:val="auto"/>
          <w:spacing w:val="-16"/>
          <w:highlight w:val="none"/>
          <w:u w:val="single" w:color="auto"/>
        </w:rPr>
        <w:t>《通用安装工程定额》、《市政工程定额》、《园林绿化工程定额》、《绿色建筑工程定额》、《装配式建筑工</w:t>
      </w:r>
      <w:r>
        <w:rPr>
          <w:color w:val="auto"/>
          <w:spacing w:val="-4"/>
          <w:highlight w:val="none"/>
          <w:u w:val="single" w:color="auto"/>
        </w:rPr>
        <w:t>程定额》及相关配套文件</w:t>
      </w:r>
      <w:r>
        <w:rPr>
          <w:rFonts w:hint="eastAsia"/>
          <w:color w:val="auto"/>
          <w:spacing w:val="-15"/>
          <w:highlight w:val="none"/>
          <w:u w:val="single" w:color="auto"/>
          <w:lang w:val="en-US" w:eastAsia="zh-CN"/>
        </w:rPr>
        <w:t>下浮          进行</w:t>
      </w:r>
      <w:r>
        <w:rPr>
          <w:color w:val="auto"/>
          <w:spacing w:val="-15"/>
          <w:highlight w:val="none"/>
          <w:u w:val="single" w:color="auto"/>
        </w:rPr>
        <w:t>计价。</w:t>
      </w:r>
      <w:r>
        <w:rPr>
          <w:color w:val="auto"/>
          <w:spacing w:val="-4"/>
          <w:highlight w:val="none"/>
          <w:u w:val="single" w:color="auto"/>
        </w:rPr>
        <w:t>材料价格首选工期同期营口市造价信息中的材料价格，营口市造价信息中</w:t>
      </w:r>
      <w:r>
        <w:rPr>
          <w:color w:val="auto"/>
          <w:highlight w:val="none"/>
          <w:u w:val="single" w:color="auto"/>
        </w:rPr>
        <w:t>未涉及的材料价格，参照</w:t>
      </w:r>
      <w:r>
        <w:rPr>
          <w:rFonts w:hint="eastAsia"/>
          <w:color w:val="auto"/>
          <w:highlight w:val="none"/>
          <w:u w:val="single" w:color="auto"/>
          <w:lang w:val="en-US" w:eastAsia="zh-CN"/>
        </w:rPr>
        <w:t>沈阳市</w:t>
      </w:r>
      <w:r>
        <w:rPr>
          <w:color w:val="auto"/>
          <w:highlight w:val="none"/>
          <w:u w:val="single" w:color="auto"/>
        </w:rPr>
        <w:t>造价信息中的材料</w:t>
      </w:r>
      <w:r>
        <w:rPr>
          <w:color w:val="auto"/>
          <w:spacing w:val="-1"/>
          <w:highlight w:val="none"/>
          <w:u w:val="single" w:color="auto"/>
        </w:rPr>
        <w:t>价格。材料价格在营口市造价信息、</w:t>
      </w:r>
      <w:r>
        <w:rPr>
          <w:rFonts w:hint="eastAsia"/>
          <w:color w:val="auto"/>
          <w:spacing w:val="-1"/>
          <w:highlight w:val="none"/>
          <w:u w:val="single" w:color="auto"/>
          <w:lang w:val="en-US" w:eastAsia="zh-CN"/>
        </w:rPr>
        <w:t>沈阳市</w:t>
      </w:r>
      <w:r>
        <w:rPr>
          <w:color w:val="auto"/>
          <w:spacing w:val="-1"/>
          <w:highlight w:val="none"/>
          <w:u w:val="single" w:color="auto"/>
        </w:rPr>
        <w:t>造价信息中</w:t>
      </w:r>
      <w:r>
        <w:rPr>
          <w:color w:val="auto"/>
          <w:spacing w:val="-4"/>
          <w:highlight w:val="none"/>
          <w:u w:val="single" w:color="auto"/>
        </w:rPr>
        <w:t>都没有的，由发包方或监理单位会同承包方经市场调查、询价后，应在</w:t>
      </w:r>
      <w:r>
        <w:rPr>
          <w:color w:val="auto"/>
          <w:spacing w:val="-40"/>
          <w:highlight w:val="none"/>
          <w:u w:val="single" w:color="auto"/>
        </w:rPr>
        <w:t xml:space="preserve"> </w:t>
      </w:r>
      <w:r>
        <w:rPr>
          <w:color w:val="auto"/>
          <w:spacing w:val="-4"/>
          <w:highlight w:val="none"/>
          <w:u w:val="single" w:color="auto"/>
        </w:rPr>
        <w:t>3</w:t>
      </w:r>
      <w:r>
        <w:rPr>
          <w:color w:val="auto"/>
          <w:spacing w:val="-45"/>
          <w:highlight w:val="none"/>
          <w:u w:val="single" w:color="auto"/>
        </w:rPr>
        <w:t xml:space="preserve"> </w:t>
      </w:r>
      <w:r>
        <w:rPr>
          <w:color w:val="auto"/>
          <w:spacing w:val="-4"/>
          <w:highlight w:val="none"/>
          <w:u w:val="single" w:color="auto"/>
        </w:rPr>
        <w:t>个工作</w:t>
      </w:r>
      <w:r>
        <w:rPr>
          <w:color w:val="auto"/>
          <w:spacing w:val="-5"/>
          <w:highlight w:val="none"/>
          <w:u w:val="single" w:color="auto"/>
        </w:rPr>
        <w:t>日内共同确定采购单价及</w:t>
      </w:r>
      <w:r>
        <w:rPr>
          <w:color w:val="auto"/>
          <w:spacing w:val="-3"/>
          <w:highlight w:val="none"/>
          <w:u w:val="single" w:color="auto"/>
        </w:rPr>
        <w:t>品牌。（2）施工机械台班单价或施工机械使用费发生变化超过省级或行业建设主管部门或其授权的工程造</w:t>
      </w:r>
      <w:r>
        <w:rPr>
          <w:color w:val="auto"/>
          <w:highlight w:val="none"/>
          <w:u w:val="single" w:color="auto"/>
        </w:rPr>
        <w:t>价管理机构规定的范围时，按规定调整价格</w:t>
      </w:r>
      <w:r>
        <w:rPr>
          <w:rFonts w:hint="eastAsia"/>
          <w:color w:val="auto"/>
          <w:highlight w:val="none"/>
          <w:u w:val="single" w:color="auto"/>
          <w:lang w:val="en-US" w:eastAsia="zh-CN"/>
        </w:rPr>
        <w:t xml:space="preserve"> </w:t>
      </w:r>
      <w:r>
        <w:rPr>
          <w:color w:val="auto"/>
          <w:highlight w:val="none"/>
        </w:rPr>
        <w:t>。</w:t>
      </w:r>
    </w:p>
    <w:p w14:paraId="07F6CB7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0"/>
        <w:rPr>
          <w:color w:val="auto"/>
          <w:highlight w:val="none"/>
        </w:rPr>
      </w:pPr>
      <w:bookmarkStart w:id="2221" w:name="_Toc19672"/>
      <w:r>
        <w:rPr>
          <w:color w:val="auto"/>
          <w:spacing w:val="-4"/>
          <w:highlight w:val="none"/>
        </w:rPr>
        <w:t>第</w:t>
      </w:r>
      <w:r>
        <w:rPr>
          <w:color w:val="auto"/>
          <w:spacing w:val="-23"/>
          <w:highlight w:val="none"/>
        </w:rPr>
        <w:t xml:space="preserve"> </w:t>
      </w:r>
      <w:r>
        <w:rPr>
          <w:color w:val="auto"/>
          <w:spacing w:val="-4"/>
          <w:highlight w:val="none"/>
        </w:rPr>
        <w:t>14</w:t>
      </w:r>
      <w:r>
        <w:rPr>
          <w:color w:val="auto"/>
          <w:spacing w:val="-42"/>
          <w:highlight w:val="none"/>
        </w:rPr>
        <w:t xml:space="preserve"> </w:t>
      </w:r>
      <w:r>
        <w:rPr>
          <w:color w:val="auto"/>
          <w:spacing w:val="-4"/>
          <w:highlight w:val="none"/>
        </w:rPr>
        <w:t>条 合同价格与支付</w:t>
      </w:r>
      <w:bookmarkEnd w:id="2221"/>
    </w:p>
    <w:p w14:paraId="43D32C3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222" w:name="_Toc12535"/>
      <w:r>
        <w:rPr>
          <w:color w:val="auto"/>
          <w:spacing w:val="-3"/>
          <w:highlight w:val="none"/>
        </w:rPr>
        <w:t>14.1 合同价格形式</w:t>
      </w:r>
      <w:bookmarkEnd w:id="2222"/>
    </w:p>
    <w:p w14:paraId="29C9112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14.1.1 关于合同价格形式的约定：</w:t>
      </w:r>
      <w:r>
        <w:rPr>
          <w:color w:val="auto"/>
          <w:spacing w:val="-1"/>
          <w:highlight w:val="none"/>
          <w:u w:val="single" w:color="auto"/>
        </w:rPr>
        <w:t xml:space="preserve">  按合同协议书约定计价方式执行 </w:t>
      </w:r>
      <w:r>
        <w:rPr>
          <w:color w:val="auto"/>
          <w:spacing w:val="-1"/>
          <w:highlight w:val="none"/>
        </w:rPr>
        <w:t>。</w:t>
      </w:r>
    </w:p>
    <w:p w14:paraId="074E444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14.1.2 关于合同价格调整的约定：</w:t>
      </w:r>
      <w:r>
        <w:rPr>
          <w:color w:val="auto"/>
          <w:spacing w:val="-1"/>
          <w:highlight w:val="none"/>
          <w:u w:val="single" w:color="auto"/>
        </w:rPr>
        <w:t xml:space="preserve">  按合同协议书约定计价方式执行 </w:t>
      </w:r>
      <w:r>
        <w:rPr>
          <w:color w:val="auto"/>
          <w:spacing w:val="-1"/>
          <w:highlight w:val="none"/>
        </w:rPr>
        <w:t>。</w:t>
      </w:r>
    </w:p>
    <w:p w14:paraId="1433972B">
      <w:pPr>
        <w:spacing w:line="360" w:lineRule="auto"/>
        <w:ind w:firstLine="600"/>
        <w:rPr>
          <w:rFonts w:ascii="宋体" w:hAnsi="宋体" w:eastAsia="宋体" w:cs="宋体"/>
          <w:snapToGrid w:val="0"/>
          <w:color w:val="auto"/>
          <w:spacing w:val="-3"/>
          <w:kern w:val="0"/>
          <w:sz w:val="21"/>
          <w:szCs w:val="21"/>
          <w:highlight w:val="none"/>
          <w:u w:val="single" w:color="auto"/>
          <w:lang w:val="en-US" w:eastAsia="en-US" w:bidi="ar-SA"/>
        </w:rPr>
      </w:pPr>
      <w:r>
        <w:rPr>
          <w:rFonts w:ascii="宋体" w:hAnsi="宋体" w:eastAsia="宋体" w:cs="宋体"/>
          <w:snapToGrid w:val="0"/>
          <w:color w:val="auto"/>
          <w:spacing w:val="-3"/>
          <w:kern w:val="0"/>
          <w:sz w:val="21"/>
          <w:szCs w:val="21"/>
          <w:highlight w:val="none"/>
          <w:u w:val="none" w:color="auto"/>
          <w:lang w:val="en-US" w:eastAsia="en-US" w:bidi="ar-SA"/>
        </w:rPr>
        <w:t>14.1.3 按实际完成的工程量支付工程价款的计量方法、估价方法：</w:t>
      </w:r>
      <w:r>
        <w:rPr>
          <w:rFonts w:hint="eastAsia" w:ascii="宋体" w:hAnsi="宋体" w:cs="宋体"/>
          <w:bCs/>
          <w:color w:val="auto"/>
          <w:sz w:val="21"/>
          <w:szCs w:val="21"/>
          <w:highlight w:val="none"/>
          <w:u w:val="single"/>
        </w:rPr>
        <w:t xml:space="preserve">按合同协议书约定计价,以现行最新定额据实结算 </w:t>
      </w:r>
      <w:r>
        <w:rPr>
          <w:rFonts w:hint="eastAsia" w:ascii="宋体" w:hAnsi="宋体" w:cs="宋体"/>
          <w:color w:val="auto"/>
          <w:sz w:val="21"/>
          <w:szCs w:val="21"/>
          <w:highlight w:val="none"/>
        </w:rPr>
        <w:t>。</w:t>
      </w:r>
    </w:p>
    <w:p w14:paraId="487F543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outlineLvl w:val="1"/>
        <w:rPr>
          <w:color w:val="auto"/>
          <w:highlight w:val="none"/>
        </w:rPr>
      </w:pPr>
      <w:bookmarkStart w:id="2223" w:name="_Toc29105"/>
      <w:r>
        <w:rPr>
          <w:color w:val="auto"/>
          <w:spacing w:val="-5"/>
          <w:highlight w:val="none"/>
        </w:rPr>
        <w:t>14.2</w:t>
      </w:r>
      <w:r>
        <w:rPr>
          <w:color w:val="auto"/>
          <w:spacing w:val="13"/>
          <w:highlight w:val="none"/>
        </w:rPr>
        <w:t xml:space="preserve"> </w:t>
      </w:r>
      <w:r>
        <w:rPr>
          <w:color w:val="auto"/>
          <w:spacing w:val="-5"/>
          <w:highlight w:val="none"/>
        </w:rPr>
        <w:t>预付款</w:t>
      </w:r>
      <w:bookmarkEnd w:id="2223"/>
    </w:p>
    <w:p w14:paraId="19CA06C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2"/>
        <w:rPr>
          <w:color w:val="auto"/>
          <w:highlight w:val="none"/>
        </w:rPr>
      </w:pPr>
      <w:r>
        <w:rPr>
          <w:color w:val="auto"/>
          <w:spacing w:val="-1"/>
          <w:highlight w:val="none"/>
        </w:rPr>
        <w:t>14.2.1 本条修改为工程预付款及设计费定金支付</w:t>
      </w:r>
    </w:p>
    <w:p w14:paraId="4B3C9BA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预付款及定金的金额或比例为：</w:t>
      </w:r>
      <w:r>
        <w:rPr>
          <w:color w:val="auto"/>
          <w:highlight w:val="none"/>
          <w:u w:val="single" w:color="auto"/>
        </w:rPr>
        <w:t>设计费定金：为设计金额的</w:t>
      </w:r>
      <w:r>
        <w:rPr>
          <w:color w:val="auto"/>
          <w:spacing w:val="-11"/>
          <w:highlight w:val="none"/>
          <w:u w:val="single" w:color="auto"/>
        </w:rPr>
        <w:t xml:space="preserve"> </w:t>
      </w:r>
      <w:r>
        <w:rPr>
          <w:color w:val="auto"/>
          <w:highlight w:val="none"/>
          <w:u w:val="single" w:color="auto"/>
        </w:rPr>
        <w:t>10%；工程预付款：为签约合同价工程</w:t>
      </w:r>
      <w:r>
        <w:rPr>
          <w:color w:val="auto"/>
          <w:spacing w:val="-3"/>
          <w:highlight w:val="none"/>
          <w:u w:val="single" w:color="auto"/>
        </w:rPr>
        <w:t>费的</w:t>
      </w:r>
      <w:r>
        <w:rPr>
          <w:color w:val="auto"/>
          <w:spacing w:val="-24"/>
          <w:highlight w:val="none"/>
          <w:u w:val="single" w:color="auto"/>
        </w:rPr>
        <w:t xml:space="preserve"> </w:t>
      </w:r>
      <w:r>
        <w:rPr>
          <w:color w:val="auto"/>
          <w:spacing w:val="-3"/>
          <w:highlight w:val="none"/>
          <w:u w:val="single" w:color="auto"/>
        </w:rPr>
        <w:t>10 %。</w:t>
      </w:r>
    </w:p>
    <w:p w14:paraId="305BB40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定金支付期限：</w:t>
      </w:r>
      <w:r>
        <w:rPr>
          <w:color w:val="auto"/>
          <w:spacing w:val="-1"/>
          <w:highlight w:val="none"/>
          <w:u w:val="single" w:color="auto"/>
        </w:rPr>
        <w:t>发包人应在合同签订后</w:t>
      </w:r>
      <w:r>
        <w:rPr>
          <w:color w:val="auto"/>
          <w:spacing w:val="-42"/>
          <w:highlight w:val="none"/>
          <w:u w:val="single" w:color="auto"/>
        </w:rPr>
        <w:t xml:space="preserve"> </w:t>
      </w:r>
      <w:r>
        <w:rPr>
          <w:color w:val="auto"/>
          <w:spacing w:val="-1"/>
          <w:highlight w:val="none"/>
          <w:u w:val="single" w:color="auto"/>
        </w:rPr>
        <w:t>28</w:t>
      </w:r>
      <w:r>
        <w:rPr>
          <w:color w:val="auto"/>
          <w:spacing w:val="-41"/>
          <w:highlight w:val="none"/>
          <w:u w:val="single" w:color="auto"/>
        </w:rPr>
        <w:t xml:space="preserve"> </w:t>
      </w:r>
      <w:r>
        <w:rPr>
          <w:color w:val="auto"/>
          <w:spacing w:val="-1"/>
          <w:highlight w:val="none"/>
          <w:u w:val="single" w:color="auto"/>
        </w:rPr>
        <w:t>天内将定金打入承包单位指定账户内。</w:t>
      </w:r>
    </w:p>
    <w:p w14:paraId="0F83751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预付款支付期限：</w:t>
      </w:r>
      <w:r>
        <w:rPr>
          <w:color w:val="auto"/>
          <w:spacing w:val="-1"/>
          <w:highlight w:val="none"/>
          <w:u w:val="single" w:color="auto"/>
        </w:rPr>
        <w:t>发包人应在合同签订后</w:t>
      </w:r>
      <w:r>
        <w:rPr>
          <w:color w:val="auto"/>
          <w:spacing w:val="-38"/>
          <w:highlight w:val="none"/>
          <w:u w:val="single" w:color="auto"/>
        </w:rPr>
        <w:t xml:space="preserve"> </w:t>
      </w:r>
      <w:r>
        <w:rPr>
          <w:color w:val="auto"/>
          <w:spacing w:val="-1"/>
          <w:highlight w:val="none"/>
          <w:u w:val="single" w:color="auto"/>
        </w:rPr>
        <w:t>28</w:t>
      </w:r>
      <w:r>
        <w:rPr>
          <w:color w:val="auto"/>
          <w:spacing w:val="-40"/>
          <w:highlight w:val="none"/>
          <w:u w:val="single" w:color="auto"/>
        </w:rPr>
        <w:t xml:space="preserve"> </w:t>
      </w:r>
      <w:r>
        <w:rPr>
          <w:color w:val="auto"/>
          <w:spacing w:val="-1"/>
          <w:highlight w:val="none"/>
          <w:u w:val="single" w:color="auto"/>
        </w:rPr>
        <w:t>天内将预付款打入承包单位指定账户内。</w:t>
      </w:r>
    </w:p>
    <w:p w14:paraId="0EB3337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预付款扣回的方式：</w:t>
      </w:r>
      <w:r>
        <w:rPr>
          <w:color w:val="auto"/>
          <w:spacing w:val="-1"/>
          <w:highlight w:val="none"/>
          <w:u w:val="single" w:color="auto"/>
        </w:rPr>
        <w:t>工程预付款在期中支付证书中的“当月实际完成工程款</w:t>
      </w:r>
      <w:r>
        <w:rPr>
          <w:color w:val="auto"/>
          <w:spacing w:val="-66"/>
          <w:highlight w:val="none"/>
          <w:u w:val="single" w:color="auto"/>
        </w:rPr>
        <w:t xml:space="preserve"> </w:t>
      </w:r>
      <w:r>
        <w:rPr>
          <w:color w:val="auto"/>
          <w:spacing w:val="-1"/>
          <w:highlight w:val="none"/>
          <w:u w:val="single" w:color="auto"/>
        </w:rPr>
        <w:t>”累计金额达到签约合</w:t>
      </w:r>
      <w:r>
        <w:rPr>
          <w:color w:val="auto"/>
          <w:spacing w:val="-2"/>
          <w:highlight w:val="none"/>
          <w:u w:val="single" w:color="auto"/>
        </w:rPr>
        <w:t>同价的</w:t>
      </w:r>
      <w:r>
        <w:rPr>
          <w:color w:val="auto"/>
          <w:spacing w:val="-40"/>
          <w:highlight w:val="none"/>
          <w:u w:val="single" w:color="auto"/>
        </w:rPr>
        <w:t xml:space="preserve"> </w:t>
      </w:r>
      <w:r>
        <w:rPr>
          <w:color w:val="auto"/>
          <w:spacing w:val="-2"/>
          <w:highlight w:val="none"/>
          <w:u w:val="single" w:color="auto"/>
        </w:rPr>
        <w:t>50%之后开始扣回预付款，分</w:t>
      </w:r>
      <w:r>
        <w:rPr>
          <w:color w:val="auto"/>
          <w:spacing w:val="-40"/>
          <w:highlight w:val="none"/>
          <w:u w:val="single" w:color="auto"/>
        </w:rPr>
        <w:t xml:space="preserve"> </w:t>
      </w:r>
      <w:r>
        <w:rPr>
          <w:color w:val="auto"/>
          <w:spacing w:val="-2"/>
          <w:highlight w:val="none"/>
          <w:u w:val="single" w:color="auto"/>
        </w:rPr>
        <w:t>3</w:t>
      </w:r>
      <w:r>
        <w:rPr>
          <w:color w:val="auto"/>
          <w:spacing w:val="-38"/>
          <w:highlight w:val="none"/>
          <w:u w:val="single" w:color="auto"/>
        </w:rPr>
        <w:t xml:space="preserve"> </w:t>
      </w:r>
      <w:r>
        <w:rPr>
          <w:color w:val="auto"/>
          <w:spacing w:val="-2"/>
          <w:highlight w:val="none"/>
          <w:u w:val="single" w:color="auto"/>
        </w:rPr>
        <w:t>次在月实际完成工程款中按</w:t>
      </w:r>
      <w:r>
        <w:rPr>
          <w:color w:val="auto"/>
          <w:spacing w:val="-29"/>
          <w:highlight w:val="none"/>
          <w:u w:val="single" w:color="auto"/>
        </w:rPr>
        <w:t xml:space="preserve"> </w:t>
      </w:r>
      <w:r>
        <w:rPr>
          <w:color w:val="auto"/>
          <w:spacing w:val="-2"/>
          <w:highlight w:val="none"/>
          <w:u w:val="single" w:color="auto"/>
        </w:rPr>
        <w:t>10%、50%、4</w:t>
      </w:r>
      <w:r>
        <w:rPr>
          <w:color w:val="auto"/>
          <w:spacing w:val="-3"/>
          <w:highlight w:val="none"/>
          <w:u w:val="single" w:color="auto"/>
        </w:rPr>
        <w:t>0%抵扣。</w:t>
      </w:r>
    </w:p>
    <w:p w14:paraId="2E022F2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2"/>
        <w:rPr>
          <w:color w:val="auto"/>
          <w:highlight w:val="none"/>
        </w:rPr>
      </w:pPr>
      <w:r>
        <w:rPr>
          <w:color w:val="auto"/>
          <w:spacing w:val="-3"/>
          <w:highlight w:val="none"/>
        </w:rPr>
        <w:t>14.2.2</w:t>
      </w:r>
      <w:r>
        <w:rPr>
          <w:color w:val="auto"/>
          <w:spacing w:val="-43"/>
          <w:highlight w:val="none"/>
        </w:rPr>
        <w:t xml:space="preserve"> </w:t>
      </w:r>
      <w:r>
        <w:rPr>
          <w:color w:val="auto"/>
          <w:spacing w:val="-3"/>
          <w:highlight w:val="none"/>
        </w:rPr>
        <w:t>预付款担保</w:t>
      </w:r>
    </w:p>
    <w:p w14:paraId="61C19B6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提供预付款担保期限：</w:t>
      </w:r>
      <w:r>
        <w:rPr>
          <w:color w:val="auto"/>
          <w:spacing w:val="-1"/>
          <w:highlight w:val="none"/>
          <w:u w:val="single" w:color="auto"/>
        </w:rPr>
        <w:t xml:space="preserve"> 暂定一年 </w:t>
      </w:r>
      <w:r>
        <w:rPr>
          <w:color w:val="auto"/>
          <w:spacing w:val="-1"/>
          <w:highlight w:val="none"/>
        </w:rPr>
        <w:t>。</w:t>
      </w:r>
    </w:p>
    <w:p w14:paraId="5C1C4BA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预付款担保形式：</w:t>
      </w:r>
      <w:r>
        <w:rPr>
          <w:color w:val="auto"/>
          <w:spacing w:val="-1"/>
          <w:highlight w:val="none"/>
          <w:u w:val="single" w:color="auto"/>
        </w:rPr>
        <w:t xml:space="preserve"> 预付款保函 </w:t>
      </w:r>
      <w:r>
        <w:rPr>
          <w:color w:val="auto"/>
          <w:spacing w:val="-1"/>
          <w:highlight w:val="none"/>
        </w:rPr>
        <w:t>。</w:t>
      </w:r>
    </w:p>
    <w:p w14:paraId="36AC53A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224" w:name="_Toc25137"/>
      <w:r>
        <w:rPr>
          <w:color w:val="auto"/>
          <w:spacing w:val="-3"/>
          <w:highlight w:val="none"/>
        </w:rPr>
        <w:t>14.3 工程进度款</w:t>
      </w:r>
      <w:bookmarkEnd w:id="2224"/>
    </w:p>
    <w:p w14:paraId="31668E9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14.3.1 工程进度付款申请</w:t>
      </w:r>
    </w:p>
    <w:p w14:paraId="469BF0D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工程进度付款申请方式</w:t>
      </w:r>
      <w:r>
        <w:rPr>
          <w:color w:val="auto"/>
          <w:spacing w:val="-15"/>
          <w:highlight w:val="none"/>
        </w:rPr>
        <w:t>：</w:t>
      </w:r>
      <w:r>
        <w:rPr>
          <w:color w:val="auto"/>
          <w:highlight w:val="none"/>
          <w:u w:val="single" w:color="auto"/>
        </w:rPr>
        <w:t xml:space="preserve"> </w:t>
      </w:r>
      <w:r>
        <w:rPr>
          <w:color w:val="auto"/>
          <w:spacing w:val="-15"/>
          <w:highlight w:val="none"/>
          <w:u w:val="single" w:color="auto"/>
        </w:rPr>
        <w:t>（</w:t>
      </w:r>
      <w:r>
        <w:rPr>
          <w:color w:val="auto"/>
          <w:highlight w:val="none"/>
          <w:u w:val="single" w:color="auto"/>
        </w:rPr>
        <w:t>1）监理人应在收到承包人进度付款申请单以及相关资料后</w:t>
      </w:r>
      <w:r>
        <w:rPr>
          <w:color w:val="auto"/>
          <w:spacing w:val="-40"/>
          <w:highlight w:val="none"/>
          <w:u w:val="single" w:color="auto"/>
        </w:rPr>
        <w:t xml:space="preserve"> </w:t>
      </w:r>
      <w:r>
        <w:rPr>
          <w:color w:val="auto"/>
          <w:highlight w:val="none"/>
          <w:u w:val="single" w:color="auto"/>
        </w:rPr>
        <w:t>7</w:t>
      </w:r>
      <w:r>
        <w:rPr>
          <w:color w:val="auto"/>
          <w:spacing w:val="-39"/>
          <w:highlight w:val="none"/>
          <w:u w:val="single" w:color="auto"/>
        </w:rPr>
        <w:t xml:space="preserve"> </w:t>
      </w:r>
      <w:r>
        <w:rPr>
          <w:color w:val="auto"/>
          <w:highlight w:val="none"/>
          <w:u w:val="single" w:color="auto"/>
        </w:rPr>
        <w:t>天内完成</w:t>
      </w:r>
      <w:r>
        <w:rPr>
          <w:color w:val="auto"/>
          <w:spacing w:val="-5"/>
          <w:highlight w:val="none"/>
          <w:u w:val="single" w:color="auto"/>
        </w:rPr>
        <w:t>审查并报送发包人。（2）发包人应在收到后</w:t>
      </w:r>
      <w:r>
        <w:rPr>
          <w:color w:val="auto"/>
          <w:spacing w:val="-39"/>
          <w:highlight w:val="none"/>
          <w:u w:val="single" w:color="auto"/>
        </w:rPr>
        <w:t xml:space="preserve"> </w:t>
      </w:r>
      <w:r>
        <w:rPr>
          <w:color w:val="auto"/>
          <w:spacing w:val="-5"/>
          <w:highlight w:val="none"/>
          <w:u w:val="single" w:color="auto"/>
        </w:rPr>
        <w:t>7</w:t>
      </w:r>
      <w:r>
        <w:rPr>
          <w:color w:val="auto"/>
          <w:spacing w:val="-40"/>
          <w:highlight w:val="none"/>
          <w:u w:val="single" w:color="auto"/>
        </w:rPr>
        <w:t xml:space="preserve"> </w:t>
      </w:r>
      <w:r>
        <w:rPr>
          <w:color w:val="auto"/>
          <w:spacing w:val="-5"/>
          <w:highlight w:val="none"/>
          <w:u w:val="single" w:color="auto"/>
        </w:rPr>
        <w:t>天</w:t>
      </w:r>
      <w:r>
        <w:rPr>
          <w:color w:val="auto"/>
          <w:spacing w:val="-6"/>
          <w:highlight w:val="none"/>
          <w:u w:val="single" w:color="auto"/>
        </w:rPr>
        <w:t>内完成审批。（3）监理人及发包人应在收到承包人提交的</w:t>
      </w:r>
      <w:r>
        <w:rPr>
          <w:color w:val="auto"/>
          <w:spacing w:val="-4"/>
          <w:highlight w:val="none"/>
          <w:u w:val="single" w:color="auto"/>
        </w:rPr>
        <w:t>进度付款申请单之日起</w:t>
      </w:r>
      <w:r>
        <w:rPr>
          <w:color w:val="auto"/>
          <w:spacing w:val="-29"/>
          <w:highlight w:val="none"/>
          <w:u w:val="single" w:color="auto"/>
        </w:rPr>
        <w:t xml:space="preserve"> </w:t>
      </w:r>
      <w:r>
        <w:rPr>
          <w:color w:val="auto"/>
          <w:spacing w:val="-4"/>
          <w:highlight w:val="none"/>
          <w:u w:val="single" w:color="auto"/>
        </w:rPr>
        <w:t xml:space="preserve">14 日内完成审查 </w:t>
      </w:r>
      <w:r>
        <w:rPr>
          <w:color w:val="auto"/>
          <w:spacing w:val="-4"/>
          <w:highlight w:val="none"/>
        </w:rPr>
        <w:t>。</w:t>
      </w:r>
    </w:p>
    <w:p w14:paraId="05A2AD9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承包人提交进度付款申请单的格式、内容、份数和时间</w:t>
      </w:r>
      <w:r>
        <w:rPr>
          <w:color w:val="auto"/>
          <w:spacing w:val="-1"/>
          <w:highlight w:val="none"/>
        </w:rPr>
        <w:t>：</w:t>
      </w:r>
      <w:r>
        <w:rPr>
          <w:color w:val="auto"/>
          <w:spacing w:val="-1"/>
          <w:highlight w:val="none"/>
          <w:u w:val="single" w:color="auto"/>
        </w:rPr>
        <w:t xml:space="preserve"> 按发包人要求 </w:t>
      </w:r>
      <w:r>
        <w:rPr>
          <w:color w:val="auto"/>
          <w:spacing w:val="-1"/>
          <w:highlight w:val="none"/>
        </w:rPr>
        <w:t>。</w:t>
      </w:r>
    </w:p>
    <w:p w14:paraId="67162DA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进度付款申请单应包括的内容：</w:t>
      </w:r>
      <w:r>
        <w:rPr>
          <w:color w:val="auto"/>
          <w:spacing w:val="-1"/>
          <w:highlight w:val="none"/>
          <w:u w:val="single" w:color="auto"/>
        </w:rPr>
        <w:t xml:space="preserve"> 按发包人要求 </w:t>
      </w:r>
      <w:r>
        <w:rPr>
          <w:color w:val="auto"/>
          <w:spacing w:val="-1"/>
          <w:highlight w:val="none"/>
        </w:rPr>
        <w:t>。</w:t>
      </w:r>
    </w:p>
    <w:p w14:paraId="427FEFA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14.3.2 进度付款审核和支付</w:t>
      </w:r>
    </w:p>
    <w:p w14:paraId="32057A1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spacing w:val="-4"/>
          <w:highlight w:val="none"/>
        </w:rPr>
      </w:pPr>
      <w:r>
        <w:rPr>
          <w:color w:val="auto"/>
          <w:spacing w:val="-4"/>
          <w:highlight w:val="none"/>
        </w:rPr>
        <w:t>进度付款的审核方式和支付的约定：</w:t>
      </w:r>
    </w:p>
    <w:p w14:paraId="2208D13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8" w:firstLineChars="200"/>
        <w:textAlignment w:val="baseline"/>
        <w:rPr>
          <w:rFonts w:hint="default" w:ascii="宋体" w:hAnsi="宋体" w:eastAsia="宋体" w:cs="宋体"/>
          <w:i w:val="0"/>
          <w:iCs w:val="0"/>
          <w:caps w:val="0"/>
          <w:color w:val="auto"/>
          <w:spacing w:val="0"/>
          <w:sz w:val="24"/>
          <w:szCs w:val="24"/>
          <w:highlight w:val="none"/>
          <w:u w:val="single" w:color="auto"/>
          <w:shd w:val="clear" w:color="auto" w:fill="FFFFFF"/>
          <w:lang w:val="en-US" w:eastAsia="zh-CN"/>
        </w:rPr>
      </w:pPr>
      <w:r>
        <w:rPr>
          <w:rFonts w:hint="eastAsia"/>
          <w:color w:val="auto"/>
          <w:spacing w:val="-8"/>
          <w:highlight w:val="none"/>
          <w:u w:val="single" w:color="auto"/>
          <w:lang w:val="en-US" w:eastAsia="zh-CN"/>
        </w:rPr>
        <w:t>设计费审核方式：</w:t>
      </w:r>
      <w:r>
        <w:rPr>
          <w:rFonts w:hint="default"/>
          <w:color w:val="auto"/>
          <w:spacing w:val="-8"/>
          <w:highlight w:val="none"/>
          <w:u w:val="single" w:color="auto"/>
          <w:lang w:val="en-US" w:eastAsia="zh-CN"/>
        </w:rPr>
        <w:t>本合同项下设计费的</w:t>
      </w:r>
      <w:r>
        <w:rPr>
          <w:rFonts w:hint="eastAsia"/>
          <w:color w:val="auto"/>
          <w:spacing w:val="-1"/>
          <w:highlight w:val="none"/>
          <w:u w:val="single" w:color="auto"/>
          <w:lang w:val="en-US" w:eastAsia="zh-CN"/>
        </w:rPr>
        <w:t>结算价以最终工程竣工结算价为基价，依据《勘察设计收费标准2002版》及第三方审计</w:t>
      </w:r>
      <w:r>
        <w:rPr>
          <w:rFonts w:hint="default"/>
          <w:color w:val="auto"/>
          <w:spacing w:val="-1"/>
          <w:highlight w:val="none"/>
          <w:u w:val="single" w:color="auto"/>
          <w:lang w:val="en-US" w:eastAsia="zh-CN"/>
        </w:rPr>
        <w:t>机构出具的正式审计报告相关规则，核定设计费基准金额后，</w:t>
      </w:r>
      <w:r>
        <w:rPr>
          <w:rFonts w:hint="eastAsia"/>
          <w:color w:val="auto"/>
          <w:spacing w:val="-1"/>
          <w:highlight w:val="none"/>
          <w:u w:val="single" w:color="auto"/>
          <w:lang w:val="en-US" w:eastAsia="zh-CN"/>
        </w:rPr>
        <w:t xml:space="preserve">   </w:t>
      </w:r>
      <w:r>
        <w:rPr>
          <w:rFonts w:hint="default"/>
          <w:color w:val="auto"/>
          <w:spacing w:val="-1"/>
          <w:highlight w:val="none"/>
          <w:u w:val="single" w:color="auto"/>
          <w:lang w:val="en-US" w:eastAsia="zh-CN"/>
        </w:rPr>
        <w:t xml:space="preserve">在此基准金额基础上下浮 </w:t>
      </w:r>
      <w:r>
        <w:rPr>
          <w:rFonts w:hint="eastAsia"/>
          <w:color w:val="auto"/>
          <w:spacing w:val="-1"/>
          <w:highlight w:val="none"/>
          <w:u w:val="single" w:color="auto"/>
          <w:lang w:val="en-US" w:eastAsia="zh-CN"/>
        </w:rPr>
        <w:t xml:space="preserve">     作为设计费最终结算价。</w:t>
      </w:r>
    </w:p>
    <w:p w14:paraId="6DA0B58F">
      <w:pPr>
        <w:pStyle w:val="9"/>
        <w:pageBreakBefore w:val="0"/>
        <w:widowControl/>
        <w:tabs>
          <w:tab w:val="left" w:pos="1743"/>
          <w:tab w:val="left" w:pos="10769"/>
        </w:tabs>
        <w:kinsoku w:val="0"/>
        <w:wordWrap/>
        <w:overflowPunct/>
        <w:topLinePunct/>
        <w:autoSpaceDE w:val="0"/>
        <w:autoSpaceDN w:val="0"/>
        <w:bidi w:val="0"/>
        <w:adjustRightInd w:val="0"/>
        <w:snapToGrid w:val="0"/>
        <w:spacing w:line="360" w:lineRule="auto"/>
        <w:ind w:left="0" w:leftChars="0" w:right="0" w:rightChars="0" w:firstLine="388" w:firstLineChars="200"/>
        <w:jc w:val="both"/>
        <w:textAlignment w:val="baseline"/>
        <w:rPr>
          <w:color w:val="auto"/>
          <w:highlight w:val="none"/>
        </w:rPr>
      </w:pPr>
      <w:r>
        <w:rPr>
          <w:color w:val="auto"/>
          <w:spacing w:val="-8"/>
          <w:highlight w:val="none"/>
          <w:u w:val="single" w:color="auto"/>
        </w:rPr>
        <w:t>设计费进度支付：完成施工图设计，且施工图设计文件通过相关部门或</w:t>
      </w:r>
      <w:r>
        <w:rPr>
          <w:rFonts w:hint="eastAsia"/>
          <w:color w:val="auto"/>
          <w:spacing w:val="-9"/>
          <w:highlight w:val="none"/>
          <w:u w:val="single" w:color="auto"/>
          <w:lang w:eastAsia="zh-CN"/>
        </w:rPr>
        <w:t>发包</w:t>
      </w:r>
      <w:r>
        <w:rPr>
          <w:color w:val="auto"/>
          <w:spacing w:val="-9"/>
          <w:highlight w:val="none"/>
          <w:u w:val="single" w:color="auto"/>
        </w:rPr>
        <w:t>人指定审查机构审查后，</w:t>
      </w:r>
      <w:r>
        <w:rPr>
          <w:rFonts w:hint="eastAsia"/>
          <w:color w:val="auto"/>
          <w:spacing w:val="-1"/>
          <w:highlight w:val="none"/>
          <w:u w:val="single" w:color="auto"/>
          <w:lang w:eastAsia="zh-CN"/>
        </w:rPr>
        <w:t>发包</w:t>
      </w:r>
      <w:r>
        <w:rPr>
          <w:color w:val="auto"/>
          <w:spacing w:val="-1"/>
          <w:highlight w:val="none"/>
          <w:u w:val="single" w:color="auto"/>
        </w:rPr>
        <w:t>人在收到</w:t>
      </w:r>
      <w:r>
        <w:rPr>
          <w:rFonts w:hint="eastAsia"/>
          <w:color w:val="auto"/>
          <w:spacing w:val="-1"/>
          <w:highlight w:val="none"/>
          <w:u w:val="single" w:color="auto"/>
          <w:lang w:eastAsia="zh-CN"/>
        </w:rPr>
        <w:t>承包</w:t>
      </w:r>
      <w:r>
        <w:rPr>
          <w:color w:val="auto"/>
          <w:spacing w:val="-1"/>
          <w:highlight w:val="none"/>
          <w:u w:val="single" w:color="auto"/>
        </w:rPr>
        <w:t>人提交的合格付款申请及对应金额合法发票后的30个工作日内，向</w:t>
      </w:r>
      <w:r>
        <w:rPr>
          <w:rFonts w:hint="eastAsia"/>
          <w:color w:val="auto"/>
          <w:spacing w:val="-1"/>
          <w:highlight w:val="none"/>
          <w:u w:val="single" w:color="auto"/>
          <w:lang w:eastAsia="zh-CN"/>
        </w:rPr>
        <w:t>承包</w:t>
      </w:r>
      <w:r>
        <w:rPr>
          <w:color w:val="auto"/>
          <w:spacing w:val="-1"/>
          <w:highlight w:val="none"/>
          <w:u w:val="single" w:color="auto"/>
        </w:rPr>
        <w:t>人支付设计费总额的40%；施工图预算编制款：</w:t>
      </w:r>
      <w:r>
        <w:rPr>
          <w:rFonts w:hint="eastAsia"/>
          <w:color w:val="auto"/>
          <w:spacing w:val="-1"/>
          <w:highlight w:val="none"/>
          <w:u w:val="single" w:color="auto"/>
          <w:lang w:eastAsia="zh-CN"/>
        </w:rPr>
        <w:t>承包</w:t>
      </w:r>
      <w:r>
        <w:rPr>
          <w:color w:val="auto"/>
          <w:spacing w:val="-1"/>
          <w:highlight w:val="none"/>
          <w:u w:val="single" w:color="auto"/>
        </w:rPr>
        <w:t>人完成施工图预算编制工作，并经</w:t>
      </w:r>
      <w:r>
        <w:rPr>
          <w:rFonts w:hint="eastAsia"/>
          <w:color w:val="auto"/>
          <w:spacing w:val="-1"/>
          <w:highlight w:val="none"/>
          <w:u w:val="single" w:color="auto"/>
          <w:lang w:eastAsia="zh-CN"/>
        </w:rPr>
        <w:t>发包</w:t>
      </w:r>
      <w:r>
        <w:rPr>
          <w:color w:val="auto"/>
          <w:spacing w:val="-1"/>
          <w:highlight w:val="none"/>
          <w:u w:val="single" w:color="auto"/>
        </w:rPr>
        <w:t>人审核确认后，</w:t>
      </w:r>
      <w:r>
        <w:rPr>
          <w:rFonts w:hint="eastAsia"/>
          <w:color w:val="auto"/>
          <w:spacing w:val="-1"/>
          <w:highlight w:val="none"/>
          <w:u w:val="single" w:color="auto"/>
          <w:lang w:eastAsia="zh-CN"/>
        </w:rPr>
        <w:t>发包</w:t>
      </w:r>
      <w:r>
        <w:rPr>
          <w:color w:val="auto"/>
          <w:spacing w:val="-1"/>
          <w:highlight w:val="none"/>
          <w:u w:val="single" w:color="auto"/>
        </w:rPr>
        <w:t>人在收</w:t>
      </w:r>
      <w:r>
        <w:rPr>
          <w:color w:val="auto"/>
          <w:spacing w:val="-2"/>
          <w:highlight w:val="none"/>
          <w:u w:val="single" w:color="auto"/>
        </w:rPr>
        <w:t>到</w:t>
      </w:r>
      <w:r>
        <w:rPr>
          <w:rFonts w:hint="eastAsia"/>
          <w:color w:val="auto"/>
          <w:spacing w:val="-2"/>
          <w:highlight w:val="none"/>
          <w:u w:val="single" w:color="auto"/>
          <w:lang w:eastAsia="zh-CN"/>
        </w:rPr>
        <w:t>承包</w:t>
      </w:r>
      <w:r>
        <w:rPr>
          <w:color w:val="auto"/>
          <w:spacing w:val="-2"/>
          <w:highlight w:val="none"/>
          <w:u w:val="single" w:color="auto"/>
        </w:rPr>
        <w:t>人提交的付款申请及对应金额合法发票后的</w:t>
      </w:r>
      <w:r>
        <w:rPr>
          <w:color w:val="auto"/>
          <w:spacing w:val="-40"/>
          <w:highlight w:val="none"/>
          <w:u w:val="single" w:color="auto"/>
        </w:rPr>
        <w:t xml:space="preserve"> </w:t>
      </w:r>
      <w:r>
        <w:rPr>
          <w:color w:val="auto"/>
          <w:spacing w:val="-2"/>
          <w:highlight w:val="none"/>
          <w:u w:val="single" w:color="auto"/>
        </w:rPr>
        <w:t>30</w:t>
      </w:r>
      <w:r>
        <w:rPr>
          <w:color w:val="auto"/>
          <w:spacing w:val="-44"/>
          <w:highlight w:val="none"/>
          <w:u w:val="single" w:color="auto"/>
        </w:rPr>
        <w:t xml:space="preserve"> </w:t>
      </w:r>
      <w:r>
        <w:rPr>
          <w:color w:val="auto"/>
          <w:spacing w:val="-2"/>
          <w:highlight w:val="none"/>
          <w:u w:val="single" w:color="auto"/>
        </w:rPr>
        <w:t>个工作日</w:t>
      </w:r>
      <w:r>
        <w:rPr>
          <w:color w:val="auto"/>
          <w:spacing w:val="-3"/>
          <w:highlight w:val="none"/>
          <w:u w:val="single" w:color="auto"/>
        </w:rPr>
        <w:t>内，向</w:t>
      </w:r>
      <w:r>
        <w:rPr>
          <w:rFonts w:hint="eastAsia"/>
          <w:color w:val="auto"/>
          <w:spacing w:val="-3"/>
          <w:highlight w:val="none"/>
          <w:u w:val="single" w:color="auto"/>
          <w:lang w:eastAsia="zh-CN"/>
        </w:rPr>
        <w:t>承包</w:t>
      </w:r>
      <w:r>
        <w:rPr>
          <w:color w:val="auto"/>
          <w:spacing w:val="-3"/>
          <w:highlight w:val="none"/>
          <w:u w:val="single" w:color="auto"/>
        </w:rPr>
        <w:t>人支付设计费总额的</w:t>
      </w:r>
      <w:r>
        <w:rPr>
          <w:color w:val="auto"/>
          <w:spacing w:val="-40"/>
          <w:highlight w:val="none"/>
          <w:u w:val="single" w:color="auto"/>
        </w:rPr>
        <w:t xml:space="preserve"> </w:t>
      </w:r>
      <w:r>
        <w:rPr>
          <w:color w:val="auto"/>
          <w:spacing w:val="-3"/>
          <w:highlight w:val="none"/>
          <w:u w:val="single" w:color="auto"/>
        </w:rPr>
        <w:t>30%。竣工</w:t>
      </w:r>
      <w:r>
        <w:rPr>
          <w:color w:val="auto"/>
          <w:spacing w:val="-1"/>
          <w:highlight w:val="none"/>
          <w:u w:val="single" w:color="auto"/>
        </w:rPr>
        <w:t>验收款</w:t>
      </w:r>
      <w:r>
        <w:rPr>
          <w:rFonts w:hint="eastAsia"/>
          <w:color w:val="auto"/>
          <w:spacing w:val="-1"/>
          <w:highlight w:val="none"/>
          <w:u w:val="single" w:color="auto"/>
          <w:lang w:eastAsia="zh-CN"/>
        </w:rPr>
        <w:t>：</w:t>
      </w:r>
      <w:r>
        <w:rPr>
          <w:color w:val="auto"/>
          <w:spacing w:val="-1"/>
          <w:highlight w:val="none"/>
          <w:u w:val="single" w:color="auto"/>
        </w:rPr>
        <w:t>项目完成竣工验收，验收合格后，</w:t>
      </w:r>
      <w:r>
        <w:rPr>
          <w:rFonts w:hint="eastAsia"/>
          <w:color w:val="auto"/>
          <w:spacing w:val="-1"/>
          <w:highlight w:val="none"/>
          <w:u w:val="single" w:color="auto"/>
          <w:lang w:eastAsia="zh-CN"/>
        </w:rPr>
        <w:t>发包</w:t>
      </w:r>
      <w:r>
        <w:rPr>
          <w:color w:val="auto"/>
          <w:spacing w:val="-1"/>
          <w:highlight w:val="none"/>
          <w:u w:val="single" w:color="auto"/>
        </w:rPr>
        <w:t>人在收到</w:t>
      </w:r>
      <w:r>
        <w:rPr>
          <w:rFonts w:hint="eastAsia"/>
          <w:color w:val="auto"/>
          <w:spacing w:val="-1"/>
          <w:highlight w:val="none"/>
          <w:u w:val="single" w:color="auto"/>
          <w:lang w:eastAsia="zh-CN"/>
        </w:rPr>
        <w:t>承包</w:t>
      </w:r>
      <w:r>
        <w:rPr>
          <w:color w:val="auto"/>
          <w:spacing w:val="-1"/>
          <w:highlight w:val="none"/>
          <w:u w:val="single" w:color="auto"/>
        </w:rPr>
        <w:t>人提交的付款申请及对应金额合法发票后的</w:t>
      </w:r>
      <w:r>
        <w:rPr>
          <w:color w:val="auto"/>
          <w:spacing w:val="-5"/>
          <w:highlight w:val="none"/>
          <w:u w:val="single" w:color="auto"/>
        </w:rPr>
        <w:t>30</w:t>
      </w:r>
      <w:r>
        <w:rPr>
          <w:color w:val="auto"/>
          <w:spacing w:val="-42"/>
          <w:highlight w:val="none"/>
          <w:u w:val="single" w:color="auto"/>
        </w:rPr>
        <w:t xml:space="preserve"> </w:t>
      </w:r>
      <w:r>
        <w:rPr>
          <w:color w:val="auto"/>
          <w:spacing w:val="-5"/>
          <w:highlight w:val="none"/>
          <w:u w:val="single" w:color="auto"/>
        </w:rPr>
        <w:t>个工作日内，向</w:t>
      </w:r>
      <w:r>
        <w:rPr>
          <w:rFonts w:hint="eastAsia"/>
          <w:color w:val="auto"/>
          <w:spacing w:val="-5"/>
          <w:highlight w:val="none"/>
          <w:u w:val="single" w:color="auto"/>
          <w:lang w:eastAsia="zh-CN"/>
        </w:rPr>
        <w:t>承包</w:t>
      </w:r>
      <w:r>
        <w:rPr>
          <w:color w:val="auto"/>
          <w:spacing w:val="-5"/>
          <w:highlight w:val="none"/>
          <w:u w:val="single" w:color="auto"/>
        </w:rPr>
        <w:t>人支付设计费总额的1</w:t>
      </w:r>
      <w:r>
        <w:rPr>
          <w:rFonts w:hint="eastAsia"/>
          <w:color w:val="auto"/>
          <w:spacing w:val="-5"/>
          <w:highlight w:val="none"/>
          <w:u w:val="single" w:color="auto"/>
          <w:lang w:eastAsia="zh-CN"/>
        </w:rPr>
        <w:t>5%</w:t>
      </w:r>
      <w:r>
        <w:rPr>
          <w:color w:val="auto"/>
          <w:spacing w:val="-5"/>
          <w:highlight w:val="none"/>
          <w:u w:val="single" w:color="auto"/>
        </w:rPr>
        <w:t>。配合结算移交款：</w:t>
      </w:r>
      <w:r>
        <w:rPr>
          <w:rFonts w:hint="eastAsia"/>
          <w:color w:val="auto"/>
          <w:spacing w:val="-5"/>
          <w:highlight w:val="none"/>
          <w:u w:val="single" w:color="auto"/>
          <w:lang w:eastAsia="zh-CN"/>
        </w:rPr>
        <w:t>承包</w:t>
      </w:r>
      <w:r>
        <w:rPr>
          <w:color w:val="auto"/>
          <w:spacing w:val="-5"/>
          <w:highlight w:val="none"/>
          <w:u w:val="single" w:color="auto"/>
        </w:rPr>
        <w:t>人按要求完成配合结算工作，并</w:t>
      </w:r>
      <w:r>
        <w:rPr>
          <w:color w:val="auto"/>
          <w:spacing w:val="-1"/>
          <w:highlight w:val="none"/>
          <w:u w:val="single" w:color="auto"/>
        </w:rPr>
        <w:t>将相关资料完整移交使用方后，</w:t>
      </w:r>
      <w:r>
        <w:rPr>
          <w:rFonts w:hint="eastAsia"/>
          <w:color w:val="auto"/>
          <w:spacing w:val="-1"/>
          <w:highlight w:val="none"/>
          <w:u w:val="single" w:color="auto"/>
          <w:lang w:eastAsia="zh-CN"/>
        </w:rPr>
        <w:t>发包</w:t>
      </w:r>
      <w:r>
        <w:rPr>
          <w:color w:val="auto"/>
          <w:spacing w:val="-1"/>
          <w:highlight w:val="none"/>
          <w:u w:val="single" w:color="auto"/>
        </w:rPr>
        <w:t>人在收到</w:t>
      </w:r>
      <w:r>
        <w:rPr>
          <w:rFonts w:hint="eastAsia"/>
          <w:color w:val="auto"/>
          <w:spacing w:val="-1"/>
          <w:highlight w:val="none"/>
          <w:u w:val="single" w:color="auto"/>
          <w:lang w:eastAsia="zh-CN"/>
        </w:rPr>
        <w:t>承包</w:t>
      </w:r>
      <w:r>
        <w:rPr>
          <w:color w:val="auto"/>
          <w:spacing w:val="-1"/>
          <w:highlight w:val="none"/>
          <w:u w:val="single" w:color="auto"/>
        </w:rPr>
        <w:t>人提交的付款申请及对应金额合法发票后的30个工作</w:t>
      </w:r>
      <w:r>
        <w:rPr>
          <w:color w:val="auto"/>
          <w:spacing w:val="1"/>
          <w:highlight w:val="none"/>
          <w:u w:val="single" w:color="auto"/>
        </w:rPr>
        <w:t>日内，向</w:t>
      </w:r>
      <w:r>
        <w:rPr>
          <w:rFonts w:hint="eastAsia"/>
          <w:color w:val="auto"/>
          <w:spacing w:val="1"/>
          <w:highlight w:val="none"/>
          <w:u w:val="single" w:color="auto"/>
          <w:lang w:eastAsia="zh-CN"/>
        </w:rPr>
        <w:t>承包</w:t>
      </w:r>
      <w:r>
        <w:rPr>
          <w:color w:val="auto"/>
          <w:spacing w:val="1"/>
          <w:highlight w:val="none"/>
          <w:u w:val="single" w:color="auto"/>
        </w:rPr>
        <w:t>人支付设计费总额的</w:t>
      </w:r>
      <w:r>
        <w:rPr>
          <w:rFonts w:hint="eastAsia"/>
          <w:color w:val="auto"/>
          <w:spacing w:val="1"/>
          <w:highlight w:val="none"/>
          <w:u w:val="single" w:color="auto"/>
          <w:lang w:eastAsia="zh-CN"/>
        </w:rPr>
        <w:t>5%</w:t>
      </w:r>
      <w:r>
        <w:rPr>
          <w:color w:val="auto"/>
          <w:spacing w:val="1"/>
          <w:highlight w:val="none"/>
          <w:u w:val="single" w:color="auto"/>
        </w:rPr>
        <w:t>。</w:t>
      </w:r>
    </w:p>
    <w:p w14:paraId="3CD0C69F">
      <w:pPr>
        <w:spacing w:line="360" w:lineRule="auto"/>
        <w:ind w:firstLine="420" w:firstLineChars="200"/>
        <w:rPr>
          <w:rFonts w:hint="eastAsia" w:ascii="宋体" w:hAnsi="宋体" w:eastAsia="宋体" w:cs="宋体"/>
          <w:color w:val="auto"/>
          <w:sz w:val="21"/>
          <w:szCs w:val="21"/>
          <w:highlight w:val="none"/>
          <w:u w:val="single"/>
        </w:rPr>
      </w:pPr>
      <w:r>
        <w:rPr>
          <w:rFonts w:hint="eastAsia" w:eastAsia="宋体"/>
          <w:color w:val="auto"/>
          <w:highlight w:val="none"/>
          <w:u w:val="single" w:color="auto"/>
          <w:lang w:val="en-US" w:eastAsia="zh-CN"/>
        </w:rPr>
        <w:t>工程费</w:t>
      </w:r>
      <w:r>
        <w:rPr>
          <w:color w:val="auto"/>
          <w:highlight w:val="none"/>
          <w:u w:val="single" w:color="auto"/>
        </w:rPr>
        <w:t>进度付款的审核方式和支付的约定：工程进度付款的审核方式和支付的约定：按发包人审核的承包</w:t>
      </w:r>
      <w:r>
        <w:rPr>
          <w:color w:val="auto"/>
          <w:highlight w:val="none"/>
        </w:rPr>
        <w:t xml:space="preserve"> </w:t>
      </w:r>
      <w:r>
        <w:rPr>
          <w:color w:val="auto"/>
          <w:spacing w:val="-2"/>
          <w:highlight w:val="none"/>
          <w:u w:val="single" w:color="auto"/>
        </w:rPr>
        <w:t>人完成实际工程量月进度的8</w:t>
      </w:r>
      <w:r>
        <w:rPr>
          <w:rFonts w:hint="eastAsia"/>
          <w:color w:val="auto"/>
          <w:spacing w:val="-2"/>
          <w:highlight w:val="none"/>
          <w:u w:val="single" w:color="auto"/>
          <w:lang w:eastAsia="zh-CN"/>
        </w:rPr>
        <w:t>5%</w:t>
      </w:r>
      <w:r>
        <w:rPr>
          <w:color w:val="auto"/>
          <w:spacing w:val="-2"/>
          <w:highlight w:val="none"/>
          <w:u w:val="single" w:color="auto"/>
        </w:rPr>
        <w:t>支付、竣工验收合格后</w:t>
      </w:r>
      <w:r>
        <w:rPr>
          <w:color w:val="auto"/>
          <w:spacing w:val="-27"/>
          <w:highlight w:val="none"/>
          <w:u w:val="single" w:color="auto"/>
        </w:rPr>
        <w:t xml:space="preserve"> </w:t>
      </w:r>
      <w:r>
        <w:rPr>
          <w:color w:val="auto"/>
          <w:spacing w:val="-2"/>
          <w:highlight w:val="none"/>
          <w:u w:val="single" w:color="auto"/>
        </w:rPr>
        <w:t>15 日内支付到90%，竣工结算完成后</w:t>
      </w:r>
      <w:r>
        <w:rPr>
          <w:color w:val="auto"/>
          <w:spacing w:val="-27"/>
          <w:highlight w:val="none"/>
          <w:u w:val="single" w:color="auto"/>
        </w:rPr>
        <w:t xml:space="preserve"> </w:t>
      </w:r>
      <w:r>
        <w:rPr>
          <w:color w:val="auto"/>
          <w:spacing w:val="-2"/>
          <w:highlight w:val="none"/>
          <w:u w:val="single" w:color="auto"/>
        </w:rPr>
        <w:t>1</w:t>
      </w:r>
      <w:r>
        <w:rPr>
          <w:color w:val="auto"/>
          <w:spacing w:val="-3"/>
          <w:highlight w:val="none"/>
          <w:u w:val="single" w:color="auto"/>
        </w:rPr>
        <w:t>5 日内支付</w:t>
      </w:r>
      <w:r>
        <w:rPr>
          <w:color w:val="auto"/>
          <w:highlight w:val="none"/>
        </w:rPr>
        <w:t xml:space="preserve"> </w:t>
      </w:r>
      <w:r>
        <w:rPr>
          <w:color w:val="auto"/>
          <w:spacing w:val="-2"/>
          <w:highlight w:val="none"/>
          <w:u w:val="single" w:color="auto"/>
        </w:rPr>
        <w:t>到竣工结算价的9</w:t>
      </w:r>
      <w:r>
        <w:rPr>
          <w:rFonts w:hint="eastAsia"/>
          <w:color w:val="auto"/>
          <w:spacing w:val="-2"/>
          <w:highlight w:val="none"/>
          <w:u w:val="single" w:color="auto"/>
          <w:lang w:eastAsia="zh-CN"/>
        </w:rPr>
        <w:t>5%</w:t>
      </w:r>
      <w:r>
        <w:rPr>
          <w:color w:val="auto"/>
          <w:spacing w:val="-2"/>
          <w:highlight w:val="none"/>
          <w:u w:val="single" w:color="auto"/>
        </w:rPr>
        <w:t>，</w:t>
      </w:r>
      <w:r>
        <w:rPr>
          <w:color w:val="auto"/>
          <w:spacing w:val="-2"/>
          <w:highlight w:val="none"/>
          <w:u w:val="single"/>
        </w:rPr>
        <w:t>扣除2%作为民工工资保证金，待竣工结</w:t>
      </w:r>
      <w:r>
        <w:rPr>
          <w:color w:val="auto"/>
          <w:spacing w:val="-3"/>
          <w:highlight w:val="none"/>
          <w:u w:val="single"/>
        </w:rPr>
        <w:t>算后且未发生劳资纠纷事件，30</w:t>
      </w:r>
      <w:r>
        <w:rPr>
          <w:color w:val="auto"/>
          <w:spacing w:val="-40"/>
          <w:highlight w:val="none"/>
          <w:u w:val="single"/>
        </w:rPr>
        <w:t xml:space="preserve"> </w:t>
      </w:r>
      <w:r>
        <w:rPr>
          <w:color w:val="auto"/>
          <w:spacing w:val="-3"/>
          <w:highlight w:val="none"/>
          <w:u w:val="single"/>
        </w:rPr>
        <w:t>天内一次性</w:t>
      </w:r>
      <w:r>
        <w:rPr>
          <w:color w:val="auto"/>
          <w:highlight w:val="none"/>
          <w:u w:val="single"/>
        </w:rPr>
        <w:t xml:space="preserve"> </w:t>
      </w:r>
      <w:r>
        <w:rPr>
          <w:color w:val="auto"/>
          <w:spacing w:val="-2"/>
          <w:highlight w:val="none"/>
          <w:u w:val="single"/>
        </w:rPr>
        <w:t>予以返还，3%作为质保金待缺陷责任期结束后</w:t>
      </w:r>
      <w:r>
        <w:rPr>
          <w:color w:val="auto"/>
          <w:spacing w:val="-41"/>
          <w:highlight w:val="none"/>
          <w:u w:val="single"/>
        </w:rPr>
        <w:t xml:space="preserve"> </w:t>
      </w:r>
      <w:r>
        <w:rPr>
          <w:color w:val="auto"/>
          <w:spacing w:val="-2"/>
          <w:highlight w:val="none"/>
          <w:u w:val="single"/>
        </w:rPr>
        <w:t>30</w:t>
      </w:r>
      <w:r>
        <w:rPr>
          <w:color w:val="auto"/>
          <w:spacing w:val="-41"/>
          <w:highlight w:val="none"/>
          <w:u w:val="single"/>
        </w:rPr>
        <w:t xml:space="preserve"> </w:t>
      </w:r>
      <w:r>
        <w:rPr>
          <w:color w:val="auto"/>
          <w:spacing w:val="-2"/>
          <w:highlight w:val="none"/>
          <w:u w:val="single"/>
        </w:rPr>
        <w:t>天内返还。</w:t>
      </w:r>
    </w:p>
    <w:p w14:paraId="58E2967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outlineLvl w:val="2"/>
        <w:rPr>
          <w:rFonts w:hint="eastAsia" w:ascii="宋体" w:hAnsi="宋体" w:eastAsia="宋体" w:cs="宋体"/>
          <w:snapToGrid w:val="0"/>
          <w:color w:val="auto"/>
          <w:kern w:val="0"/>
          <w:sz w:val="21"/>
          <w:szCs w:val="21"/>
          <w:highlight w:val="none"/>
          <w:u w:val="none"/>
          <w:lang w:val="en-US" w:eastAsia="zh-CN" w:bidi="ar-SA"/>
        </w:rPr>
      </w:pPr>
      <w:r>
        <w:rPr>
          <w:rFonts w:hint="eastAsia" w:ascii="宋体" w:hAnsi="宋体" w:eastAsia="宋体" w:cs="宋体"/>
          <w:snapToGrid w:val="0"/>
          <w:color w:val="auto"/>
          <w:kern w:val="0"/>
          <w:sz w:val="21"/>
          <w:szCs w:val="21"/>
          <w:highlight w:val="none"/>
          <w:u w:val="none"/>
          <w:lang w:val="en-US" w:eastAsia="zh-CN" w:bidi="ar-SA"/>
        </w:rPr>
        <w:t>安全生产费</w:t>
      </w:r>
    </w:p>
    <w:p w14:paraId="40AD9E26">
      <w:pPr>
        <w:spacing w:line="360" w:lineRule="auto"/>
        <w:ind w:firstLine="6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lang w:val="en-US" w:eastAsia="zh-CN"/>
        </w:rPr>
        <w:t>安全生产费不低于建安费用的3%，每期进度款支付申请中安全生产费支付不得低于该比例。</w:t>
      </w:r>
    </w:p>
    <w:p w14:paraId="040520ED">
      <w:pPr>
        <w:pStyle w:val="9"/>
        <w:keepNext w:val="0"/>
        <w:keepLines w:val="0"/>
        <w:pageBreakBefore w:val="0"/>
        <w:widowControl/>
        <w:kinsoku w:val="0"/>
        <w:wordWrap/>
        <w:overflowPunct/>
        <w:topLinePunct w:val="0"/>
        <w:autoSpaceDE w:val="0"/>
        <w:autoSpaceDN w:val="0"/>
        <w:bidi w:val="0"/>
        <w:adjustRightInd w:val="0"/>
        <w:snapToGrid w:val="0"/>
        <w:spacing w:line="360" w:lineRule="auto"/>
        <w:ind w:right="0" w:firstLine="618" w:firstLineChars="300"/>
        <w:jc w:val="both"/>
        <w:textAlignment w:val="baseline"/>
        <w:rPr>
          <w:color w:val="auto"/>
          <w:highlight w:val="none"/>
        </w:rPr>
      </w:pPr>
      <w:bookmarkStart w:id="2225" w:name="_Toc19158"/>
      <w:r>
        <w:rPr>
          <w:color w:val="auto"/>
          <w:spacing w:val="-2"/>
          <w:highlight w:val="none"/>
        </w:rPr>
        <w:t>发包人应在进度款支付证书或临时进度款支付证书签发后的</w:t>
      </w:r>
      <w:r>
        <w:rPr>
          <w:color w:val="auto"/>
          <w:spacing w:val="-2"/>
          <w:highlight w:val="none"/>
          <w:u w:val="single" w:color="auto"/>
        </w:rPr>
        <w:t xml:space="preserve">  </w:t>
      </w:r>
      <w:r>
        <w:rPr>
          <w:color w:val="auto"/>
          <w:spacing w:val="-3"/>
          <w:highlight w:val="none"/>
          <w:u w:val="single" w:color="auto"/>
        </w:rPr>
        <w:t xml:space="preserve">30 </w:t>
      </w:r>
      <w:r>
        <w:rPr>
          <w:color w:val="auto"/>
          <w:spacing w:val="-3"/>
          <w:highlight w:val="none"/>
        </w:rPr>
        <w:t>天内完成支付，发包人逾期支付进</w:t>
      </w:r>
      <w:r>
        <w:rPr>
          <w:color w:val="auto"/>
          <w:highlight w:val="none"/>
        </w:rPr>
        <w:t xml:space="preserve"> </w:t>
      </w:r>
      <w:r>
        <w:rPr>
          <w:color w:val="auto"/>
          <w:spacing w:val="-4"/>
          <w:highlight w:val="none"/>
        </w:rPr>
        <w:t>度款的，应按照</w:t>
      </w:r>
      <w:r>
        <w:rPr>
          <w:color w:val="auto"/>
          <w:spacing w:val="-4"/>
          <w:highlight w:val="none"/>
          <w:u w:val="single" w:color="auto"/>
        </w:rPr>
        <w:t xml:space="preserve"> LPR（市场贷款报价利率）的</w:t>
      </w:r>
      <w:r>
        <w:rPr>
          <w:color w:val="auto"/>
          <w:spacing w:val="-42"/>
          <w:highlight w:val="none"/>
          <w:u w:val="single" w:color="auto"/>
        </w:rPr>
        <w:t xml:space="preserve"> </w:t>
      </w:r>
      <w:r>
        <w:rPr>
          <w:color w:val="auto"/>
          <w:spacing w:val="-4"/>
          <w:highlight w:val="none"/>
          <w:u w:val="single" w:color="auto"/>
        </w:rPr>
        <w:t>2</w:t>
      </w:r>
      <w:r>
        <w:rPr>
          <w:color w:val="auto"/>
          <w:spacing w:val="-44"/>
          <w:highlight w:val="none"/>
          <w:u w:val="single" w:color="auto"/>
        </w:rPr>
        <w:t xml:space="preserve"> </w:t>
      </w:r>
      <w:r>
        <w:rPr>
          <w:color w:val="auto"/>
          <w:spacing w:val="-4"/>
          <w:highlight w:val="none"/>
          <w:u w:val="single" w:color="auto"/>
        </w:rPr>
        <w:t>倍支付逾期</w:t>
      </w:r>
      <w:r>
        <w:rPr>
          <w:color w:val="auto"/>
          <w:spacing w:val="-5"/>
          <w:highlight w:val="none"/>
          <w:u w:val="single" w:color="auto"/>
        </w:rPr>
        <w:t xml:space="preserve">利息 </w:t>
      </w:r>
      <w:r>
        <w:rPr>
          <w:color w:val="auto"/>
          <w:spacing w:val="-5"/>
          <w:highlight w:val="none"/>
        </w:rPr>
        <w:t>支付违约金。发包人逾期支付超过</w:t>
      </w:r>
      <w:r>
        <w:rPr>
          <w:color w:val="auto"/>
          <w:spacing w:val="-43"/>
          <w:highlight w:val="none"/>
        </w:rPr>
        <w:t xml:space="preserve"> </w:t>
      </w:r>
      <w:r>
        <w:rPr>
          <w:color w:val="auto"/>
          <w:spacing w:val="-5"/>
          <w:highlight w:val="none"/>
        </w:rPr>
        <w:t>60</w:t>
      </w:r>
      <w:r>
        <w:rPr>
          <w:color w:val="auto"/>
          <w:spacing w:val="-40"/>
          <w:highlight w:val="none"/>
        </w:rPr>
        <w:t xml:space="preserve"> </w:t>
      </w:r>
      <w:r>
        <w:rPr>
          <w:color w:val="auto"/>
          <w:spacing w:val="-5"/>
          <w:highlight w:val="none"/>
        </w:rPr>
        <w:t>天，承包人有权停工。</w:t>
      </w:r>
    </w:p>
    <w:p w14:paraId="5366C6B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r>
        <w:rPr>
          <w:color w:val="auto"/>
          <w:spacing w:val="-3"/>
          <w:highlight w:val="none"/>
        </w:rPr>
        <w:t>14.4 付款计划表</w:t>
      </w:r>
      <w:bookmarkEnd w:id="2225"/>
    </w:p>
    <w:p w14:paraId="2CBCA35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14.4.1 付款计划表的编制要求：</w:t>
      </w:r>
      <w:r>
        <w:rPr>
          <w:color w:val="auto"/>
          <w:spacing w:val="-1"/>
          <w:highlight w:val="none"/>
          <w:u w:val="single" w:color="auto"/>
        </w:rPr>
        <w:t xml:space="preserve"> 按发包人要求  </w:t>
      </w:r>
      <w:r>
        <w:rPr>
          <w:color w:val="auto"/>
          <w:spacing w:val="-1"/>
          <w:highlight w:val="none"/>
        </w:rPr>
        <w:t>。</w:t>
      </w:r>
    </w:p>
    <w:p w14:paraId="7CCE389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14.4.2 付款计划表的编制与审批</w:t>
      </w:r>
    </w:p>
    <w:p w14:paraId="35C22E1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付款计划表的编制：</w:t>
      </w:r>
      <w:r>
        <w:rPr>
          <w:color w:val="auto"/>
          <w:spacing w:val="-1"/>
          <w:highlight w:val="none"/>
          <w:u w:val="single" w:color="auto"/>
        </w:rPr>
        <w:t xml:space="preserve"> 按发包人要求  </w:t>
      </w:r>
      <w:r>
        <w:rPr>
          <w:color w:val="auto"/>
          <w:spacing w:val="-1"/>
          <w:highlight w:val="none"/>
        </w:rPr>
        <w:t>。</w:t>
      </w:r>
    </w:p>
    <w:p w14:paraId="7C43E80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spacing w:val="-3"/>
          <w:highlight w:val="none"/>
        </w:rPr>
      </w:pPr>
      <w:bookmarkStart w:id="2226" w:name="_Toc11245"/>
      <w:r>
        <w:rPr>
          <w:color w:val="auto"/>
          <w:spacing w:val="-3"/>
          <w:highlight w:val="none"/>
        </w:rPr>
        <w:t>14.5 竣工结算</w:t>
      </w:r>
      <w:bookmarkEnd w:id="2226"/>
    </w:p>
    <w:p w14:paraId="67CD074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rFonts w:hint="default" w:eastAsia="宋体"/>
          <w:color w:val="auto"/>
          <w:spacing w:val="-3"/>
          <w:highlight w:val="none"/>
          <w:lang w:val="en-US" w:eastAsia="zh-CN"/>
        </w:rPr>
      </w:pPr>
      <w:r>
        <w:rPr>
          <w:rFonts w:hint="eastAsia"/>
          <w:color w:val="auto"/>
          <w:spacing w:val="-3"/>
          <w:highlight w:val="none"/>
          <w:lang w:val="en-US" w:eastAsia="zh-CN"/>
        </w:rPr>
        <w:t>14.5.1 竣工结算编制方式</w:t>
      </w:r>
    </w:p>
    <w:p w14:paraId="5378B83B">
      <w:pPr>
        <w:keepNext w:val="0"/>
        <w:keepLines w:val="0"/>
        <w:pageBreakBefore w:val="0"/>
        <w:widowControl/>
        <w:numPr>
          <w:ilvl w:val="0"/>
          <w:numId w:val="4"/>
        </w:numPr>
        <w:kinsoku w:val="0"/>
        <w:wordWrap/>
        <w:overflowPunct/>
        <w:topLinePunct w:val="0"/>
        <w:autoSpaceDE w:val="0"/>
        <w:autoSpaceDN w:val="0"/>
        <w:bidi w:val="0"/>
        <w:adjustRightInd w:val="0"/>
        <w:snapToGrid w:val="0"/>
        <w:spacing w:line="360" w:lineRule="auto"/>
        <w:ind w:firstLine="416" w:firstLineChars="200"/>
        <w:jc w:val="left"/>
        <w:textAlignment w:val="baseline"/>
        <w:rPr>
          <w:rFonts w:hint="eastAsia" w:ascii="宋体" w:hAnsi="宋体" w:eastAsia="宋体" w:cs="宋体"/>
          <w:snapToGrid w:val="0"/>
          <w:color w:val="auto"/>
          <w:spacing w:val="-1"/>
          <w:kern w:val="0"/>
          <w:sz w:val="21"/>
          <w:szCs w:val="21"/>
          <w:highlight w:val="none"/>
          <w:u w:val="single" w:color="auto"/>
          <w:lang w:val="en-US" w:eastAsia="en-US" w:bidi="ar-SA"/>
        </w:rPr>
      </w:pPr>
      <w:r>
        <w:rPr>
          <w:rFonts w:hint="eastAsia" w:ascii="宋体" w:hAnsi="宋体" w:eastAsia="宋体" w:cs="宋体"/>
          <w:snapToGrid w:val="0"/>
          <w:color w:val="auto"/>
          <w:spacing w:val="-1"/>
          <w:kern w:val="0"/>
          <w:sz w:val="21"/>
          <w:szCs w:val="21"/>
          <w:highlight w:val="none"/>
          <w:u w:val="single" w:color="auto"/>
          <w:lang w:val="en-US" w:eastAsia="zh-CN" w:bidi="ar-SA"/>
        </w:rPr>
        <w:t>本项目结算工程量以实际完成工程量按</w:t>
      </w:r>
      <w:r>
        <w:rPr>
          <w:rFonts w:hint="eastAsia" w:ascii="宋体" w:hAnsi="宋体" w:eastAsia="宋体" w:cs="宋体"/>
          <w:snapToGrid w:val="0"/>
          <w:color w:val="auto"/>
          <w:spacing w:val="-1"/>
          <w:kern w:val="0"/>
          <w:sz w:val="21"/>
          <w:szCs w:val="21"/>
          <w:highlight w:val="none"/>
          <w:u w:val="single" w:color="auto"/>
          <w:lang w:val="en-US" w:eastAsia="en-US" w:bidi="ar-SA"/>
        </w:rPr>
        <w:t>辽宁省</w:t>
      </w:r>
      <w:r>
        <w:rPr>
          <w:rFonts w:hint="eastAsia" w:ascii="宋体" w:hAnsi="宋体" w:eastAsia="宋体" w:cs="宋体"/>
          <w:snapToGrid w:val="0"/>
          <w:color w:val="auto"/>
          <w:spacing w:val="-1"/>
          <w:kern w:val="0"/>
          <w:sz w:val="21"/>
          <w:szCs w:val="21"/>
          <w:highlight w:val="none"/>
          <w:u w:val="single" w:color="auto"/>
          <w:lang w:val="en-US" w:eastAsia="zh-CN" w:bidi="ar-SA"/>
        </w:rPr>
        <w:t>2024</w:t>
      </w:r>
      <w:r>
        <w:rPr>
          <w:rFonts w:hint="eastAsia" w:ascii="宋体" w:hAnsi="宋体" w:eastAsia="宋体" w:cs="宋体"/>
          <w:snapToGrid w:val="0"/>
          <w:color w:val="auto"/>
          <w:spacing w:val="-1"/>
          <w:kern w:val="0"/>
          <w:sz w:val="21"/>
          <w:szCs w:val="21"/>
          <w:highlight w:val="none"/>
          <w:u w:val="single" w:color="auto"/>
          <w:lang w:val="en-US" w:eastAsia="en-US" w:bidi="ar-SA"/>
        </w:rPr>
        <w:t>《房屋建筑与装饰工程定额》、《通用安装工程定额》、《市政工程定额》、《园林绿化工程定额》、《绿色建筑工程定额》、《装配式建筑工程定额》及相关配套文件</w:t>
      </w:r>
      <w:r>
        <w:rPr>
          <w:rFonts w:hint="eastAsia" w:ascii="宋体" w:hAnsi="宋体" w:eastAsia="宋体" w:cs="宋体"/>
          <w:snapToGrid w:val="0"/>
          <w:color w:val="auto"/>
          <w:spacing w:val="-1"/>
          <w:kern w:val="0"/>
          <w:sz w:val="21"/>
          <w:szCs w:val="21"/>
          <w:highlight w:val="none"/>
          <w:u w:val="single" w:color="auto"/>
          <w:lang w:val="en-US" w:eastAsia="zh-CN" w:bidi="ar-SA"/>
        </w:rPr>
        <w:t xml:space="preserve">下浮         </w:t>
      </w:r>
      <w:r>
        <w:rPr>
          <w:rFonts w:hint="eastAsia" w:ascii="宋体" w:hAnsi="宋体" w:eastAsia="宋体" w:cs="宋体"/>
          <w:snapToGrid w:val="0"/>
          <w:color w:val="auto"/>
          <w:spacing w:val="-1"/>
          <w:kern w:val="0"/>
          <w:sz w:val="21"/>
          <w:szCs w:val="21"/>
          <w:highlight w:val="none"/>
          <w:u w:val="single" w:color="auto"/>
          <w:lang w:val="en-US" w:eastAsia="en-US" w:bidi="ar-SA"/>
        </w:rPr>
        <w:t>计价</w:t>
      </w:r>
      <w:r>
        <w:rPr>
          <w:rFonts w:hint="eastAsia" w:ascii="宋体" w:hAnsi="宋体" w:eastAsia="宋体" w:cs="宋体"/>
          <w:snapToGrid w:val="0"/>
          <w:color w:val="auto"/>
          <w:spacing w:val="-1"/>
          <w:kern w:val="0"/>
          <w:sz w:val="21"/>
          <w:szCs w:val="21"/>
          <w:highlight w:val="none"/>
          <w:u w:val="single" w:color="auto"/>
          <w:lang w:val="en-US" w:eastAsia="zh-CN" w:bidi="ar-SA"/>
        </w:rPr>
        <w:t>，作为最终结算总价。</w:t>
      </w:r>
    </w:p>
    <w:p w14:paraId="24AF0EB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16" w:firstLineChars="200"/>
        <w:jc w:val="left"/>
        <w:textAlignment w:val="baseline"/>
        <w:outlineLvl w:val="1"/>
        <w:rPr>
          <w:rFonts w:hint="eastAsia" w:ascii="宋体" w:hAnsi="宋体" w:eastAsia="宋体" w:cs="宋体"/>
          <w:snapToGrid w:val="0"/>
          <w:color w:val="auto"/>
          <w:spacing w:val="-1"/>
          <w:kern w:val="0"/>
          <w:sz w:val="21"/>
          <w:szCs w:val="21"/>
          <w:highlight w:val="none"/>
          <w:u w:val="single" w:color="auto"/>
          <w:lang w:val="en-US" w:eastAsia="en-US" w:bidi="ar-SA"/>
        </w:rPr>
      </w:pPr>
      <w:r>
        <w:rPr>
          <w:rFonts w:hint="eastAsia" w:ascii="宋体" w:hAnsi="宋体" w:eastAsia="宋体" w:cs="宋体"/>
          <w:snapToGrid w:val="0"/>
          <w:color w:val="auto"/>
          <w:spacing w:val="-1"/>
          <w:kern w:val="0"/>
          <w:sz w:val="21"/>
          <w:szCs w:val="21"/>
          <w:highlight w:val="none"/>
          <w:u w:val="single" w:color="auto"/>
          <w:lang w:val="en-US" w:eastAsia="zh-CN" w:bidi="ar-SA"/>
        </w:rPr>
        <w:t>（2）</w:t>
      </w:r>
      <w:r>
        <w:rPr>
          <w:rFonts w:hint="default"/>
          <w:color w:val="auto"/>
          <w:spacing w:val="-8"/>
          <w:highlight w:val="none"/>
          <w:u w:val="single" w:color="auto"/>
          <w:lang w:val="en-US" w:eastAsia="zh-CN"/>
        </w:rPr>
        <w:t>本合同项下设计费的</w:t>
      </w:r>
      <w:r>
        <w:rPr>
          <w:rFonts w:hint="eastAsia"/>
          <w:color w:val="auto"/>
          <w:spacing w:val="-1"/>
          <w:highlight w:val="none"/>
          <w:u w:val="single" w:color="auto"/>
          <w:lang w:val="en-US" w:eastAsia="zh-CN"/>
        </w:rPr>
        <w:t>结算价以最终工程竣工结算价为基价，依据《勘察设计收费标准2002版》及第三方审计</w:t>
      </w:r>
      <w:r>
        <w:rPr>
          <w:rFonts w:hint="default"/>
          <w:color w:val="auto"/>
          <w:spacing w:val="-1"/>
          <w:highlight w:val="none"/>
          <w:u w:val="single" w:color="auto"/>
          <w:lang w:val="en-US" w:eastAsia="zh-CN"/>
        </w:rPr>
        <w:t>机构出具的正式审计报告相关规则，核定设计费基准金额后，在此基准金额基础上下浮</w:t>
      </w:r>
      <w:r>
        <w:rPr>
          <w:rFonts w:hint="eastAsia"/>
          <w:color w:val="auto"/>
          <w:spacing w:val="-1"/>
          <w:highlight w:val="none"/>
          <w:u w:val="single" w:color="auto"/>
          <w:lang w:val="en-US" w:eastAsia="zh-CN"/>
        </w:rPr>
        <w:t xml:space="preserve">          作为设计费最终结算总价。</w:t>
      </w:r>
    </w:p>
    <w:p w14:paraId="6AEC8DF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16" w:firstLineChars="200"/>
        <w:jc w:val="left"/>
        <w:textAlignment w:val="baseline"/>
        <w:rPr>
          <w:rFonts w:hint="eastAsia" w:ascii="宋体" w:hAnsi="宋体" w:eastAsia="宋体" w:cs="宋体"/>
          <w:snapToGrid w:val="0"/>
          <w:color w:val="auto"/>
          <w:spacing w:val="-1"/>
          <w:kern w:val="0"/>
          <w:sz w:val="21"/>
          <w:szCs w:val="21"/>
          <w:highlight w:val="none"/>
          <w:u w:val="single" w:color="auto"/>
          <w:lang w:val="en-US" w:eastAsia="en-US" w:bidi="ar-SA"/>
        </w:rPr>
      </w:pPr>
      <w:r>
        <w:rPr>
          <w:rFonts w:hint="eastAsia" w:ascii="宋体" w:hAnsi="宋体" w:eastAsia="宋体" w:cs="宋体"/>
          <w:snapToGrid w:val="0"/>
          <w:color w:val="auto"/>
          <w:spacing w:val="-1"/>
          <w:kern w:val="0"/>
          <w:sz w:val="21"/>
          <w:szCs w:val="21"/>
          <w:highlight w:val="none"/>
          <w:u w:val="single" w:color="auto"/>
          <w:lang w:val="en-US" w:eastAsia="zh-CN" w:bidi="ar-SA"/>
        </w:rPr>
        <w:t>（3）</w:t>
      </w:r>
      <w:r>
        <w:rPr>
          <w:rFonts w:hint="eastAsia" w:ascii="宋体" w:hAnsi="宋体" w:eastAsia="宋体" w:cs="宋体"/>
          <w:snapToGrid w:val="0"/>
          <w:color w:val="auto"/>
          <w:spacing w:val="-1"/>
          <w:kern w:val="0"/>
          <w:sz w:val="21"/>
          <w:szCs w:val="21"/>
          <w:highlight w:val="none"/>
          <w:u w:val="single" w:color="auto"/>
          <w:lang w:val="en-US" w:eastAsia="en-US" w:bidi="ar-SA"/>
        </w:rPr>
        <w:t>材料价格</w:t>
      </w:r>
      <w:r>
        <w:rPr>
          <w:rFonts w:hint="eastAsia" w:ascii="宋体" w:hAnsi="宋体" w:eastAsia="宋体" w:cs="宋体"/>
          <w:snapToGrid w:val="0"/>
          <w:color w:val="auto"/>
          <w:spacing w:val="-1"/>
          <w:kern w:val="0"/>
          <w:sz w:val="21"/>
          <w:szCs w:val="21"/>
          <w:highlight w:val="none"/>
          <w:u w:val="single" w:color="auto"/>
          <w:lang w:val="en-US" w:eastAsia="zh-CN" w:bidi="ar-SA"/>
        </w:rPr>
        <w:t>参照施工</w:t>
      </w:r>
      <w:r>
        <w:rPr>
          <w:rFonts w:hint="eastAsia" w:ascii="宋体" w:hAnsi="宋体" w:eastAsia="宋体" w:cs="宋体"/>
          <w:snapToGrid w:val="0"/>
          <w:color w:val="auto"/>
          <w:spacing w:val="-1"/>
          <w:kern w:val="0"/>
          <w:sz w:val="21"/>
          <w:szCs w:val="21"/>
          <w:highlight w:val="none"/>
          <w:u w:val="single" w:color="auto"/>
          <w:lang w:val="en-US" w:eastAsia="en-US" w:bidi="ar-SA"/>
        </w:rPr>
        <w:t>期营口市造价信息的材料价格</w:t>
      </w:r>
      <w:r>
        <w:rPr>
          <w:rFonts w:hint="eastAsia" w:ascii="宋体" w:hAnsi="宋体" w:eastAsia="宋体" w:cs="宋体"/>
          <w:snapToGrid w:val="0"/>
          <w:color w:val="auto"/>
          <w:spacing w:val="-1"/>
          <w:kern w:val="0"/>
          <w:sz w:val="21"/>
          <w:szCs w:val="21"/>
          <w:highlight w:val="none"/>
          <w:u w:val="single" w:color="auto"/>
          <w:lang w:val="en-US" w:eastAsia="zh-CN" w:bidi="ar-SA"/>
        </w:rPr>
        <w:t>。</w:t>
      </w:r>
      <w:r>
        <w:rPr>
          <w:rFonts w:hint="eastAsia" w:ascii="宋体" w:hAnsi="宋体" w:eastAsia="宋体" w:cs="宋体"/>
          <w:snapToGrid w:val="0"/>
          <w:color w:val="auto"/>
          <w:spacing w:val="-1"/>
          <w:kern w:val="0"/>
          <w:sz w:val="21"/>
          <w:szCs w:val="21"/>
          <w:highlight w:val="none"/>
          <w:u w:val="single" w:color="auto"/>
          <w:lang w:val="en-US" w:eastAsia="en-US" w:bidi="ar-SA"/>
        </w:rPr>
        <w:t>材料价格在营口市造价信息中都没有的，</w:t>
      </w:r>
      <w:r>
        <w:rPr>
          <w:rFonts w:hint="eastAsia" w:ascii="宋体" w:hAnsi="宋体" w:eastAsia="宋体" w:cs="宋体"/>
          <w:snapToGrid w:val="0"/>
          <w:color w:val="auto"/>
          <w:spacing w:val="-1"/>
          <w:kern w:val="0"/>
          <w:sz w:val="21"/>
          <w:szCs w:val="21"/>
          <w:highlight w:val="none"/>
          <w:u w:val="single" w:color="auto"/>
          <w:lang w:val="en-US" w:eastAsia="zh-CN" w:bidi="ar-SA"/>
        </w:rPr>
        <w:t>参照沈阳地区信息价，两个地区信息价都没有的再</w:t>
      </w:r>
      <w:r>
        <w:rPr>
          <w:rFonts w:hint="eastAsia" w:ascii="宋体" w:hAnsi="宋体" w:eastAsia="宋体" w:cs="宋体"/>
          <w:snapToGrid w:val="0"/>
          <w:color w:val="auto"/>
          <w:spacing w:val="-1"/>
          <w:kern w:val="0"/>
          <w:sz w:val="21"/>
          <w:szCs w:val="21"/>
          <w:highlight w:val="none"/>
          <w:u w:val="single" w:color="auto"/>
          <w:lang w:val="en-US" w:eastAsia="en-US" w:bidi="ar-SA"/>
        </w:rPr>
        <w:t>由发包方或监理单位会同承包方经市场调查、询价后，共同确定品牌</w:t>
      </w:r>
      <w:r>
        <w:rPr>
          <w:rFonts w:hint="eastAsia" w:ascii="宋体" w:hAnsi="宋体" w:eastAsia="宋体" w:cs="宋体"/>
          <w:snapToGrid w:val="0"/>
          <w:color w:val="auto"/>
          <w:spacing w:val="-1"/>
          <w:kern w:val="0"/>
          <w:sz w:val="21"/>
          <w:szCs w:val="21"/>
          <w:highlight w:val="none"/>
          <w:u w:val="single" w:color="auto"/>
          <w:lang w:val="en-US" w:eastAsia="zh-CN" w:bidi="ar-SA"/>
        </w:rPr>
        <w:t>及</w:t>
      </w:r>
      <w:r>
        <w:rPr>
          <w:rFonts w:hint="eastAsia" w:ascii="宋体" w:hAnsi="宋体" w:eastAsia="宋体" w:cs="宋体"/>
          <w:snapToGrid w:val="0"/>
          <w:color w:val="auto"/>
          <w:spacing w:val="-1"/>
          <w:kern w:val="0"/>
          <w:sz w:val="21"/>
          <w:szCs w:val="21"/>
          <w:highlight w:val="none"/>
          <w:u w:val="single" w:color="auto"/>
          <w:lang w:val="en-US" w:eastAsia="en-US" w:bidi="ar-SA"/>
        </w:rPr>
        <w:t>采购单价。</w:t>
      </w:r>
    </w:p>
    <w:p w14:paraId="12F90E7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16" w:firstLineChars="200"/>
        <w:jc w:val="left"/>
        <w:textAlignment w:val="baseline"/>
        <w:rPr>
          <w:rFonts w:ascii="宋体" w:hAnsi="宋体" w:eastAsia="宋体" w:cs="宋体"/>
          <w:snapToGrid w:val="0"/>
          <w:color w:val="auto"/>
          <w:spacing w:val="-1"/>
          <w:kern w:val="0"/>
          <w:sz w:val="21"/>
          <w:szCs w:val="21"/>
          <w:highlight w:val="none"/>
          <w:u w:val="single" w:color="auto"/>
          <w:lang w:val="en-US" w:eastAsia="en-US" w:bidi="ar-SA"/>
        </w:rPr>
      </w:pPr>
      <w:r>
        <w:rPr>
          <w:rFonts w:hint="eastAsia" w:ascii="宋体" w:hAnsi="宋体" w:eastAsia="宋体" w:cs="宋体"/>
          <w:snapToGrid w:val="0"/>
          <w:color w:val="auto"/>
          <w:spacing w:val="-1"/>
          <w:kern w:val="0"/>
          <w:sz w:val="21"/>
          <w:szCs w:val="21"/>
          <w:highlight w:val="none"/>
          <w:u w:val="single" w:color="auto"/>
          <w:lang w:val="en-US" w:eastAsia="zh-CN" w:bidi="ar-SA"/>
        </w:rPr>
        <w:t>（4）</w:t>
      </w:r>
      <w:r>
        <w:rPr>
          <w:rFonts w:hint="eastAsia" w:ascii="宋体" w:hAnsi="宋体" w:eastAsia="宋体" w:cs="宋体"/>
          <w:snapToGrid w:val="0"/>
          <w:color w:val="auto"/>
          <w:spacing w:val="-1"/>
          <w:kern w:val="0"/>
          <w:sz w:val="21"/>
          <w:szCs w:val="21"/>
          <w:highlight w:val="none"/>
          <w:u w:val="single" w:color="auto"/>
          <w:lang w:val="en-US" w:eastAsia="en-US" w:bidi="ar-SA"/>
        </w:rPr>
        <w:t>施工机械台班单价或施工机械使用费发生变化超过省级或行业建设主管部门，按规定调整价格</w:t>
      </w:r>
      <w:r>
        <w:rPr>
          <w:rFonts w:hint="eastAsia" w:ascii="宋体" w:hAnsi="宋体" w:eastAsia="宋体" w:cs="宋体"/>
          <w:snapToGrid w:val="0"/>
          <w:color w:val="auto"/>
          <w:spacing w:val="-1"/>
          <w:kern w:val="0"/>
          <w:sz w:val="21"/>
          <w:szCs w:val="21"/>
          <w:highlight w:val="none"/>
          <w:u w:val="single" w:color="auto"/>
          <w:lang w:val="en-US" w:eastAsia="zh-CN" w:bidi="ar-SA"/>
        </w:rPr>
        <w:t>。</w:t>
      </w:r>
    </w:p>
    <w:p w14:paraId="6EA3BB3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14.5.</w:t>
      </w:r>
      <w:r>
        <w:rPr>
          <w:rFonts w:hint="eastAsia"/>
          <w:color w:val="auto"/>
          <w:spacing w:val="-2"/>
          <w:highlight w:val="none"/>
          <w:lang w:val="en-US" w:eastAsia="zh-CN"/>
        </w:rPr>
        <w:t>2</w:t>
      </w:r>
      <w:r>
        <w:rPr>
          <w:color w:val="auto"/>
          <w:spacing w:val="-2"/>
          <w:highlight w:val="none"/>
        </w:rPr>
        <w:t xml:space="preserve"> 竣工结算申请</w:t>
      </w:r>
    </w:p>
    <w:p w14:paraId="06E50D3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承包人提交竣工结算申请的时间：</w:t>
      </w:r>
      <w:r>
        <w:rPr>
          <w:color w:val="auto"/>
          <w:spacing w:val="-1"/>
          <w:highlight w:val="none"/>
          <w:u w:val="single" w:color="auto"/>
        </w:rPr>
        <w:t xml:space="preserve">  执行通用合同条款 </w:t>
      </w:r>
      <w:r>
        <w:rPr>
          <w:color w:val="auto"/>
          <w:spacing w:val="-1"/>
          <w:highlight w:val="none"/>
        </w:rPr>
        <w:t>。</w:t>
      </w:r>
    </w:p>
    <w:p w14:paraId="5E306A1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spacing w:val="-1"/>
          <w:highlight w:val="none"/>
        </w:rPr>
      </w:pPr>
      <w:r>
        <w:rPr>
          <w:color w:val="auto"/>
          <w:spacing w:val="-1"/>
          <w:highlight w:val="none"/>
        </w:rPr>
        <w:t>竣工结算申请的资料清单和份数：</w:t>
      </w:r>
      <w:r>
        <w:rPr>
          <w:color w:val="auto"/>
          <w:spacing w:val="-1"/>
          <w:highlight w:val="none"/>
          <w:u w:val="single" w:color="auto"/>
        </w:rPr>
        <w:t xml:space="preserve"> </w:t>
      </w:r>
      <w:r>
        <w:rPr>
          <w:rFonts w:hint="eastAsia"/>
          <w:color w:val="auto"/>
          <w:spacing w:val="-1"/>
          <w:highlight w:val="none"/>
          <w:u w:val="single" w:color="auto"/>
          <w:lang w:val="en-US" w:eastAsia="zh-CN"/>
        </w:rPr>
        <w:t xml:space="preserve"> </w:t>
      </w:r>
      <w:r>
        <w:rPr>
          <w:color w:val="auto"/>
          <w:spacing w:val="-1"/>
          <w:highlight w:val="none"/>
          <w:u w:val="single" w:color="auto"/>
        </w:rPr>
        <w:t xml:space="preserve">执行通用合同条款 </w:t>
      </w:r>
      <w:r>
        <w:rPr>
          <w:color w:val="auto"/>
          <w:spacing w:val="-1"/>
          <w:highlight w:val="none"/>
        </w:rPr>
        <w:t>。</w:t>
      </w:r>
    </w:p>
    <w:p w14:paraId="349C4BD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8" w:firstLineChars="200"/>
        <w:textAlignment w:val="baseline"/>
        <w:rPr>
          <w:color w:val="auto"/>
          <w:spacing w:val="1"/>
          <w:highlight w:val="none"/>
        </w:rPr>
      </w:pPr>
      <w:r>
        <w:rPr>
          <w:color w:val="auto"/>
          <w:spacing w:val="2"/>
          <w:highlight w:val="none"/>
        </w:rPr>
        <w:t>竣工结算申请单的内容应包括</w:t>
      </w:r>
      <w:r>
        <w:rPr>
          <w:color w:val="auto"/>
          <w:spacing w:val="-49"/>
          <w:highlight w:val="none"/>
        </w:rPr>
        <w:t>：</w:t>
      </w:r>
      <w:r>
        <w:rPr>
          <w:color w:val="auto"/>
          <w:spacing w:val="3"/>
          <w:highlight w:val="none"/>
          <w:u w:val="single" w:color="auto"/>
        </w:rPr>
        <w:t xml:space="preserve"> </w:t>
      </w:r>
      <w:r>
        <w:rPr>
          <w:rFonts w:hint="eastAsia"/>
          <w:color w:val="auto"/>
          <w:spacing w:val="2"/>
          <w:highlight w:val="none"/>
          <w:u w:val="single" w:color="auto"/>
          <w:lang w:eastAsia="zh-CN"/>
        </w:rPr>
        <w:t>（</w:t>
      </w:r>
      <w:r>
        <w:rPr>
          <w:rFonts w:hint="eastAsia"/>
          <w:color w:val="auto"/>
          <w:spacing w:val="2"/>
          <w:highlight w:val="none"/>
          <w:u w:val="single" w:color="auto"/>
          <w:lang w:val="en-US" w:eastAsia="zh-CN"/>
        </w:rPr>
        <w:t>1</w:t>
      </w:r>
      <w:r>
        <w:rPr>
          <w:rFonts w:hint="eastAsia"/>
          <w:color w:val="auto"/>
          <w:spacing w:val="2"/>
          <w:highlight w:val="none"/>
          <w:u w:val="single" w:color="auto"/>
          <w:lang w:eastAsia="zh-CN"/>
        </w:rPr>
        <w:t>）</w:t>
      </w:r>
      <w:r>
        <w:rPr>
          <w:color w:val="auto"/>
          <w:spacing w:val="2"/>
          <w:highlight w:val="none"/>
          <w:u w:val="single" w:color="auto"/>
        </w:rPr>
        <w:t>竣工结算合同价格</w:t>
      </w:r>
      <w:r>
        <w:rPr>
          <w:color w:val="auto"/>
          <w:spacing w:val="-49"/>
          <w:highlight w:val="none"/>
          <w:u w:val="single" w:color="auto"/>
        </w:rPr>
        <w:t>；</w:t>
      </w:r>
      <w:r>
        <w:rPr>
          <w:rFonts w:hint="eastAsia"/>
          <w:color w:val="auto"/>
          <w:spacing w:val="2"/>
          <w:highlight w:val="none"/>
          <w:u w:val="single" w:color="auto"/>
          <w:lang w:eastAsia="zh-CN"/>
        </w:rPr>
        <w:t>（</w:t>
      </w:r>
      <w:r>
        <w:rPr>
          <w:rFonts w:hint="eastAsia"/>
          <w:color w:val="auto"/>
          <w:spacing w:val="2"/>
          <w:highlight w:val="none"/>
          <w:u w:val="single" w:color="auto"/>
          <w:lang w:val="en-US" w:eastAsia="zh-CN"/>
        </w:rPr>
        <w:t>2</w:t>
      </w:r>
      <w:r>
        <w:rPr>
          <w:rFonts w:hint="eastAsia"/>
          <w:color w:val="auto"/>
          <w:spacing w:val="2"/>
          <w:highlight w:val="none"/>
          <w:u w:val="single" w:color="auto"/>
          <w:lang w:eastAsia="zh-CN"/>
        </w:rPr>
        <w:t>）</w:t>
      </w:r>
      <w:r>
        <w:rPr>
          <w:rFonts w:hint="eastAsia"/>
          <w:color w:val="auto"/>
          <w:spacing w:val="2"/>
          <w:highlight w:val="none"/>
          <w:u w:val="single" w:color="auto"/>
          <w:lang w:val="en-US" w:eastAsia="zh-CN"/>
        </w:rPr>
        <w:t>竣工结算编制方式；</w:t>
      </w:r>
      <w:r>
        <w:rPr>
          <w:rFonts w:hint="eastAsia"/>
          <w:color w:val="auto"/>
          <w:spacing w:val="2"/>
          <w:highlight w:val="none"/>
          <w:u w:val="single" w:color="auto"/>
          <w:lang w:eastAsia="zh-CN"/>
        </w:rPr>
        <w:t>（</w:t>
      </w:r>
      <w:r>
        <w:rPr>
          <w:rFonts w:hint="eastAsia"/>
          <w:color w:val="auto"/>
          <w:spacing w:val="2"/>
          <w:highlight w:val="none"/>
          <w:u w:val="single" w:color="auto"/>
          <w:lang w:val="en-US" w:eastAsia="zh-CN"/>
        </w:rPr>
        <w:t>3</w:t>
      </w:r>
      <w:r>
        <w:rPr>
          <w:rFonts w:hint="eastAsia"/>
          <w:color w:val="auto"/>
          <w:spacing w:val="2"/>
          <w:highlight w:val="none"/>
          <w:u w:val="single" w:color="auto"/>
          <w:lang w:eastAsia="zh-CN"/>
        </w:rPr>
        <w:t>）</w:t>
      </w:r>
      <w:r>
        <w:rPr>
          <w:color w:val="auto"/>
          <w:spacing w:val="2"/>
          <w:highlight w:val="none"/>
          <w:u w:val="single" w:color="auto"/>
        </w:rPr>
        <w:t>发包人已支付承包人的款项</w:t>
      </w:r>
      <w:r>
        <w:rPr>
          <w:color w:val="auto"/>
          <w:spacing w:val="-49"/>
          <w:highlight w:val="none"/>
          <w:u w:val="single" w:color="auto"/>
        </w:rPr>
        <w:t>；</w:t>
      </w:r>
      <w:r>
        <w:rPr>
          <w:rFonts w:hint="eastAsia"/>
          <w:color w:val="auto"/>
          <w:spacing w:val="2"/>
          <w:highlight w:val="none"/>
          <w:u w:val="single" w:color="auto"/>
          <w:lang w:eastAsia="zh-CN"/>
        </w:rPr>
        <w:t>（</w:t>
      </w:r>
      <w:r>
        <w:rPr>
          <w:rFonts w:hint="eastAsia"/>
          <w:color w:val="auto"/>
          <w:spacing w:val="2"/>
          <w:highlight w:val="none"/>
          <w:u w:val="single" w:color="auto"/>
          <w:lang w:val="en-US" w:eastAsia="zh-CN"/>
        </w:rPr>
        <w:t>4</w:t>
      </w:r>
      <w:r>
        <w:rPr>
          <w:rFonts w:hint="eastAsia"/>
          <w:color w:val="auto"/>
          <w:spacing w:val="2"/>
          <w:highlight w:val="none"/>
          <w:u w:val="single" w:color="auto"/>
          <w:lang w:eastAsia="zh-CN"/>
        </w:rPr>
        <w:t>）</w:t>
      </w:r>
      <w:r>
        <w:rPr>
          <w:color w:val="auto"/>
          <w:spacing w:val="1"/>
          <w:highlight w:val="none"/>
          <w:u w:val="single" w:color="auto"/>
        </w:rPr>
        <w:t>应扣留的质量保证金</w:t>
      </w:r>
      <w:r>
        <w:rPr>
          <w:color w:val="auto"/>
          <w:spacing w:val="-50"/>
          <w:w w:val="90"/>
          <w:highlight w:val="none"/>
          <w:u w:val="single" w:color="auto"/>
        </w:rPr>
        <w:t>；</w:t>
      </w:r>
      <w:r>
        <w:rPr>
          <w:rFonts w:hint="eastAsia"/>
          <w:color w:val="auto"/>
          <w:spacing w:val="2"/>
          <w:highlight w:val="none"/>
          <w:u w:val="single" w:color="auto"/>
          <w:lang w:eastAsia="zh-CN"/>
        </w:rPr>
        <w:t>（</w:t>
      </w:r>
      <w:r>
        <w:rPr>
          <w:rFonts w:hint="eastAsia"/>
          <w:color w:val="auto"/>
          <w:spacing w:val="2"/>
          <w:highlight w:val="none"/>
          <w:u w:val="single" w:color="auto"/>
          <w:lang w:val="en-US" w:eastAsia="zh-CN"/>
        </w:rPr>
        <w:t>5</w:t>
      </w:r>
      <w:r>
        <w:rPr>
          <w:rFonts w:hint="eastAsia"/>
          <w:color w:val="auto"/>
          <w:spacing w:val="2"/>
          <w:highlight w:val="none"/>
          <w:u w:val="single" w:color="auto"/>
          <w:lang w:eastAsia="zh-CN"/>
        </w:rPr>
        <w:t>）</w:t>
      </w:r>
      <w:r>
        <w:rPr>
          <w:color w:val="auto"/>
          <w:spacing w:val="1"/>
          <w:highlight w:val="none"/>
          <w:u w:val="single" w:color="auto"/>
        </w:rPr>
        <w:t xml:space="preserve">发包人应支付承包人的合同价款 </w:t>
      </w:r>
      <w:r>
        <w:rPr>
          <w:color w:val="auto"/>
          <w:spacing w:val="1"/>
          <w:highlight w:val="none"/>
        </w:rPr>
        <w:t>。</w:t>
      </w:r>
    </w:p>
    <w:p w14:paraId="7AB4D87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14.5.</w:t>
      </w:r>
      <w:r>
        <w:rPr>
          <w:rFonts w:hint="eastAsia"/>
          <w:color w:val="auto"/>
          <w:spacing w:val="-2"/>
          <w:highlight w:val="none"/>
          <w:lang w:val="en-US" w:eastAsia="zh-CN"/>
        </w:rPr>
        <w:t>3</w:t>
      </w:r>
      <w:r>
        <w:rPr>
          <w:color w:val="auto"/>
          <w:spacing w:val="-2"/>
          <w:highlight w:val="none"/>
        </w:rPr>
        <w:t xml:space="preserve"> 竣工结算审核</w:t>
      </w:r>
    </w:p>
    <w:p w14:paraId="68DF808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hint="eastAsia" w:ascii="宋体" w:hAnsi="宋体" w:eastAsia="宋体" w:cs="宋体"/>
          <w:snapToGrid w:val="0"/>
          <w:color w:val="auto"/>
          <w:kern w:val="0"/>
          <w:sz w:val="21"/>
          <w:szCs w:val="21"/>
          <w:highlight w:val="none"/>
          <w:u w:val="single"/>
          <w:lang w:val="en-US" w:eastAsia="en-US" w:bidi="ar-SA"/>
        </w:rPr>
      </w:pPr>
      <w:r>
        <w:rPr>
          <w:rFonts w:hint="eastAsia" w:ascii="宋体" w:hAnsi="宋体" w:eastAsia="宋体" w:cs="宋体"/>
          <w:snapToGrid w:val="0"/>
          <w:color w:val="auto"/>
          <w:kern w:val="0"/>
          <w:sz w:val="21"/>
          <w:szCs w:val="21"/>
          <w:highlight w:val="none"/>
          <w:lang w:val="en-US" w:eastAsia="en-US" w:bidi="ar-SA"/>
        </w:rPr>
        <w:t xml:space="preserve">发包人审批竣工付款申请单的期限： </w:t>
      </w:r>
      <w:r>
        <w:rPr>
          <w:rFonts w:hint="eastAsia" w:ascii="宋体" w:hAnsi="宋体" w:eastAsia="宋体" w:cs="宋体"/>
          <w:snapToGrid w:val="0"/>
          <w:color w:val="auto"/>
          <w:kern w:val="0"/>
          <w:sz w:val="21"/>
          <w:szCs w:val="21"/>
          <w:highlight w:val="none"/>
          <w:u w:val="single"/>
          <w:lang w:val="en-US" w:eastAsia="en-US" w:bidi="ar-SA"/>
        </w:rPr>
        <w:t>监理人应在收到竣工结算申请单后14天内完成核查并报送发包人。发包人应在收到监理人提交的经审核的竣工结算申请单后 14 天内完成审批。监理人或发包人对竣工结算申请单有异议的，应在14日内书面一次性要求承包人进行修正和提供补充资料，承包人应提交修正后的竣工结算申请单；若逾期未向发包人书面通知提供修正和补充资料的，视为无异议。竣工结算审核期限按本条执行。</w:t>
      </w:r>
    </w:p>
    <w:p w14:paraId="486099E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发包人完成竣工付款的期限：</w:t>
      </w:r>
      <w:r>
        <w:rPr>
          <w:color w:val="auto"/>
          <w:spacing w:val="-2"/>
          <w:highlight w:val="none"/>
          <w:u w:val="single" w:color="auto"/>
        </w:rPr>
        <w:t xml:space="preserve"> 发包人完成</w:t>
      </w:r>
      <w:r>
        <w:rPr>
          <w:color w:val="auto"/>
          <w:spacing w:val="-3"/>
          <w:highlight w:val="none"/>
          <w:u w:val="single" w:color="auto"/>
        </w:rPr>
        <w:t>竣工付款申请单审批后</w:t>
      </w:r>
      <w:r>
        <w:rPr>
          <w:color w:val="auto"/>
          <w:spacing w:val="-29"/>
          <w:highlight w:val="none"/>
          <w:u w:val="single" w:color="auto"/>
        </w:rPr>
        <w:t xml:space="preserve"> </w:t>
      </w:r>
      <w:r>
        <w:rPr>
          <w:color w:val="auto"/>
          <w:spacing w:val="-3"/>
          <w:highlight w:val="none"/>
          <w:u w:val="single" w:color="auto"/>
        </w:rPr>
        <w:t xml:space="preserve">14 日内 </w:t>
      </w:r>
      <w:r>
        <w:rPr>
          <w:color w:val="auto"/>
          <w:spacing w:val="-3"/>
          <w:highlight w:val="none"/>
        </w:rPr>
        <w:t>。</w:t>
      </w:r>
    </w:p>
    <w:p w14:paraId="559C732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关于竣工付款证书异议部分复核的方式和程序：</w:t>
      </w:r>
      <w:r>
        <w:rPr>
          <w:color w:val="auto"/>
          <w:spacing w:val="-1"/>
          <w:highlight w:val="none"/>
          <w:u w:val="single" w:color="auto"/>
        </w:rPr>
        <w:t xml:space="preserve">  /  </w:t>
      </w:r>
      <w:r>
        <w:rPr>
          <w:color w:val="auto"/>
          <w:spacing w:val="-1"/>
          <w:highlight w:val="none"/>
        </w:rPr>
        <w:t>。</w:t>
      </w:r>
    </w:p>
    <w:p w14:paraId="3A5950F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r>
        <w:rPr>
          <w:color w:val="auto"/>
          <w:spacing w:val="-3"/>
          <w:highlight w:val="none"/>
        </w:rPr>
        <w:t>14.6 质量保证金</w:t>
      </w:r>
    </w:p>
    <w:p w14:paraId="53FB317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14.6.1 承包人提供质量保证金的方式</w:t>
      </w:r>
      <w:r>
        <w:rPr>
          <w:color w:val="auto"/>
          <w:spacing w:val="5"/>
          <w:highlight w:val="none"/>
        </w:rPr>
        <w:t xml:space="preserve">   </w:t>
      </w:r>
      <w:r>
        <w:rPr>
          <w:color w:val="auto"/>
          <w:spacing w:val="-6"/>
          <w:highlight w:val="none"/>
        </w:rPr>
        <w:t>质量保证金采用以下第</w:t>
      </w:r>
      <w:r>
        <w:rPr>
          <w:color w:val="auto"/>
          <w:spacing w:val="15"/>
          <w:highlight w:val="none"/>
          <w:u w:val="single" w:color="auto"/>
        </w:rPr>
        <w:t xml:space="preserve">   </w:t>
      </w:r>
      <w:r>
        <w:rPr>
          <w:color w:val="auto"/>
          <w:spacing w:val="-6"/>
          <w:highlight w:val="none"/>
          <w:u w:val="single" w:color="auto"/>
        </w:rPr>
        <w:t xml:space="preserve">(3)  </w:t>
      </w:r>
      <w:r>
        <w:rPr>
          <w:color w:val="auto"/>
          <w:spacing w:val="-95"/>
          <w:highlight w:val="none"/>
        </w:rPr>
        <w:t xml:space="preserve"> </w:t>
      </w:r>
      <w:r>
        <w:rPr>
          <w:color w:val="auto"/>
          <w:spacing w:val="-6"/>
          <w:highlight w:val="none"/>
        </w:rPr>
        <w:t>种方式：</w:t>
      </w:r>
    </w:p>
    <w:p w14:paraId="5254758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(1) 工程质量保证担保，保证金额为：</w:t>
      </w:r>
      <w:r>
        <w:rPr>
          <w:color w:val="auto"/>
          <w:spacing w:val="-1"/>
          <w:highlight w:val="none"/>
          <w:u w:val="single" w:color="auto"/>
        </w:rPr>
        <w:t xml:space="preserve">       /</w:t>
      </w:r>
      <w:r>
        <w:rPr>
          <w:color w:val="auto"/>
          <w:spacing w:val="-2"/>
          <w:highlight w:val="none"/>
          <w:u w:val="single" w:color="auto"/>
        </w:rPr>
        <w:t xml:space="preserve">         </w:t>
      </w:r>
      <w:r>
        <w:rPr>
          <w:color w:val="auto"/>
          <w:spacing w:val="-2"/>
          <w:highlight w:val="none"/>
        </w:rPr>
        <w:t>；</w:t>
      </w:r>
    </w:p>
    <w:p w14:paraId="5376678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4" w:firstLineChars="200"/>
        <w:textAlignment w:val="baseline"/>
        <w:rPr>
          <w:color w:val="auto"/>
          <w:highlight w:val="none"/>
        </w:rPr>
      </w:pPr>
      <w:r>
        <w:rPr>
          <w:color w:val="auto"/>
          <w:spacing w:val="-9"/>
          <w:highlight w:val="none"/>
        </w:rPr>
        <w:t xml:space="preserve">(2) </w:t>
      </w:r>
      <w:r>
        <w:rPr>
          <w:color w:val="auto"/>
          <w:spacing w:val="3"/>
          <w:highlight w:val="none"/>
          <w:u w:val="single" w:color="auto"/>
        </w:rPr>
        <w:t xml:space="preserve">   </w:t>
      </w:r>
      <w:r>
        <w:rPr>
          <w:color w:val="auto"/>
          <w:spacing w:val="-9"/>
          <w:highlight w:val="none"/>
          <w:u w:val="single" w:color="auto"/>
        </w:rPr>
        <w:t>/</w:t>
      </w:r>
      <w:r>
        <w:rPr>
          <w:color w:val="auto"/>
          <w:spacing w:val="1"/>
          <w:highlight w:val="none"/>
          <w:u w:val="single" w:color="auto"/>
        </w:rPr>
        <w:t xml:space="preserve">    </w:t>
      </w:r>
      <w:r>
        <w:rPr>
          <w:color w:val="auto"/>
          <w:spacing w:val="-9"/>
          <w:highlight w:val="none"/>
        </w:rPr>
        <w:t>%的工程款；</w:t>
      </w:r>
    </w:p>
    <w:p w14:paraId="55F90D97">
      <w:pPr>
        <w:spacing w:line="360" w:lineRule="auto"/>
        <w:ind w:firstLine="384" w:firstLineChars="200"/>
        <w:rPr>
          <w:rFonts w:hint="eastAsia" w:ascii="宋体" w:hAnsi="宋体" w:cs="宋体"/>
          <w:color w:val="auto"/>
          <w:szCs w:val="21"/>
          <w:highlight w:val="none"/>
        </w:rPr>
      </w:pPr>
      <w:r>
        <w:rPr>
          <w:rFonts w:ascii="宋体" w:hAnsi="宋体" w:eastAsia="宋体" w:cs="宋体"/>
          <w:snapToGrid w:val="0"/>
          <w:color w:val="auto"/>
          <w:spacing w:val="-9"/>
          <w:kern w:val="0"/>
          <w:sz w:val="21"/>
          <w:szCs w:val="21"/>
          <w:highlight w:val="none"/>
          <w:lang w:val="en-US" w:eastAsia="en-US" w:bidi="ar-SA"/>
        </w:rPr>
        <w:t xml:space="preserve">(3) 其他方式： </w:t>
      </w:r>
      <w:r>
        <w:rPr>
          <w:rFonts w:ascii="宋体" w:hAnsi="宋体" w:eastAsia="宋体" w:cs="宋体"/>
          <w:snapToGrid w:val="0"/>
          <w:color w:val="auto"/>
          <w:spacing w:val="-1"/>
          <w:kern w:val="0"/>
          <w:sz w:val="21"/>
          <w:szCs w:val="21"/>
          <w:highlight w:val="none"/>
          <w:u w:val="single" w:color="auto"/>
          <w:lang w:val="en-US" w:eastAsia="en-US" w:bidi="ar-SA"/>
        </w:rPr>
        <w:t xml:space="preserve">工程款 3%质保金由乙方提供等额质量保函替换 </w:t>
      </w:r>
      <w:r>
        <w:rPr>
          <w:color w:val="auto"/>
          <w:spacing w:val="-2"/>
          <w:highlight w:val="none"/>
        </w:rPr>
        <w:t>。</w:t>
      </w:r>
    </w:p>
    <w:p w14:paraId="519D140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14.6.2 质量保证金的预留</w:t>
      </w:r>
    </w:p>
    <w:p w14:paraId="389E1AA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质量保证金的预留采取以下第</w:t>
      </w:r>
      <w:r>
        <w:rPr>
          <w:color w:val="auto"/>
          <w:spacing w:val="57"/>
          <w:highlight w:val="none"/>
          <w:u w:val="single" w:color="auto"/>
        </w:rPr>
        <w:t xml:space="preserve"> </w:t>
      </w:r>
      <w:r>
        <w:rPr>
          <w:color w:val="auto"/>
          <w:spacing w:val="-5"/>
          <w:highlight w:val="none"/>
          <w:u w:val="single" w:color="auto"/>
        </w:rPr>
        <w:t xml:space="preserve">(1)  </w:t>
      </w:r>
      <w:r>
        <w:rPr>
          <w:color w:val="auto"/>
          <w:spacing w:val="-97"/>
          <w:highlight w:val="none"/>
        </w:rPr>
        <w:t xml:space="preserve"> </w:t>
      </w:r>
      <w:r>
        <w:rPr>
          <w:color w:val="auto"/>
          <w:spacing w:val="-5"/>
          <w:highlight w:val="none"/>
        </w:rPr>
        <w:t>种方式：</w:t>
      </w:r>
    </w:p>
    <w:p w14:paraId="731C10C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(1) 在支付工程进度款时逐次预留的质量保证金的比例：</w:t>
      </w:r>
      <w:r>
        <w:rPr>
          <w:color w:val="auto"/>
          <w:spacing w:val="-2"/>
          <w:highlight w:val="none"/>
          <w:u w:val="single" w:color="auto"/>
        </w:rPr>
        <w:t xml:space="preserve">   3%   </w:t>
      </w:r>
      <w:r>
        <w:rPr>
          <w:color w:val="auto"/>
          <w:spacing w:val="-82"/>
          <w:highlight w:val="none"/>
        </w:rPr>
        <w:t xml:space="preserve"> </w:t>
      </w:r>
      <w:r>
        <w:rPr>
          <w:color w:val="auto"/>
          <w:spacing w:val="-2"/>
          <w:highlight w:val="none"/>
        </w:rPr>
        <w:t>，在此情形下，质量保证金的计</w:t>
      </w:r>
      <w:r>
        <w:rPr>
          <w:color w:val="auto"/>
          <w:spacing w:val="-3"/>
          <w:highlight w:val="none"/>
        </w:rPr>
        <w:t>算基数不包括预付款的支付、扣回以及价格调整的金额；</w:t>
      </w:r>
    </w:p>
    <w:p w14:paraId="2CBC52D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(2) 工程竣工结算时一次性预留专用合同条件第</w:t>
      </w:r>
      <w:r>
        <w:rPr>
          <w:color w:val="auto"/>
          <w:spacing w:val="-28"/>
          <w:highlight w:val="none"/>
        </w:rPr>
        <w:t xml:space="preserve"> </w:t>
      </w:r>
      <w:r>
        <w:rPr>
          <w:color w:val="auto"/>
          <w:spacing w:val="-2"/>
          <w:highlight w:val="none"/>
        </w:rPr>
        <w:t>14.6.1</w:t>
      </w:r>
      <w:r>
        <w:rPr>
          <w:color w:val="auto"/>
          <w:spacing w:val="-41"/>
          <w:highlight w:val="none"/>
        </w:rPr>
        <w:t xml:space="preserve"> </w:t>
      </w:r>
      <w:r>
        <w:rPr>
          <w:color w:val="auto"/>
          <w:spacing w:val="-2"/>
          <w:highlight w:val="none"/>
        </w:rPr>
        <w:t>项第(2)目约定的工程款预留比例的质量保</w:t>
      </w:r>
      <w:r>
        <w:rPr>
          <w:color w:val="auto"/>
          <w:spacing w:val="-13"/>
          <w:highlight w:val="none"/>
        </w:rPr>
        <w:t>证金；</w:t>
      </w:r>
    </w:p>
    <w:p w14:paraId="03746A8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 xml:space="preserve">(3) 其他预留方式: </w:t>
      </w:r>
      <w:r>
        <w:rPr>
          <w:color w:val="auto"/>
          <w:highlight w:val="none"/>
          <w:u w:val="single" w:color="auto"/>
        </w:rPr>
        <w:t xml:space="preserve">               </w:t>
      </w:r>
      <w:r>
        <w:rPr>
          <w:color w:val="auto"/>
          <w:spacing w:val="-4"/>
          <w:highlight w:val="none"/>
          <w:u w:val="single" w:color="auto"/>
        </w:rPr>
        <w:t>/</w:t>
      </w:r>
      <w:r>
        <w:rPr>
          <w:color w:val="auto"/>
          <w:highlight w:val="none"/>
          <w:u w:val="single" w:color="auto"/>
        </w:rPr>
        <w:t xml:space="preserve">                 </w:t>
      </w:r>
      <w:r>
        <w:rPr>
          <w:color w:val="auto"/>
          <w:spacing w:val="-4"/>
          <w:highlight w:val="none"/>
        </w:rPr>
        <w:t>。</w:t>
      </w:r>
    </w:p>
    <w:p w14:paraId="4BF50E2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关于质量保证金的补充约定：</w:t>
      </w:r>
      <w:r>
        <w:rPr>
          <w:color w:val="auto"/>
          <w:highlight w:val="none"/>
          <w:u w:val="single" w:color="auto"/>
        </w:rPr>
        <w:t xml:space="preserve">          /   </w:t>
      </w:r>
      <w:r>
        <w:rPr>
          <w:color w:val="auto"/>
          <w:spacing w:val="-1"/>
          <w:highlight w:val="none"/>
          <w:u w:val="single" w:color="auto"/>
        </w:rPr>
        <w:t xml:space="preserve">           </w:t>
      </w:r>
      <w:r>
        <w:rPr>
          <w:color w:val="auto"/>
          <w:spacing w:val="-1"/>
          <w:highlight w:val="none"/>
        </w:rPr>
        <w:t>。</w:t>
      </w:r>
    </w:p>
    <w:p w14:paraId="5A49FA2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1"/>
        <w:rPr>
          <w:color w:val="auto"/>
          <w:highlight w:val="none"/>
        </w:rPr>
      </w:pPr>
      <w:bookmarkStart w:id="2227" w:name="_Toc10819"/>
      <w:r>
        <w:rPr>
          <w:color w:val="auto"/>
          <w:spacing w:val="-4"/>
          <w:highlight w:val="none"/>
        </w:rPr>
        <w:t>14.7</w:t>
      </w:r>
      <w:r>
        <w:rPr>
          <w:color w:val="auto"/>
          <w:spacing w:val="10"/>
          <w:highlight w:val="none"/>
        </w:rPr>
        <w:t xml:space="preserve"> </w:t>
      </w:r>
      <w:r>
        <w:rPr>
          <w:color w:val="auto"/>
          <w:spacing w:val="-4"/>
          <w:highlight w:val="none"/>
        </w:rPr>
        <w:t>最终结清</w:t>
      </w:r>
      <w:bookmarkEnd w:id="2227"/>
    </w:p>
    <w:p w14:paraId="317A3C5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14.7.1 最终结清申请单</w:t>
      </w:r>
    </w:p>
    <w:p w14:paraId="29442CD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当事人双方关于最终结清申请的其他约定：</w:t>
      </w:r>
      <w:r>
        <w:rPr>
          <w:color w:val="auto"/>
          <w:spacing w:val="-1"/>
          <w:highlight w:val="none"/>
          <w:u w:val="single" w:color="auto"/>
        </w:rPr>
        <w:t xml:space="preserve"> 执行通用合同条款 </w:t>
      </w:r>
      <w:r>
        <w:rPr>
          <w:color w:val="auto"/>
          <w:spacing w:val="-1"/>
          <w:highlight w:val="none"/>
        </w:rPr>
        <w:t>。</w:t>
      </w:r>
    </w:p>
    <w:p w14:paraId="4DDA9B2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14.7.2 最终结清证书和支付</w:t>
      </w:r>
    </w:p>
    <w:p w14:paraId="06247ED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当事人双方关于最终结清支付的其他约定：</w:t>
      </w:r>
      <w:r>
        <w:rPr>
          <w:color w:val="auto"/>
          <w:spacing w:val="-1"/>
          <w:highlight w:val="none"/>
          <w:u w:val="single" w:color="auto"/>
        </w:rPr>
        <w:t xml:space="preserve"> 执行通用合同条款 </w:t>
      </w:r>
      <w:r>
        <w:rPr>
          <w:color w:val="auto"/>
          <w:spacing w:val="-1"/>
          <w:highlight w:val="none"/>
        </w:rPr>
        <w:t>。</w:t>
      </w:r>
    </w:p>
    <w:p w14:paraId="52FFB9B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8" w:firstLineChars="200"/>
        <w:textAlignment w:val="baseline"/>
        <w:outlineLvl w:val="0"/>
        <w:rPr>
          <w:color w:val="auto"/>
          <w:highlight w:val="none"/>
        </w:rPr>
      </w:pPr>
      <w:bookmarkStart w:id="2228" w:name="_Toc26456"/>
      <w:r>
        <w:rPr>
          <w:color w:val="auto"/>
          <w:spacing w:val="-8"/>
          <w:highlight w:val="none"/>
        </w:rPr>
        <w:t>第</w:t>
      </w:r>
      <w:r>
        <w:rPr>
          <w:color w:val="auto"/>
          <w:spacing w:val="-28"/>
          <w:highlight w:val="none"/>
        </w:rPr>
        <w:t xml:space="preserve"> </w:t>
      </w:r>
      <w:r>
        <w:rPr>
          <w:color w:val="auto"/>
          <w:spacing w:val="-8"/>
          <w:highlight w:val="none"/>
        </w:rPr>
        <w:t>15</w:t>
      </w:r>
      <w:r>
        <w:rPr>
          <w:color w:val="auto"/>
          <w:spacing w:val="-43"/>
          <w:highlight w:val="none"/>
        </w:rPr>
        <w:t xml:space="preserve"> </w:t>
      </w:r>
      <w:r>
        <w:rPr>
          <w:color w:val="auto"/>
          <w:spacing w:val="-8"/>
          <w:highlight w:val="none"/>
        </w:rPr>
        <w:t>条</w:t>
      </w:r>
      <w:r>
        <w:rPr>
          <w:color w:val="auto"/>
          <w:spacing w:val="8"/>
          <w:highlight w:val="none"/>
        </w:rPr>
        <w:t xml:space="preserve"> </w:t>
      </w:r>
      <w:r>
        <w:rPr>
          <w:color w:val="auto"/>
          <w:spacing w:val="-8"/>
          <w:highlight w:val="none"/>
        </w:rPr>
        <w:t>违约</w:t>
      </w:r>
      <w:bookmarkEnd w:id="2228"/>
    </w:p>
    <w:p w14:paraId="699CB57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229" w:name="_Toc11901"/>
      <w:r>
        <w:rPr>
          <w:color w:val="auto"/>
          <w:spacing w:val="-3"/>
          <w:highlight w:val="none"/>
        </w:rPr>
        <w:t>15.1 发包人违约</w:t>
      </w:r>
      <w:bookmarkEnd w:id="2229"/>
    </w:p>
    <w:p w14:paraId="4856455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15.1.1 发包人违约的情形</w:t>
      </w:r>
    </w:p>
    <w:p w14:paraId="6F7D18A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发包人违约的其他情形</w:t>
      </w:r>
      <w:r>
        <w:rPr>
          <w:color w:val="auto"/>
          <w:spacing w:val="45"/>
          <w:highlight w:val="none"/>
          <w:u w:val="single" w:color="auto"/>
        </w:rPr>
        <w:t xml:space="preserve"> </w:t>
      </w:r>
      <w:r>
        <w:rPr>
          <w:color w:val="auto"/>
          <w:spacing w:val="-1"/>
          <w:highlight w:val="none"/>
          <w:u w:val="single" w:color="auto"/>
        </w:rPr>
        <w:t>(1)发包人未履行本合同约定的内容;</w:t>
      </w:r>
      <w:r>
        <w:rPr>
          <w:color w:val="auto"/>
          <w:spacing w:val="-2"/>
          <w:highlight w:val="none"/>
          <w:u w:val="single" w:color="auto"/>
        </w:rPr>
        <w:t xml:space="preserve">(2)发包人工程款逾期支付 </w:t>
      </w:r>
      <w:r>
        <w:rPr>
          <w:color w:val="auto"/>
          <w:spacing w:val="-2"/>
          <w:highlight w:val="none"/>
        </w:rPr>
        <w:t>。</w:t>
      </w:r>
    </w:p>
    <w:p w14:paraId="6A9A8DF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15.1.3 发包人违约的责任</w:t>
      </w:r>
    </w:p>
    <w:p w14:paraId="6102EF3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发包人违约责任的承担方式和计算方法：</w:t>
      </w:r>
      <w:r>
        <w:rPr>
          <w:color w:val="auto"/>
          <w:highlight w:val="none"/>
          <w:u w:val="single" w:color="auto"/>
        </w:rPr>
        <w:t>发包人逾期支</w:t>
      </w:r>
      <w:r>
        <w:rPr>
          <w:color w:val="auto"/>
          <w:spacing w:val="-1"/>
          <w:highlight w:val="none"/>
          <w:u w:val="single" w:color="auto"/>
        </w:rPr>
        <w:t>付工程款的，应按照 LPR（市场贷款报价利</w:t>
      </w:r>
      <w:r>
        <w:rPr>
          <w:color w:val="auto"/>
          <w:highlight w:val="none"/>
        </w:rPr>
        <w:t xml:space="preserve"> </w:t>
      </w:r>
      <w:r>
        <w:rPr>
          <w:color w:val="auto"/>
          <w:highlight w:val="none"/>
          <w:u w:val="single" w:color="auto"/>
        </w:rPr>
        <w:t>率）的</w:t>
      </w:r>
      <w:r>
        <w:rPr>
          <w:color w:val="auto"/>
          <w:spacing w:val="-31"/>
          <w:highlight w:val="none"/>
          <w:u w:val="single" w:color="auto"/>
        </w:rPr>
        <w:t xml:space="preserve"> </w:t>
      </w:r>
      <w:r>
        <w:rPr>
          <w:color w:val="auto"/>
          <w:highlight w:val="none"/>
          <w:u w:val="single" w:color="auto"/>
        </w:rPr>
        <w:t>2</w:t>
      </w:r>
      <w:r>
        <w:rPr>
          <w:color w:val="auto"/>
          <w:spacing w:val="-44"/>
          <w:highlight w:val="none"/>
          <w:u w:val="single" w:color="auto"/>
        </w:rPr>
        <w:t xml:space="preserve"> </w:t>
      </w:r>
      <w:r>
        <w:rPr>
          <w:color w:val="auto"/>
          <w:highlight w:val="none"/>
          <w:u w:val="single" w:color="auto"/>
        </w:rPr>
        <w:t>倍支付逾期利息支付违约金。发包人逾期支付超过60</w:t>
      </w:r>
      <w:r>
        <w:rPr>
          <w:color w:val="auto"/>
          <w:spacing w:val="-40"/>
          <w:highlight w:val="none"/>
          <w:u w:val="single" w:color="auto"/>
        </w:rPr>
        <w:t xml:space="preserve"> </w:t>
      </w:r>
      <w:r>
        <w:rPr>
          <w:color w:val="auto"/>
          <w:highlight w:val="none"/>
          <w:u w:val="single" w:color="auto"/>
        </w:rPr>
        <w:t>天，承包人有权停工</w:t>
      </w:r>
      <w:r>
        <w:rPr>
          <w:rFonts w:hint="eastAsia"/>
          <w:color w:val="auto"/>
          <w:highlight w:val="none"/>
          <w:u w:val="single" w:color="auto"/>
          <w:lang w:eastAsia="zh-CN"/>
        </w:rPr>
        <w:t>，</w:t>
      </w:r>
      <w:r>
        <w:rPr>
          <w:rFonts w:hint="eastAsia"/>
          <w:color w:val="auto"/>
          <w:highlight w:val="none"/>
          <w:u w:val="single" w:color="auto"/>
          <w:lang w:val="en-US" w:eastAsia="zh-CN"/>
        </w:rPr>
        <w:t>发包人应赔偿承包人损失</w:t>
      </w:r>
      <w:r>
        <w:rPr>
          <w:color w:val="auto"/>
          <w:highlight w:val="none"/>
          <w:u w:val="single" w:color="auto"/>
        </w:rPr>
        <w:t>。</w:t>
      </w:r>
    </w:p>
    <w:p w14:paraId="0F32B20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230" w:name="_Toc26772"/>
      <w:r>
        <w:rPr>
          <w:color w:val="auto"/>
          <w:spacing w:val="-3"/>
          <w:highlight w:val="none"/>
        </w:rPr>
        <w:t>15.2 承包人违约</w:t>
      </w:r>
      <w:bookmarkEnd w:id="2230"/>
    </w:p>
    <w:p w14:paraId="40F5B14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spacing w:val="-2"/>
          <w:highlight w:val="none"/>
        </w:rPr>
      </w:pPr>
      <w:r>
        <w:rPr>
          <w:color w:val="auto"/>
          <w:spacing w:val="-2"/>
          <w:highlight w:val="none"/>
        </w:rPr>
        <w:t>15.2.1 承包人违约的情形</w:t>
      </w:r>
    </w:p>
    <w:p w14:paraId="2669221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outlineLvl w:val="3"/>
        <w:rPr>
          <w:color w:val="auto"/>
          <w:highlight w:val="none"/>
        </w:rPr>
      </w:pPr>
      <w:r>
        <w:rPr>
          <w:color w:val="auto"/>
          <w:highlight w:val="none"/>
        </w:rPr>
        <w:fldChar w:fldCharType="begin"/>
      </w:r>
      <w:r>
        <w:rPr>
          <w:color w:val="auto"/>
          <w:highlight w:val="none"/>
        </w:rPr>
        <w:instrText xml:space="preserve"> HYPERLINK "15.2.1.1" </w:instrText>
      </w:r>
      <w:r>
        <w:rPr>
          <w:color w:val="auto"/>
          <w:highlight w:val="none"/>
        </w:rPr>
        <w:fldChar w:fldCharType="separate"/>
      </w:r>
      <w:r>
        <w:rPr>
          <w:color w:val="auto"/>
          <w:spacing w:val="-4"/>
          <w:highlight w:val="none"/>
        </w:rPr>
        <w:t>15.2.1.1</w:t>
      </w:r>
      <w:r>
        <w:rPr>
          <w:color w:val="auto"/>
          <w:spacing w:val="-4"/>
          <w:highlight w:val="none"/>
        </w:rPr>
        <w:fldChar w:fldCharType="end"/>
      </w:r>
      <w:r>
        <w:rPr>
          <w:color w:val="auto"/>
          <w:spacing w:val="-45"/>
          <w:highlight w:val="none"/>
        </w:rPr>
        <w:t xml:space="preserve"> </w:t>
      </w:r>
      <w:r>
        <w:rPr>
          <w:color w:val="auto"/>
          <w:spacing w:val="-4"/>
          <w:highlight w:val="none"/>
        </w:rPr>
        <w:t>施工方违约的其他情形：</w:t>
      </w:r>
    </w:p>
    <w:p w14:paraId="5D2F051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4"/>
        <w:rPr>
          <w:color w:val="auto"/>
          <w:highlight w:val="none"/>
        </w:rPr>
      </w:pPr>
      <w:r>
        <w:rPr>
          <w:color w:val="auto"/>
          <w:spacing w:val="-2"/>
          <w:highlight w:val="none"/>
        </w:rPr>
        <w:t>一、工期延误违约责任</w:t>
      </w:r>
    </w:p>
    <w:p w14:paraId="786BC5A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工期延误界定：除因不可抗力、经发包方书面同意的工期顺延情形外，承包方未</w:t>
      </w:r>
      <w:r>
        <w:rPr>
          <w:color w:val="auto"/>
          <w:spacing w:val="-5"/>
          <w:highlight w:val="none"/>
        </w:rPr>
        <w:t>能按照合同约定的竣</w:t>
      </w:r>
      <w:r>
        <w:rPr>
          <w:color w:val="auto"/>
          <w:spacing w:val="-2"/>
          <w:highlight w:val="none"/>
        </w:rPr>
        <w:t>工日期或经发包方批准顺延的工期完成工程施工，视为工期延误。</w:t>
      </w:r>
    </w:p>
    <w:p w14:paraId="30B5FCF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8" w:firstLineChars="200"/>
        <w:textAlignment w:val="baseline"/>
        <w:rPr>
          <w:color w:val="auto"/>
          <w:highlight w:val="none"/>
        </w:rPr>
      </w:pPr>
      <w:r>
        <w:rPr>
          <w:color w:val="auto"/>
          <w:spacing w:val="-8"/>
          <w:highlight w:val="none"/>
        </w:rPr>
        <w:t>工期延误罚款：</w:t>
      </w:r>
    </w:p>
    <w:p w14:paraId="4CD36DC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2" w:firstLineChars="200"/>
        <w:textAlignment w:val="baseline"/>
        <w:rPr>
          <w:color w:val="auto"/>
          <w:highlight w:val="none"/>
        </w:rPr>
      </w:pPr>
      <w:r>
        <w:rPr>
          <w:color w:val="auto"/>
          <w:spacing w:val="-7"/>
          <w:highlight w:val="none"/>
        </w:rPr>
        <w:t>工期延误在</w:t>
      </w:r>
      <w:r>
        <w:rPr>
          <w:color w:val="auto"/>
          <w:spacing w:val="-28"/>
          <w:highlight w:val="none"/>
        </w:rPr>
        <w:t xml:space="preserve"> </w:t>
      </w:r>
      <w:r>
        <w:rPr>
          <w:color w:val="auto"/>
          <w:spacing w:val="-7"/>
          <w:highlight w:val="none"/>
        </w:rPr>
        <w:t>10 日以内（含</w:t>
      </w:r>
      <w:r>
        <w:rPr>
          <w:color w:val="auto"/>
          <w:spacing w:val="-29"/>
          <w:highlight w:val="none"/>
        </w:rPr>
        <w:t xml:space="preserve"> </w:t>
      </w:r>
      <w:r>
        <w:rPr>
          <w:color w:val="auto"/>
          <w:spacing w:val="-7"/>
          <w:highlight w:val="none"/>
        </w:rPr>
        <w:t>10 日</w:t>
      </w:r>
      <w:r>
        <w:rPr>
          <w:color w:val="auto"/>
          <w:spacing w:val="-40"/>
          <w:highlight w:val="none"/>
        </w:rPr>
        <w:t>），</w:t>
      </w:r>
      <w:r>
        <w:rPr>
          <w:color w:val="auto"/>
          <w:spacing w:val="-7"/>
          <w:highlight w:val="none"/>
        </w:rPr>
        <w:t>承包方应按合同总价的</w:t>
      </w:r>
      <w:r>
        <w:rPr>
          <w:color w:val="auto"/>
          <w:spacing w:val="-26"/>
          <w:highlight w:val="none"/>
        </w:rPr>
        <w:t xml:space="preserve"> </w:t>
      </w:r>
      <w:r>
        <w:rPr>
          <w:color w:val="auto"/>
          <w:spacing w:val="-7"/>
          <w:highlight w:val="none"/>
        </w:rPr>
        <w:t>0.1%</w:t>
      </w:r>
      <w:r>
        <w:rPr>
          <w:color w:val="auto"/>
          <w:spacing w:val="30"/>
          <w:highlight w:val="none"/>
        </w:rPr>
        <w:t xml:space="preserve"> </w:t>
      </w:r>
      <w:r>
        <w:rPr>
          <w:color w:val="auto"/>
          <w:spacing w:val="-7"/>
          <w:highlight w:val="none"/>
        </w:rPr>
        <w:t>向发包方支付违约金；</w:t>
      </w:r>
    </w:p>
    <w:p w14:paraId="17753F3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工期延误超过</w:t>
      </w:r>
      <w:r>
        <w:rPr>
          <w:color w:val="auto"/>
          <w:spacing w:val="-12"/>
          <w:highlight w:val="none"/>
        </w:rPr>
        <w:t xml:space="preserve"> </w:t>
      </w:r>
      <w:r>
        <w:rPr>
          <w:color w:val="auto"/>
          <w:spacing w:val="-5"/>
          <w:highlight w:val="none"/>
        </w:rPr>
        <w:t>10 日但不超过</w:t>
      </w:r>
      <w:r>
        <w:rPr>
          <w:color w:val="auto"/>
          <w:spacing w:val="-40"/>
          <w:highlight w:val="none"/>
        </w:rPr>
        <w:t xml:space="preserve"> </w:t>
      </w:r>
      <w:r>
        <w:rPr>
          <w:color w:val="auto"/>
          <w:spacing w:val="-5"/>
          <w:highlight w:val="none"/>
        </w:rPr>
        <w:t>30 日，超出部分按合同总价每日</w:t>
      </w:r>
      <w:r>
        <w:rPr>
          <w:color w:val="auto"/>
          <w:spacing w:val="-43"/>
          <w:highlight w:val="none"/>
        </w:rPr>
        <w:t xml:space="preserve"> </w:t>
      </w:r>
      <w:r>
        <w:rPr>
          <w:color w:val="auto"/>
          <w:spacing w:val="-5"/>
          <w:highlight w:val="none"/>
        </w:rPr>
        <w:t>0.0</w:t>
      </w:r>
      <w:r>
        <w:rPr>
          <w:rFonts w:hint="eastAsia"/>
          <w:color w:val="auto"/>
          <w:spacing w:val="-5"/>
          <w:highlight w:val="none"/>
          <w:lang w:eastAsia="zh-CN"/>
        </w:rPr>
        <w:t>5%</w:t>
      </w:r>
      <w:r>
        <w:rPr>
          <w:color w:val="auto"/>
          <w:spacing w:val="-5"/>
          <w:highlight w:val="none"/>
        </w:rPr>
        <w:t xml:space="preserve"> 累计计算违约金；</w:t>
      </w:r>
    </w:p>
    <w:p w14:paraId="1DFD3B6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outlineLvl w:val="4"/>
        <w:rPr>
          <w:rFonts w:hint="eastAsia"/>
          <w:color w:val="auto"/>
          <w:spacing w:val="-5"/>
          <w:highlight w:val="none"/>
        </w:rPr>
      </w:pPr>
      <w:r>
        <w:rPr>
          <w:rFonts w:hint="eastAsia"/>
          <w:color w:val="auto"/>
          <w:spacing w:val="-5"/>
          <w:highlight w:val="none"/>
        </w:rPr>
        <w:t>工期延误超过60日，</w:t>
      </w:r>
      <w:r>
        <w:rPr>
          <w:rFonts w:hint="eastAsia"/>
          <w:color w:val="auto"/>
          <w:spacing w:val="-5"/>
          <w:highlight w:val="none"/>
          <w:lang w:val="en-US" w:eastAsia="zh-CN"/>
        </w:rPr>
        <w:t>经协商</w:t>
      </w:r>
      <w:r>
        <w:rPr>
          <w:rFonts w:hint="eastAsia"/>
          <w:color w:val="auto"/>
          <w:spacing w:val="-5"/>
          <w:highlight w:val="none"/>
        </w:rPr>
        <w:t>发包方有权解除合同，并承担发包方</w:t>
      </w:r>
      <w:r>
        <w:rPr>
          <w:rFonts w:hint="eastAsia"/>
          <w:color w:val="auto"/>
          <w:spacing w:val="-5"/>
          <w:highlight w:val="none"/>
          <w:lang w:eastAsia="zh-CN"/>
        </w:rPr>
        <w:t>实际</w:t>
      </w:r>
      <w:r>
        <w:rPr>
          <w:rFonts w:hint="eastAsia"/>
          <w:color w:val="auto"/>
          <w:spacing w:val="-5"/>
          <w:highlight w:val="none"/>
        </w:rPr>
        <w:t>损失。</w:t>
      </w:r>
    </w:p>
    <w:p w14:paraId="5DCBE16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4"/>
        <w:rPr>
          <w:color w:val="auto"/>
          <w:highlight w:val="none"/>
        </w:rPr>
      </w:pPr>
      <w:r>
        <w:rPr>
          <w:color w:val="auto"/>
          <w:spacing w:val="-2"/>
          <w:highlight w:val="none"/>
        </w:rPr>
        <w:t>二、工程质量违约责任</w:t>
      </w:r>
    </w:p>
    <w:p w14:paraId="0BDA99D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质量不达标处理：若工程质量不符合合同约定标准、国家及行业相关规范要求，承</w:t>
      </w:r>
      <w:r>
        <w:rPr>
          <w:color w:val="auto"/>
          <w:spacing w:val="-5"/>
          <w:highlight w:val="none"/>
        </w:rPr>
        <w:t>包方应负责无偿返</w:t>
      </w:r>
      <w:r>
        <w:rPr>
          <w:color w:val="auto"/>
          <w:spacing w:val="-1"/>
          <w:highlight w:val="none"/>
        </w:rPr>
        <w:t>工、修复直至达到合格标准。由此造成的工期延误，按上述工期延误条款承担违约责</w:t>
      </w:r>
      <w:r>
        <w:rPr>
          <w:color w:val="auto"/>
          <w:spacing w:val="-2"/>
          <w:highlight w:val="none"/>
        </w:rPr>
        <w:t>任。</w:t>
      </w:r>
    </w:p>
    <w:p w14:paraId="2F5A8E3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jc w:val="both"/>
        <w:textAlignment w:val="baseline"/>
        <w:rPr>
          <w:color w:val="auto"/>
          <w:highlight w:val="none"/>
        </w:rPr>
      </w:pPr>
      <w:r>
        <w:rPr>
          <w:color w:val="auto"/>
          <w:spacing w:val="-1"/>
          <w:highlight w:val="none"/>
        </w:rPr>
        <w:t>质量缺陷赔偿：工程交付使用后，如因承包方施工质量问题出现质量缺陷，承包方应在接到发包方通知后</w:t>
      </w:r>
      <w:r>
        <w:rPr>
          <w:color w:val="auto"/>
          <w:spacing w:val="-30"/>
          <w:highlight w:val="none"/>
        </w:rPr>
        <w:t xml:space="preserve"> </w:t>
      </w:r>
      <w:r>
        <w:rPr>
          <w:color w:val="auto"/>
          <w:spacing w:val="-1"/>
          <w:highlight w:val="none"/>
        </w:rPr>
        <w:t>24</w:t>
      </w:r>
      <w:r>
        <w:rPr>
          <w:color w:val="auto"/>
          <w:spacing w:val="-39"/>
          <w:highlight w:val="none"/>
        </w:rPr>
        <w:t xml:space="preserve"> </w:t>
      </w:r>
      <w:r>
        <w:rPr>
          <w:color w:val="auto"/>
          <w:spacing w:val="-1"/>
          <w:highlight w:val="none"/>
        </w:rPr>
        <w:t>小时内响应，并及时进行维修。因质量缺陷给发包方或第三方造成人身、财产损失的，承包方应</w:t>
      </w:r>
      <w:r>
        <w:rPr>
          <w:color w:val="auto"/>
          <w:spacing w:val="-3"/>
          <w:highlight w:val="none"/>
        </w:rPr>
        <w:t>承担全部赔偿责任，同时按质量缺陷修复费用的</w:t>
      </w:r>
      <w:r>
        <w:rPr>
          <w:color w:val="auto"/>
          <w:spacing w:val="-10"/>
          <w:highlight w:val="none"/>
        </w:rPr>
        <w:t xml:space="preserve"> </w:t>
      </w:r>
      <w:r>
        <w:rPr>
          <w:color w:val="auto"/>
          <w:spacing w:val="-3"/>
          <w:highlight w:val="none"/>
        </w:rPr>
        <w:t>150%</w:t>
      </w:r>
      <w:r>
        <w:rPr>
          <w:color w:val="auto"/>
          <w:spacing w:val="29"/>
          <w:highlight w:val="none"/>
        </w:rPr>
        <w:t xml:space="preserve"> </w:t>
      </w:r>
      <w:r>
        <w:rPr>
          <w:color w:val="auto"/>
          <w:spacing w:val="-3"/>
          <w:highlight w:val="none"/>
        </w:rPr>
        <w:t>向发包方支付违约金。</w:t>
      </w:r>
    </w:p>
    <w:p w14:paraId="17DA346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jc w:val="both"/>
        <w:textAlignment w:val="baseline"/>
        <w:rPr>
          <w:color w:val="auto"/>
          <w:highlight w:val="none"/>
        </w:rPr>
      </w:pPr>
      <w:r>
        <w:rPr>
          <w:color w:val="auto"/>
          <w:spacing w:val="-3"/>
          <w:highlight w:val="none"/>
        </w:rPr>
        <w:t>重大质量事故责任：若发生重大质量事故（如主体结构安全问题等</w:t>
      </w:r>
      <w:r>
        <w:rPr>
          <w:color w:val="auto"/>
          <w:highlight w:val="none"/>
        </w:rPr>
        <w:t>），</w:t>
      </w:r>
      <w:r>
        <w:rPr>
          <w:color w:val="auto"/>
          <w:spacing w:val="-3"/>
          <w:highlight w:val="none"/>
        </w:rPr>
        <w:t>承包方应立即停工整改，承担</w:t>
      </w:r>
      <w:r>
        <w:rPr>
          <w:color w:val="auto"/>
          <w:spacing w:val="-4"/>
          <w:highlight w:val="none"/>
        </w:rPr>
        <w:t>全部修复费用及相关法律责任。除赔偿发包方实际损失外，承包方还需向发</w:t>
      </w:r>
      <w:r>
        <w:rPr>
          <w:color w:val="auto"/>
          <w:spacing w:val="-5"/>
          <w:highlight w:val="none"/>
        </w:rPr>
        <w:t>包方支付合同总价</w:t>
      </w:r>
      <w:r>
        <w:rPr>
          <w:color w:val="auto"/>
          <w:spacing w:val="-29"/>
          <w:highlight w:val="none"/>
        </w:rPr>
        <w:t xml:space="preserve"> </w:t>
      </w:r>
      <w:r>
        <w:rPr>
          <w:color w:val="auto"/>
          <w:spacing w:val="-5"/>
          <w:highlight w:val="none"/>
        </w:rPr>
        <w:t>10%</w:t>
      </w:r>
      <w:r>
        <w:rPr>
          <w:color w:val="auto"/>
          <w:spacing w:val="25"/>
          <w:highlight w:val="none"/>
        </w:rPr>
        <w:t xml:space="preserve"> </w:t>
      </w:r>
      <w:r>
        <w:rPr>
          <w:color w:val="auto"/>
          <w:spacing w:val="-5"/>
          <w:highlight w:val="none"/>
        </w:rPr>
        <w:t>的违约</w:t>
      </w:r>
      <w:r>
        <w:rPr>
          <w:color w:val="auto"/>
          <w:spacing w:val="-3"/>
          <w:highlight w:val="none"/>
        </w:rPr>
        <w:t>金，发包方有权解除合同。</w:t>
      </w:r>
    </w:p>
    <w:p w14:paraId="6A986DA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4"/>
        <w:rPr>
          <w:color w:val="auto"/>
          <w:highlight w:val="none"/>
        </w:rPr>
      </w:pPr>
      <w:r>
        <w:rPr>
          <w:color w:val="auto"/>
          <w:spacing w:val="-1"/>
          <w:highlight w:val="none"/>
        </w:rPr>
        <w:t>三、安全文明施工违约责任</w:t>
      </w:r>
    </w:p>
    <w:p w14:paraId="7EE1C96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32" w:firstLineChars="200"/>
        <w:jc w:val="both"/>
        <w:textAlignment w:val="baseline"/>
        <w:rPr>
          <w:color w:val="auto"/>
          <w:highlight w:val="none"/>
        </w:rPr>
      </w:pPr>
      <w:r>
        <w:rPr>
          <w:color w:val="auto"/>
          <w:spacing w:val="3"/>
          <w:highlight w:val="none"/>
        </w:rPr>
        <w:t>安全违规处罚：承包方未按合同约定或相关安全规范要求采取安全防护措施，每发现一次违</w:t>
      </w:r>
      <w:r>
        <w:rPr>
          <w:color w:val="auto"/>
          <w:spacing w:val="2"/>
          <w:highlight w:val="none"/>
        </w:rPr>
        <w:t>规行为</w:t>
      </w:r>
      <w:r>
        <w:rPr>
          <w:rFonts w:hint="eastAsia"/>
          <w:color w:val="auto"/>
          <w:spacing w:val="2"/>
          <w:highlight w:val="none"/>
          <w:lang w:eastAsia="zh-CN"/>
        </w:rPr>
        <w:t>，</w:t>
      </w:r>
      <w:r>
        <w:rPr>
          <w:color w:val="auto"/>
          <w:spacing w:val="-2"/>
          <w:highlight w:val="none"/>
        </w:rPr>
        <w:t>承包方应向发包方支付</w:t>
      </w:r>
      <w:r>
        <w:rPr>
          <w:color w:val="auto"/>
          <w:spacing w:val="-42"/>
          <w:highlight w:val="none"/>
        </w:rPr>
        <w:t xml:space="preserve"> </w:t>
      </w:r>
      <w:r>
        <w:rPr>
          <w:color w:val="auto"/>
          <w:spacing w:val="-2"/>
          <w:highlight w:val="none"/>
        </w:rPr>
        <w:t>2000-</w:t>
      </w:r>
      <w:r>
        <w:rPr>
          <w:color w:val="auto"/>
          <w:spacing w:val="-40"/>
          <w:highlight w:val="none"/>
        </w:rPr>
        <w:t xml:space="preserve"> </w:t>
      </w:r>
      <w:r>
        <w:rPr>
          <w:color w:val="auto"/>
          <w:spacing w:val="-2"/>
          <w:highlight w:val="none"/>
        </w:rPr>
        <w:t>5000</w:t>
      </w:r>
      <w:r>
        <w:rPr>
          <w:color w:val="auto"/>
          <w:spacing w:val="-43"/>
          <w:highlight w:val="none"/>
        </w:rPr>
        <w:t xml:space="preserve"> </w:t>
      </w:r>
      <w:r>
        <w:rPr>
          <w:color w:val="auto"/>
          <w:spacing w:val="-2"/>
          <w:highlight w:val="none"/>
        </w:rPr>
        <w:t>元违约金；若因安全违规行为导致</w:t>
      </w:r>
      <w:r>
        <w:rPr>
          <w:color w:val="auto"/>
          <w:spacing w:val="-3"/>
          <w:highlight w:val="none"/>
        </w:rPr>
        <w:t>安全事故，承包方应承担全部事故责</w:t>
      </w:r>
      <w:r>
        <w:rPr>
          <w:color w:val="auto"/>
          <w:spacing w:val="-2"/>
          <w:highlight w:val="none"/>
        </w:rPr>
        <w:t>任及损失，按事故直接经济损失的 120%</w:t>
      </w:r>
      <w:r>
        <w:rPr>
          <w:color w:val="auto"/>
          <w:spacing w:val="45"/>
          <w:highlight w:val="none"/>
        </w:rPr>
        <w:t xml:space="preserve"> </w:t>
      </w:r>
      <w:r>
        <w:rPr>
          <w:color w:val="auto"/>
          <w:spacing w:val="-2"/>
          <w:highlight w:val="none"/>
        </w:rPr>
        <w:t>向发包方支付违约金，并承担相应法律责任。</w:t>
      </w:r>
    </w:p>
    <w:p w14:paraId="1EF5BCD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rFonts w:ascii="Arial"/>
          <w:color w:val="auto"/>
          <w:sz w:val="21"/>
          <w:highlight w:val="none"/>
        </w:rPr>
      </w:pPr>
      <w:r>
        <w:rPr>
          <w:color w:val="auto"/>
          <w:spacing w:val="-3"/>
          <w:highlight w:val="none"/>
        </w:rPr>
        <w:t>文明施工不达标处理：施工现场文明施工不符合要求（如扬尘污染未有效控制、材料堆放混乱等</w:t>
      </w:r>
      <w:r>
        <w:rPr>
          <w:color w:val="auto"/>
          <w:spacing w:val="-2"/>
          <w:highlight w:val="none"/>
        </w:rPr>
        <w:t>），</w:t>
      </w:r>
      <w:r>
        <w:rPr>
          <w:color w:val="auto"/>
          <w:spacing w:val="-3"/>
          <w:highlight w:val="none"/>
        </w:rPr>
        <w:t>经发包方书面通知后未及时整改，每次承包方应向发包方支付</w:t>
      </w:r>
      <w:r>
        <w:rPr>
          <w:color w:val="auto"/>
          <w:spacing w:val="-11"/>
          <w:highlight w:val="none"/>
        </w:rPr>
        <w:t xml:space="preserve"> </w:t>
      </w:r>
      <w:r>
        <w:rPr>
          <w:color w:val="auto"/>
          <w:spacing w:val="-3"/>
          <w:highlight w:val="none"/>
        </w:rPr>
        <w:t>1000-</w:t>
      </w:r>
      <w:r>
        <w:rPr>
          <w:color w:val="auto"/>
          <w:spacing w:val="-40"/>
          <w:highlight w:val="none"/>
        </w:rPr>
        <w:t xml:space="preserve"> </w:t>
      </w:r>
      <w:r>
        <w:rPr>
          <w:color w:val="auto"/>
          <w:spacing w:val="-3"/>
          <w:highlight w:val="none"/>
        </w:rPr>
        <w:t>3000</w:t>
      </w:r>
      <w:r>
        <w:rPr>
          <w:color w:val="auto"/>
          <w:spacing w:val="-42"/>
          <w:highlight w:val="none"/>
        </w:rPr>
        <w:t xml:space="preserve"> </w:t>
      </w:r>
      <w:r>
        <w:rPr>
          <w:color w:val="auto"/>
          <w:spacing w:val="-3"/>
          <w:highlight w:val="none"/>
        </w:rPr>
        <w:t>元违约金；累计三次不达标，发</w:t>
      </w:r>
      <w:r>
        <w:rPr>
          <w:color w:val="auto"/>
          <w:spacing w:val="-4"/>
          <w:highlight w:val="none"/>
        </w:rPr>
        <w:t>包方有权委托第三方进行整改，费用由承包方承担，同时</w:t>
      </w:r>
      <w:r>
        <w:rPr>
          <w:color w:val="auto"/>
          <w:spacing w:val="-5"/>
          <w:highlight w:val="none"/>
        </w:rPr>
        <w:t>承包方需向发包方支付整改费用</w:t>
      </w:r>
      <w:r>
        <w:rPr>
          <w:color w:val="auto"/>
          <w:spacing w:val="23"/>
          <w:highlight w:val="none"/>
        </w:rPr>
        <w:t xml:space="preserve"> </w:t>
      </w:r>
      <w:r>
        <w:rPr>
          <w:color w:val="auto"/>
          <w:spacing w:val="-5"/>
          <w:highlight w:val="none"/>
        </w:rPr>
        <w:t>150%的违约金</w:t>
      </w:r>
      <w:r>
        <w:rPr>
          <w:rFonts w:hint="eastAsia"/>
          <w:color w:val="auto"/>
          <w:spacing w:val="-5"/>
          <w:highlight w:val="none"/>
          <w:lang w:eastAsia="zh-CN"/>
        </w:rPr>
        <w:t>。</w:t>
      </w:r>
    </w:p>
    <w:p w14:paraId="01C44F2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4"/>
        <w:rPr>
          <w:color w:val="auto"/>
          <w:highlight w:val="none"/>
        </w:rPr>
      </w:pPr>
      <w:r>
        <w:rPr>
          <w:color w:val="auto"/>
          <w:spacing w:val="-3"/>
          <w:highlight w:val="none"/>
        </w:rPr>
        <w:t>四、材料设备供应违约责任</w:t>
      </w:r>
    </w:p>
    <w:p w14:paraId="03DB568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jc w:val="both"/>
        <w:textAlignment w:val="baseline"/>
        <w:rPr>
          <w:color w:val="auto"/>
          <w:highlight w:val="none"/>
        </w:rPr>
      </w:pPr>
      <w:r>
        <w:rPr>
          <w:color w:val="auto"/>
          <w:spacing w:val="-1"/>
          <w:highlight w:val="none"/>
        </w:rPr>
        <w:t>材料设备质量问题：承包方供应的材料设备不符合合同约定的质量标准或国家相关规范要求，应立即</w:t>
      </w:r>
      <w:r>
        <w:rPr>
          <w:color w:val="auto"/>
          <w:spacing w:val="-4"/>
          <w:highlight w:val="none"/>
        </w:rPr>
        <w:t>退场并更换合格产品。因此造成的工期延误</w:t>
      </w:r>
      <w:r>
        <w:rPr>
          <w:color w:val="auto"/>
          <w:spacing w:val="-5"/>
          <w:highlight w:val="none"/>
        </w:rPr>
        <w:t>、费用增加，由承包方承担全部责任，同时按该批次材料设备</w:t>
      </w:r>
      <w:r>
        <w:rPr>
          <w:color w:val="auto"/>
          <w:spacing w:val="-4"/>
          <w:highlight w:val="none"/>
        </w:rPr>
        <w:t>价款的</w:t>
      </w:r>
      <w:r>
        <w:rPr>
          <w:color w:val="auto"/>
          <w:spacing w:val="-26"/>
          <w:highlight w:val="none"/>
        </w:rPr>
        <w:t xml:space="preserve"> </w:t>
      </w:r>
      <w:r>
        <w:rPr>
          <w:color w:val="auto"/>
          <w:spacing w:val="-4"/>
          <w:highlight w:val="none"/>
        </w:rPr>
        <w:t>30%向发包方支付违约金。</w:t>
      </w:r>
    </w:p>
    <w:p w14:paraId="5BE80ED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4"/>
        <w:rPr>
          <w:color w:val="auto"/>
          <w:highlight w:val="none"/>
        </w:rPr>
      </w:pPr>
      <w:r>
        <w:rPr>
          <w:color w:val="auto"/>
          <w:spacing w:val="-1"/>
          <w:highlight w:val="none"/>
        </w:rPr>
        <w:t>五、合同履约其他违约责任</w:t>
      </w:r>
    </w:p>
    <w:p w14:paraId="683BD30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擅自转包、违法分包：承包方未经发包方书面同意擅自转包或违法分包工程</w:t>
      </w:r>
      <w:r>
        <w:rPr>
          <w:color w:val="auto"/>
          <w:spacing w:val="-5"/>
          <w:highlight w:val="none"/>
        </w:rPr>
        <w:t>，发包方有权立即解除合</w:t>
      </w:r>
      <w:r>
        <w:rPr>
          <w:color w:val="auto"/>
          <w:spacing w:val="-2"/>
          <w:highlight w:val="none"/>
        </w:rPr>
        <w:t>同，承包方应向发包方支付合同总价</w:t>
      </w:r>
      <w:r>
        <w:rPr>
          <w:color w:val="auto"/>
          <w:spacing w:val="-29"/>
          <w:highlight w:val="none"/>
        </w:rPr>
        <w:t xml:space="preserve"> </w:t>
      </w:r>
      <w:r>
        <w:rPr>
          <w:color w:val="auto"/>
          <w:spacing w:val="-2"/>
          <w:highlight w:val="none"/>
        </w:rPr>
        <w:t>10%的违约金，并承担因此给发包方造成的全部损失。</w:t>
      </w:r>
    </w:p>
    <w:p w14:paraId="0801A301">
      <w:pPr>
        <w:pStyle w:val="9"/>
        <w:pageBreakBefore w:val="0"/>
        <w:widowControl/>
        <w:kinsoku w:val="0"/>
        <w:wordWrap/>
        <w:overflowPunct/>
        <w:topLinePunct/>
        <w:autoSpaceDE w:val="0"/>
        <w:autoSpaceDN w:val="0"/>
        <w:bidi w:val="0"/>
        <w:adjustRightInd w:val="0"/>
        <w:snapToGrid w:val="0"/>
        <w:spacing w:line="360" w:lineRule="auto"/>
        <w:ind w:right="0" w:rightChars="0" w:firstLine="432" w:firstLineChars="200"/>
        <w:jc w:val="both"/>
        <w:textAlignment w:val="baseline"/>
        <w:rPr>
          <w:color w:val="auto"/>
          <w:highlight w:val="none"/>
        </w:rPr>
      </w:pPr>
      <w:r>
        <w:rPr>
          <w:color w:val="auto"/>
          <w:spacing w:val="3"/>
          <w:highlight w:val="none"/>
        </w:rPr>
        <w:t>人员、设备投入不足：承包方投入的施工人员、机械设备数量、规格等不符合合同约定</w:t>
      </w:r>
      <w:r>
        <w:rPr>
          <w:rFonts w:hint="eastAsia"/>
          <w:color w:val="auto"/>
          <w:spacing w:val="3"/>
          <w:highlight w:val="none"/>
          <w:lang w:eastAsia="zh-CN"/>
        </w:rPr>
        <w:t>，</w:t>
      </w:r>
      <w:r>
        <w:rPr>
          <w:color w:val="auto"/>
          <w:highlight w:val="none"/>
        </w:rPr>
        <w:t>影响工程施工进度和质量，经发包方书面通知后未在规定时间内补足，每逾期一日</w:t>
      </w:r>
      <w:r>
        <w:rPr>
          <w:color w:val="auto"/>
          <w:spacing w:val="-1"/>
          <w:highlight w:val="none"/>
        </w:rPr>
        <w:t>，承包方应按合同总价0.03%向发包方支付违约金；若因此导致工期延误或</w:t>
      </w:r>
      <w:r>
        <w:rPr>
          <w:color w:val="auto"/>
          <w:spacing w:val="-2"/>
          <w:highlight w:val="none"/>
        </w:rPr>
        <w:t>工程质量问题，还应按相应条款承担违约责任。</w:t>
      </w:r>
    </w:p>
    <w:p w14:paraId="5167870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资料提交延误：承包方未按合同约定及时提交工程资料（如施工图纸、验收资料等</w:t>
      </w:r>
      <w:r>
        <w:rPr>
          <w:color w:val="auto"/>
          <w:spacing w:val="7"/>
          <w:highlight w:val="none"/>
        </w:rPr>
        <w:t>），</w:t>
      </w:r>
      <w:r>
        <w:rPr>
          <w:color w:val="auto"/>
          <w:spacing w:val="-4"/>
          <w:highlight w:val="none"/>
        </w:rPr>
        <w:t>每延误一日，</w:t>
      </w:r>
      <w:r>
        <w:rPr>
          <w:color w:val="auto"/>
          <w:spacing w:val="-1"/>
          <w:highlight w:val="none"/>
        </w:rPr>
        <w:t>应向发包方支付</w:t>
      </w:r>
      <w:r>
        <w:rPr>
          <w:color w:val="auto"/>
          <w:spacing w:val="-40"/>
          <w:highlight w:val="none"/>
        </w:rPr>
        <w:t xml:space="preserve"> </w:t>
      </w:r>
      <w:r>
        <w:rPr>
          <w:color w:val="auto"/>
          <w:spacing w:val="-1"/>
          <w:highlight w:val="none"/>
        </w:rPr>
        <w:t>500-1000</w:t>
      </w:r>
      <w:r>
        <w:rPr>
          <w:color w:val="auto"/>
          <w:spacing w:val="-42"/>
          <w:highlight w:val="none"/>
        </w:rPr>
        <w:t xml:space="preserve"> </w:t>
      </w:r>
      <w:r>
        <w:rPr>
          <w:color w:val="auto"/>
          <w:spacing w:val="-1"/>
          <w:highlight w:val="none"/>
        </w:rPr>
        <w:t>元违约金；因资料提交延误影响工程验收或结算</w:t>
      </w:r>
      <w:r>
        <w:rPr>
          <w:color w:val="auto"/>
          <w:spacing w:val="-2"/>
          <w:highlight w:val="none"/>
        </w:rPr>
        <w:t>的，承包方应承担全部责任。</w:t>
      </w:r>
    </w:p>
    <w:p w14:paraId="62E8D5B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合同变更违约：未经发包方书面同意，承包方擅自对合同约定的工程范围、施工工艺、质量标准等进</w:t>
      </w:r>
      <w:r>
        <w:rPr>
          <w:color w:val="auto"/>
          <w:spacing w:val="-2"/>
          <w:highlight w:val="none"/>
        </w:rPr>
        <w:t>行变更，承包方需恢复原状或按发包方要求整改，并向发包方支付合同总价</w:t>
      </w:r>
      <w:r>
        <w:rPr>
          <w:color w:val="auto"/>
          <w:spacing w:val="-41"/>
          <w:highlight w:val="none"/>
        </w:rPr>
        <w:t xml:space="preserve"> </w:t>
      </w:r>
      <w:r>
        <w:rPr>
          <w:color w:val="auto"/>
          <w:spacing w:val="-2"/>
          <w:highlight w:val="none"/>
        </w:rPr>
        <w:t>3% -</w:t>
      </w:r>
      <w:r>
        <w:rPr>
          <w:rFonts w:hint="eastAsia"/>
          <w:color w:val="auto"/>
          <w:spacing w:val="-2"/>
          <w:highlight w:val="none"/>
          <w:lang w:eastAsia="zh-CN"/>
        </w:rPr>
        <w:t>5%</w:t>
      </w:r>
      <w:r>
        <w:rPr>
          <w:color w:val="auto"/>
          <w:spacing w:val="-2"/>
          <w:highlight w:val="none"/>
        </w:rPr>
        <w:t>的违约金；若因擅自变</w:t>
      </w:r>
      <w:r>
        <w:rPr>
          <w:color w:val="auto"/>
          <w:spacing w:val="-1"/>
          <w:highlight w:val="none"/>
        </w:rPr>
        <w:t>更造成工程质量问题、工期延误或费用增加，承包方还需按相应条款承担违</w:t>
      </w:r>
      <w:r>
        <w:rPr>
          <w:color w:val="auto"/>
          <w:spacing w:val="-2"/>
          <w:highlight w:val="none"/>
        </w:rPr>
        <w:t>约责任。</w:t>
      </w:r>
    </w:p>
    <w:p w14:paraId="43DC399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jc w:val="both"/>
        <w:textAlignment w:val="baseline"/>
        <w:rPr>
          <w:color w:val="auto"/>
          <w:highlight w:val="none"/>
        </w:rPr>
      </w:pPr>
      <w:r>
        <w:rPr>
          <w:color w:val="auto"/>
          <w:spacing w:val="-1"/>
          <w:highlight w:val="none"/>
        </w:rPr>
        <w:t>未履行通知义务：在工程施工过程中，当出现可能影响工程进度、质量、安全或合同</w:t>
      </w:r>
      <w:r>
        <w:rPr>
          <w:color w:val="auto"/>
          <w:spacing w:val="-2"/>
          <w:highlight w:val="none"/>
        </w:rPr>
        <w:t>履行的情况（如</w:t>
      </w:r>
      <w:r>
        <w:rPr>
          <w:color w:val="auto"/>
          <w:spacing w:val="-3"/>
          <w:highlight w:val="none"/>
        </w:rPr>
        <w:t>重大设计变更、不可抗力事件发生等）时，</w:t>
      </w:r>
      <w:r>
        <w:rPr>
          <w:color w:val="auto"/>
          <w:spacing w:val="-4"/>
          <w:highlight w:val="none"/>
        </w:rPr>
        <w:t>承包方未及时书面通知发包方，每延迟通知一日，应向发包方</w:t>
      </w:r>
      <w:r>
        <w:rPr>
          <w:color w:val="auto"/>
          <w:spacing w:val="-1"/>
          <w:highlight w:val="none"/>
        </w:rPr>
        <w:t>支付</w:t>
      </w:r>
      <w:r>
        <w:rPr>
          <w:color w:val="auto"/>
          <w:spacing w:val="-28"/>
          <w:highlight w:val="none"/>
        </w:rPr>
        <w:t xml:space="preserve"> </w:t>
      </w:r>
      <w:r>
        <w:rPr>
          <w:color w:val="auto"/>
          <w:spacing w:val="-1"/>
          <w:highlight w:val="none"/>
        </w:rPr>
        <w:t>1000 - 2000</w:t>
      </w:r>
      <w:r>
        <w:rPr>
          <w:color w:val="auto"/>
          <w:spacing w:val="-43"/>
          <w:highlight w:val="none"/>
        </w:rPr>
        <w:t xml:space="preserve"> </w:t>
      </w:r>
      <w:r>
        <w:rPr>
          <w:color w:val="auto"/>
          <w:spacing w:val="-1"/>
          <w:highlight w:val="none"/>
        </w:rPr>
        <w:t>元违约金；若</w:t>
      </w:r>
      <w:r>
        <w:rPr>
          <w:color w:val="auto"/>
          <w:spacing w:val="-2"/>
          <w:highlight w:val="none"/>
        </w:rPr>
        <w:t>因通知延误给发包方造成损失，承包方应承担全部赔偿责任。</w:t>
      </w:r>
    </w:p>
    <w:p w14:paraId="4AD206F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jc w:val="both"/>
        <w:textAlignment w:val="baseline"/>
        <w:rPr>
          <w:color w:val="auto"/>
          <w:highlight w:val="none"/>
        </w:rPr>
      </w:pPr>
      <w:r>
        <w:rPr>
          <w:color w:val="auto"/>
          <w:spacing w:val="-4"/>
          <w:highlight w:val="none"/>
        </w:rPr>
        <w:t>知识产权侵权责任：承包方在施工过程中使用的技术、专利</w:t>
      </w:r>
      <w:r>
        <w:rPr>
          <w:color w:val="auto"/>
          <w:spacing w:val="-5"/>
          <w:highlight w:val="none"/>
        </w:rPr>
        <w:t>、图纸等若存在知识产权侵权问题，导致</w:t>
      </w:r>
      <w:r>
        <w:rPr>
          <w:color w:val="auto"/>
          <w:spacing w:val="-1"/>
          <w:highlight w:val="none"/>
        </w:rPr>
        <w:t>发包方被第三方索赔，承包方应承担全部法律责任和赔偿费用，包括但不限于发包方支付的赔偿金、诉讼</w:t>
      </w:r>
      <w:r>
        <w:rPr>
          <w:color w:val="auto"/>
          <w:spacing w:val="-2"/>
          <w:highlight w:val="none"/>
        </w:rPr>
        <w:t>费、律师费等，同时向发包方支付合同总价</w:t>
      </w:r>
      <w:r>
        <w:rPr>
          <w:color w:val="auto"/>
          <w:spacing w:val="-37"/>
          <w:highlight w:val="none"/>
        </w:rPr>
        <w:t xml:space="preserve"> </w:t>
      </w:r>
      <w:r>
        <w:rPr>
          <w:rFonts w:hint="eastAsia"/>
          <w:color w:val="auto"/>
          <w:spacing w:val="-2"/>
          <w:highlight w:val="none"/>
          <w:lang w:eastAsia="zh-CN"/>
        </w:rPr>
        <w:t>5%</w:t>
      </w:r>
      <w:r>
        <w:rPr>
          <w:color w:val="auto"/>
          <w:spacing w:val="-2"/>
          <w:highlight w:val="none"/>
        </w:rPr>
        <w:t>的违约金。</w:t>
      </w:r>
    </w:p>
    <w:p w14:paraId="7F0D5887">
      <w:pPr>
        <w:keepNext w:val="0"/>
        <w:keepLines w:val="0"/>
        <w:pageBreakBefore w:val="0"/>
        <w:widowControl/>
        <w:numPr>
          <w:ilvl w:val="0"/>
          <w:numId w:val="0"/>
        </w:numPr>
        <w:suppressLineNumbers w:val="0"/>
        <w:pBdr>
          <w:left w:val="none" w:color="auto" w:sz="0" w:space="0"/>
        </w:pBdr>
        <w:shd w:val="clear" w:color="auto" w:fill="auto"/>
        <w:kinsoku/>
        <w:wordWrap/>
        <w:overflowPunct/>
        <w:topLinePunct w:val="0"/>
        <w:autoSpaceDE/>
        <w:autoSpaceDN/>
        <w:bidi w:val="0"/>
        <w:adjustRightInd/>
        <w:snapToGrid/>
        <w:spacing w:beforeAutospacing="0" w:afterAutospacing="0" w:line="360" w:lineRule="auto"/>
        <w:ind w:left="0" w:firstLine="416" w:firstLineChars="200"/>
        <w:jc w:val="left"/>
        <w:textAlignment w:val="auto"/>
        <w:rPr>
          <w:rFonts w:hint="eastAsia" w:ascii="宋体" w:hAnsi="宋体" w:cs="宋体"/>
          <w:b w:val="0"/>
          <w:bCs w:val="0"/>
          <w:i w:val="0"/>
          <w:iCs w:val="0"/>
          <w:caps w:val="0"/>
          <w:color w:val="auto"/>
          <w:spacing w:val="0"/>
          <w:szCs w:val="21"/>
          <w:highlight w:val="none"/>
          <w:shd w:val="clear" w:color="auto" w:fill="auto"/>
        </w:rPr>
      </w:pPr>
      <w:r>
        <w:rPr>
          <w:color w:val="auto"/>
          <w:spacing w:val="-1"/>
          <w:highlight w:val="none"/>
        </w:rPr>
        <w:t>环境保护违规：若承包方施工过程中违反环境保护相关法律法规，造成环境污染（如土壤污染、水污染等</w:t>
      </w:r>
      <w:r>
        <w:rPr>
          <w:color w:val="auto"/>
          <w:spacing w:val="-41"/>
          <w:highlight w:val="none"/>
        </w:rPr>
        <w:t>），</w:t>
      </w:r>
      <w:r>
        <w:rPr>
          <w:color w:val="auto"/>
          <w:spacing w:val="-1"/>
          <w:highlight w:val="none"/>
        </w:rPr>
        <w:t>除需承担政府部门处罚、环境修复等全部费用外</w:t>
      </w:r>
      <w:r>
        <w:rPr>
          <w:color w:val="auto"/>
          <w:spacing w:val="-2"/>
          <w:highlight w:val="none"/>
        </w:rPr>
        <w:t>，还应向发包方支付环境修复费用</w:t>
      </w:r>
      <w:r>
        <w:rPr>
          <w:color w:val="auto"/>
          <w:spacing w:val="-28"/>
          <w:highlight w:val="none"/>
        </w:rPr>
        <w:t xml:space="preserve"> </w:t>
      </w:r>
      <w:r>
        <w:rPr>
          <w:color w:val="auto"/>
          <w:spacing w:val="-2"/>
          <w:highlight w:val="none"/>
        </w:rPr>
        <w:t>150%的违约金；</w:t>
      </w:r>
      <w:r>
        <w:rPr>
          <w:color w:val="auto"/>
          <w:spacing w:val="-1"/>
          <w:highlight w:val="none"/>
        </w:rPr>
        <w:t>若因此对发包方声誉造成不良影响，承包方需另行承担相应责任。对于存在特殊环保要求的工程（如生态</w:t>
      </w:r>
      <w:r>
        <w:rPr>
          <w:color w:val="auto"/>
          <w:highlight w:val="none"/>
        </w:rPr>
        <w:t>保护区施工</w:t>
      </w:r>
      <w:r>
        <w:rPr>
          <w:color w:val="auto"/>
          <w:spacing w:val="-38"/>
          <w:highlight w:val="none"/>
        </w:rPr>
        <w:t>），</w:t>
      </w:r>
      <w:r>
        <w:rPr>
          <w:color w:val="auto"/>
          <w:highlight w:val="none"/>
        </w:rPr>
        <w:t>承包方未按专项环保方案施工，造成生态破坏等严重后果，除需承担生态修复全部费用外，</w:t>
      </w:r>
      <w:r>
        <w:rPr>
          <w:color w:val="auto"/>
          <w:spacing w:val="-1"/>
          <w:highlight w:val="none"/>
        </w:rPr>
        <w:t>还应向发包方支付生态修复费用</w:t>
      </w:r>
      <w:r>
        <w:rPr>
          <w:color w:val="auto"/>
          <w:spacing w:val="-41"/>
          <w:highlight w:val="none"/>
        </w:rPr>
        <w:t xml:space="preserve"> </w:t>
      </w:r>
      <w:r>
        <w:rPr>
          <w:color w:val="auto"/>
          <w:spacing w:val="-1"/>
          <w:highlight w:val="none"/>
        </w:rPr>
        <w:t>200%的违约金，同</w:t>
      </w:r>
      <w:r>
        <w:rPr>
          <w:color w:val="auto"/>
          <w:spacing w:val="-2"/>
          <w:highlight w:val="none"/>
        </w:rPr>
        <w:t>时接受相关行政部门处罚。</w:t>
      </w:r>
    </w:p>
    <w:p w14:paraId="3180445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jc w:val="both"/>
        <w:textAlignment w:val="baseline"/>
        <w:rPr>
          <w:color w:val="auto"/>
          <w:highlight w:val="none"/>
        </w:rPr>
      </w:pPr>
      <w:r>
        <w:rPr>
          <w:color w:val="auto"/>
          <w:spacing w:val="-1"/>
          <w:highlight w:val="none"/>
        </w:rPr>
        <w:t>不配合发包方管理：承包方拒绝或不配合发包方、监理单位的正常监督管理工作（</w:t>
      </w:r>
      <w:r>
        <w:rPr>
          <w:color w:val="auto"/>
          <w:spacing w:val="-2"/>
          <w:highlight w:val="none"/>
        </w:rPr>
        <w:t>如拒绝参加工程例</w:t>
      </w:r>
      <w:r>
        <w:rPr>
          <w:color w:val="auto"/>
          <w:spacing w:val="-3"/>
          <w:highlight w:val="none"/>
        </w:rPr>
        <w:t>会、不执行监理指令等</w:t>
      </w:r>
      <w:r>
        <w:rPr>
          <w:color w:val="auto"/>
          <w:spacing w:val="3"/>
          <w:highlight w:val="none"/>
        </w:rPr>
        <w:t>），</w:t>
      </w:r>
      <w:r>
        <w:rPr>
          <w:color w:val="auto"/>
          <w:spacing w:val="-3"/>
          <w:highlight w:val="none"/>
        </w:rPr>
        <w:t>每次应向发包方支付2000</w:t>
      </w:r>
      <w:r>
        <w:rPr>
          <w:color w:val="auto"/>
          <w:spacing w:val="-35"/>
          <w:highlight w:val="none"/>
        </w:rPr>
        <w:t xml:space="preserve"> </w:t>
      </w:r>
      <w:r>
        <w:rPr>
          <w:color w:val="auto"/>
          <w:spacing w:val="-3"/>
          <w:highlight w:val="none"/>
        </w:rPr>
        <w:t>-</w:t>
      </w:r>
      <w:r>
        <w:rPr>
          <w:color w:val="auto"/>
          <w:spacing w:val="-29"/>
          <w:highlight w:val="none"/>
        </w:rPr>
        <w:t xml:space="preserve"> </w:t>
      </w:r>
      <w:r>
        <w:rPr>
          <w:color w:val="auto"/>
          <w:spacing w:val="-3"/>
          <w:highlight w:val="none"/>
        </w:rPr>
        <w:t>3000</w:t>
      </w:r>
      <w:r>
        <w:rPr>
          <w:color w:val="auto"/>
          <w:spacing w:val="-33"/>
          <w:highlight w:val="none"/>
        </w:rPr>
        <w:t xml:space="preserve"> </w:t>
      </w:r>
      <w:r>
        <w:rPr>
          <w:color w:val="auto"/>
          <w:spacing w:val="-3"/>
          <w:highlight w:val="none"/>
        </w:rPr>
        <w:t>元违约金；累计三次及以上不配合，发包方有权要求承包方限期整改，若仍未改正，发包方有权解除合同，承包方需按</w:t>
      </w:r>
      <w:r>
        <w:rPr>
          <w:color w:val="auto"/>
          <w:spacing w:val="-4"/>
          <w:highlight w:val="none"/>
        </w:rPr>
        <w:t xml:space="preserve">合同总价 </w:t>
      </w:r>
      <w:r>
        <w:rPr>
          <w:rFonts w:hint="eastAsia"/>
          <w:color w:val="auto"/>
          <w:spacing w:val="-4"/>
          <w:highlight w:val="none"/>
          <w:lang w:eastAsia="zh-CN"/>
        </w:rPr>
        <w:t>5%</w:t>
      </w:r>
      <w:r>
        <w:rPr>
          <w:color w:val="auto"/>
          <w:spacing w:val="-4"/>
          <w:highlight w:val="none"/>
        </w:rPr>
        <w:t xml:space="preserve"> 支付违约金。</w:t>
      </w:r>
    </w:p>
    <w:p w14:paraId="6863F36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jc w:val="both"/>
        <w:textAlignment w:val="baseline"/>
        <w:rPr>
          <w:color w:val="auto"/>
          <w:highlight w:val="none"/>
        </w:rPr>
      </w:pPr>
      <w:r>
        <w:rPr>
          <w:color w:val="auto"/>
          <w:spacing w:val="-4"/>
          <w:highlight w:val="none"/>
        </w:rPr>
        <w:t>未履行保修义务：工程质量保修期内，承包方未按合同约定履行保修责任，在接到发包方维</w:t>
      </w:r>
      <w:r>
        <w:rPr>
          <w:color w:val="auto"/>
          <w:spacing w:val="-5"/>
          <w:highlight w:val="none"/>
        </w:rPr>
        <w:t>修通知后，</w:t>
      </w:r>
      <w:r>
        <w:rPr>
          <w:color w:val="auto"/>
          <w:highlight w:val="none"/>
        </w:rPr>
        <w:t xml:space="preserve"> </w:t>
      </w:r>
      <w:r>
        <w:rPr>
          <w:color w:val="auto"/>
          <w:spacing w:val="-2"/>
          <w:highlight w:val="none"/>
        </w:rPr>
        <w:t>无正当理由未在规定时间内到场维修，每逾期一日，应按工程质量保修金的</w:t>
      </w:r>
      <w:r>
        <w:rPr>
          <w:color w:val="auto"/>
          <w:spacing w:val="-42"/>
          <w:highlight w:val="none"/>
        </w:rPr>
        <w:t xml:space="preserve"> </w:t>
      </w:r>
      <w:r>
        <w:rPr>
          <w:color w:val="auto"/>
          <w:spacing w:val="-2"/>
          <w:highlight w:val="none"/>
        </w:rPr>
        <w:t>0.</w:t>
      </w:r>
      <w:r>
        <w:rPr>
          <w:rFonts w:hint="eastAsia"/>
          <w:color w:val="auto"/>
          <w:spacing w:val="-2"/>
          <w:highlight w:val="none"/>
          <w:lang w:eastAsia="zh-CN"/>
        </w:rPr>
        <w:t>5%</w:t>
      </w:r>
      <w:r>
        <w:rPr>
          <w:color w:val="auto"/>
          <w:spacing w:val="-2"/>
          <w:highlight w:val="none"/>
        </w:rPr>
        <w:t>向发包方支付违约金；若</w:t>
      </w:r>
      <w:r>
        <w:rPr>
          <w:color w:val="auto"/>
          <w:highlight w:val="none"/>
        </w:rPr>
        <w:t xml:space="preserve"> </w:t>
      </w:r>
      <w:r>
        <w:rPr>
          <w:color w:val="auto"/>
          <w:spacing w:val="-1"/>
          <w:highlight w:val="none"/>
        </w:rPr>
        <w:t>因未及时维修导致损失扩大，承包方需对扩大的损失承</w:t>
      </w:r>
      <w:r>
        <w:rPr>
          <w:color w:val="auto"/>
          <w:spacing w:val="-2"/>
          <w:highlight w:val="none"/>
        </w:rPr>
        <w:t>担全部赔偿责任。</w:t>
      </w:r>
    </w:p>
    <w:p w14:paraId="1035EDB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8" w:firstLineChars="200"/>
        <w:jc w:val="both"/>
        <w:textAlignment w:val="baseline"/>
        <w:rPr>
          <w:color w:val="auto"/>
          <w:highlight w:val="none"/>
        </w:rPr>
      </w:pPr>
      <w:r>
        <w:rPr>
          <w:color w:val="auto"/>
          <w:spacing w:val="-8"/>
          <w:highlight w:val="none"/>
        </w:rPr>
        <w:t>合同文件管理违约：承包方未妥善保管合同文件、技术资料等重要文件，导致文件缺失、损毁，影响</w:t>
      </w:r>
      <w:r>
        <w:rPr>
          <w:color w:val="auto"/>
          <w:highlight w:val="none"/>
        </w:rPr>
        <w:t xml:space="preserve"> </w:t>
      </w:r>
      <w:r>
        <w:rPr>
          <w:color w:val="auto"/>
          <w:spacing w:val="-1"/>
          <w:highlight w:val="none"/>
        </w:rPr>
        <w:t>工程推进或结算，需在发包方要求的期限内补全资料；无法补全的，每缺失一份关键文件，应向发包方支</w:t>
      </w:r>
      <w:r>
        <w:rPr>
          <w:color w:val="auto"/>
          <w:spacing w:val="-2"/>
          <w:highlight w:val="none"/>
        </w:rPr>
        <w:t>付2000-5000</w:t>
      </w:r>
      <w:r>
        <w:rPr>
          <w:color w:val="auto"/>
          <w:spacing w:val="-43"/>
          <w:highlight w:val="none"/>
        </w:rPr>
        <w:t xml:space="preserve"> </w:t>
      </w:r>
      <w:r>
        <w:rPr>
          <w:color w:val="auto"/>
          <w:spacing w:val="-2"/>
          <w:highlight w:val="none"/>
        </w:rPr>
        <w:t>元违约金，若因文件缺失造成发包方经济损失，还需全额赔偿。</w:t>
      </w:r>
    </w:p>
    <w:p w14:paraId="261695F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jc w:val="both"/>
        <w:textAlignment w:val="baseline"/>
        <w:rPr>
          <w:color w:val="auto"/>
          <w:highlight w:val="none"/>
        </w:rPr>
      </w:pPr>
      <w:r>
        <w:rPr>
          <w:color w:val="auto"/>
          <w:spacing w:val="-4"/>
          <w:highlight w:val="none"/>
        </w:rPr>
        <w:t>未按设计文件施工：承包方未严格按照经审核批准的设计文件、施工图纸进</w:t>
      </w:r>
      <w:r>
        <w:rPr>
          <w:color w:val="auto"/>
          <w:spacing w:val="-5"/>
          <w:highlight w:val="none"/>
        </w:rPr>
        <w:t>行施工，擅自改变工程结</w:t>
      </w:r>
      <w:r>
        <w:rPr>
          <w:color w:val="auto"/>
          <w:spacing w:val="-7"/>
          <w:highlight w:val="none"/>
        </w:rPr>
        <w:t>构、尺寸、材料规格等，必须限期整改恢复。除承担整改</w:t>
      </w:r>
      <w:r>
        <w:rPr>
          <w:color w:val="auto"/>
          <w:spacing w:val="-8"/>
          <w:highlight w:val="none"/>
        </w:rPr>
        <w:t>产生的全部费用外，还需按涉及变更部分工程造</w:t>
      </w:r>
      <w:r>
        <w:rPr>
          <w:color w:val="auto"/>
          <w:spacing w:val="-1"/>
          <w:highlight w:val="none"/>
        </w:rPr>
        <w:t>价的</w:t>
      </w:r>
      <w:r>
        <w:rPr>
          <w:color w:val="auto"/>
          <w:spacing w:val="-29"/>
          <w:highlight w:val="none"/>
        </w:rPr>
        <w:t xml:space="preserve"> </w:t>
      </w:r>
      <w:r>
        <w:rPr>
          <w:color w:val="auto"/>
          <w:spacing w:val="-1"/>
          <w:highlight w:val="none"/>
        </w:rPr>
        <w:t>10%-20%向发包方支付违约金；若整改后</w:t>
      </w:r>
      <w:r>
        <w:rPr>
          <w:color w:val="auto"/>
          <w:spacing w:val="-2"/>
          <w:highlight w:val="none"/>
        </w:rPr>
        <w:t>仍无法满足设计要求，发包方有权解除合同。</w:t>
      </w:r>
    </w:p>
    <w:p w14:paraId="2260F1E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jc w:val="both"/>
        <w:textAlignment w:val="baseline"/>
        <w:rPr>
          <w:color w:val="auto"/>
          <w:highlight w:val="none"/>
        </w:rPr>
      </w:pPr>
      <w:r>
        <w:rPr>
          <w:color w:val="auto"/>
          <w:spacing w:val="-1"/>
          <w:highlight w:val="none"/>
        </w:rPr>
        <w:t>未履行协调配合义务：在与其他施工单位交叉作业或涉及多方协作的工程中，承包方拒绝或不积极配合协调工作，影响整体工程进度或造成其他单位损失，每次需向发包方支付3000 - 5000</w:t>
      </w:r>
      <w:r>
        <w:rPr>
          <w:color w:val="auto"/>
          <w:spacing w:val="-43"/>
          <w:highlight w:val="none"/>
        </w:rPr>
        <w:t xml:space="preserve"> </w:t>
      </w:r>
      <w:r>
        <w:rPr>
          <w:color w:val="auto"/>
          <w:spacing w:val="-1"/>
          <w:highlight w:val="none"/>
        </w:rPr>
        <w:t>元违约</w:t>
      </w:r>
      <w:r>
        <w:rPr>
          <w:color w:val="auto"/>
          <w:spacing w:val="-2"/>
          <w:highlight w:val="none"/>
        </w:rPr>
        <w:t>金，并负</w:t>
      </w:r>
      <w:r>
        <w:rPr>
          <w:color w:val="auto"/>
          <w:spacing w:val="-3"/>
          <w:highlight w:val="none"/>
        </w:rPr>
        <w:t>责赔偿受影响方的实际损失。</w:t>
      </w:r>
    </w:p>
    <w:p w14:paraId="70E944E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jc w:val="both"/>
        <w:textAlignment w:val="baseline"/>
        <w:rPr>
          <w:color w:val="auto"/>
          <w:highlight w:val="none"/>
        </w:rPr>
      </w:pPr>
      <w:r>
        <w:rPr>
          <w:color w:val="auto"/>
          <w:spacing w:val="-1"/>
          <w:highlight w:val="none"/>
        </w:rPr>
        <w:t>未遵守保密约定：承包方在合同履行过程中，泄露发包方商业秘密、工程技术资料、项目规划等保密</w:t>
      </w:r>
      <w:r>
        <w:rPr>
          <w:color w:val="auto"/>
          <w:highlight w:val="none"/>
        </w:rPr>
        <w:t>信息，无论是否造成实际损失，均需向发包方支付合同总</w:t>
      </w:r>
      <w:r>
        <w:rPr>
          <w:color w:val="auto"/>
          <w:spacing w:val="-1"/>
          <w:highlight w:val="none"/>
        </w:rPr>
        <w:t>价</w:t>
      </w:r>
      <w:r>
        <w:rPr>
          <w:color w:val="auto"/>
          <w:spacing w:val="-40"/>
          <w:highlight w:val="none"/>
        </w:rPr>
        <w:t xml:space="preserve"> </w:t>
      </w:r>
      <w:r>
        <w:rPr>
          <w:rFonts w:hint="eastAsia"/>
          <w:color w:val="auto"/>
          <w:spacing w:val="-1"/>
          <w:highlight w:val="none"/>
          <w:lang w:eastAsia="zh-CN"/>
        </w:rPr>
        <w:t>5%</w:t>
      </w:r>
      <w:r>
        <w:rPr>
          <w:color w:val="auto"/>
          <w:spacing w:val="-1"/>
          <w:highlight w:val="none"/>
        </w:rPr>
        <w:t>的违约金；若导致发包方经济损失或声誉受</w:t>
      </w:r>
      <w:r>
        <w:rPr>
          <w:color w:val="auto"/>
          <w:spacing w:val="-2"/>
          <w:highlight w:val="none"/>
        </w:rPr>
        <w:t>损，还应承担全部赔偿责任及相应法律后果。</w:t>
      </w:r>
    </w:p>
    <w:p w14:paraId="31C9041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jc w:val="both"/>
        <w:textAlignment w:val="baseline"/>
        <w:rPr>
          <w:color w:val="auto"/>
          <w:spacing w:val="-8"/>
          <w:highlight w:val="none"/>
        </w:rPr>
      </w:pPr>
      <w:r>
        <w:rPr>
          <w:color w:val="auto"/>
          <w:spacing w:val="-4"/>
          <w:highlight w:val="none"/>
        </w:rPr>
        <w:t>未按要求提交履约担保：若合同约定承包方需提交履约担保，承包方未按规定时间、金额或</w:t>
      </w:r>
      <w:r>
        <w:rPr>
          <w:color w:val="auto"/>
          <w:spacing w:val="-5"/>
          <w:highlight w:val="none"/>
        </w:rPr>
        <w:t>形式提交，</w:t>
      </w:r>
      <w:r>
        <w:rPr>
          <w:color w:val="auto"/>
          <w:spacing w:val="-2"/>
          <w:highlight w:val="none"/>
        </w:rPr>
        <w:t>每逾期一日，应按履约担保金额的</w:t>
      </w:r>
      <w:r>
        <w:rPr>
          <w:color w:val="auto"/>
          <w:spacing w:val="-40"/>
          <w:highlight w:val="none"/>
        </w:rPr>
        <w:t xml:space="preserve"> </w:t>
      </w:r>
      <w:r>
        <w:rPr>
          <w:color w:val="auto"/>
          <w:spacing w:val="-2"/>
          <w:highlight w:val="none"/>
        </w:rPr>
        <w:t>0.1%向发包方支付违约金；逾期超过</w:t>
      </w:r>
      <w:r>
        <w:rPr>
          <w:color w:val="auto"/>
          <w:spacing w:val="-29"/>
          <w:highlight w:val="none"/>
        </w:rPr>
        <w:t xml:space="preserve"> </w:t>
      </w:r>
      <w:r>
        <w:rPr>
          <w:color w:val="auto"/>
          <w:spacing w:val="-2"/>
          <w:highlight w:val="none"/>
        </w:rPr>
        <w:t>15 日，发包方有权解除合同</w:t>
      </w:r>
      <w:r>
        <w:rPr>
          <w:color w:val="auto"/>
          <w:spacing w:val="-8"/>
          <w:highlight w:val="none"/>
        </w:rPr>
        <w:t>。</w:t>
      </w:r>
    </w:p>
    <w:p w14:paraId="5157774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3"/>
        <w:rPr>
          <w:color w:val="auto"/>
          <w:highlight w:val="none"/>
        </w:rPr>
      </w:pPr>
      <w:r>
        <w:rPr>
          <w:color w:val="auto"/>
          <w:spacing w:val="-2"/>
          <w:highlight w:val="none"/>
        </w:rPr>
        <w:t>5.2.1.2</w:t>
      </w:r>
      <w:r>
        <w:rPr>
          <w:color w:val="auto"/>
          <w:spacing w:val="-35"/>
          <w:highlight w:val="none"/>
        </w:rPr>
        <w:t xml:space="preserve"> </w:t>
      </w:r>
      <w:r>
        <w:rPr>
          <w:color w:val="auto"/>
          <w:spacing w:val="-2"/>
          <w:highlight w:val="none"/>
        </w:rPr>
        <w:t>设计方违约的情形</w:t>
      </w:r>
    </w:p>
    <w:p w14:paraId="6CE94D4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4"/>
        <w:rPr>
          <w:color w:val="auto"/>
          <w:highlight w:val="none"/>
        </w:rPr>
      </w:pPr>
      <w:r>
        <w:rPr>
          <w:color w:val="auto"/>
          <w:spacing w:val="-4"/>
          <w:highlight w:val="none"/>
        </w:rPr>
        <w:t>一、设计质量违约</w:t>
      </w:r>
    </w:p>
    <w:p w14:paraId="5EF8459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5"/>
        <w:rPr>
          <w:color w:val="auto"/>
          <w:highlight w:val="none"/>
        </w:rPr>
      </w:pPr>
      <w:r>
        <w:rPr>
          <w:color w:val="auto"/>
          <w:spacing w:val="-3"/>
          <w:highlight w:val="none"/>
        </w:rPr>
        <w:t>1.1 设计成果不合格</w:t>
      </w:r>
    </w:p>
    <w:p w14:paraId="03FF253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设计方提交的设计文件若存在错误、遗漏或不符合合同约定的技术标准、规范</w:t>
      </w:r>
      <w:r>
        <w:rPr>
          <w:color w:val="auto"/>
          <w:spacing w:val="-5"/>
          <w:highlight w:val="none"/>
        </w:rPr>
        <w:t>及功能要求，应在发包</w:t>
      </w:r>
      <w:r>
        <w:rPr>
          <w:color w:val="auto"/>
          <w:spacing w:val="-6"/>
          <w:highlight w:val="none"/>
        </w:rPr>
        <w:t>方发出整改通知后的</w:t>
      </w:r>
      <w:r>
        <w:rPr>
          <w:color w:val="auto"/>
          <w:spacing w:val="-22"/>
          <w:highlight w:val="none"/>
        </w:rPr>
        <w:t xml:space="preserve"> </w:t>
      </w:r>
      <w:r>
        <w:rPr>
          <w:color w:val="auto"/>
          <w:spacing w:val="-6"/>
          <w:highlight w:val="none"/>
        </w:rPr>
        <w:t>7</w:t>
      </w:r>
      <w:r>
        <w:rPr>
          <w:color w:val="auto"/>
          <w:spacing w:val="-44"/>
          <w:highlight w:val="none"/>
        </w:rPr>
        <w:t xml:space="preserve"> </w:t>
      </w:r>
      <w:r>
        <w:rPr>
          <w:color w:val="auto"/>
          <w:spacing w:val="-6"/>
          <w:highlight w:val="none"/>
        </w:rPr>
        <w:t>个工作日内无偿修改、完善，</w:t>
      </w:r>
      <w:r>
        <w:rPr>
          <w:color w:val="auto"/>
          <w:spacing w:val="-45"/>
          <w:highlight w:val="none"/>
        </w:rPr>
        <w:t xml:space="preserve"> </w:t>
      </w:r>
      <w:r>
        <w:rPr>
          <w:color w:val="auto"/>
          <w:spacing w:val="-6"/>
          <w:highlight w:val="none"/>
        </w:rPr>
        <w:t>直至达到合格标准。若因设计质量问题导致工程返工，</w:t>
      </w:r>
      <w:r>
        <w:rPr>
          <w:color w:val="auto"/>
          <w:spacing w:val="-4"/>
          <w:highlight w:val="none"/>
        </w:rPr>
        <w:t>设计方需承担由此产生的全部直接费用，包括但不限于拆除费、重新施工费等，并按返工部分</w:t>
      </w:r>
      <w:r>
        <w:rPr>
          <w:color w:val="auto"/>
          <w:spacing w:val="-5"/>
          <w:highlight w:val="none"/>
        </w:rPr>
        <w:t>工程造价的</w:t>
      </w:r>
      <w:r>
        <w:rPr>
          <w:color w:val="auto"/>
          <w:highlight w:val="none"/>
        </w:rPr>
        <w:t xml:space="preserve"> </w:t>
      </w:r>
      <w:r>
        <w:rPr>
          <w:color w:val="auto"/>
          <w:spacing w:val="-4"/>
          <w:highlight w:val="none"/>
        </w:rPr>
        <w:t>[</w:t>
      </w:r>
      <w:r>
        <w:rPr>
          <w:rFonts w:hint="eastAsia"/>
          <w:color w:val="auto"/>
          <w:spacing w:val="-4"/>
          <w:highlight w:val="none"/>
          <w:lang w:eastAsia="zh-CN"/>
        </w:rPr>
        <w:t>5%</w:t>
      </w:r>
      <w:r>
        <w:rPr>
          <w:color w:val="auto"/>
          <w:spacing w:val="-4"/>
          <w:highlight w:val="none"/>
        </w:rPr>
        <w:t xml:space="preserve"> -</w:t>
      </w:r>
      <w:r>
        <w:rPr>
          <w:color w:val="auto"/>
          <w:spacing w:val="39"/>
          <w:highlight w:val="none"/>
        </w:rPr>
        <w:t xml:space="preserve"> </w:t>
      </w:r>
      <w:r>
        <w:rPr>
          <w:color w:val="auto"/>
          <w:spacing w:val="-4"/>
          <w:highlight w:val="none"/>
        </w:rPr>
        <w:t>10%]向发包方支付违约金。</w:t>
      </w:r>
    </w:p>
    <w:p w14:paraId="32E733D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5"/>
        <w:rPr>
          <w:color w:val="auto"/>
          <w:highlight w:val="none"/>
        </w:rPr>
      </w:pPr>
      <w:r>
        <w:rPr>
          <w:color w:val="auto"/>
          <w:spacing w:val="-2"/>
          <w:highlight w:val="none"/>
        </w:rPr>
        <w:t>1.2 设计缺陷导致事故</w:t>
      </w:r>
    </w:p>
    <w:p w14:paraId="6E6AB3D7">
      <w:pPr>
        <w:pStyle w:val="9"/>
        <w:keepNext w:val="0"/>
        <w:keepLines w:val="0"/>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spacing w:val="-1"/>
          <w:highlight w:val="none"/>
        </w:rPr>
      </w:pPr>
      <w:r>
        <w:rPr>
          <w:color w:val="auto"/>
          <w:spacing w:val="-5"/>
          <w:highlight w:val="none"/>
        </w:rPr>
        <w:t>因设计缺陷引发工程质量事故、安全事故或其他严重后果，设计方应承担全部法律责任，包括但不限</w:t>
      </w:r>
      <w:r>
        <w:rPr>
          <w:color w:val="auto"/>
          <w:spacing w:val="-7"/>
          <w:highlight w:val="none"/>
        </w:rPr>
        <w:t>于赔偿发包方、第三方的人身损害及财产损失，承担事</w:t>
      </w:r>
      <w:r>
        <w:rPr>
          <w:color w:val="auto"/>
          <w:spacing w:val="-8"/>
          <w:highlight w:val="none"/>
        </w:rPr>
        <w:t>故调查、处理的全部费用。同时，设计方需向发包</w:t>
      </w:r>
      <w:r>
        <w:rPr>
          <w:color w:val="auto"/>
          <w:highlight w:val="none"/>
        </w:rPr>
        <w:t>方支付合同设计费总额[20% - 30%]的违约金，发包方有权解除</w:t>
      </w:r>
      <w:r>
        <w:rPr>
          <w:color w:val="auto"/>
          <w:spacing w:val="-1"/>
          <w:highlight w:val="none"/>
        </w:rPr>
        <w:t>合同。</w:t>
      </w:r>
    </w:p>
    <w:p w14:paraId="45EFB0AB">
      <w:pPr>
        <w:pStyle w:val="9"/>
        <w:keepNext w:val="0"/>
        <w:keepLines w:val="0"/>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二、设计进度违约</w:t>
      </w:r>
    </w:p>
    <w:p w14:paraId="059AFE2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5"/>
        <w:rPr>
          <w:color w:val="auto"/>
          <w:highlight w:val="none"/>
        </w:rPr>
      </w:pPr>
      <w:r>
        <w:rPr>
          <w:color w:val="auto"/>
          <w:spacing w:val="-1"/>
          <w:highlight w:val="none"/>
        </w:rPr>
        <w:t>2.1 设计成果延迟交付</w:t>
      </w:r>
    </w:p>
    <w:p w14:paraId="37792AA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设计方未按合同约定时间提交设计文件，每逾期一日，应按合同设计费总额的[0.1%</w:t>
      </w:r>
      <w:r>
        <w:rPr>
          <w:color w:val="auto"/>
          <w:spacing w:val="-46"/>
          <w:highlight w:val="none"/>
        </w:rPr>
        <w:t xml:space="preserve"> </w:t>
      </w:r>
      <w:r>
        <w:rPr>
          <w:color w:val="auto"/>
          <w:spacing w:val="-1"/>
          <w:highlight w:val="none"/>
        </w:rPr>
        <w:t>-</w:t>
      </w:r>
      <w:r>
        <w:rPr>
          <w:color w:val="auto"/>
          <w:spacing w:val="-43"/>
          <w:highlight w:val="none"/>
        </w:rPr>
        <w:t xml:space="preserve"> </w:t>
      </w:r>
      <w:r>
        <w:rPr>
          <w:color w:val="auto"/>
          <w:spacing w:val="-1"/>
          <w:highlight w:val="none"/>
        </w:rPr>
        <w:t>0.3%]向发</w:t>
      </w:r>
      <w:r>
        <w:rPr>
          <w:color w:val="auto"/>
          <w:spacing w:val="-2"/>
          <w:highlight w:val="none"/>
        </w:rPr>
        <w:t>包方</w:t>
      </w:r>
      <w:r>
        <w:rPr>
          <w:color w:val="auto"/>
          <w:spacing w:val="-1"/>
          <w:highlight w:val="none"/>
        </w:rPr>
        <w:t>支付违约金。逾期超过</w:t>
      </w:r>
      <w:r>
        <w:rPr>
          <w:color w:val="auto"/>
          <w:spacing w:val="-40"/>
          <w:highlight w:val="none"/>
        </w:rPr>
        <w:t xml:space="preserve"> </w:t>
      </w:r>
      <w:r>
        <w:rPr>
          <w:color w:val="auto"/>
          <w:spacing w:val="-1"/>
          <w:highlight w:val="none"/>
        </w:rPr>
        <w:t>30 日，发包方有</w:t>
      </w:r>
      <w:r>
        <w:rPr>
          <w:color w:val="auto"/>
          <w:spacing w:val="-2"/>
          <w:highlight w:val="none"/>
        </w:rPr>
        <w:t>权另行委托其他设计单位完成设计工作，由此产生的费用差额及</w:t>
      </w:r>
      <w:r>
        <w:rPr>
          <w:color w:val="auto"/>
          <w:spacing w:val="-1"/>
          <w:highlight w:val="none"/>
        </w:rPr>
        <w:t>额外支出由设计方承担，且设计方仍需按原合同约定支付违约金。若因设计人原因导致其交付的成果未通</w:t>
      </w:r>
      <w:r>
        <w:rPr>
          <w:color w:val="auto"/>
          <w:spacing w:val="-4"/>
          <w:highlight w:val="none"/>
        </w:rPr>
        <w:t>过第一次审查验收，设计人无偿进行成果修改。若经设计方修正，未通过第二次审查验收的，责</w:t>
      </w:r>
      <w:r>
        <w:rPr>
          <w:color w:val="auto"/>
          <w:spacing w:val="-5"/>
          <w:highlight w:val="none"/>
        </w:rPr>
        <w:t>任由设计</w:t>
      </w:r>
      <w:r>
        <w:rPr>
          <w:color w:val="auto"/>
          <w:spacing w:val="-2"/>
          <w:highlight w:val="none"/>
        </w:rPr>
        <w:t>方承担，应向发包人支付设计费总额</w:t>
      </w:r>
      <w:r>
        <w:rPr>
          <w:color w:val="auto"/>
          <w:spacing w:val="-29"/>
          <w:highlight w:val="none"/>
        </w:rPr>
        <w:t xml:space="preserve"> </w:t>
      </w:r>
      <w:r>
        <w:rPr>
          <w:color w:val="auto"/>
          <w:spacing w:val="-2"/>
          <w:highlight w:val="none"/>
        </w:rPr>
        <w:t>10%的违约金;若经设计方再次修正，仍未</w:t>
      </w:r>
      <w:r>
        <w:rPr>
          <w:color w:val="auto"/>
          <w:spacing w:val="-3"/>
          <w:highlight w:val="none"/>
        </w:rPr>
        <w:t>通过第三次审查验收的，则</w:t>
      </w:r>
      <w:r>
        <w:rPr>
          <w:color w:val="auto"/>
          <w:spacing w:val="-1"/>
          <w:highlight w:val="none"/>
        </w:rPr>
        <w:t>前述违约金调增为</w:t>
      </w:r>
      <w:r>
        <w:rPr>
          <w:color w:val="auto"/>
          <w:spacing w:val="-30"/>
          <w:highlight w:val="none"/>
        </w:rPr>
        <w:t xml:space="preserve"> </w:t>
      </w:r>
      <w:r>
        <w:rPr>
          <w:color w:val="auto"/>
          <w:spacing w:val="-1"/>
          <w:highlight w:val="none"/>
        </w:rPr>
        <w:t>20%。设计方应在发包人指定的期限内修正至通过审查验收。因修正而造成逾期提交的</w:t>
      </w:r>
      <w:r>
        <w:rPr>
          <w:rFonts w:hint="eastAsia"/>
          <w:color w:val="auto"/>
          <w:spacing w:val="-1"/>
          <w:highlight w:val="none"/>
          <w:lang w:eastAsia="zh-CN"/>
        </w:rPr>
        <w:t>，</w:t>
      </w:r>
      <w:r>
        <w:rPr>
          <w:color w:val="auto"/>
          <w:spacing w:val="-2"/>
          <w:highlight w:val="none"/>
        </w:rPr>
        <w:t>设计方还应同时承担迟延提交的违约责任。</w:t>
      </w:r>
    </w:p>
    <w:p w14:paraId="23E6A62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jc w:val="both"/>
        <w:textAlignment w:val="baseline"/>
        <w:rPr>
          <w:color w:val="auto"/>
          <w:highlight w:val="none"/>
        </w:rPr>
      </w:pPr>
      <w:r>
        <w:rPr>
          <w:color w:val="auto"/>
          <w:highlight w:val="none"/>
        </w:rPr>
        <w:t>设计方的设计成果侵犯了第三方知识产权及其他民事权益的，责任由设计方承担。若因</w:t>
      </w:r>
      <w:r>
        <w:rPr>
          <w:color w:val="auto"/>
          <w:spacing w:val="-1"/>
          <w:highlight w:val="none"/>
        </w:rPr>
        <w:t>此导致发包</w:t>
      </w:r>
      <w:r>
        <w:rPr>
          <w:color w:val="auto"/>
          <w:spacing w:val="3"/>
          <w:highlight w:val="none"/>
        </w:rPr>
        <w:t>人损失，设计方应当足额赔偿。若因此导致发包人无法使用的，则设计方应当返还已收发</w:t>
      </w:r>
      <w:r>
        <w:rPr>
          <w:color w:val="auto"/>
          <w:spacing w:val="2"/>
          <w:highlight w:val="none"/>
        </w:rPr>
        <w:t>包人全部款项</w:t>
      </w:r>
      <w:r>
        <w:rPr>
          <w:rFonts w:hint="eastAsia"/>
          <w:color w:val="auto"/>
          <w:spacing w:val="2"/>
          <w:highlight w:val="none"/>
          <w:lang w:eastAsia="zh-CN"/>
        </w:rPr>
        <w:t>，</w:t>
      </w:r>
      <w:r>
        <w:rPr>
          <w:color w:val="auto"/>
          <w:spacing w:val="-4"/>
          <w:highlight w:val="none"/>
        </w:rPr>
        <w:t>同时另外承担违约金。</w:t>
      </w:r>
    </w:p>
    <w:p w14:paraId="1F85D4B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jc w:val="both"/>
        <w:textAlignment w:val="baseline"/>
        <w:rPr>
          <w:color w:val="auto"/>
          <w:highlight w:val="none"/>
        </w:rPr>
      </w:pPr>
      <w:r>
        <w:rPr>
          <w:color w:val="auto"/>
          <w:spacing w:val="-2"/>
          <w:highlight w:val="none"/>
        </w:rPr>
        <w:t>设计成果通过审查验收后，若因成果存在潜在缺陷</w:t>
      </w:r>
      <w:r>
        <w:rPr>
          <w:color w:val="auto"/>
          <w:spacing w:val="-3"/>
          <w:highlight w:val="none"/>
        </w:rPr>
        <w:t>(包括但不限于广度、深度、精确度不足或者成果</w:t>
      </w:r>
      <w:r>
        <w:rPr>
          <w:color w:val="auto"/>
          <w:spacing w:val="2"/>
          <w:highlight w:val="none"/>
        </w:rPr>
        <w:t>不周全、不严谨、不准确、有遗漏等)原因，影响发包</w:t>
      </w:r>
      <w:r>
        <w:rPr>
          <w:color w:val="auto"/>
          <w:spacing w:val="1"/>
          <w:highlight w:val="none"/>
        </w:rPr>
        <w:t>人使用的，或者导致工程质量存在缺陷或发生事故</w:t>
      </w:r>
      <w:r>
        <w:rPr>
          <w:color w:val="auto"/>
          <w:spacing w:val="-1"/>
          <w:highlight w:val="none"/>
        </w:rPr>
        <w:t>的，责任由设计方承担，设计方应当赔偿由此给发包</w:t>
      </w:r>
      <w:r>
        <w:rPr>
          <w:color w:val="auto"/>
          <w:spacing w:val="-2"/>
          <w:highlight w:val="none"/>
        </w:rPr>
        <w:t>人造成的全部损失。</w:t>
      </w:r>
    </w:p>
    <w:p w14:paraId="7962C58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jc w:val="both"/>
        <w:textAlignment w:val="baseline"/>
        <w:rPr>
          <w:color w:val="auto"/>
          <w:highlight w:val="none"/>
        </w:rPr>
      </w:pPr>
      <w:r>
        <w:rPr>
          <w:color w:val="auto"/>
          <w:highlight w:val="none"/>
        </w:rPr>
        <w:t>若设计成果需设计方参加会审验收，在发包人要求的时间内，设计方未参加、拒绝参加或者</w:t>
      </w:r>
      <w:r>
        <w:rPr>
          <w:color w:val="auto"/>
          <w:spacing w:val="-1"/>
          <w:highlight w:val="none"/>
        </w:rPr>
        <w:t>中途退</w:t>
      </w:r>
      <w:r>
        <w:rPr>
          <w:color w:val="auto"/>
          <w:spacing w:val="-2"/>
          <w:highlight w:val="none"/>
        </w:rPr>
        <w:t>场的，责任由设计方承担，每发生一次，设计方应向发包人支付设计费总额</w:t>
      </w:r>
      <w:r>
        <w:rPr>
          <w:color w:val="auto"/>
          <w:spacing w:val="-40"/>
          <w:highlight w:val="none"/>
        </w:rPr>
        <w:t xml:space="preserve"> </w:t>
      </w:r>
      <w:r>
        <w:rPr>
          <w:rFonts w:hint="eastAsia"/>
          <w:color w:val="auto"/>
          <w:spacing w:val="-2"/>
          <w:highlight w:val="none"/>
          <w:lang w:eastAsia="zh-CN"/>
        </w:rPr>
        <w:t>5%</w:t>
      </w:r>
      <w:r>
        <w:rPr>
          <w:color w:val="auto"/>
          <w:spacing w:val="-2"/>
          <w:highlight w:val="none"/>
        </w:rPr>
        <w:t>的违约金，同时发包人</w:t>
      </w:r>
      <w:r>
        <w:rPr>
          <w:color w:val="auto"/>
          <w:spacing w:val="-3"/>
          <w:highlight w:val="none"/>
        </w:rPr>
        <w:t>有权</w:t>
      </w:r>
      <w:r>
        <w:rPr>
          <w:color w:val="auto"/>
          <w:spacing w:val="-2"/>
          <w:highlight w:val="none"/>
        </w:rPr>
        <w:t>自行组织验收，验收结果对设计人具有约束力。</w:t>
      </w:r>
    </w:p>
    <w:p w14:paraId="3292DA97">
      <w:pPr>
        <w:pStyle w:val="9"/>
        <w:keepNext w:val="0"/>
        <w:keepLines w:val="0"/>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设计方急于或拒绝履行本合同约定的提供交底、答疑等附随服务义务的，责任由设计方</w:t>
      </w:r>
      <w:r>
        <w:rPr>
          <w:color w:val="auto"/>
          <w:spacing w:val="-1"/>
          <w:highlight w:val="none"/>
        </w:rPr>
        <w:t>承担，每出现一次，应向发包人支付设计费总额</w:t>
      </w:r>
      <w:r>
        <w:rPr>
          <w:color w:val="auto"/>
          <w:spacing w:val="-41"/>
          <w:highlight w:val="none"/>
        </w:rPr>
        <w:t xml:space="preserve"> </w:t>
      </w:r>
      <w:r>
        <w:rPr>
          <w:color w:val="auto"/>
          <w:spacing w:val="-1"/>
          <w:highlight w:val="none"/>
        </w:rPr>
        <w:t>2%的违约金，且前述违约金不因乙方事后</w:t>
      </w:r>
      <w:r>
        <w:rPr>
          <w:color w:val="auto"/>
          <w:spacing w:val="-2"/>
          <w:highlight w:val="none"/>
        </w:rPr>
        <w:t>纠正而得以免除。</w:t>
      </w:r>
    </w:p>
    <w:p w14:paraId="6B231259">
      <w:pPr>
        <w:pStyle w:val="9"/>
        <w:keepNext w:val="0"/>
        <w:keepLines w:val="0"/>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5"/>
        <w:rPr>
          <w:color w:val="auto"/>
          <w:highlight w:val="none"/>
        </w:rPr>
      </w:pPr>
      <w:r>
        <w:rPr>
          <w:color w:val="auto"/>
          <w:spacing w:val="-1"/>
          <w:highlight w:val="none"/>
        </w:rPr>
        <w:t>2.2 进度延误影响工期</w:t>
      </w:r>
    </w:p>
    <w:p w14:paraId="3C843F0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若设计进度延误导致工程整体工期延误，设计方除按上述条款支付违约金外，还需赔偿发包方因工期</w:t>
      </w:r>
      <w:r>
        <w:rPr>
          <w:color w:val="auto"/>
          <w:spacing w:val="-3"/>
          <w:highlight w:val="none"/>
        </w:rPr>
        <w:t>延误遭受的全部损失，包括但不限于对业主的工期</w:t>
      </w:r>
      <w:r>
        <w:rPr>
          <w:color w:val="auto"/>
          <w:spacing w:val="-4"/>
          <w:highlight w:val="none"/>
        </w:rPr>
        <w:t>违约赔偿、施工方的窝工损失、额外的场地租赁费用等</w:t>
      </w:r>
      <w:r>
        <w:rPr>
          <w:rFonts w:hint="eastAsia"/>
          <w:color w:val="auto"/>
          <w:spacing w:val="-4"/>
          <w:highlight w:val="none"/>
          <w:lang w:eastAsia="zh-CN"/>
        </w:rPr>
        <w:t>。</w:t>
      </w:r>
      <w:r>
        <w:rPr>
          <w:color w:val="auto"/>
          <w:spacing w:val="-2"/>
          <w:highlight w:val="none"/>
        </w:rPr>
        <w:t>损失赔偿金额以发包方提供的有效凭证为准。</w:t>
      </w:r>
    </w:p>
    <w:p w14:paraId="59590D2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4"/>
        <w:rPr>
          <w:color w:val="auto"/>
          <w:highlight w:val="none"/>
        </w:rPr>
      </w:pPr>
      <w:r>
        <w:rPr>
          <w:color w:val="auto"/>
          <w:spacing w:val="-1"/>
          <w:highlight w:val="none"/>
        </w:rPr>
        <w:t>三、擅自变更设计违约</w:t>
      </w:r>
    </w:p>
    <w:p w14:paraId="28049D7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jc w:val="both"/>
        <w:textAlignment w:val="baseline"/>
        <w:rPr>
          <w:color w:val="auto"/>
          <w:highlight w:val="none"/>
        </w:rPr>
      </w:pPr>
      <w:r>
        <w:rPr>
          <w:color w:val="auto"/>
          <w:spacing w:val="-4"/>
          <w:highlight w:val="none"/>
        </w:rPr>
        <w:t>未经发包方书面同意，设计方擅自变更设计方案、技术标准、工程规模等</w:t>
      </w:r>
      <w:r>
        <w:rPr>
          <w:color w:val="auto"/>
          <w:spacing w:val="-5"/>
          <w:highlight w:val="none"/>
        </w:rPr>
        <w:t>关键设计内容，应立即停止</w:t>
      </w:r>
      <w:r>
        <w:rPr>
          <w:color w:val="auto"/>
          <w:spacing w:val="-9"/>
          <w:highlight w:val="none"/>
        </w:rPr>
        <w:t>变更行为，并在</w:t>
      </w:r>
      <w:r>
        <w:rPr>
          <w:color w:val="auto"/>
          <w:spacing w:val="-40"/>
          <w:highlight w:val="none"/>
        </w:rPr>
        <w:t xml:space="preserve"> </w:t>
      </w:r>
      <w:r>
        <w:rPr>
          <w:color w:val="auto"/>
          <w:spacing w:val="-9"/>
          <w:highlight w:val="none"/>
        </w:rPr>
        <w:t>7 日内恢复原设计。若变更已实施，设计方需承担拆除、重建等整改费用，</w:t>
      </w:r>
      <w:r>
        <w:rPr>
          <w:color w:val="auto"/>
          <w:spacing w:val="-10"/>
          <w:highlight w:val="none"/>
        </w:rPr>
        <w:t>同时按变更部</w:t>
      </w:r>
      <w:r>
        <w:rPr>
          <w:color w:val="auto"/>
          <w:spacing w:val="-4"/>
          <w:highlight w:val="none"/>
        </w:rPr>
        <w:t>分工程造价的[10%</w:t>
      </w:r>
      <w:r>
        <w:rPr>
          <w:color w:val="auto"/>
          <w:spacing w:val="-46"/>
          <w:highlight w:val="none"/>
        </w:rPr>
        <w:t xml:space="preserve"> </w:t>
      </w:r>
      <w:r>
        <w:rPr>
          <w:color w:val="auto"/>
          <w:spacing w:val="-4"/>
          <w:highlight w:val="none"/>
        </w:rPr>
        <w:t>-</w:t>
      </w:r>
      <w:r>
        <w:rPr>
          <w:color w:val="auto"/>
          <w:spacing w:val="-41"/>
          <w:highlight w:val="none"/>
        </w:rPr>
        <w:t xml:space="preserve"> </w:t>
      </w:r>
      <w:r>
        <w:rPr>
          <w:color w:val="auto"/>
          <w:spacing w:val="-4"/>
          <w:highlight w:val="none"/>
        </w:rPr>
        <w:t>20%]向发包方支付违约金。如因擅自变更设计给发包方造成其他经济损失，设计方需</w:t>
      </w:r>
      <w:r>
        <w:rPr>
          <w:color w:val="auto"/>
          <w:spacing w:val="-7"/>
          <w:highlight w:val="none"/>
        </w:rPr>
        <w:t>全额赔偿。</w:t>
      </w:r>
    </w:p>
    <w:p w14:paraId="63DFD80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4"/>
        <w:rPr>
          <w:color w:val="auto"/>
          <w:highlight w:val="none"/>
        </w:rPr>
      </w:pPr>
      <w:r>
        <w:rPr>
          <w:color w:val="auto"/>
          <w:spacing w:val="-3"/>
          <w:highlight w:val="none"/>
        </w:rPr>
        <w:t>四、知识产权与保密违约</w:t>
      </w:r>
    </w:p>
    <w:p w14:paraId="32BFA56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5"/>
        <w:rPr>
          <w:color w:val="auto"/>
          <w:highlight w:val="none"/>
        </w:rPr>
      </w:pPr>
      <w:r>
        <w:rPr>
          <w:color w:val="auto"/>
          <w:spacing w:val="-1"/>
          <w:highlight w:val="none"/>
        </w:rPr>
        <w:t>4.1 知识产权侵权</w:t>
      </w:r>
    </w:p>
    <w:p w14:paraId="5E36E9A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设计方提供的设计成果若侵犯第三方知识产权，导致发包方被索赔或产生法律纠纷，设计方应承担全</w:t>
      </w:r>
      <w:r>
        <w:rPr>
          <w:color w:val="auto"/>
          <w:spacing w:val="-4"/>
          <w:highlight w:val="none"/>
        </w:rPr>
        <w:t>部法律责任和经济赔偿，包括但不限于发包方支付的赔偿金、诉讼费、律师费等。同时，设</w:t>
      </w:r>
      <w:r>
        <w:rPr>
          <w:color w:val="auto"/>
          <w:spacing w:val="-5"/>
          <w:highlight w:val="none"/>
        </w:rPr>
        <w:t>计方需向发包</w:t>
      </w:r>
      <w:r>
        <w:rPr>
          <w:color w:val="auto"/>
          <w:spacing w:val="-2"/>
          <w:highlight w:val="none"/>
        </w:rPr>
        <w:t>方支付合同设计费总额[10% - 1</w:t>
      </w:r>
      <w:r>
        <w:rPr>
          <w:rFonts w:hint="eastAsia"/>
          <w:color w:val="auto"/>
          <w:spacing w:val="-2"/>
          <w:highlight w:val="none"/>
          <w:lang w:eastAsia="zh-CN"/>
        </w:rPr>
        <w:t>5%</w:t>
      </w:r>
      <w:r>
        <w:rPr>
          <w:color w:val="auto"/>
          <w:spacing w:val="-2"/>
          <w:highlight w:val="none"/>
        </w:rPr>
        <w:t>]的违约金。</w:t>
      </w:r>
    </w:p>
    <w:p w14:paraId="1F05088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5"/>
        <w:rPr>
          <w:color w:val="auto"/>
          <w:highlight w:val="none"/>
        </w:rPr>
      </w:pPr>
      <w:r>
        <w:rPr>
          <w:color w:val="auto"/>
          <w:spacing w:val="-1"/>
          <w:highlight w:val="none"/>
        </w:rPr>
        <w:t>4.2 保密义务违反</w:t>
      </w:r>
    </w:p>
    <w:p w14:paraId="1115E7F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设计方泄露在合同履行过程中知悉的发包方商业秘密、技术秘密等保密信息，应向发包</w:t>
      </w:r>
      <w:r>
        <w:rPr>
          <w:color w:val="auto"/>
          <w:spacing w:val="-5"/>
          <w:highlight w:val="none"/>
        </w:rPr>
        <w:t>方支付合同设</w:t>
      </w:r>
      <w:r>
        <w:rPr>
          <w:color w:val="auto"/>
          <w:spacing w:val="-3"/>
          <w:highlight w:val="none"/>
        </w:rPr>
        <w:t>计费总额[10% - 20%]的违约金。若因泄密给发包方造成实际经济损失，设计</w:t>
      </w:r>
      <w:r>
        <w:rPr>
          <w:color w:val="auto"/>
          <w:spacing w:val="-4"/>
          <w:highlight w:val="none"/>
        </w:rPr>
        <w:t>方需按损失金额的[1 - 2]倍</w:t>
      </w:r>
      <w:r>
        <w:rPr>
          <w:color w:val="auto"/>
          <w:spacing w:val="-2"/>
          <w:highlight w:val="none"/>
        </w:rPr>
        <w:t>进行赔偿；情节严重的，发包方有权解除合同。</w:t>
      </w:r>
    </w:p>
    <w:p w14:paraId="4BD366D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4"/>
        <w:rPr>
          <w:color w:val="auto"/>
          <w:highlight w:val="none"/>
        </w:rPr>
      </w:pPr>
      <w:r>
        <w:rPr>
          <w:color w:val="auto"/>
          <w:spacing w:val="-2"/>
          <w:highlight w:val="none"/>
        </w:rPr>
        <w:t>五、转包与分包违约</w:t>
      </w:r>
    </w:p>
    <w:p w14:paraId="1E690EC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32" w:firstLineChars="200"/>
        <w:jc w:val="both"/>
        <w:textAlignment w:val="baseline"/>
        <w:rPr>
          <w:color w:val="auto"/>
          <w:spacing w:val="-2"/>
          <w:highlight w:val="none"/>
        </w:rPr>
      </w:pPr>
      <w:r>
        <w:rPr>
          <w:color w:val="auto"/>
          <w:spacing w:val="3"/>
          <w:highlight w:val="none"/>
        </w:rPr>
        <w:t>设计方未经发包方书面同意，擅自将设计任务转包或违法分包给第三方，发包方有权立即解除</w:t>
      </w:r>
      <w:r>
        <w:rPr>
          <w:color w:val="auto"/>
          <w:spacing w:val="2"/>
          <w:highlight w:val="none"/>
        </w:rPr>
        <w:t>合同</w:t>
      </w:r>
      <w:r>
        <w:rPr>
          <w:rFonts w:hint="eastAsia"/>
          <w:color w:val="auto"/>
          <w:spacing w:val="2"/>
          <w:highlight w:val="none"/>
          <w:lang w:eastAsia="zh-CN"/>
        </w:rPr>
        <w:t>，</w:t>
      </w:r>
      <w:r>
        <w:rPr>
          <w:color w:val="auto"/>
          <w:highlight w:val="none"/>
        </w:rPr>
        <w:t>并要求设计方按合同设计费总额的[30% - 50%]支付违约金。若转包或分包导</w:t>
      </w:r>
      <w:r>
        <w:rPr>
          <w:color w:val="auto"/>
          <w:spacing w:val="-1"/>
          <w:highlight w:val="none"/>
        </w:rPr>
        <w:t>致设计质量问题或进度延误</w:t>
      </w:r>
      <w:r>
        <w:rPr>
          <w:rFonts w:hint="eastAsia"/>
          <w:color w:val="auto"/>
          <w:spacing w:val="-1"/>
          <w:highlight w:val="none"/>
          <w:lang w:eastAsia="zh-CN"/>
        </w:rPr>
        <w:t>，</w:t>
      </w:r>
      <w:r>
        <w:rPr>
          <w:color w:val="auto"/>
          <w:spacing w:val="-1"/>
          <w:highlight w:val="none"/>
        </w:rPr>
        <w:t>设计方与转包方、分包方承担连带责任，共同赔</w:t>
      </w:r>
      <w:r>
        <w:rPr>
          <w:color w:val="auto"/>
          <w:spacing w:val="-2"/>
          <w:highlight w:val="none"/>
        </w:rPr>
        <w:t>偿发包方的全部损失。</w:t>
      </w:r>
    </w:p>
    <w:p w14:paraId="381B674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8" w:firstLineChars="200"/>
        <w:jc w:val="both"/>
        <w:textAlignment w:val="baseline"/>
        <w:rPr>
          <w:rFonts w:hint="default" w:eastAsia="宋体"/>
          <w:color w:val="auto"/>
          <w:spacing w:val="-8"/>
          <w:highlight w:val="none"/>
          <w:lang w:val="en-US" w:eastAsia="zh-CN"/>
        </w:rPr>
      </w:pPr>
      <w:r>
        <w:rPr>
          <w:rFonts w:hint="eastAsia"/>
          <w:color w:val="auto"/>
          <w:spacing w:val="-8"/>
          <w:highlight w:val="none"/>
          <w:lang w:val="en-US" w:eastAsia="zh-CN"/>
        </w:rPr>
        <w:t>设计违约金总额不超过所签合同设计费总额。</w:t>
      </w:r>
    </w:p>
    <w:p w14:paraId="38DA103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15.2.2 通知改正</w:t>
      </w:r>
    </w:p>
    <w:p w14:paraId="30AA9D0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工程师通知承包人改正的合理期限是：</w:t>
      </w:r>
      <w:r>
        <w:rPr>
          <w:color w:val="auto"/>
          <w:spacing w:val="-1"/>
          <w:highlight w:val="none"/>
          <w:u w:val="single" w:color="auto"/>
        </w:rPr>
        <w:t xml:space="preserve"> 按发包人要求 </w:t>
      </w:r>
      <w:r>
        <w:rPr>
          <w:color w:val="auto"/>
          <w:spacing w:val="-1"/>
          <w:highlight w:val="none"/>
        </w:rPr>
        <w:t>。</w:t>
      </w:r>
    </w:p>
    <w:p w14:paraId="0A48D6A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2"/>
        <w:rPr>
          <w:color w:val="auto"/>
          <w:highlight w:val="none"/>
        </w:rPr>
      </w:pPr>
      <w:r>
        <w:rPr>
          <w:color w:val="auto"/>
          <w:spacing w:val="-2"/>
          <w:highlight w:val="none"/>
        </w:rPr>
        <w:t>15.2.3 承包人违约的责任</w:t>
      </w:r>
    </w:p>
    <w:p w14:paraId="04872E5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承包人违约责任的承担方式和计算方法：</w:t>
      </w:r>
      <w:r>
        <w:rPr>
          <w:color w:val="auto"/>
          <w:highlight w:val="none"/>
          <w:u w:val="single" w:color="auto"/>
        </w:rPr>
        <w:t xml:space="preserve"> 执行通用合</w:t>
      </w:r>
      <w:r>
        <w:rPr>
          <w:color w:val="auto"/>
          <w:spacing w:val="-1"/>
          <w:highlight w:val="none"/>
          <w:u w:val="single" w:color="auto"/>
        </w:rPr>
        <w:t xml:space="preserve">同条款 </w:t>
      </w:r>
      <w:r>
        <w:rPr>
          <w:color w:val="auto"/>
          <w:spacing w:val="-1"/>
          <w:highlight w:val="none"/>
        </w:rPr>
        <w:t>。</w:t>
      </w:r>
    </w:p>
    <w:p w14:paraId="440DAC0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outlineLvl w:val="0"/>
        <w:rPr>
          <w:color w:val="auto"/>
          <w:highlight w:val="none"/>
        </w:rPr>
      </w:pPr>
      <w:bookmarkStart w:id="2231" w:name="_Toc11177"/>
      <w:r>
        <w:rPr>
          <w:color w:val="auto"/>
          <w:spacing w:val="-5"/>
          <w:highlight w:val="none"/>
        </w:rPr>
        <w:t>第</w:t>
      </w:r>
      <w:r>
        <w:rPr>
          <w:color w:val="auto"/>
          <w:spacing w:val="-25"/>
          <w:highlight w:val="none"/>
        </w:rPr>
        <w:t xml:space="preserve"> </w:t>
      </w:r>
      <w:r>
        <w:rPr>
          <w:color w:val="auto"/>
          <w:spacing w:val="-5"/>
          <w:highlight w:val="none"/>
        </w:rPr>
        <w:t>16</w:t>
      </w:r>
      <w:r>
        <w:rPr>
          <w:color w:val="auto"/>
          <w:spacing w:val="-42"/>
          <w:highlight w:val="none"/>
        </w:rPr>
        <w:t xml:space="preserve"> </w:t>
      </w:r>
      <w:r>
        <w:rPr>
          <w:color w:val="auto"/>
          <w:spacing w:val="-5"/>
          <w:highlight w:val="none"/>
        </w:rPr>
        <w:t>条 合同解除</w:t>
      </w:r>
      <w:bookmarkEnd w:id="2231"/>
    </w:p>
    <w:p w14:paraId="520109B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outlineLvl w:val="1"/>
        <w:rPr>
          <w:color w:val="auto"/>
          <w:highlight w:val="none"/>
        </w:rPr>
      </w:pPr>
      <w:bookmarkStart w:id="2232" w:name="_Toc28299"/>
      <w:r>
        <w:rPr>
          <w:color w:val="auto"/>
          <w:spacing w:val="-5"/>
          <w:highlight w:val="none"/>
        </w:rPr>
        <w:t>16.1</w:t>
      </w:r>
      <w:r>
        <w:rPr>
          <w:color w:val="auto"/>
          <w:spacing w:val="39"/>
          <w:highlight w:val="none"/>
        </w:rPr>
        <w:t xml:space="preserve"> </w:t>
      </w:r>
      <w:r>
        <w:rPr>
          <w:color w:val="auto"/>
          <w:spacing w:val="-5"/>
          <w:highlight w:val="none"/>
        </w:rPr>
        <w:t>由发包人解除合同</w:t>
      </w:r>
      <w:bookmarkEnd w:id="2232"/>
    </w:p>
    <w:p w14:paraId="279DCC8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16.1.1</w:t>
      </w:r>
      <w:r>
        <w:rPr>
          <w:color w:val="auto"/>
          <w:spacing w:val="25"/>
          <w:highlight w:val="none"/>
        </w:rPr>
        <w:t xml:space="preserve"> </w:t>
      </w:r>
      <w:r>
        <w:rPr>
          <w:color w:val="auto"/>
          <w:spacing w:val="-3"/>
          <w:highlight w:val="none"/>
        </w:rPr>
        <w:t>因承包人违约解除合同</w:t>
      </w:r>
    </w:p>
    <w:p w14:paraId="5303D99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双方约定可由发包人解除合同的其他事由：</w:t>
      </w:r>
      <w:r>
        <w:rPr>
          <w:color w:val="auto"/>
          <w:spacing w:val="-1"/>
          <w:highlight w:val="none"/>
          <w:u w:val="single" w:color="auto"/>
        </w:rPr>
        <w:t xml:space="preserve"> 双方协商 </w:t>
      </w:r>
      <w:r>
        <w:rPr>
          <w:color w:val="auto"/>
          <w:spacing w:val="-1"/>
          <w:highlight w:val="none"/>
        </w:rPr>
        <w:t>。</w:t>
      </w:r>
    </w:p>
    <w:p w14:paraId="1390CC8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outlineLvl w:val="1"/>
        <w:rPr>
          <w:color w:val="auto"/>
          <w:highlight w:val="none"/>
        </w:rPr>
      </w:pPr>
      <w:bookmarkStart w:id="2233" w:name="_Toc8434"/>
      <w:r>
        <w:rPr>
          <w:color w:val="auto"/>
          <w:spacing w:val="-5"/>
          <w:highlight w:val="none"/>
        </w:rPr>
        <w:t>16.2</w:t>
      </w:r>
      <w:r>
        <w:rPr>
          <w:color w:val="auto"/>
          <w:spacing w:val="39"/>
          <w:highlight w:val="none"/>
        </w:rPr>
        <w:t xml:space="preserve"> </w:t>
      </w:r>
      <w:r>
        <w:rPr>
          <w:color w:val="auto"/>
          <w:spacing w:val="-5"/>
          <w:highlight w:val="none"/>
        </w:rPr>
        <w:t>由承包人解除合同</w:t>
      </w:r>
      <w:bookmarkEnd w:id="2233"/>
    </w:p>
    <w:p w14:paraId="2C9C2A3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16.2.1</w:t>
      </w:r>
      <w:r>
        <w:rPr>
          <w:color w:val="auto"/>
          <w:spacing w:val="25"/>
          <w:highlight w:val="none"/>
        </w:rPr>
        <w:t xml:space="preserve"> </w:t>
      </w:r>
      <w:r>
        <w:rPr>
          <w:color w:val="auto"/>
          <w:spacing w:val="-3"/>
          <w:highlight w:val="none"/>
        </w:rPr>
        <w:t>因发包人违约解除合同</w:t>
      </w:r>
    </w:p>
    <w:p w14:paraId="63DD1A8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双方约定可由承包人解除合同的其他事由：</w:t>
      </w:r>
      <w:r>
        <w:rPr>
          <w:color w:val="auto"/>
          <w:spacing w:val="-1"/>
          <w:highlight w:val="none"/>
          <w:u w:val="single" w:color="auto"/>
        </w:rPr>
        <w:t xml:space="preserve"> 双方协商 </w:t>
      </w:r>
      <w:r>
        <w:rPr>
          <w:color w:val="auto"/>
          <w:spacing w:val="-1"/>
          <w:highlight w:val="none"/>
        </w:rPr>
        <w:t>。</w:t>
      </w:r>
    </w:p>
    <w:p w14:paraId="6912318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2" w:firstLineChars="200"/>
        <w:textAlignment w:val="baseline"/>
        <w:outlineLvl w:val="0"/>
        <w:rPr>
          <w:color w:val="auto"/>
          <w:highlight w:val="none"/>
        </w:rPr>
      </w:pPr>
      <w:bookmarkStart w:id="2234" w:name="_Toc31305"/>
      <w:r>
        <w:rPr>
          <w:color w:val="auto"/>
          <w:spacing w:val="-7"/>
          <w:highlight w:val="none"/>
        </w:rPr>
        <w:t>第</w:t>
      </w:r>
      <w:r>
        <w:rPr>
          <w:color w:val="auto"/>
          <w:spacing w:val="-25"/>
          <w:highlight w:val="none"/>
        </w:rPr>
        <w:t xml:space="preserve"> </w:t>
      </w:r>
      <w:r>
        <w:rPr>
          <w:color w:val="auto"/>
          <w:spacing w:val="-7"/>
          <w:highlight w:val="none"/>
        </w:rPr>
        <w:t>17</w:t>
      </w:r>
      <w:r>
        <w:rPr>
          <w:color w:val="auto"/>
          <w:spacing w:val="-42"/>
          <w:highlight w:val="none"/>
        </w:rPr>
        <w:t xml:space="preserve"> </w:t>
      </w:r>
      <w:r>
        <w:rPr>
          <w:color w:val="auto"/>
          <w:spacing w:val="-7"/>
          <w:highlight w:val="none"/>
        </w:rPr>
        <w:t>条</w:t>
      </w:r>
      <w:r>
        <w:rPr>
          <w:color w:val="auto"/>
          <w:spacing w:val="11"/>
          <w:highlight w:val="none"/>
        </w:rPr>
        <w:t xml:space="preserve"> </w:t>
      </w:r>
      <w:r>
        <w:rPr>
          <w:color w:val="auto"/>
          <w:spacing w:val="-7"/>
          <w:highlight w:val="none"/>
        </w:rPr>
        <w:t>不可抗力</w:t>
      </w:r>
      <w:bookmarkEnd w:id="2234"/>
    </w:p>
    <w:p w14:paraId="6D2AC5D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color w:val="auto"/>
          <w:highlight w:val="none"/>
        </w:rPr>
      </w:pPr>
      <w:bookmarkStart w:id="2235" w:name="_Toc14229"/>
      <w:r>
        <w:rPr>
          <w:color w:val="auto"/>
          <w:spacing w:val="-2"/>
          <w:highlight w:val="none"/>
        </w:rPr>
        <w:t>17.1 不可抗力的定义</w:t>
      </w:r>
      <w:bookmarkEnd w:id="2235"/>
    </w:p>
    <w:p w14:paraId="7955DF7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除通用合同条件约定的不可抗力事件之外，视为不可抗力的其他情形：</w:t>
      </w:r>
      <w:r>
        <w:rPr>
          <w:color w:val="auto"/>
          <w:spacing w:val="-3"/>
          <w:highlight w:val="none"/>
          <w:u w:val="single" w:color="auto"/>
        </w:rPr>
        <w:t xml:space="preserve"> 重大政策变化对本工程的工</w:t>
      </w:r>
      <w:r>
        <w:rPr>
          <w:color w:val="auto"/>
          <w:spacing w:val="-2"/>
          <w:highlight w:val="none"/>
          <w:u w:val="single" w:color="auto"/>
        </w:rPr>
        <w:t xml:space="preserve">期予以顺延 </w:t>
      </w:r>
      <w:r>
        <w:rPr>
          <w:color w:val="auto"/>
          <w:spacing w:val="-2"/>
          <w:highlight w:val="none"/>
        </w:rPr>
        <w:t>。</w:t>
      </w:r>
    </w:p>
    <w:p w14:paraId="4ADF37A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1"/>
        <w:rPr>
          <w:color w:val="auto"/>
          <w:highlight w:val="none"/>
        </w:rPr>
      </w:pPr>
      <w:bookmarkStart w:id="2236" w:name="_Toc4842"/>
      <w:r>
        <w:rPr>
          <w:color w:val="auto"/>
          <w:spacing w:val="-4"/>
          <w:highlight w:val="none"/>
        </w:rPr>
        <w:t>17.6</w:t>
      </w:r>
      <w:r>
        <w:rPr>
          <w:color w:val="auto"/>
          <w:spacing w:val="29"/>
          <w:highlight w:val="none"/>
        </w:rPr>
        <w:t xml:space="preserve"> </w:t>
      </w:r>
      <w:r>
        <w:rPr>
          <w:color w:val="auto"/>
          <w:spacing w:val="-4"/>
          <w:highlight w:val="none"/>
        </w:rPr>
        <w:t>因不可抗力解除合同</w:t>
      </w:r>
      <w:bookmarkEnd w:id="2236"/>
    </w:p>
    <w:p w14:paraId="37BA543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合同解除后，发包人应当在商定或确定发包人应支付款项后的</w:t>
      </w:r>
      <w:r>
        <w:rPr>
          <w:color w:val="auto"/>
          <w:spacing w:val="-1"/>
          <w:highlight w:val="none"/>
          <w:u w:val="single" w:color="auto"/>
        </w:rPr>
        <w:t xml:space="preserve"> 28 </w:t>
      </w:r>
      <w:r>
        <w:rPr>
          <w:color w:val="auto"/>
          <w:spacing w:val="-1"/>
          <w:highlight w:val="none"/>
        </w:rPr>
        <w:t>天内完成款项的支付。</w:t>
      </w:r>
    </w:p>
    <w:p w14:paraId="54F2E08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8" w:firstLineChars="200"/>
        <w:textAlignment w:val="baseline"/>
        <w:outlineLvl w:val="0"/>
        <w:rPr>
          <w:color w:val="auto"/>
          <w:highlight w:val="none"/>
        </w:rPr>
      </w:pPr>
      <w:bookmarkStart w:id="2237" w:name="_Toc14766"/>
      <w:r>
        <w:rPr>
          <w:color w:val="auto"/>
          <w:spacing w:val="-8"/>
          <w:highlight w:val="none"/>
        </w:rPr>
        <w:t>第</w:t>
      </w:r>
      <w:r>
        <w:rPr>
          <w:color w:val="auto"/>
          <w:spacing w:val="-29"/>
          <w:highlight w:val="none"/>
        </w:rPr>
        <w:t xml:space="preserve"> </w:t>
      </w:r>
      <w:r>
        <w:rPr>
          <w:color w:val="auto"/>
          <w:spacing w:val="-8"/>
          <w:highlight w:val="none"/>
        </w:rPr>
        <w:t>18</w:t>
      </w:r>
      <w:r>
        <w:rPr>
          <w:color w:val="auto"/>
          <w:spacing w:val="-42"/>
          <w:highlight w:val="none"/>
        </w:rPr>
        <w:t xml:space="preserve"> </w:t>
      </w:r>
      <w:r>
        <w:rPr>
          <w:color w:val="auto"/>
          <w:spacing w:val="-8"/>
          <w:highlight w:val="none"/>
        </w:rPr>
        <w:t>条</w:t>
      </w:r>
      <w:r>
        <w:rPr>
          <w:color w:val="auto"/>
          <w:spacing w:val="9"/>
          <w:highlight w:val="none"/>
        </w:rPr>
        <w:t xml:space="preserve"> </w:t>
      </w:r>
      <w:r>
        <w:rPr>
          <w:color w:val="auto"/>
          <w:spacing w:val="-8"/>
          <w:highlight w:val="none"/>
        </w:rPr>
        <w:t>保险</w:t>
      </w:r>
      <w:bookmarkEnd w:id="2237"/>
    </w:p>
    <w:p w14:paraId="6F7BFCB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color w:val="auto"/>
          <w:highlight w:val="none"/>
        </w:rPr>
      </w:pPr>
      <w:bookmarkStart w:id="2238" w:name="_Toc969"/>
      <w:r>
        <w:rPr>
          <w:color w:val="auto"/>
          <w:spacing w:val="-2"/>
          <w:highlight w:val="none"/>
        </w:rPr>
        <w:t>18.1 设计和工程保险</w:t>
      </w:r>
      <w:bookmarkEnd w:id="2238"/>
    </w:p>
    <w:p w14:paraId="24F9A9B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18.1.1</w:t>
      </w:r>
      <w:r>
        <w:rPr>
          <w:color w:val="auto"/>
          <w:spacing w:val="-44"/>
          <w:highlight w:val="none"/>
        </w:rPr>
        <w:t xml:space="preserve"> </w:t>
      </w:r>
      <w:r>
        <w:rPr>
          <w:color w:val="auto"/>
          <w:spacing w:val="-3"/>
          <w:highlight w:val="none"/>
        </w:rPr>
        <w:t>双方当事人关于设计和工程保险的特别约定：</w:t>
      </w:r>
      <w:r>
        <w:rPr>
          <w:color w:val="auto"/>
          <w:spacing w:val="-42"/>
          <w:highlight w:val="none"/>
          <w:u w:val="single" w:color="auto"/>
        </w:rPr>
        <w:t xml:space="preserve"> </w:t>
      </w:r>
      <w:r>
        <w:rPr>
          <w:color w:val="auto"/>
          <w:spacing w:val="-3"/>
          <w:highlight w:val="none"/>
          <w:u w:val="single" w:color="auto"/>
        </w:rPr>
        <w:t>建筑工程、安装工程一切险由发包人购</w:t>
      </w:r>
      <w:r>
        <w:rPr>
          <w:color w:val="auto"/>
          <w:spacing w:val="-4"/>
          <w:highlight w:val="none"/>
          <w:u w:val="single" w:color="auto"/>
        </w:rPr>
        <w:t>买并承</w:t>
      </w:r>
      <w:r>
        <w:rPr>
          <w:color w:val="auto"/>
          <w:highlight w:val="none"/>
          <w:u w:val="single" w:color="auto"/>
        </w:rPr>
        <w:t>担费用，如果发包人委托承包人投保，那么因投保产生的保险费和其他相关</w:t>
      </w:r>
      <w:r>
        <w:rPr>
          <w:color w:val="auto"/>
          <w:spacing w:val="-1"/>
          <w:highlight w:val="none"/>
          <w:u w:val="single" w:color="auto"/>
        </w:rPr>
        <w:t xml:space="preserve">费用由发包人承担 </w:t>
      </w:r>
      <w:r>
        <w:rPr>
          <w:color w:val="auto"/>
          <w:spacing w:val="-1"/>
          <w:highlight w:val="none"/>
        </w:rPr>
        <w:t>。</w:t>
      </w:r>
    </w:p>
    <w:p w14:paraId="4813A53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18.1.2 双方当事人关于第三方责任险的特别约定：</w:t>
      </w:r>
      <w:r>
        <w:rPr>
          <w:color w:val="auto"/>
          <w:spacing w:val="-1"/>
          <w:highlight w:val="none"/>
          <w:u w:val="single" w:color="auto"/>
        </w:rPr>
        <w:t xml:space="preserve"> 执行通用合同条款 </w:t>
      </w:r>
      <w:r>
        <w:rPr>
          <w:color w:val="auto"/>
          <w:spacing w:val="-1"/>
          <w:highlight w:val="none"/>
        </w:rPr>
        <w:t>。</w:t>
      </w:r>
    </w:p>
    <w:p w14:paraId="41B3850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color w:val="auto"/>
          <w:highlight w:val="none"/>
        </w:rPr>
      </w:pPr>
      <w:bookmarkStart w:id="2239" w:name="_Toc28719"/>
      <w:r>
        <w:rPr>
          <w:color w:val="auto"/>
          <w:spacing w:val="-2"/>
          <w:highlight w:val="none"/>
        </w:rPr>
        <w:t>18.2 工伤和意外伤害保险</w:t>
      </w:r>
      <w:bookmarkEnd w:id="2239"/>
    </w:p>
    <w:p w14:paraId="4E6A8D3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18.2.3</w:t>
      </w:r>
      <w:r>
        <w:rPr>
          <w:color w:val="auto"/>
          <w:spacing w:val="-41"/>
          <w:highlight w:val="none"/>
        </w:rPr>
        <w:t xml:space="preserve"> </w:t>
      </w:r>
      <w:r>
        <w:rPr>
          <w:color w:val="auto"/>
          <w:spacing w:val="-3"/>
          <w:highlight w:val="none"/>
        </w:rPr>
        <w:t>关于工伤保险和意外伤害保险的特别约定：</w:t>
      </w:r>
      <w:r>
        <w:rPr>
          <w:color w:val="auto"/>
          <w:spacing w:val="-44"/>
          <w:highlight w:val="none"/>
          <w:u w:val="single" w:color="auto"/>
        </w:rPr>
        <w:t xml:space="preserve"> </w:t>
      </w:r>
      <w:r>
        <w:rPr>
          <w:color w:val="auto"/>
          <w:spacing w:val="-3"/>
          <w:highlight w:val="none"/>
          <w:u w:val="single" w:color="auto"/>
        </w:rPr>
        <w:t>承包人自有人员的工伤保险、团体意外</w:t>
      </w:r>
      <w:r>
        <w:rPr>
          <w:color w:val="auto"/>
          <w:spacing w:val="-4"/>
          <w:highlight w:val="none"/>
          <w:u w:val="single" w:color="auto"/>
        </w:rPr>
        <w:t>保险由承</w:t>
      </w:r>
      <w:r>
        <w:rPr>
          <w:color w:val="auto"/>
          <w:spacing w:val="-1"/>
          <w:highlight w:val="none"/>
          <w:u w:val="single" w:color="auto"/>
        </w:rPr>
        <w:t xml:space="preserve">包人购买并承担费用 </w:t>
      </w:r>
      <w:r>
        <w:rPr>
          <w:color w:val="auto"/>
          <w:spacing w:val="-1"/>
          <w:highlight w:val="none"/>
        </w:rPr>
        <w:t>。</w:t>
      </w:r>
    </w:p>
    <w:p w14:paraId="7A4C95F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outlineLvl w:val="1"/>
        <w:rPr>
          <w:color w:val="auto"/>
          <w:highlight w:val="none"/>
        </w:rPr>
      </w:pPr>
      <w:bookmarkStart w:id="2240" w:name="_Toc30989"/>
      <w:r>
        <w:rPr>
          <w:color w:val="auto"/>
          <w:spacing w:val="-5"/>
          <w:highlight w:val="none"/>
        </w:rPr>
        <w:t>18.3</w:t>
      </w:r>
      <w:r>
        <w:rPr>
          <w:color w:val="auto"/>
          <w:spacing w:val="18"/>
          <w:highlight w:val="none"/>
        </w:rPr>
        <w:t xml:space="preserve"> </w:t>
      </w:r>
      <w:r>
        <w:rPr>
          <w:color w:val="auto"/>
          <w:spacing w:val="-5"/>
          <w:highlight w:val="none"/>
        </w:rPr>
        <w:t>货物保险</w:t>
      </w:r>
      <w:bookmarkEnd w:id="2240"/>
    </w:p>
    <w:p w14:paraId="11C6492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spacing w:val="-3"/>
          <w:highlight w:val="none"/>
        </w:rPr>
      </w:pPr>
      <w:r>
        <w:rPr>
          <w:color w:val="auto"/>
          <w:spacing w:val="-3"/>
          <w:highlight w:val="none"/>
        </w:rPr>
        <w:t>关于承包人应为其施工设备 、材料 、工程设备和临时工程等办理财产保险的特别约定 ：</w:t>
      </w:r>
      <w:r>
        <w:rPr>
          <w:rFonts w:hint="eastAsia"/>
          <w:color w:val="auto"/>
          <w:spacing w:val="-3"/>
          <w:highlight w:val="none"/>
          <w:u w:val="single"/>
          <w:lang w:val="en-US" w:eastAsia="zh-CN"/>
        </w:rPr>
        <w:t xml:space="preserve">  / </w:t>
      </w:r>
      <w:r>
        <w:rPr>
          <w:color w:val="auto"/>
          <w:spacing w:val="-3"/>
          <w:highlight w:val="none"/>
        </w:rPr>
        <w:t>。</w:t>
      </w:r>
    </w:p>
    <w:p w14:paraId="7EA54BB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241" w:name="_Toc10679"/>
      <w:r>
        <w:rPr>
          <w:color w:val="auto"/>
          <w:spacing w:val="-3"/>
          <w:highlight w:val="none"/>
        </w:rPr>
        <w:t>18.4 其他保险</w:t>
      </w:r>
      <w:bookmarkEnd w:id="2241"/>
    </w:p>
    <w:p w14:paraId="11020E2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关于其他保险的约定：</w:t>
      </w:r>
      <w:r>
        <w:rPr>
          <w:color w:val="auto"/>
          <w:spacing w:val="-42"/>
          <w:highlight w:val="none"/>
          <w:u w:val="single" w:color="auto"/>
        </w:rPr>
        <w:t xml:space="preserve"> </w:t>
      </w:r>
      <w:r>
        <w:rPr>
          <w:color w:val="auto"/>
          <w:spacing w:val="-3"/>
          <w:highlight w:val="none"/>
          <w:u w:val="single" w:color="auto"/>
        </w:rPr>
        <w:t>承包方应当为本单位职工、临时雇佣人员缴纳工伤保险</w:t>
      </w:r>
      <w:r>
        <w:rPr>
          <w:color w:val="auto"/>
          <w:spacing w:val="-55"/>
          <w:highlight w:val="none"/>
          <w:u w:val="single" w:color="auto"/>
        </w:rPr>
        <w:t xml:space="preserve"> </w:t>
      </w:r>
      <w:r>
        <w:rPr>
          <w:color w:val="auto"/>
          <w:spacing w:val="-3"/>
          <w:highlight w:val="none"/>
          <w:u w:val="single" w:color="auto"/>
        </w:rPr>
        <w:t>，对有必要的人员办</w:t>
      </w:r>
      <w:r>
        <w:rPr>
          <w:color w:val="auto"/>
          <w:spacing w:val="-2"/>
          <w:highlight w:val="none"/>
          <w:u w:val="single" w:color="auto"/>
        </w:rPr>
        <w:t xml:space="preserve">理意外伤害险 </w:t>
      </w:r>
      <w:r>
        <w:rPr>
          <w:color w:val="auto"/>
          <w:spacing w:val="-2"/>
          <w:highlight w:val="none"/>
        </w:rPr>
        <w:t>。</w:t>
      </w:r>
    </w:p>
    <w:p w14:paraId="0F9ACD6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1"/>
        <w:rPr>
          <w:color w:val="auto"/>
          <w:highlight w:val="none"/>
        </w:rPr>
      </w:pPr>
      <w:bookmarkStart w:id="2242" w:name="_Toc21914"/>
      <w:r>
        <w:rPr>
          <w:color w:val="auto"/>
          <w:spacing w:val="-2"/>
          <w:highlight w:val="none"/>
        </w:rPr>
        <w:t>18.5 对各项保险的一般要求</w:t>
      </w:r>
      <w:bookmarkEnd w:id="2242"/>
    </w:p>
    <w:p w14:paraId="1CCBCCC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18.5.2 保险凭证</w:t>
      </w:r>
    </w:p>
    <w:p w14:paraId="474D26C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保险单的条件：</w:t>
      </w:r>
      <w:r>
        <w:rPr>
          <w:color w:val="auto"/>
          <w:highlight w:val="none"/>
          <w:u w:val="single" w:color="auto"/>
        </w:rPr>
        <w:t xml:space="preserve">                 /        </w:t>
      </w:r>
      <w:r>
        <w:rPr>
          <w:color w:val="auto"/>
          <w:spacing w:val="-1"/>
          <w:highlight w:val="none"/>
          <w:u w:val="single" w:color="auto"/>
        </w:rPr>
        <w:t xml:space="preserve">          </w:t>
      </w:r>
      <w:r>
        <w:rPr>
          <w:color w:val="auto"/>
          <w:spacing w:val="-1"/>
          <w:highlight w:val="none"/>
        </w:rPr>
        <w:t>。</w:t>
      </w:r>
    </w:p>
    <w:p w14:paraId="664FDC0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18.5.4 通知义务</w:t>
      </w:r>
    </w:p>
    <w:p w14:paraId="7186347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关于变更保险合同时的通知义务的约定：</w:t>
      </w:r>
      <w:r>
        <w:rPr>
          <w:color w:val="auto"/>
          <w:highlight w:val="none"/>
          <w:u w:val="single" w:color="auto"/>
        </w:rPr>
        <w:t xml:space="preserve">   </w:t>
      </w:r>
      <w:r>
        <w:rPr>
          <w:color w:val="auto"/>
          <w:spacing w:val="-1"/>
          <w:highlight w:val="none"/>
          <w:u w:val="single" w:color="auto"/>
        </w:rPr>
        <w:t xml:space="preserve">    /       </w:t>
      </w:r>
      <w:r>
        <w:rPr>
          <w:color w:val="auto"/>
          <w:spacing w:val="-1"/>
          <w:highlight w:val="none"/>
        </w:rPr>
        <w:t>。</w:t>
      </w:r>
    </w:p>
    <w:p w14:paraId="5BC3384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outlineLvl w:val="0"/>
        <w:rPr>
          <w:color w:val="auto"/>
          <w:highlight w:val="none"/>
        </w:rPr>
      </w:pPr>
      <w:bookmarkStart w:id="2243" w:name="_Toc31031"/>
      <w:r>
        <w:rPr>
          <w:color w:val="auto"/>
          <w:spacing w:val="-5"/>
          <w:highlight w:val="none"/>
        </w:rPr>
        <w:t>第</w:t>
      </w:r>
      <w:r>
        <w:rPr>
          <w:color w:val="auto"/>
          <w:spacing w:val="-41"/>
          <w:highlight w:val="none"/>
        </w:rPr>
        <w:t xml:space="preserve"> </w:t>
      </w:r>
      <w:r>
        <w:rPr>
          <w:color w:val="auto"/>
          <w:spacing w:val="-5"/>
          <w:highlight w:val="none"/>
        </w:rPr>
        <w:t>20</w:t>
      </w:r>
      <w:r>
        <w:rPr>
          <w:color w:val="auto"/>
          <w:spacing w:val="-43"/>
          <w:highlight w:val="none"/>
        </w:rPr>
        <w:t xml:space="preserve"> </w:t>
      </w:r>
      <w:r>
        <w:rPr>
          <w:color w:val="auto"/>
          <w:spacing w:val="-5"/>
          <w:highlight w:val="none"/>
        </w:rPr>
        <w:t>条</w:t>
      </w:r>
      <w:r>
        <w:rPr>
          <w:color w:val="auto"/>
          <w:spacing w:val="12"/>
          <w:highlight w:val="none"/>
        </w:rPr>
        <w:t xml:space="preserve"> </w:t>
      </w:r>
      <w:r>
        <w:rPr>
          <w:color w:val="auto"/>
          <w:spacing w:val="-5"/>
          <w:highlight w:val="none"/>
        </w:rPr>
        <w:t>争议解决</w:t>
      </w:r>
      <w:bookmarkEnd w:id="2243"/>
    </w:p>
    <w:p w14:paraId="6D85599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1"/>
        <w:rPr>
          <w:color w:val="auto"/>
          <w:highlight w:val="none"/>
        </w:rPr>
      </w:pPr>
      <w:bookmarkStart w:id="2244" w:name="_Toc13761"/>
      <w:r>
        <w:rPr>
          <w:color w:val="auto"/>
          <w:spacing w:val="-3"/>
          <w:highlight w:val="none"/>
        </w:rPr>
        <w:t>20.3</w:t>
      </w:r>
      <w:r>
        <w:rPr>
          <w:color w:val="auto"/>
          <w:spacing w:val="15"/>
          <w:highlight w:val="none"/>
        </w:rPr>
        <w:t xml:space="preserve"> </w:t>
      </w:r>
      <w:r>
        <w:rPr>
          <w:color w:val="auto"/>
          <w:spacing w:val="-3"/>
          <w:highlight w:val="none"/>
        </w:rPr>
        <w:t>争议评审</w:t>
      </w:r>
      <w:bookmarkEnd w:id="2244"/>
    </w:p>
    <w:p w14:paraId="68409E3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合同当事人是否同意将工程争议提交争议评审小组</w:t>
      </w:r>
      <w:r>
        <w:rPr>
          <w:color w:val="auto"/>
          <w:spacing w:val="-1"/>
          <w:highlight w:val="none"/>
        </w:rPr>
        <w:t xml:space="preserve">决定： </w:t>
      </w:r>
      <w:r>
        <w:rPr>
          <w:color w:val="auto"/>
          <w:spacing w:val="-1"/>
          <w:highlight w:val="none"/>
          <w:u w:val="single" w:color="auto"/>
        </w:rPr>
        <w:t xml:space="preserve">   /  </w:t>
      </w:r>
      <w:r>
        <w:rPr>
          <w:color w:val="auto"/>
          <w:spacing w:val="-1"/>
          <w:highlight w:val="none"/>
        </w:rPr>
        <w:t>。</w:t>
      </w:r>
    </w:p>
    <w:p w14:paraId="110F959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20.3.1 争议评审小组的确定</w:t>
      </w:r>
    </w:p>
    <w:p w14:paraId="7527533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争议评审小组成员的人数：</w:t>
      </w:r>
      <w:r>
        <w:rPr>
          <w:color w:val="auto"/>
          <w:highlight w:val="none"/>
          <w:u w:val="single" w:color="auto"/>
        </w:rPr>
        <w:t xml:space="preserve">           / </w:t>
      </w:r>
      <w:r>
        <w:rPr>
          <w:color w:val="auto"/>
          <w:spacing w:val="-1"/>
          <w:highlight w:val="none"/>
          <w:u w:val="single" w:color="auto"/>
        </w:rPr>
        <w:t xml:space="preserve">             </w:t>
      </w:r>
      <w:r>
        <w:rPr>
          <w:color w:val="auto"/>
          <w:spacing w:val="-1"/>
          <w:highlight w:val="none"/>
        </w:rPr>
        <w:t>。</w:t>
      </w:r>
    </w:p>
    <w:p w14:paraId="5657F86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争议评审小组成员的确定：</w:t>
      </w:r>
      <w:r>
        <w:rPr>
          <w:color w:val="auto"/>
          <w:highlight w:val="none"/>
          <w:u w:val="single" w:color="auto"/>
        </w:rPr>
        <w:t xml:space="preserve">          /  </w:t>
      </w:r>
      <w:r>
        <w:rPr>
          <w:color w:val="auto"/>
          <w:spacing w:val="-1"/>
          <w:highlight w:val="none"/>
          <w:u w:val="single" w:color="auto"/>
        </w:rPr>
        <w:t xml:space="preserve">             </w:t>
      </w:r>
      <w:r>
        <w:rPr>
          <w:color w:val="auto"/>
          <w:spacing w:val="-1"/>
          <w:highlight w:val="none"/>
        </w:rPr>
        <w:t>。</w:t>
      </w:r>
    </w:p>
    <w:p w14:paraId="7B7CF69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选定争议避免/评审组的期限：</w:t>
      </w:r>
      <w:r>
        <w:rPr>
          <w:color w:val="auto"/>
          <w:highlight w:val="none"/>
          <w:u w:val="single" w:color="auto"/>
        </w:rPr>
        <w:t xml:space="preserve">           /   </w:t>
      </w:r>
      <w:r>
        <w:rPr>
          <w:color w:val="auto"/>
          <w:spacing w:val="-1"/>
          <w:highlight w:val="none"/>
          <w:u w:val="single" w:color="auto"/>
        </w:rPr>
        <w:t xml:space="preserve">        </w:t>
      </w:r>
      <w:r>
        <w:rPr>
          <w:color w:val="auto"/>
          <w:spacing w:val="-1"/>
          <w:highlight w:val="none"/>
        </w:rPr>
        <w:t>。</w:t>
      </w:r>
    </w:p>
    <w:p w14:paraId="1CBA71C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评审机构：</w:t>
      </w:r>
      <w:r>
        <w:rPr>
          <w:color w:val="auto"/>
          <w:spacing w:val="-1"/>
          <w:highlight w:val="none"/>
          <w:u w:val="single" w:color="auto"/>
        </w:rPr>
        <w:t xml:space="preserve">                 /</w:t>
      </w:r>
      <w:r>
        <w:rPr>
          <w:color w:val="auto"/>
          <w:highlight w:val="none"/>
          <w:u w:val="single" w:color="auto"/>
        </w:rPr>
        <w:t xml:space="preserve">                      </w:t>
      </w:r>
      <w:r>
        <w:rPr>
          <w:color w:val="auto"/>
          <w:spacing w:val="-1"/>
          <w:highlight w:val="none"/>
        </w:rPr>
        <w:t>。</w:t>
      </w:r>
    </w:p>
    <w:p w14:paraId="698FAB1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其他事项的约定：</w:t>
      </w:r>
      <w:r>
        <w:rPr>
          <w:color w:val="auto"/>
          <w:highlight w:val="none"/>
          <w:u w:val="single" w:color="auto"/>
        </w:rPr>
        <w:t xml:space="preserve">                /       </w:t>
      </w:r>
      <w:r>
        <w:rPr>
          <w:color w:val="auto"/>
          <w:spacing w:val="-1"/>
          <w:highlight w:val="none"/>
          <w:u w:val="single" w:color="auto"/>
        </w:rPr>
        <w:t xml:space="preserve">          </w:t>
      </w:r>
      <w:r>
        <w:rPr>
          <w:color w:val="auto"/>
          <w:spacing w:val="-1"/>
          <w:highlight w:val="none"/>
        </w:rPr>
        <w:t>。</w:t>
      </w:r>
    </w:p>
    <w:p w14:paraId="6359F26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争议评审员报酬的承担人：</w:t>
      </w:r>
      <w:r>
        <w:rPr>
          <w:color w:val="auto"/>
          <w:highlight w:val="none"/>
          <w:u w:val="single" w:color="auto"/>
        </w:rPr>
        <w:t xml:space="preserve">            /</w:t>
      </w:r>
      <w:r>
        <w:rPr>
          <w:color w:val="auto"/>
          <w:spacing w:val="-1"/>
          <w:highlight w:val="none"/>
          <w:u w:val="single" w:color="auto"/>
        </w:rPr>
        <w:t xml:space="preserve">             </w:t>
      </w:r>
      <w:r>
        <w:rPr>
          <w:color w:val="auto"/>
          <w:spacing w:val="-1"/>
          <w:highlight w:val="none"/>
        </w:rPr>
        <w:t>。</w:t>
      </w:r>
    </w:p>
    <w:p w14:paraId="0E5179C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20.3.2 争议的避免</w:t>
      </w:r>
    </w:p>
    <w:p w14:paraId="0A03B76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发包人和承包人是否均出席争议避免的非正式讨论：</w:t>
      </w:r>
      <w:r>
        <w:rPr>
          <w:color w:val="auto"/>
          <w:spacing w:val="-1"/>
          <w:highlight w:val="none"/>
          <w:u w:val="single" w:color="auto"/>
        </w:rPr>
        <w:t xml:space="preserve">   /   </w:t>
      </w:r>
      <w:r>
        <w:rPr>
          <w:color w:val="auto"/>
          <w:spacing w:val="-1"/>
          <w:highlight w:val="none"/>
        </w:rPr>
        <w:t>。</w:t>
      </w:r>
    </w:p>
    <w:p w14:paraId="4463D60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20.3.3 争议评审小组的决定</w:t>
      </w:r>
    </w:p>
    <w:p w14:paraId="38D1702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关于争议评审小组的决定的特别约定：</w:t>
      </w:r>
      <w:r>
        <w:rPr>
          <w:color w:val="auto"/>
          <w:highlight w:val="none"/>
          <w:u w:val="single" w:color="auto"/>
        </w:rPr>
        <w:t xml:space="preserve">    </w:t>
      </w:r>
      <w:r>
        <w:rPr>
          <w:color w:val="auto"/>
          <w:spacing w:val="-1"/>
          <w:highlight w:val="none"/>
          <w:u w:val="single" w:color="auto"/>
        </w:rPr>
        <w:t xml:space="preserve">   /        </w:t>
      </w:r>
      <w:r>
        <w:rPr>
          <w:color w:val="auto"/>
          <w:spacing w:val="-1"/>
          <w:highlight w:val="none"/>
        </w:rPr>
        <w:t>。</w:t>
      </w:r>
    </w:p>
    <w:p w14:paraId="1714B1D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1"/>
        <w:rPr>
          <w:color w:val="auto"/>
          <w:highlight w:val="none"/>
        </w:rPr>
      </w:pPr>
      <w:bookmarkStart w:id="2245" w:name="_Toc29299"/>
      <w:r>
        <w:rPr>
          <w:color w:val="auto"/>
          <w:spacing w:val="-1"/>
          <w:highlight w:val="none"/>
        </w:rPr>
        <w:t>20.4 仲裁或诉讼</w:t>
      </w:r>
      <w:bookmarkEnd w:id="2245"/>
    </w:p>
    <w:p w14:paraId="3DCAAE9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因合同及合同有关事项发生的争议，按下列第</w:t>
      </w:r>
      <w:r>
        <w:rPr>
          <w:color w:val="auto"/>
          <w:spacing w:val="-3"/>
          <w:highlight w:val="none"/>
          <w:u w:val="single" w:color="auto"/>
        </w:rPr>
        <w:t xml:space="preserve"> （2） </w:t>
      </w:r>
      <w:r>
        <w:rPr>
          <w:color w:val="auto"/>
          <w:spacing w:val="-97"/>
          <w:highlight w:val="none"/>
        </w:rPr>
        <w:t xml:space="preserve"> </w:t>
      </w:r>
      <w:r>
        <w:rPr>
          <w:color w:val="auto"/>
          <w:spacing w:val="-3"/>
          <w:highlight w:val="none"/>
        </w:rPr>
        <w:t>种方式解决：</w:t>
      </w:r>
    </w:p>
    <w:p w14:paraId="536F970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（1）向</w:t>
      </w:r>
      <w:r>
        <w:rPr>
          <w:color w:val="auto"/>
          <w:spacing w:val="-65"/>
          <w:highlight w:val="none"/>
        </w:rPr>
        <w:t xml:space="preserve"> </w:t>
      </w:r>
      <w:r>
        <w:rPr>
          <w:color w:val="auto"/>
          <w:spacing w:val="-5"/>
          <w:highlight w:val="none"/>
          <w:u w:val="single" w:color="auto"/>
        </w:rPr>
        <w:t xml:space="preserve">      /</w:t>
      </w:r>
      <w:r>
        <w:rPr>
          <w:color w:val="auto"/>
          <w:highlight w:val="none"/>
          <w:u w:val="single" w:color="auto"/>
        </w:rPr>
        <w:t xml:space="preserve">      </w:t>
      </w:r>
      <w:r>
        <w:rPr>
          <w:color w:val="auto"/>
          <w:spacing w:val="-98"/>
          <w:highlight w:val="none"/>
        </w:rPr>
        <w:t xml:space="preserve"> </w:t>
      </w:r>
      <w:r>
        <w:rPr>
          <w:color w:val="auto"/>
          <w:spacing w:val="-5"/>
          <w:highlight w:val="none"/>
        </w:rPr>
        <w:t>仲裁委员会申请仲裁；</w:t>
      </w:r>
    </w:p>
    <w:p w14:paraId="609601E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（2）向</w:t>
      </w:r>
      <w:r>
        <w:rPr>
          <w:color w:val="auto"/>
          <w:spacing w:val="-74"/>
          <w:highlight w:val="none"/>
        </w:rPr>
        <w:t xml:space="preserve"> </w:t>
      </w:r>
      <w:r>
        <w:rPr>
          <w:color w:val="auto"/>
          <w:spacing w:val="-4"/>
          <w:highlight w:val="none"/>
          <w:u w:val="single" w:color="auto"/>
        </w:rPr>
        <w:t xml:space="preserve">  项目所在地  </w:t>
      </w:r>
      <w:r>
        <w:rPr>
          <w:color w:val="auto"/>
          <w:spacing w:val="-95"/>
          <w:highlight w:val="none"/>
        </w:rPr>
        <w:t xml:space="preserve"> </w:t>
      </w:r>
      <w:r>
        <w:rPr>
          <w:color w:val="auto"/>
          <w:spacing w:val="-4"/>
          <w:highlight w:val="none"/>
        </w:rPr>
        <w:t>人民法院起诉。</w:t>
      </w:r>
    </w:p>
    <w:p w14:paraId="0D104824">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sectPr>
          <w:headerReference r:id="rId21" w:type="default"/>
          <w:footerReference r:id="rId22" w:type="default"/>
          <w:pgSz w:w="11906" w:h="16839"/>
          <w:pgMar w:top="1134" w:right="1191" w:bottom="1134" w:left="1020" w:header="0" w:footer="993" w:gutter="0"/>
          <w:pgNumType w:fmt="decimal"/>
          <w:cols w:space="720" w:num="1"/>
          <w:rtlGutter w:val="0"/>
          <w:docGrid w:linePitch="0" w:charSpace="0"/>
        </w:sectPr>
      </w:pPr>
    </w:p>
    <w:p w14:paraId="61160E45">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126FF18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855" w:firstLineChars="200"/>
        <w:jc w:val="center"/>
        <w:textAlignment w:val="baseline"/>
        <w:rPr>
          <w:color w:val="auto"/>
          <w:sz w:val="44"/>
          <w:szCs w:val="44"/>
          <w:highlight w:val="none"/>
        </w:rPr>
      </w:pPr>
      <w:r>
        <w:rPr>
          <w:b/>
          <w:bCs/>
          <w:color w:val="auto"/>
          <w:spacing w:val="-7"/>
          <w:sz w:val="44"/>
          <w:szCs w:val="44"/>
          <w:highlight w:val="none"/>
        </w:rPr>
        <w:t>专用合同条件附件</w:t>
      </w:r>
    </w:p>
    <w:p w14:paraId="3D85523E">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02B6E42C">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171878A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2" w:firstLineChars="200"/>
        <w:textAlignment w:val="baseline"/>
        <w:rPr>
          <w:color w:val="auto"/>
          <w:highlight w:val="none"/>
        </w:rPr>
      </w:pPr>
      <w:r>
        <w:rPr>
          <w:color w:val="auto"/>
          <w:spacing w:val="-7"/>
          <w:highlight w:val="none"/>
        </w:rPr>
        <w:t>附件</w:t>
      </w:r>
      <w:r>
        <w:rPr>
          <w:color w:val="auto"/>
          <w:spacing w:val="-24"/>
          <w:highlight w:val="none"/>
        </w:rPr>
        <w:t xml:space="preserve"> </w:t>
      </w:r>
      <w:r>
        <w:rPr>
          <w:color w:val="auto"/>
          <w:spacing w:val="-7"/>
          <w:highlight w:val="none"/>
        </w:rPr>
        <w:t>1：发包人要求</w:t>
      </w:r>
    </w:p>
    <w:p w14:paraId="51766D35">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1B0D358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附件</w:t>
      </w:r>
      <w:r>
        <w:rPr>
          <w:color w:val="auto"/>
          <w:spacing w:val="-31"/>
          <w:highlight w:val="none"/>
        </w:rPr>
        <w:t xml:space="preserve"> </w:t>
      </w:r>
      <w:r>
        <w:rPr>
          <w:color w:val="auto"/>
          <w:spacing w:val="-3"/>
          <w:highlight w:val="none"/>
        </w:rPr>
        <w:t>2：发包人供应材料设备一览表</w:t>
      </w:r>
    </w:p>
    <w:p w14:paraId="1573FB81">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5591E33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附件</w:t>
      </w:r>
      <w:r>
        <w:rPr>
          <w:color w:val="auto"/>
          <w:spacing w:val="-36"/>
          <w:highlight w:val="none"/>
        </w:rPr>
        <w:t xml:space="preserve"> </w:t>
      </w:r>
      <w:r>
        <w:rPr>
          <w:color w:val="auto"/>
          <w:spacing w:val="-5"/>
          <w:highlight w:val="none"/>
        </w:rPr>
        <w:t>3：工程质量保修书</w:t>
      </w:r>
    </w:p>
    <w:p w14:paraId="1C17C266">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4DE872C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附件</w:t>
      </w:r>
      <w:r>
        <w:rPr>
          <w:color w:val="auto"/>
          <w:spacing w:val="-46"/>
          <w:highlight w:val="none"/>
        </w:rPr>
        <w:t xml:space="preserve"> </w:t>
      </w:r>
      <w:r>
        <w:rPr>
          <w:color w:val="auto"/>
          <w:spacing w:val="-3"/>
          <w:highlight w:val="none"/>
        </w:rPr>
        <w:t>4：主要建设工程文件目录</w:t>
      </w:r>
    </w:p>
    <w:p w14:paraId="69CC45B6">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7319541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附件</w:t>
      </w:r>
      <w:r>
        <w:rPr>
          <w:color w:val="auto"/>
          <w:spacing w:val="-32"/>
          <w:highlight w:val="none"/>
        </w:rPr>
        <w:t xml:space="preserve"> </w:t>
      </w:r>
      <w:r>
        <w:rPr>
          <w:color w:val="auto"/>
          <w:spacing w:val="-4"/>
          <w:highlight w:val="none"/>
        </w:rPr>
        <w:t>5：承包人主要管理人员表</w:t>
      </w:r>
    </w:p>
    <w:p w14:paraId="682AAC44">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2FD9BA6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附件</w:t>
      </w:r>
      <w:r>
        <w:rPr>
          <w:color w:val="auto"/>
          <w:spacing w:val="-43"/>
          <w:highlight w:val="none"/>
        </w:rPr>
        <w:t xml:space="preserve"> </w:t>
      </w:r>
      <w:r>
        <w:rPr>
          <w:color w:val="auto"/>
          <w:spacing w:val="-4"/>
          <w:highlight w:val="none"/>
        </w:rPr>
        <w:t>6：价格指数权重表</w:t>
      </w:r>
    </w:p>
    <w:p w14:paraId="56DD3F13">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659F4FD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附件</w:t>
      </w:r>
      <w:r>
        <w:rPr>
          <w:color w:val="auto"/>
          <w:spacing w:val="-27"/>
          <w:highlight w:val="none"/>
        </w:rPr>
        <w:t xml:space="preserve"> </w:t>
      </w:r>
      <w:r>
        <w:rPr>
          <w:color w:val="auto"/>
          <w:spacing w:val="-4"/>
          <w:highlight w:val="none"/>
        </w:rPr>
        <w:t>7：文明施工及环境保护协议书</w:t>
      </w:r>
    </w:p>
    <w:p w14:paraId="5F207E83">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46902E9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附件</w:t>
      </w:r>
      <w:r>
        <w:rPr>
          <w:color w:val="auto"/>
          <w:spacing w:val="-36"/>
          <w:highlight w:val="none"/>
        </w:rPr>
        <w:t xml:space="preserve"> </w:t>
      </w:r>
      <w:r>
        <w:rPr>
          <w:color w:val="auto"/>
          <w:spacing w:val="-5"/>
          <w:highlight w:val="none"/>
        </w:rPr>
        <w:t>8：安全生产协议书</w:t>
      </w:r>
    </w:p>
    <w:p w14:paraId="6A0E1017">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6C99CA9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附件</w:t>
      </w:r>
      <w:r>
        <w:rPr>
          <w:color w:val="auto"/>
          <w:spacing w:val="-36"/>
          <w:highlight w:val="none"/>
        </w:rPr>
        <w:t xml:space="preserve"> </w:t>
      </w:r>
      <w:r>
        <w:rPr>
          <w:color w:val="auto"/>
          <w:spacing w:val="-5"/>
          <w:highlight w:val="none"/>
        </w:rPr>
        <w:t>9：廉洁合作协议书</w:t>
      </w:r>
    </w:p>
    <w:p w14:paraId="42E5150B">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52F1D44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2" w:firstLineChars="200"/>
        <w:textAlignment w:val="baseline"/>
        <w:rPr>
          <w:color w:val="auto"/>
          <w:highlight w:val="none"/>
        </w:rPr>
      </w:pPr>
      <w:r>
        <w:rPr>
          <w:color w:val="auto"/>
          <w:spacing w:val="-7"/>
          <w:highlight w:val="none"/>
        </w:rPr>
        <w:t>附件</w:t>
      </w:r>
      <w:r>
        <w:rPr>
          <w:color w:val="auto"/>
          <w:spacing w:val="-20"/>
          <w:highlight w:val="none"/>
        </w:rPr>
        <w:t xml:space="preserve"> </w:t>
      </w:r>
      <w:r>
        <w:rPr>
          <w:color w:val="auto"/>
          <w:spacing w:val="-7"/>
          <w:highlight w:val="none"/>
        </w:rPr>
        <w:t>10：银行履约保函</w:t>
      </w:r>
    </w:p>
    <w:p w14:paraId="7792F3E6">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3C39C6A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color w:val="auto"/>
          <w:highlight w:val="none"/>
        </w:rPr>
      </w:pPr>
      <w:r>
        <w:rPr>
          <w:color w:val="auto"/>
          <w:spacing w:val="-6"/>
          <w:highlight w:val="none"/>
        </w:rPr>
        <w:t>附件</w:t>
      </w:r>
      <w:r>
        <w:rPr>
          <w:color w:val="auto"/>
          <w:spacing w:val="-25"/>
          <w:highlight w:val="none"/>
        </w:rPr>
        <w:t xml:space="preserve"> </w:t>
      </w:r>
      <w:r>
        <w:rPr>
          <w:color w:val="auto"/>
          <w:spacing w:val="-6"/>
          <w:highlight w:val="none"/>
        </w:rPr>
        <w:t>11：预付款担保</w:t>
      </w:r>
    </w:p>
    <w:p w14:paraId="224C738C">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1F71845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2" w:firstLineChars="200"/>
        <w:textAlignment w:val="baseline"/>
        <w:rPr>
          <w:color w:val="auto"/>
          <w:highlight w:val="none"/>
        </w:rPr>
      </w:pPr>
      <w:r>
        <w:rPr>
          <w:color w:val="auto"/>
          <w:spacing w:val="-7"/>
          <w:highlight w:val="none"/>
        </w:rPr>
        <w:t>附件</w:t>
      </w:r>
      <w:r>
        <w:rPr>
          <w:color w:val="auto"/>
          <w:spacing w:val="-21"/>
          <w:highlight w:val="none"/>
        </w:rPr>
        <w:t xml:space="preserve"> </w:t>
      </w:r>
      <w:r>
        <w:rPr>
          <w:color w:val="auto"/>
          <w:spacing w:val="-7"/>
          <w:highlight w:val="none"/>
        </w:rPr>
        <w:t>12：支付担保</w:t>
      </w:r>
    </w:p>
    <w:p w14:paraId="2DF06B5C">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hint="eastAsia" w:eastAsia="宋体"/>
          <w:color w:val="auto"/>
          <w:highlight w:val="none"/>
          <w:lang w:val="en-US" w:eastAsia="zh-CN"/>
        </w:rPr>
        <w:sectPr>
          <w:headerReference r:id="rId23" w:type="default"/>
          <w:footerReference r:id="rId24" w:type="default"/>
          <w:pgSz w:w="11906" w:h="16839"/>
          <w:pgMar w:top="1134" w:right="1191" w:bottom="1134" w:left="1020" w:header="0" w:footer="987" w:gutter="0"/>
          <w:pgNumType w:fmt="decimal"/>
          <w:cols w:space="720" w:num="1"/>
          <w:rtlGutter w:val="0"/>
          <w:docGrid w:linePitch="0" w:charSpace="0"/>
        </w:sectPr>
      </w:pPr>
    </w:p>
    <w:p w14:paraId="65DB0FA4">
      <w:pPr>
        <w:pStyle w:val="2"/>
        <w:pageBreakBefore w:val="0"/>
        <w:widowControl/>
        <w:kinsoku w:val="0"/>
        <w:wordWrap/>
        <w:overflowPunct/>
        <w:topLinePunct/>
        <w:autoSpaceDE w:val="0"/>
        <w:autoSpaceDN w:val="0"/>
        <w:bidi w:val="0"/>
        <w:adjustRightInd w:val="0"/>
        <w:snapToGrid w:val="0"/>
        <w:spacing w:before="0" w:after="0" w:line="360" w:lineRule="auto"/>
        <w:ind w:left="0" w:leftChars="0" w:right="0" w:rightChars="0" w:firstLine="562" w:firstLineChars="200"/>
        <w:jc w:val="center"/>
        <w:textAlignment w:val="baseline"/>
        <w:rPr>
          <w:color w:val="auto"/>
          <w:sz w:val="28"/>
          <w:szCs w:val="28"/>
          <w:highlight w:val="none"/>
        </w:rPr>
      </w:pPr>
      <w:bookmarkStart w:id="2246" w:name="_Toc7147"/>
      <w:r>
        <w:rPr>
          <w:color w:val="auto"/>
          <w:sz w:val="28"/>
          <w:szCs w:val="28"/>
          <w:highlight w:val="none"/>
        </w:rPr>
        <w:t>附件 1 《发包人要求》</w:t>
      </w:r>
      <w:bookmarkEnd w:id="2246"/>
    </w:p>
    <w:p w14:paraId="0CD240E4">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25555F5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jc w:val="both"/>
        <w:textAlignment w:val="baseline"/>
        <w:rPr>
          <w:color w:val="auto"/>
          <w:highlight w:val="none"/>
        </w:rPr>
      </w:pPr>
      <w:r>
        <w:rPr>
          <w:color w:val="auto"/>
          <w:spacing w:val="-4"/>
          <w:highlight w:val="none"/>
        </w:rPr>
        <w:t>《发包人要求》应尽可能清晰准确，对于可以进</w:t>
      </w:r>
      <w:r>
        <w:rPr>
          <w:color w:val="auto"/>
          <w:spacing w:val="-5"/>
          <w:highlight w:val="none"/>
        </w:rPr>
        <w:t>行定量评估的工作，《发包人要求》不</w:t>
      </w:r>
      <w:r>
        <w:rPr>
          <w:color w:val="auto"/>
          <w:spacing w:val="-8"/>
          <w:highlight w:val="none"/>
        </w:rPr>
        <w:t>仅应明确规定其产能、功能、用途、质量、环境、安全，并且要规定偏离的范</w:t>
      </w:r>
      <w:r>
        <w:rPr>
          <w:color w:val="auto"/>
          <w:spacing w:val="-9"/>
          <w:highlight w:val="none"/>
        </w:rPr>
        <w:t>围和计算方法，</w:t>
      </w:r>
      <w:r>
        <w:rPr>
          <w:color w:val="auto"/>
          <w:spacing w:val="-5"/>
          <w:highlight w:val="none"/>
        </w:rPr>
        <w:t>以及检验、试验、试运行的具体要求。对于承包人负责提供的有关设备和服务，对发包</w:t>
      </w:r>
      <w:r>
        <w:rPr>
          <w:color w:val="auto"/>
          <w:spacing w:val="-6"/>
          <w:highlight w:val="none"/>
        </w:rPr>
        <w:t>人人</w:t>
      </w:r>
      <w:r>
        <w:rPr>
          <w:color w:val="auto"/>
          <w:spacing w:val="-1"/>
          <w:highlight w:val="none"/>
        </w:rPr>
        <w:t>员进行培训和提供一些消耗品等，在《发包人要求》中应一并明确规定。</w:t>
      </w:r>
    </w:p>
    <w:p w14:paraId="75ACAC8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《发包人要求》通常包括但不限于以下内容（供参考，本项目具体要求见第五章</w:t>
      </w:r>
      <w:r>
        <w:rPr>
          <w:color w:val="auto"/>
          <w:spacing w:val="6"/>
          <w:highlight w:val="none"/>
        </w:rPr>
        <w:t>）：</w:t>
      </w:r>
    </w:p>
    <w:p w14:paraId="17B25EC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9"/>
        <w:rPr>
          <w:color w:val="auto"/>
          <w:highlight w:val="none"/>
        </w:rPr>
      </w:pPr>
      <w:r>
        <w:rPr>
          <w:color w:val="auto"/>
          <w:spacing w:val="-4"/>
          <w:highlight w:val="none"/>
        </w:rPr>
        <w:t>一、功能要求</w:t>
      </w:r>
    </w:p>
    <w:p w14:paraId="1F18A23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（一）工程目的。</w:t>
      </w:r>
    </w:p>
    <w:p w14:paraId="361FB92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（二）工程规模。</w:t>
      </w:r>
    </w:p>
    <w:p w14:paraId="64BA94D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（三）性能保证指标（性能保证表）。</w:t>
      </w:r>
    </w:p>
    <w:p w14:paraId="4E754D5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（四）产能保证指标。</w:t>
      </w:r>
    </w:p>
    <w:p w14:paraId="0D91839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9"/>
        <w:rPr>
          <w:color w:val="auto"/>
          <w:highlight w:val="none"/>
        </w:rPr>
      </w:pPr>
      <w:r>
        <w:rPr>
          <w:color w:val="auto"/>
          <w:spacing w:val="-2"/>
          <w:highlight w:val="none"/>
        </w:rPr>
        <w:t>二、工程范围</w:t>
      </w:r>
    </w:p>
    <w:p w14:paraId="2045F75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（一）概述</w:t>
      </w:r>
    </w:p>
    <w:p w14:paraId="1A3FE5B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（二）包括的工作</w:t>
      </w:r>
    </w:p>
    <w:p w14:paraId="589174A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1. 永久工程的设计、采购、施工范围。</w:t>
      </w:r>
    </w:p>
    <w:p w14:paraId="01EB839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2. 临时工程的设计与施工范围。</w:t>
      </w:r>
    </w:p>
    <w:p w14:paraId="375597F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3. 竣工验收工作范围。</w:t>
      </w:r>
    </w:p>
    <w:p w14:paraId="3D03F51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4. 技术服务工作范围。</w:t>
      </w:r>
    </w:p>
    <w:p w14:paraId="51F3522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5. 培训工作范围。</w:t>
      </w:r>
    </w:p>
    <w:p w14:paraId="44B13D6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6. 保修工作范围。</w:t>
      </w:r>
    </w:p>
    <w:p w14:paraId="0EE7A18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（三）工作界区</w:t>
      </w:r>
    </w:p>
    <w:p w14:paraId="4C41DF9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（四）发包人提供的现场条件</w:t>
      </w:r>
    </w:p>
    <w:p w14:paraId="6E98F19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color w:val="auto"/>
          <w:highlight w:val="none"/>
        </w:rPr>
      </w:pPr>
      <w:r>
        <w:rPr>
          <w:color w:val="auto"/>
          <w:spacing w:val="-6"/>
          <w:highlight w:val="none"/>
        </w:rPr>
        <w:t>1. 施工用电。</w:t>
      </w:r>
    </w:p>
    <w:p w14:paraId="55EC67A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2. 施工用水。</w:t>
      </w:r>
    </w:p>
    <w:p w14:paraId="59F6C11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3. 施工排水。</w:t>
      </w:r>
    </w:p>
    <w:p w14:paraId="2CF903E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4. 施工道路。</w:t>
      </w:r>
    </w:p>
    <w:p w14:paraId="2C11760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（五）发包人提供的技术文件</w:t>
      </w:r>
    </w:p>
    <w:p w14:paraId="4B6E032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除另有批准外，承包人的工作需要遵照发包人的下列技术文件:</w:t>
      </w:r>
    </w:p>
    <w:p w14:paraId="0AE5E71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1. 发包人需求任务书。</w:t>
      </w:r>
    </w:p>
    <w:p w14:paraId="4DC2FCB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2. 发包人已完成的设计文件。</w:t>
      </w:r>
    </w:p>
    <w:p w14:paraId="04AACEE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9"/>
        <w:rPr>
          <w:color w:val="auto"/>
          <w:highlight w:val="none"/>
        </w:rPr>
      </w:pPr>
      <w:r>
        <w:rPr>
          <w:color w:val="auto"/>
          <w:spacing w:val="-2"/>
          <w:highlight w:val="none"/>
        </w:rPr>
        <w:t>三、工艺安排或要求（如有）</w:t>
      </w:r>
    </w:p>
    <w:p w14:paraId="4D3E5AB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9"/>
        <w:rPr>
          <w:color w:val="auto"/>
          <w:highlight w:val="none"/>
        </w:rPr>
      </w:pPr>
      <w:r>
        <w:rPr>
          <w:color w:val="auto"/>
          <w:spacing w:val="-4"/>
          <w:highlight w:val="none"/>
        </w:rPr>
        <w:t>四、时间要求</w:t>
      </w:r>
    </w:p>
    <w:p w14:paraId="101A465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（一）开始工作时间。</w:t>
      </w:r>
    </w:p>
    <w:p w14:paraId="60C0C5A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（二）设计完成时间。</w:t>
      </w:r>
    </w:p>
    <w:p w14:paraId="1E55EBF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（三）进度计划。</w:t>
      </w:r>
    </w:p>
    <w:p w14:paraId="1C8E7D3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（四）竣工时间。</w:t>
      </w:r>
    </w:p>
    <w:p w14:paraId="69CA7CF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（五）缺陷责任期。</w:t>
      </w:r>
    </w:p>
    <w:p w14:paraId="46B07FC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（六）其他时间要求。</w:t>
      </w:r>
    </w:p>
    <w:p w14:paraId="2B938ED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9"/>
        <w:rPr>
          <w:color w:val="auto"/>
          <w:highlight w:val="none"/>
        </w:rPr>
      </w:pPr>
      <w:r>
        <w:rPr>
          <w:color w:val="auto"/>
          <w:spacing w:val="-2"/>
          <w:highlight w:val="none"/>
        </w:rPr>
        <w:t>五、技术要求</w:t>
      </w:r>
    </w:p>
    <w:p w14:paraId="2C34184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（一）设计阶段和设计任务。</w:t>
      </w:r>
    </w:p>
    <w:p w14:paraId="71B0CF5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（二）设计标准和规范。</w:t>
      </w:r>
    </w:p>
    <w:p w14:paraId="76E72A8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（三）技术标准和要求。</w:t>
      </w:r>
    </w:p>
    <w:p w14:paraId="4F5CF9E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（四）质量标准。</w:t>
      </w:r>
    </w:p>
    <w:p w14:paraId="17ECEEB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（五）设计、施工和设备监造、试验（如有）。</w:t>
      </w:r>
    </w:p>
    <w:p w14:paraId="106D856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2" w:firstLineChars="200"/>
        <w:textAlignment w:val="baseline"/>
        <w:rPr>
          <w:color w:val="auto"/>
          <w:highlight w:val="none"/>
        </w:rPr>
      </w:pPr>
      <w:r>
        <w:rPr>
          <w:color w:val="auto"/>
          <w:spacing w:val="-7"/>
          <w:highlight w:val="none"/>
        </w:rPr>
        <w:t>（六）样品。</w:t>
      </w:r>
    </w:p>
    <w:p w14:paraId="4CE9297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（七）发包人提供的其他条件，如发包人或其委托的第三人提供的设</w:t>
      </w:r>
      <w:r>
        <w:rPr>
          <w:color w:val="auto"/>
          <w:spacing w:val="-4"/>
          <w:highlight w:val="none"/>
        </w:rPr>
        <w:t>计、工艺包、用于</w:t>
      </w:r>
      <w:r>
        <w:rPr>
          <w:color w:val="auto"/>
          <w:spacing w:val="-1"/>
          <w:highlight w:val="none"/>
        </w:rPr>
        <w:t>试验检验的工器具等，以及据此对承包人提出</w:t>
      </w:r>
      <w:r>
        <w:rPr>
          <w:color w:val="auto"/>
          <w:spacing w:val="-2"/>
          <w:highlight w:val="none"/>
        </w:rPr>
        <w:t>的予以配套的要求。</w:t>
      </w:r>
    </w:p>
    <w:p w14:paraId="1E7D341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9"/>
        <w:rPr>
          <w:color w:val="auto"/>
          <w:highlight w:val="none"/>
        </w:rPr>
      </w:pPr>
      <w:r>
        <w:rPr>
          <w:color w:val="auto"/>
          <w:spacing w:val="-2"/>
          <w:highlight w:val="none"/>
        </w:rPr>
        <w:t>六、竣工试验</w:t>
      </w:r>
    </w:p>
    <w:p w14:paraId="096ED44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（一）第一阶段，如对单车试验等的要求，包括试验前准备。</w:t>
      </w:r>
    </w:p>
    <w:p w14:paraId="6CB00CE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8" w:firstLineChars="200"/>
        <w:textAlignment w:val="baseline"/>
        <w:rPr>
          <w:color w:val="auto"/>
          <w:highlight w:val="none"/>
        </w:rPr>
      </w:pPr>
      <w:r>
        <w:rPr>
          <w:color w:val="auto"/>
          <w:spacing w:val="2"/>
          <w:highlight w:val="none"/>
        </w:rPr>
        <w:t>（二）第二阶段，如对联动试车、投料试车等的要求，包括人员、设备、</w:t>
      </w:r>
      <w:r>
        <w:rPr>
          <w:color w:val="auto"/>
          <w:spacing w:val="1"/>
          <w:highlight w:val="none"/>
        </w:rPr>
        <w:t>材料、燃料、</w:t>
      </w:r>
      <w:r>
        <w:rPr>
          <w:color w:val="auto"/>
          <w:highlight w:val="none"/>
        </w:rPr>
        <w:t xml:space="preserve"> </w:t>
      </w:r>
      <w:r>
        <w:rPr>
          <w:color w:val="auto"/>
          <w:spacing w:val="-4"/>
          <w:highlight w:val="none"/>
        </w:rPr>
        <w:t>电力、消耗品、工具等必要条件。</w:t>
      </w:r>
    </w:p>
    <w:p w14:paraId="523B207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color w:val="auto"/>
          <w:highlight w:val="none"/>
        </w:rPr>
      </w:pPr>
      <w:r>
        <w:rPr>
          <w:color w:val="auto"/>
          <w:spacing w:val="-6"/>
          <w:highlight w:val="none"/>
        </w:rPr>
        <w:t>（三）第三阶段，如对性能测试及其他竣工试验的要求，包括产</w:t>
      </w:r>
      <w:r>
        <w:rPr>
          <w:color w:val="auto"/>
          <w:spacing w:val="-7"/>
          <w:highlight w:val="none"/>
        </w:rPr>
        <w:t>能指标、产品质量标准、</w:t>
      </w:r>
      <w:r>
        <w:rPr>
          <w:color w:val="auto"/>
          <w:spacing w:val="-4"/>
          <w:highlight w:val="none"/>
        </w:rPr>
        <w:t>运营指标、环保指标等。</w:t>
      </w:r>
    </w:p>
    <w:p w14:paraId="329EBB3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9"/>
        <w:rPr>
          <w:color w:val="auto"/>
          <w:highlight w:val="none"/>
        </w:rPr>
      </w:pPr>
      <w:r>
        <w:rPr>
          <w:color w:val="auto"/>
          <w:spacing w:val="-2"/>
          <w:highlight w:val="none"/>
        </w:rPr>
        <w:t>七、竣工验收</w:t>
      </w:r>
    </w:p>
    <w:p w14:paraId="6C91458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9"/>
        <w:rPr>
          <w:color w:val="auto"/>
          <w:highlight w:val="none"/>
        </w:rPr>
      </w:pPr>
      <w:r>
        <w:rPr>
          <w:color w:val="auto"/>
          <w:spacing w:val="-3"/>
          <w:highlight w:val="none"/>
        </w:rPr>
        <w:t>八、竣工后试验（如有）</w:t>
      </w:r>
    </w:p>
    <w:p w14:paraId="764F0B2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9"/>
        <w:rPr>
          <w:color w:val="auto"/>
          <w:highlight w:val="none"/>
        </w:rPr>
      </w:pPr>
      <w:r>
        <w:rPr>
          <w:color w:val="auto"/>
          <w:spacing w:val="-2"/>
          <w:highlight w:val="none"/>
        </w:rPr>
        <w:t>九、文件要求</w:t>
      </w:r>
    </w:p>
    <w:p w14:paraId="0A29AC3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（一）设计文件，及其相关审批、核准、备案要求。</w:t>
      </w:r>
    </w:p>
    <w:p w14:paraId="6DFDA97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（二）沟通计划。</w:t>
      </w:r>
    </w:p>
    <w:p w14:paraId="5B3B9C3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（三）风险管理计划。</w:t>
      </w:r>
    </w:p>
    <w:p w14:paraId="0E66632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（四）竣工文件和工程的其他记录。</w:t>
      </w:r>
    </w:p>
    <w:p w14:paraId="66C23EE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（五）操作和维修手册。</w:t>
      </w:r>
    </w:p>
    <w:p w14:paraId="1F45748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（六）其他承包人文件。</w:t>
      </w:r>
    </w:p>
    <w:p w14:paraId="0F072AC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9"/>
        <w:rPr>
          <w:color w:val="auto"/>
          <w:highlight w:val="none"/>
        </w:rPr>
      </w:pPr>
      <w:r>
        <w:rPr>
          <w:color w:val="auto"/>
          <w:spacing w:val="-1"/>
          <w:highlight w:val="none"/>
        </w:rPr>
        <w:t>十、工程项目管理规定</w:t>
      </w:r>
    </w:p>
    <w:p w14:paraId="438FAA9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2" w:firstLineChars="200"/>
        <w:textAlignment w:val="baseline"/>
        <w:rPr>
          <w:color w:val="auto"/>
          <w:highlight w:val="none"/>
        </w:rPr>
      </w:pPr>
      <w:r>
        <w:rPr>
          <w:color w:val="auto"/>
          <w:spacing w:val="-7"/>
          <w:highlight w:val="none"/>
        </w:rPr>
        <w:t>（一）质量。</w:t>
      </w:r>
    </w:p>
    <w:p w14:paraId="22D1C64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（二）进度，包括里程碑进度计划（如果有）。</w:t>
      </w:r>
    </w:p>
    <w:p w14:paraId="5C8530C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2" w:firstLineChars="200"/>
        <w:textAlignment w:val="baseline"/>
        <w:rPr>
          <w:color w:val="auto"/>
          <w:highlight w:val="none"/>
        </w:rPr>
      </w:pPr>
      <w:r>
        <w:rPr>
          <w:color w:val="auto"/>
          <w:spacing w:val="-7"/>
          <w:highlight w:val="none"/>
        </w:rPr>
        <w:t>（三）支付。</w:t>
      </w:r>
    </w:p>
    <w:p w14:paraId="12D7CFD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（四）HSE（健康、安全与环境管理体系）。</w:t>
      </w:r>
    </w:p>
    <w:p w14:paraId="6724039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2" w:firstLineChars="200"/>
        <w:textAlignment w:val="baseline"/>
        <w:rPr>
          <w:color w:val="auto"/>
          <w:highlight w:val="none"/>
        </w:rPr>
      </w:pPr>
      <w:r>
        <w:rPr>
          <w:color w:val="auto"/>
          <w:spacing w:val="-7"/>
          <w:highlight w:val="none"/>
        </w:rPr>
        <w:t>（五）沟通。</w:t>
      </w:r>
    </w:p>
    <w:p w14:paraId="6D95512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2" w:firstLineChars="200"/>
        <w:textAlignment w:val="baseline"/>
        <w:rPr>
          <w:color w:val="auto"/>
          <w:highlight w:val="none"/>
        </w:rPr>
      </w:pPr>
      <w:r>
        <w:rPr>
          <w:color w:val="auto"/>
          <w:spacing w:val="-7"/>
          <w:highlight w:val="none"/>
        </w:rPr>
        <w:t>（六）变更。</w:t>
      </w:r>
    </w:p>
    <w:p w14:paraId="14EF7AF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outlineLvl w:val="9"/>
        <w:rPr>
          <w:color w:val="auto"/>
          <w:highlight w:val="none"/>
        </w:rPr>
      </w:pPr>
      <w:r>
        <w:rPr>
          <w:color w:val="auto"/>
          <w:spacing w:val="-3"/>
          <w:highlight w:val="none"/>
        </w:rPr>
        <w:t>十一、其他要求</w:t>
      </w:r>
    </w:p>
    <w:p w14:paraId="19659D9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（一）对承包人的主要人员资格要求。</w:t>
      </w:r>
    </w:p>
    <w:p w14:paraId="44F5624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（二）相关审批、核准和备案手续的办理。</w:t>
      </w:r>
    </w:p>
    <w:p w14:paraId="0C8C343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（三）对项目业主人员的操作培训。</w:t>
      </w:r>
    </w:p>
    <w:p w14:paraId="6872AE2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2" w:firstLineChars="200"/>
        <w:textAlignment w:val="baseline"/>
        <w:rPr>
          <w:color w:val="auto"/>
          <w:highlight w:val="none"/>
        </w:rPr>
      </w:pPr>
      <w:r>
        <w:rPr>
          <w:color w:val="auto"/>
          <w:spacing w:val="-7"/>
          <w:highlight w:val="none"/>
        </w:rPr>
        <w:t>（四）分包。</w:t>
      </w:r>
    </w:p>
    <w:p w14:paraId="08611EF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（五）设备供应商。</w:t>
      </w:r>
    </w:p>
    <w:p w14:paraId="5A73662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（六）缺陷责任期的服务要求。</w:t>
      </w:r>
    </w:p>
    <w:p w14:paraId="6BDD1572">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sectPr>
          <w:headerReference r:id="rId25" w:type="default"/>
          <w:footerReference r:id="rId26" w:type="default"/>
          <w:pgSz w:w="11906" w:h="16839"/>
          <w:pgMar w:top="1134" w:right="1191" w:bottom="1134" w:left="1020" w:header="0" w:footer="987" w:gutter="0"/>
          <w:pgNumType w:fmt="decimal"/>
          <w:cols w:space="720" w:num="1"/>
          <w:rtlGutter w:val="0"/>
          <w:docGrid w:linePitch="0" w:charSpace="0"/>
        </w:sectPr>
      </w:pPr>
    </w:p>
    <w:p w14:paraId="45F83378">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3F0D2A4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542" w:firstLineChars="200"/>
        <w:jc w:val="center"/>
        <w:textAlignment w:val="baseline"/>
        <w:outlineLvl w:val="0"/>
        <w:rPr>
          <w:color w:val="auto"/>
          <w:sz w:val="28"/>
          <w:szCs w:val="28"/>
          <w:highlight w:val="none"/>
        </w:rPr>
      </w:pPr>
      <w:bookmarkStart w:id="2247" w:name="_Toc29278"/>
      <w:r>
        <w:rPr>
          <w:b/>
          <w:bCs/>
          <w:color w:val="auto"/>
          <w:spacing w:val="-5"/>
          <w:sz w:val="28"/>
          <w:szCs w:val="28"/>
          <w:highlight w:val="none"/>
        </w:rPr>
        <w:t>附件</w:t>
      </w:r>
      <w:r>
        <w:rPr>
          <w:color w:val="auto"/>
          <w:spacing w:val="-53"/>
          <w:sz w:val="28"/>
          <w:szCs w:val="28"/>
          <w:highlight w:val="none"/>
        </w:rPr>
        <w:t xml:space="preserve"> </w:t>
      </w:r>
      <w:r>
        <w:rPr>
          <w:b/>
          <w:bCs/>
          <w:color w:val="auto"/>
          <w:spacing w:val="-5"/>
          <w:sz w:val="28"/>
          <w:szCs w:val="28"/>
          <w:highlight w:val="none"/>
        </w:rPr>
        <w:t>2</w:t>
      </w:r>
      <w:r>
        <w:rPr>
          <w:color w:val="auto"/>
          <w:spacing w:val="-5"/>
          <w:sz w:val="28"/>
          <w:szCs w:val="28"/>
          <w:highlight w:val="none"/>
        </w:rPr>
        <w:t xml:space="preserve"> </w:t>
      </w:r>
      <w:r>
        <w:rPr>
          <w:b/>
          <w:bCs/>
          <w:color w:val="auto"/>
          <w:spacing w:val="-5"/>
          <w:sz w:val="28"/>
          <w:szCs w:val="28"/>
          <w:highlight w:val="none"/>
        </w:rPr>
        <w:t>发包人供应材料设备一览表</w:t>
      </w:r>
      <w:bookmarkEnd w:id="2247"/>
    </w:p>
    <w:tbl>
      <w:tblPr>
        <w:tblStyle w:val="63"/>
        <w:tblpPr w:leftFromText="180" w:rightFromText="180" w:vertAnchor="text" w:horzAnchor="page" w:tblpX="1456" w:tblpY="179"/>
        <w:tblOverlap w:val="never"/>
        <w:tblW w:w="91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5"/>
        <w:gridCol w:w="1161"/>
        <w:gridCol w:w="1123"/>
        <w:gridCol w:w="565"/>
        <w:gridCol w:w="684"/>
        <w:gridCol w:w="989"/>
        <w:gridCol w:w="1130"/>
        <w:gridCol w:w="1130"/>
        <w:gridCol w:w="1130"/>
        <w:gridCol w:w="722"/>
      </w:tblGrid>
      <w:tr w14:paraId="18E23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565" w:type="dxa"/>
            <w:tcBorders>
              <w:top w:val="single" w:color="000000" w:sz="12" w:space="0"/>
              <w:left w:val="single" w:color="000000" w:sz="12" w:space="0"/>
            </w:tcBorders>
          </w:tcPr>
          <w:p w14:paraId="29E2A159">
            <w:pPr>
              <w:pageBreakBefore w:val="0"/>
              <w:widowControl/>
              <w:kinsoku w:val="0"/>
              <w:wordWrap/>
              <w:overflowPunct/>
              <w:topLinePunct/>
              <w:autoSpaceDE w:val="0"/>
              <w:autoSpaceDN w:val="0"/>
              <w:bidi w:val="0"/>
              <w:adjustRightInd w:val="0"/>
              <w:snapToGrid w:val="0"/>
              <w:spacing w:line="360" w:lineRule="auto"/>
              <w:ind w:left="-1260" w:leftChars="-600" w:right="0" w:rightChars="0" w:firstLine="1058" w:firstLineChars="514"/>
              <w:textAlignment w:val="baseline"/>
              <w:rPr>
                <w:rFonts w:hint="eastAsia" w:ascii="宋体" w:hAnsi="宋体" w:eastAsia="宋体" w:cs="宋体"/>
                <w:color w:val="auto"/>
                <w:sz w:val="21"/>
                <w:szCs w:val="21"/>
                <w:highlight w:val="none"/>
                <w:lang w:val="en-US" w:eastAsia="zh-CN"/>
              </w:rPr>
            </w:pPr>
            <w:r>
              <w:rPr>
                <w:rFonts w:ascii="宋体" w:hAnsi="宋体" w:eastAsia="宋体" w:cs="宋体"/>
                <w:color w:val="auto"/>
                <w:spacing w:val="-2"/>
                <w:sz w:val="21"/>
                <w:szCs w:val="21"/>
                <w:highlight w:val="none"/>
              </w:rPr>
              <w:t>序号</w:t>
            </w:r>
            <w:r>
              <w:rPr>
                <w:rFonts w:hint="eastAsia" w:ascii="宋体" w:hAnsi="宋体" w:eastAsia="宋体" w:cs="宋体"/>
                <w:color w:val="auto"/>
                <w:spacing w:val="-2"/>
                <w:sz w:val="21"/>
                <w:szCs w:val="21"/>
                <w:highlight w:val="none"/>
                <w:lang w:val="en-US" w:eastAsia="zh-CN"/>
              </w:rPr>
              <w:t>序号</w:t>
            </w:r>
          </w:p>
        </w:tc>
        <w:tc>
          <w:tcPr>
            <w:tcW w:w="1161" w:type="dxa"/>
            <w:tcBorders>
              <w:top w:val="single" w:color="000000" w:sz="12" w:space="0"/>
            </w:tcBorders>
            <w:vAlign w:val="center"/>
          </w:tcPr>
          <w:p w14:paraId="3AD024C0">
            <w:pPr>
              <w:pageBreakBefore w:val="0"/>
              <w:widowControl/>
              <w:kinsoku w:val="0"/>
              <w:wordWrap/>
              <w:overflowPunct/>
              <w:topLinePunct/>
              <w:autoSpaceDE w:val="0"/>
              <w:autoSpaceDN w:val="0"/>
              <w:bidi w:val="0"/>
              <w:adjustRightInd w:val="0"/>
              <w:snapToGrid w:val="0"/>
              <w:spacing w:line="360" w:lineRule="auto"/>
              <w:ind w:right="0" w:rightChars="0"/>
              <w:jc w:val="center"/>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材料、设备</w:t>
            </w:r>
          </w:p>
          <w:p w14:paraId="53DB9C60">
            <w:pPr>
              <w:pageBreakBefore w:val="0"/>
              <w:widowControl/>
              <w:kinsoku w:val="0"/>
              <w:wordWrap/>
              <w:overflowPunct/>
              <w:topLinePunct/>
              <w:autoSpaceDE w:val="0"/>
              <w:autoSpaceDN w:val="0"/>
              <w:bidi w:val="0"/>
              <w:adjustRightInd w:val="0"/>
              <w:snapToGrid w:val="0"/>
              <w:spacing w:line="360" w:lineRule="auto"/>
              <w:ind w:left="0" w:leftChars="0" w:right="0" w:rightChars="0" w:firstLine="392" w:firstLineChars="200"/>
              <w:jc w:val="both"/>
              <w:textAlignment w:val="baseline"/>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品种</w:t>
            </w:r>
          </w:p>
        </w:tc>
        <w:tc>
          <w:tcPr>
            <w:tcW w:w="1123" w:type="dxa"/>
            <w:tcBorders>
              <w:top w:val="single" w:color="000000" w:sz="12" w:space="0"/>
            </w:tcBorders>
            <w:vAlign w:val="center"/>
          </w:tcPr>
          <w:p w14:paraId="0A6DF338">
            <w:pPr>
              <w:pageBreakBefore w:val="0"/>
              <w:widowControl/>
              <w:kinsoku w:val="0"/>
              <w:wordWrap/>
              <w:overflowPunct/>
              <w:topLinePunct/>
              <w:autoSpaceDE w:val="0"/>
              <w:autoSpaceDN w:val="0"/>
              <w:bidi w:val="0"/>
              <w:adjustRightInd w:val="0"/>
              <w:snapToGrid w:val="0"/>
              <w:spacing w:line="360" w:lineRule="auto"/>
              <w:ind w:right="0" w:rightChars="0"/>
              <w:jc w:val="center"/>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规格型号</w:t>
            </w:r>
          </w:p>
        </w:tc>
        <w:tc>
          <w:tcPr>
            <w:tcW w:w="565" w:type="dxa"/>
            <w:tcBorders>
              <w:top w:val="single" w:color="000000" w:sz="12" w:space="0"/>
            </w:tcBorders>
            <w:vAlign w:val="center"/>
          </w:tcPr>
          <w:p w14:paraId="5548BEE2">
            <w:pPr>
              <w:pageBreakBefore w:val="0"/>
              <w:widowControl/>
              <w:kinsoku w:val="0"/>
              <w:wordWrap/>
              <w:overflowPunct/>
              <w:topLinePunct/>
              <w:autoSpaceDE w:val="0"/>
              <w:autoSpaceDN w:val="0"/>
              <w:bidi w:val="0"/>
              <w:adjustRightInd w:val="0"/>
              <w:snapToGrid w:val="0"/>
              <w:spacing w:line="360" w:lineRule="auto"/>
              <w:ind w:right="0" w:rightChars="0"/>
              <w:jc w:val="center"/>
              <w:textAlignment w:val="baseline"/>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单位</w:t>
            </w:r>
          </w:p>
        </w:tc>
        <w:tc>
          <w:tcPr>
            <w:tcW w:w="684" w:type="dxa"/>
            <w:tcBorders>
              <w:top w:val="single" w:color="000000" w:sz="12" w:space="0"/>
            </w:tcBorders>
            <w:vAlign w:val="center"/>
          </w:tcPr>
          <w:p w14:paraId="6BE97BF0">
            <w:pPr>
              <w:pageBreakBefore w:val="0"/>
              <w:widowControl/>
              <w:kinsoku w:val="0"/>
              <w:wordWrap/>
              <w:overflowPunct/>
              <w:topLinePunct/>
              <w:autoSpaceDE w:val="0"/>
              <w:autoSpaceDN w:val="0"/>
              <w:bidi w:val="0"/>
              <w:adjustRightInd w:val="0"/>
              <w:snapToGrid w:val="0"/>
              <w:spacing w:line="360" w:lineRule="auto"/>
              <w:ind w:right="0" w:rightChars="0"/>
              <w:jc w:val="center"/>
              <w:textAlignment w:val="baseline"/>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数量</w:t>
            </w:r>
          </w:p>
        </w:tc>
        <w:tc>
          <w:tcPr>
            <w:tcW w:w="989" w:type="dxa"/>
            <w:tcBorders>
              <w:top w:val="single" w:color="000000" w:sz="12" w:space="0"/>
            </w:tcBorders>
            <w:vAlign w:val="center"/>
          </w:tcPr>
          <w:p w14:paraId="53D55A91">
            <w:pPr>
              <w:pageBreakBefore w:val="0"/>
              <w:widowControl/>
              <w:kinsoku w:val="0"/>
              <w:wordWrap/>
              <w:overflowPunct/>
              <w:topLinePunct/>
              <w:autoSpaceDE w:val="0"/>
              <w:autoSpaceDN w:val="0"/>
              <w:bidi w:val="0"/>
              <w:adjustRightInd w:val="0"/>
              <w:snapToGrid w:val="0"/>
              <w:spacing w:line="360" w:lineRule="auto"/>
              <w:ind w:right="0" w:rightChars="0"/>
              <w:jc w:val="center"/>
              <w:textAlignment w:val="baseline"/>
              <w:rPr>
                <w:rFonts w:ascii="宋体" w:hAnsi="宋体" w:eastAsia="宋体" w:cs="宋体"/>
                <w:color w:val="auto"/>
                <w:sz w:val="21"/>
                <w:szCs w:val="21"/>
                <w:highlight w:val="none"/>
              </w:rPr>
            </w:pPr>
            <w:r>
              <w:rPr>
                <w:rFonts w:ascii="宋体" w:hAnsi="宋体" w:eastAsia="宋体" w:cs="宋体"/>
                <w:color w:val="auto"/>
                <w:spacing w:val="-21"/>
                <w:sz w:val="21"/>
                <w:szCs w:val="21"/>
                <w:highlight w:val="none"/>
              </w:rPr>
              <w:t>单价（元）</w:t>
            </w:r>
          </w:p>
        </w:tc>
        <w:tc>
          <w:tcPr>
            <w:tcW w:w="1130" w:type="dxa"/>
            <w:tcBorders>
              <w:top w:val="single" w:color="000000" w:sz="12" w:space="0"/>
            </w:tcBorders>
            <w:vAlign w:val="center"/>
          </w:tcPr>
          <w:p w14:paraId="244B7B08">
            <w:pPr>
              <w:pageBreakBefore w:val="0"/>
              <w:widowControl/>
              <w:kinsoku w:val="0"/>
              <w:wordWrap/>
              <w:overflowPunct/>
              <w:topLinePunct/>
              <w:autoSpaceDE w:val="0"/>
              <w:autoSpaceDN w:val="0"/>
              <w:bidi w:val="0"/>
              <w:adjustRightInd w:val="0"/>
              <w:snapToGrid w:val="0"/>
              <w:spacing w:line="360" w:lineRule="auto"/>
              <w:ind w:right="0" w:rightChars="0"/>
              <w:jc w:val="center"/>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质量等级</w:t>
            </w:r>
          </w:p>
        </w:tc>
        <w:tc>
          <w:tcPr>
            <w:tcW w:w="1130" w:type="dxa"/>
            <w:tcBorders>
              <w:top w:val="single" w:color="000000" w:sz="12" w:space="0"/>
            </w:tcBorders>
            <w:vAlign w:val="center"/>
          </w:tcPr>
          <w:p w14:paraId="219868DE">
            <w:pPr>
              <w:pageBreakBefore w:val="0"/>
              <w:widowControl/>
              <w:kinsoku w:val="0"/>
              <w:wordWrap/>
              <w:overflowPunct/>
              <w:topLinePunct/>
              <w:autoSpaceDE w:val="0"/>
              <w:autoSpaceDN w:val="0"/>
              <w:bidi w:val="0"/>
              <w:adjustRightInd w:val="0"/>
              <w:snapToGrid w:val="0"/>
              <w:spacing w:line="360" w:lineRule="auto"/>
              <w:ind w:right="0" w:rightChars="0"/>
              <w:jc w:val="center"/>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供应时间</w:t>
            </w:r>
          </w:p>
        </w:tc>
        <w:tc>
          <w:tcPr>
            <w:tcW w:w="1130" w:type="dxa"/>
            <w:tcBorders>
              <w:top w:val="single" w:color="000000" w:sz="12" w:space="0"/>
            </w:tcBorders>
            <w:vAlign w:val="center"/>
          </w:tcPr>
          <w:p w14:paraId="6C24FE76">
            <w:pPr>
              <w:pageBreakBefore w:val="0"/>
              <w:widowControl/>
              <w:kinsoku w:val="0"/>
              <w:wordWrap/>
              <w:overflowPunct/>
              <w:topLinePunct/>
              <w:autoSpaceDE w:val="0"/>
              <w:autoSpaceDN w:val="0"/>
              <w:bidi w:val="0"/>
              <w:adjustRightInd w:val="0"/>
              <w:snapToGrid w:val="0"/>
              <w:spacing w:line="360" w:lineRule="auto"/>
              <w:ind w:right="0" w:rightChars="0"/>
              <w:jc w:val="center"/>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送达地点</w:t>
            </w:r>
          </w:p>
        </w:tc>
        <w:tc>
          <w:tcPr>
            <w:tcW w:w="722" w:type="dxa"/>
            <w:tcBorders>
              <w:top w:val="single" w:color="000000" w:sz="12" w:space="0"/>
              <w:right w:val="single" w:color="000000" w:sz="12" w:space="0"/>
            </w:tcBorders>
            <w:vAlign w:val="center"/>
          </w:tcPr>
          <w:p w14:paraId="01301C0F">
            <w:pPr>
              <w:pageBreakBefore w:val="0"/>
              <w:widowControl/>
              <w:kinsoku w:val="0"/>
              <w:wordWrap/>
              <w:overflowPunct/>
              <w:topLinePunct/>
              <w:autoSpaceDE w:val="0"/>
              <w:autoSpaceDN w:val="0"/>
              <w:bidi w:val="0"/>
              <w:adjustRightInd w:val="0"/>
              <w:snapToGrid w:val="0"/>
              <w:spacing w:line="360" w:lineRule="auto"/>
              <w:ind w:right="0" w:rightChars="0"/>
              <w:jc w:val="center"/>
              <w:textAlignment w:val="baseline"/>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备注</w:t>
            </w:r>
          </w:p>
        </w:tc>
      </w:tr>
      <w:tr w14:paraId="2F0F7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565" w:type="dxa"/>
            <w:tcBorders>
              <w:left w:val="single" w:color="000000" w:sz="12" w:space="0"/>
            </w:tcBorders>
          </w:tcPr>
          <w:p w14:paraId="0D245686">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61" w:type="dxa"/>
          </w:tcPr>
          <w:p w14:paraId="0803A85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23" w:type="dxa"/>
          </w:tcPr>
          <w:p w14:paraId="0076027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65" w:type="dxa"/>
          </w:tcPr>
          <w:p w14:paraId="552ECD2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84" w:type="dxa"/>
          </w:tcPr>
          <w:p w14:paraId="0FC4A1F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989" w:type="dxa"/>
          </w:tcPr>
          <w:p w14:paraId="6E3792E6">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667258F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7A389DC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7D3983D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2" w:type="dxa"/>
            <w:tcBorders>
              <w:right w:val="single" w:color="000000" w:sz="12" w:space="0"/>
            </w:tcBorders>
          </w:tcPr>
          <w:p w14:paraId="3DF186C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60F3C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565" w:type="dxa"/>
            <w:tcBorders>
              <w:left w:val="single" w:color="000000" w:sz="12" w:space="0"/>
            </w:tcBorders>
          </w:tcPr>
          <w:p w14:paraId="73E4A81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61" w:type="dxa"/>
          </w:tcPr>
          <w:p w14:paraId="049DC6E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23" w:type="dxa"/>
          </w:tcPr>
          <w:p w14:paraId="3986C1F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65" w:type="dxa"/>
          </w:tcPr>
          <w:p w14:paraId="46B6C58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84" w:type="dxa"/>
          </w:tcPr>
          <w:p w14:paraId="164BB3D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989" w:type="dxa"/>
          </w:tcPr>
          <w:p w14:paraId="3F5E414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4FC9FC9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6D9D9A5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75EABA5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2" w:type="dxa"/>
            <w:tcBorders>
              <w:right w:val="single" w:color="000000" w:sz="12" w:space="0"/>
            </w:tcBorders>
          </w:tcPr>
          <w:p w14:paraId="455ECB1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7E823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565" w:type="dxa"/>
            <w:tcBorders>
              <w:left w:val="single" w:color="000000" w:sz="12" w:space="0"/>
            </w:tcBorders>
          </w:tcPr>
          <w:p w14:paraId="5AD7526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61" w:type="dxa"/>
          </w:tcPr>
          <w:p w14:paraId="5DE69A0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23" w:type="dxa"/>
          </w:tcPr>
          <w:p w14:paraId="322E9E6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65" w:type="dxa"/>
          </w:tcPr>
          <w:p w14:paraId="77625A6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84" w:type="dxa"/>
          </w:tcPr>
          <w:p w14:paraId="583FBF8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989" w:type="dxa"/>
          </w:tcPr>
          <w:p w14:paraId="2B26825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73294AF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4BA95EC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375D13A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2" w:type="dxa"/>
            <w:tcBorders>
              <w:right w:val="single" w:color="000000" w:sz="12" w:space="0"/>
            </w:tcBorders>
          </w:tcPr>
          <w:p w14:paraId="2279FAC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6C22E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565" w:type="dxa"/>
            <w:tcBorders>
              <w:left w:val="single" w:color="000000" w:sz="12" w:space="0"/>
            </w:tcBorders>
          </w:tcPr>
          <w:p w14:paraId="2FB867C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61" w:type="dxa"/>
          </w:tcPr>
          <w:p w14:paraId="7EAF610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23" w:type="dxa"/>
          </w:tcPr>
          <w:p w14:paraId="1DF94C1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65" w:type="dxa"/>
          </w:tcPr>
          <w:p w14:paraId="0187FDB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84" w:type="dxa"/>
          </w:tcPr>
          <w:p w14:paraId="72B7BFB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989" w:type="dxa"/>
          </w:tcPr>
          <w:p w14:paraId="230906E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4B30CC0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1A3E09A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3E56936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2" w:type="dxa"/>
            <w:tcBorders>
              <w:right w:val="single" w:color="000000" w:sz="12" w:space="0"/>
            </w:tcBorders>
          </w:tcPr>
          <w:p w14:paraId="1EACB6A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727EA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565" w:type="dxa"/>
            <w:tcBorders>
              <w:left w:val="single" w:color="000000" w:sz="12" w:space="0"/>
            </w:tcBorders>
          </w:tcPr>
          <w:p w14:paraId="1BBB66B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61" w:type="dxa"/>
          </w:tcPr>
          <w:p w14:paraId="01428C8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23" w:type="dxa"/>
          </w:tcPr>
          <w:p w14:paraId="1077E23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65" w:type="dxa"/>
          </w:tcPr>
          <w:p w14:paraId="6DC98F5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84" w:type="dxa"/>
          </w:tcPr>
          <w:p w14:paraId="4FC12C4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989" w:type="dxa"/>
          </w:tcPr>
          <w:p w14:paraId="2305E27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6B00425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67E3389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59B5F67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2" w:type="dxa"/>
            <w:tcBorders>
              <w:right w:val="single" w:color="000000" w:sz="12" w:space="0"/>
            </w:tcBorders>
          </w:tcPr>
          <w:p w14:paraId="1BB0F5C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2197C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565" w:type="dxa"/>
            <w:tcBorders>
              <w:left w:val="single" w:color="000000" w:sz="12" w:space="0"/>
            </w:tcBorders>
          </w:tcPr>
          <w:p w14:paraId="2703183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61" w:type="dxa"/>
          </w:tcPr>
          <w:p w14:paraId="2303C07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23" w:type="dxa"/>
          </w:tcPr>
          <w:p w14:paraId="1252FBC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65" w:type="dxa"/>
          </w:tcPr>
          <w:p w14:paraId="03D4793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84" w:type="dxa"/>
          </w:tcPr>
          <w:p w14:paraId="3FA612C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989" w:type="dxa"/>
          </w:tcPr>
          <w:p w14:paraId="6A5DF2A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6B33EA1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1732762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6D863D1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2" w:type="dxa"/>
            <w:tcBorders>
              <w:right w:val="single" w:color="000000" w:sz="12" w:space="0"/>
            </w:tcBorders>
          </w:tcPr>
          <w:p w14:paraId="3D366C1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10F22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565" w:type="dxa"/>
            <w:tcBorders>
              <w:left w:val="single" w:color="000000" w:sz="12" w:space="0"/>
            </w:tcBorders>
          </w:tcPr>
          <w:p w14:paraId="7FFBE406">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61" w:type="dxa"/>
          </w:tcPr>
          <w:p w14:paraId="259A29C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23" w:type="dxa"/>
          </w:tcPr>
          <w:p w14:paraId="0025CBD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65" w:type="dxa"/>
          </w:tcPr>
          <w:p w14:paraId="348020C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84" w:type="dxa"/>
          </w:tcPr>
          <w:p w14:paraId="5597EBD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989" w:type="dxa"/>
          </w:tcPr>
          <w:p w14:paraId="2993AD9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2DDBA6C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22AAD54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574306A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2" w:type="dxa"/>
            <w:tcBorders>
              <w:right w:val="single" w:color="000000" w:sz="12" w:space="0"/>
            </w:tcBorders>
          </w:tcPr>
          <w:p w14:paraId="79906D9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34E60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565" w:type="dxa"/>
            <w:tcBorders>
              <w:left w:val="single" w:color="000000" w:sz="12" w:space="0"/>
            </w:tcBorders>
          </w:tcPr>
          <w:p w14:paraId="2457D6D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61" w:type="dxa"/>
          </w:tcPr>
          <w:p w14:paraId="16636D7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23" w:type="dxa"/>
          </w:tcPr>
          <w:p w14:paraId="1725A03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65" w:type="dxa"/>
          </w:tcPr>
          <w:p w14:paraId="65A6A0D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84" w:type="dxa"/>
          </w:tcPr>
          <w:p w14:paraId="22A3F64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989" w:type="dxa"/>
          </w:tcPr>
          <w:p w14:paraId="217DF49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05E8DE6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2255D8E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4C3BC0E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2" w:type="dxa"/>
            <w:tcBorders>
              <w:right w:val="single" w:color="000000" w:sz="12" w:space="0"/>
            </w:tcBorders>
          </w:tcPr>
          <w:p w14:paraId="1DB6213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312FB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565" w:type="dxa"/>
            <w:tcBorders>
              <w:left w:val="single" w:color="000000" w:sz="12" w:space="0"/>
            </w:tcBorders>
          </w:tcPr>
          <w:p w14:paraId="1CED415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61" w:type="dxa"/>
          </w:tcPr>
          <w:p w14:paraId="3797FA8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23" w:type="dxa"/>
          </w:tcPr>
          <w:p w14:paraId="3B19922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65" w:type="dxa"/>
          </w:tcPr>
          <w:p w14:paraId="680E350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84" w:type="dxa"/>
          </w:tcPr>
          <w:p w14:paraId="784F40B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989" w:type="dxa"/>
          </w:tcPr>
          <w:p w14:paraId="3356A0A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10E336C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6BE42F4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109E3F1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2" w:type="dxa"/>
            <w:tcBorders>
              <w:right w:val="single" w:color="000000" w:sz="12" w:space="0"/>
            </w:tcBorders>
          </w:tcPr>
          <w:p w14:paraId="4A38953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61C9D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565" w:type="dxa"/>
            <w:tcBorders>
              <w:left w:val="single" w:color="000000" w:sz="12" w:space="0"/>
            </w:tcBorders>
          </w:tcPr>
          <w:p w14:paraId="0403988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61" w:type="dxa"/>
          </w:tcPr>
          <w:p w14:paraId="0048E6A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23" w:type="dxa"/>
          </w:tcPr>
          <w:p w14:paraId="39A8469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65" w:type="dxa"/>
          </w:tcPr>
          <w:p w14:paraId="651C2F1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84" w:type="dxa"/>
          </w:tcPr>
          <w:p w14:paraId="10FE266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989" w:type="dxa"/>
          </w:tcPr>
          <w:p w14:paraId="575F17E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708DD2E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4712029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2EE091E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2" w:type="dxa"/>
            <w:tcBorders>
              <w:right w:val="single" w:color="000000" w:sz="12" w:space="0"/>
            </w:tcBorders>
          </w:tcPr>
          <w:p w14:paraId="13AF17B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60D85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565" w:type="dxa"/>
            <w:tcBorders>
              <w:left w:val="single" w:color="000000" w:sz="12" w:space="0"/>
            </w:tcBorders>
          </w:tcPr>
          <w:p w14:paraId="2F10093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61" w:type="dxa"/>
          </w:tcPr>
          <w:p w14:paraId="5B7C714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23" w:type="dxa"/>
          </w:tcPr>
          <w:p w14:paraId="1B5BD53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65" w:type="dxa"/>
          </w:tcPr>
          <w:p w14:paraId="530A005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84" w:type="dxa"/>
          </w:tcPr>
          <w:p w14:paraId="370FA4E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989" w:type="dxa"/>
          </w:tcPr>
          <w:p w14:paraId="661F262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7EB7102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27944286">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61D0599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2" w:type="dxa"/>
            <w:tcBorders>
              <w:right w:val="single" w:color="000000" w:sz="12" w:space="0"/>
            </w:tcBorders>
          </w:tcPr>
          <w:p w14:paraId="69B4A45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3B8DB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565" w:type="dxa"/>
            <w:tcBorders>
              <w:left w:val="single" w:color="000000" w:sz="12" w:space="0"/>
            </w:tcBorders>
          </w:tcPr>
          <w:p w14:paraId="15D26F5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61" w:type="dxa"/>
          </w:tcPr>
          <w:p w14:paraId="70CE8C2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23" w:type="dxa"/>
          </w:tcPr>
          <w:p w14:paraId="7CBCB98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65" w:type="dxa"/>
          </w:tcPr>
          <w:p w14:paraId="6A77700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84" w:type="dxa"/>
          </w:tcPr>
          <w:p w14:paraId="1F5B065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989" w:type="dxa"/>
          </w:tcPr>
          <w:p w14:paraId="7999F19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08BEDA1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2C63068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68DE5146">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2" w:type="dxa"/>
            <w:tcBorders>
              <w:right w:val="single" w:color="000000" w:sz="12" w:space="0"/>
            </w:tcBorders>
          </w:tcPr>
          <w:p w14:paraId="1645D4D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30CD5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565" w:type="dxa"/>
            <w:tcBorders>
              <w:left w:val="single" w:color="000000" w:sz="12" w:space="0"/>
            </w:tcBorders>
          </w:tcPr>
          <w:p w14:paraId="7D7B0B2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61" w:type="dxa"/>
          </w:tcPr>
          <w:p w14:paraId="6DF43E1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23" w:type="dxa"/>
          </w:tcPr>
          <w:p w14:paraId="0E3D083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65" w:type="dxa"/>
          </w:tcPr>
          <w:p w14:paraId="4A86D55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84" w:type="dxa"/>
          </w:tcPr>
          <w:p w14:paraId="29BC0C7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989" w:type="dxa"/>
          </w:tcPr>
          <w:p w14:paraId="63DC4DB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79E383B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3B820AF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53A5026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2" w:type="dxa"/>
            <w:tcBorders>
              <w:right w:val="single" w:color="000000" w:sz="12" w:space="0"/>
            </w:tcBorders>
          </w:tcPr>
          <w:p w14:paraId="75987B7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04283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565" w:type="dxa"/>
            <w:tcBorders>
              <w:left w:val="single" w:color="000000" w:sz="12" w:space="0"/>
            </w:tcBorders>
          </w:tcPr>
          <w:p w14:paraId="26930F2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61" w:type="dxa"/>
          </w:tcPr>
          <w:p w14:paraId="12565C66">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23" w:type="dxa"/>
          </w:tcPr>
          <w:p w14:paraId="193F6856">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65" w:type="dxa"/>
          </w:tcPr>
          <w:p w14:paraId="27CDBAF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84" w:type="dxa"/>
          </w:tcPr>
          <w:p w14:paraId="49561C9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989" w:type="dxa"/>
          </w:tcPr>
          <w:p w14:paraId="63435BF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6AF6269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2CD0124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6E17355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2" w:type="dxa"/>
            <w:tcBorders>
              <w:right w:val="single" w:color="000000" w:sz="12" w:space="0"/>
            </w:tcBorders>
          </w:tcPr>
          <w:p w14:paraId="73AF271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1C414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565" w:type="dxa"/>
            <w:tcBorders>
              <w:left w:val="single" w:color="000000" w:sz="12" w:space="0"/>
            </w:tcBorders>
          </w:tcPr>
          <w:p w14:paraId="68B5464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61" w:type="dxa"/>
          </w:tcPr>
          <w:p w14:paraId="610E621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23" w:type="dxa"/>
          </w:tcPr>
          <w:p w14:paraId="06E70E4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65" w:type="dxa"/>
          </w:tcPr>
          <w:p w14:paraId="10FD021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84" w:type="dxa"/>
          </w:tcPr>
          <w:p w14:paraId="2CD60FA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989" w:type="dxa"/>
          </w:tcPr>
          <w:p w14:paraId="1C91D6F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283A5FF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080BFBA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372F13B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2" w:type="dxa"/>
            <w:tcBorders>
              <w:right w:val="single" w:color="000000" w:sz="12" w:space="0"/>
            </w:tcBorders>
          </w:tcPr>
          <w:p w14:paraId="458589F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4F5BC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565" w:type="dxa"/>
            <w:tcBorders>
              <w:left w:val="single" w:color="000000" w:sz="12" w:space="0"/>
            </w:tcBorders>
          </w:tcPr>
          <w:p w14:paraId="22C6F6A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61" w:type="dxa"/>
          </w:tcPr>
          <w:p w14:paraId="0EF932F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23" w:type="dxa"/>
          </w:tcPr>
          <w:p w14:paraId="7FC9ABC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65" w:type="dxa"/>
          </w:tcPr>
          <w:p w14:paraId="6BDCF54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84" w:type="dxa"/>
          </w:tcPr>
          <w:p w14:paraId="0906EE0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989" w:type="dxa"/>
          </w:tcPr>
          <w:p w14:paraId="06E6DC7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723904F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44D97E4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6BF3B976">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2" w:type="dxa"/>
            <w:tcBorders>
              <w:right w:val="single" w:color="000000" w:sz="12" w:space="0"/>
            </w:tcBorders>
          </w:tcPr>
          <w:p w14:paraId="0E4E413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7AC7E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565" w:type="dxa"/>
            <w:tcBorders>
              <w:left w:val="single" w:color="000000" w:sz="12" w:space="0"/>
            </w:tcBorders>
          </w:tcPr>
          <w:p w14:paraId="41E2F86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61" w:type="dxa"/>
          </w:tcPr>
          <w:p w14:paraId="57F7F48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23" w:type="dxa"/>
          </w:tcPr>
          <w:p w14:paraId="281453D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65" w:type="dxa"/>
          </w:tcPr>
          <w:p w14:paraId="379E9A8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84" w:type="dxa"/>
          </w:tcPr>
          <w:p w14:paraId="7AACC17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989" w:type="dxa"/>
          </w:tcPr>
          <w:p w14:paraId="76FF6D2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25E8007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75B6A23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Pr>
          <w:p w14:paraId="7C67DF7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2" w:type="dxa"/>
            <w:tcBorders>
              <w:right w:val="single" w:color="000000" w:sz="12" w:space="0"/>
            </w:tcBorders>
          </w:tcPr>
          <w:p w14:paraId="3E5F05E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6C562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565" w:type="dxa"/>
            <w:tcBorders>
              <w:left w:val="single" w:color="000000" w:sz="12" w:space="0"/>
              <w:bottom w:val="single" w:color="000000" w:sz="12" w:space="0"/>
            </w:tcBorders>
          </w:tcPr>
          <w:p w14:paraId="35C6993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61" w:type="dxa"/>
            <w:tcBorders>
              <w:bottom w:val="single" w:color="000000" w:sz="12" w:space="0"/>
            </w:tcBorders>
          </w:tcPr>
          <w:p w14:paraId="733BB14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23" w:type="dxa"/>
            <w:tcBorders>
              <w:bottom w:val="single" w:color="000000" w:sz="12" w:space="0"/>
            </w:tcBorders>
          </w:tcPr>
          <w:p w14:paraId="056A2BA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65" w:type="dxa"/>
            <w:tcBorders>
              <w:bottom w:val="single" w:color="000000" w:sz="12" w:space="0"/>
            </w:tcBorders>
          </w:tcPr>
          <w:p w14:paraId="0358887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84" w:type="dxa"/>
            <w:tcBorders>
              <w:bottom w:val="single" w:color="000000" w:sz="12" w:space="0"/>
            </w:tcBorders>
          </w:tcPr>
          <w:p w14:paraId="0BA4EF6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989" w:type="dxa"/>
            <w:tcBorders>
              <w:bottom w:val="single" w:color="000000" w:sz="12" w:space="0"/>
            </w:tcBorders>
          </w:tcPr>
          <w:p w14:paraId="1D68EAA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Borders>
              <w:bottom w:val="single" w:color="000000" w:sz="12" w:space="0"/>
            </w:tcBorders>
          </w:tcPr>
          <w:p w14:paraId="4669105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Borders>
              <w:bottom w:val="single" w:color="000000" w:sz="12" w:space="0"/>
            </w:tcBorders>
          </w:tcPr>
          <w:p w14:paraId="70A788F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130" w:type="dxa"/>
            <w:tcBorders>
              <w:bottom w:val="single" w:color="000000" w:sz="12" w:space="0"/>
            </w:tcBorders>
          </w:tcPr>
          <w:p w14:paraId="6E0FB26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2" w:type="dxa"/>
            <w:tcBorders>
              <w:bottom w:val="single" w:color="000000" w:sz="12" w:space="0"/>
              <w:right w:val="single" w:color="000000" w:sz="12" w:space="0"/>
            </w:tcBorders>
          </w:tcPr>
          <w:p w14:paraId="3B4447E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bl>
    <w:p w14:paraId="41B145C7">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p w14:paraId="1D09124B">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71AAB51A">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hAnsi="Arial" w:eastAsia="Arial" w:cs="Arial"/>
          <w:color w:val="auto"/>
          <w:sz w:val="21"/>
          <w:szCs w:val="21"/>
          <w:highlight w:val="none"/>
        </w:rPr>
        <w:sectPr>
          <w:headerReference r:id="rId27" w:type="default"/>
          <w:footerReference r:id="rId28" w:type="default"/>
          <w:pgSz w:w="11906" w:h="16839"/>
          <w:pgMar w:top="1134" w:right="1191" w:bottom="1134" w:left="1020" w:header="0" w:footer="987" w:gutter="0"/>
          <w:pgNumType w:fmt="decimal"/>
          <w:cols w:space="720" w:num="1"/>
          <w:rtlGutter w:val="0"/>
          <w:docGrid w:linePitch="0" w:charSpace="0"/>
        </w:sectPr>
      </w:pPr>
    </w:p>
    <w:p w14:paraId="7CC3B0DB">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30813624">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3F3E276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534" w:firstLineChars="200"/>
        <w:jc w:val="center"/>
        <w:textAlignment w:val="baseline"/>
        <w:outlineLvl w:val="0"/>
        <w:rPr>
          <w:color w:val="auto"/>
          <w:sz w:val="28"/>
          <w:szCs w:val="28"/>
          <w:highlight w:val="none"/>
        </w:rPr>
      </w:pPr>
      <w:bookmarkStart w:id="2248" w:name="_Toc18608"/>
      <w:r>
        <w:rPr>
          <w:b/>
          <w:bCs/>
          <w:color w:val="auto"/>
          <w:spacing w:val="-7"/>
          <w:sz w:val="28"/>
          <w:szCs w:val="28"/>
          <w:highlight w:val="none"/>
        </w:rPr>
        <w:t>附件</w:t>
      </w:r>
      <w:r>
        <w:rPr>
          <w:color w:val="auto"/>
          <w:spacing w:val="-47"/>
          <w:sz w:val="28"/>
          <w:szCs w:val="28"/>
          <w:highlight w:val="none"/>
        </w:rPr>
        <w:t xml:space="preserve"> </w:t>
      </w:r>
      <w:r>
        <w:rPr>
          <w:b/>
          <w:bCs/>
          <w:color w:val="auto"/>
          <w:spacing w:val="-7"/>
          <w:sz w:val="28"/>
          <w:szCs w:val="28"/>
          <w:highlight w:val="none"/>
        </w:rPr>
        <w:t>3</w:t>
      </w:r>
      <w:r>
        <w:rPr>
          <w:color w:val="auto"/>
          <w:spacing w:val="-7"/>
          <w:sz w:val="28"/>
          <w:szCs w:val="28"/>
          <w:highlight w:val="none"/>
        </w:rPr>
        <w:t xml:space="preserve"> </w:t>
      </w:r>
      <w:r>
        <w:rPr>
          <w:b/>
          <w:bCs/>
          <w:color w:val="auto"/>
          <w:spacing w:val="-7"/>
          <w:sz w:val="28"/>
          <w:szCs w:val="28"/>
          <w:highlight w:val="none"/>
        </w:rPr>
        <w:t>工程质量保修书</w:t>
      </w:r>
      <w:bookmarkEnd w:id="2248"/>
    </w:p>
    <w:p w14:paraId="68A11DCE">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5F2670D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发包人（全称</w:t>
      </w:r>
      <w:r>
        <w:rPr>
          <w:color w:val="auto"/>
          <w:spacing w:val="-1"/>
          <w:highlight w:val="none"/>
        </w:rPr>
        <w:t>）：</w:t>
      </w:r>
      <w:r>
        <w:rPr>
          <w:rFonts w:ascii="宋体" w:hAnsi="宋体" w:eastAsia="宋体" w:cs="宋体"/>
          <w:color w:val="auto"/>
          <w:spacing w:val="-2"/>
          <w:highlight w:val="none"/>
          <w:u w:val="single" w:color="auto"/>
        </w:rPr>
        <w:t xml:space="preserve"> </w:t>
      </w:r>
      <w:r>
        <w:rPr>
          <w:rFonts w:hint="eastAsia" w:cs="宋体"/>
          <w:color w:val="auto"/>
          <w:spacing w:val="-2"/>
          <w:highlight w:val="none"/>
          <w:u w:val="single" w:color="auto"/>
          <w:lang w:val="en-US" w:eastAsia="zh-CN"/>
        </w:rPr>
        <w:t>营口国盛中济产业开发建设有限公司</w:t>
      </w:r>
      <w:r>
        <w:rPr>
          <w:rFonts w:ascii="宋体" w:hAnsi="宋体" w:eastAsia="宋体" w:cs="宋体"/>
          <w:color w:val="auto"/>
          <w:spacing w:val="-2"/>
          <w:highlight w:val="none"/>
          <w:u w:val="single" w:color="auto"/>
        </w:rPr>
        <w:t xml:space="preserve"> </w:t>
      </w:r>
      <w:r>
        <w:rPr>
          <w:color w:val="auto"/>
          <w:highlight w:val="none"/>
          <w:u w:val="single" w:color="auto"/>
        </w:rPr>
        <w:t xml:space="preserve">   </w:t>
      </w:r>
    </w:p>
    <w:p w14:paraId="0BDA6CF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承包人（全称</w:t>
      </w:r>
      <w:r>
        <w:rPr>
          <w:color w:val="auto"/>
          <w:spacing w:val="1"/>
          <w:highlight w:val="none"/>
        </w:rPr>
        <w:t>）：</w:t>
      </w:r>
      <w:r>
        <w:rPr>
          <w:color w:val="auto"/>
          <w:highlight w:val="none"/>
          <w:u w:val="single" w:color="auto"/>
        </w:rPr>
        <w:t xml:space="preserve"> </w:t>
      </w:r>
      <w:r>
        <w:rPr>
          <w:rFonts w:hint="eastAsia"/>
          <w:color w:val="auto"/>
          <w:highlight w:val="none"/>
          <w:u w:val="single" w:color="auto"/>
          <w:lang w:val="en-US" w:eastAsia="zh-CN"/>
        </w:rPr>
        <w:t xml:space="preserve">               </w:t>
      </w:r>
      <w:r>
        <w:rPr>
          <w:rFonts w:hint="eastAsia" w:ascii="宋体" w:hAnsi="宋体" w:eastAsia="宋体" w:cs="宋体"/>
          <w:color w:val="auto"/>
          <w:spacing w:val="-2"/>
          <w:highlight w:val="none"/>
          <w:u w:val="single" w:color="auto"/>
          <w:lang w:val="en-US" w:eastAsia="zh-CN"/>
        </w:rPr>
        <w:t xml:space="preserve"> </w:t>
      </w:r>
      <w:r>
        <w:rPr>
          <w:color w:val="auto"/>
          <w:highlight w:val="none"/>
          <w:u w:val="single" w:color="auto"/>
        </w:rPr>
        <w:t xml:space="preserve"> </w:t>
      </w:r>
    </w:p>
    <w:p w14:paraId="1E956EB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jc w:val="both"/>
        <w:textAlignment w:val="baseline"/>
        <w:rPr>
          <w:color w:val="auto"/>
          <w:highlight w:val="none"/>
        </w:rPr>
      </w:pPr>
      <w:r>
        <w:rPr>
          <w:color w:val="auto"/>
          <w:spacing w:val="-4"/>
          <w:highlight w:val="none"/>
        </w:rPr>
        <w:t>发包人和承包人根据《中华人民共和国建筑法》和《</w:t>
      </w:r>
      <w:r>
        <w:rPr>
          <w:color w:val="auto"/>
          <w:spacing w:val="-5"/>
          <w:highlight w:val="none"/>
        </w:rPr>
        <w:t>建设工程质量管理条例》，</w:t>
      </w:r>
      <w:r>
        <w:rPr>
          <w:color w:val="auto"/>
          <w:spacing w:val="-45"/>
          <w:highlight w:val="none"/>
        </w:rPr>
        <w:t xml:space="preserve"> </w:t>
      </w:r>
      <w:r>
        <w:rPr>
          <w:color w:val="auto"/>
          <w:spacing w:val="-5"/>
          <w:highlight w:val="none"/>
        </w:rPr>
        <w:t>经协商</w:t>
      </w:r>
      <w:r>
        <w:rPr>
          <w:color w:val="auto"/>
          <w:highlight w:val="none"/>
        </w:rPr>
        <w:t xml:space="preserve"> 一致就</w:t>
      </w:r>
      <w:r>
        <w:rPr>
          <w:color w:val="auto"/>
          <w:highlight w:val="none"/>
          <w:u w:val="single" w:color="auto"/>
        </w:rPr>
        <w:t xml:space="preserve"> </w:t>
      </w:r>
      <w:r>
        <w:rPr>
          <w:rFonts w:hint="eastAsia"/>
          <w:color w:val="auto"/>
          <w:highlight w:val="none"/>
          <w:u w:val="single" w:color="auto"/>
          <w:lang w:eastAsia="zh-CN"/>
        </w:rPr>
        <w:t>中济智造产业基础设施配套项目</w:t>
      </w:r>
      <w:r>
        <w:rPr>
          <w:rFonts w:ascii="Times New Roman" w:hAnsi="Times New Roman" w:eastAsia="Times New Roman" w:cs="Times New Roman"/>
          <w:color w:val="auto"/>
          <w:spacing w:val="-1"/>
          <w:highlight w:val="none"/>
          <w:u w:val="single" w:color="auto"/>
        </w:rPr>
        <w:t xml:space="preserve">EPC </w:t>
      </w:r>
      <w:r>
        <w:rPr>
          <w:color w:val="auto"/>
          <w:spacing w:val="-1"/>
          <w:highlight w:val="none"/>
          <w:u w:val="single" w:color="auto"/>
        </w:rPr>
        <w:t xml:space="preserve">工程总承包 </w:t>
      </w:r>
      <w:r>
        <w:rPr>
          <w:color w:val="auto"/>
          <w:spacing w:val="-1"/>
          <w:highlight w:val="none"/>
        </w:rPr>
        <w:t>（工程全称）订立</w:t>
      </w:r>
      <w:r>
        <w:rPr>
          <w:color w:val="auto"/>
          <w:spacing w:val="-2"/>
          <w:highlight w:val="none"/>
        </w:rPr>
        <w:t>工程质量保修书。</w:t>
      </w:r>
    </w:p>
    <w:p w14:paraId="453F53B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9"/>
        <w:rPr>
          <w:color w:val="auto"/>
          <w:highlight w:val="none"/>
        </w:rPr>
      </w:pPr>
      <w:r>
        <w:rPr>
          <w:color w:val="auto"/>
          <w:spacing w:val="-2"/>
          <w:highlight w:val="none"/>
        </w:rPr>
        <w:t>一、工程质量保修范围和内容</w:t>
      </w:r>
    </w:p>
    <w:p w14:paraId="3F97042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承包人在质量保修期内，按照有关法律规定和合同约定，承担工程质量保修责</w:t>
      </w:r>
      <w:r>
        <w:rPr>
          <w:color w:val="auto"/>
          <w:spacing w:val="-2"/>
          <w:highlight w:val="none"/>
        </w:rPr>
        <w:t>任。</w:t>
      </w:r>
    </w:p>
    <w:p w14:paraId="2B31F31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color w:val="auto"/>
          <w:highlight w:val="none"/>
        </w:rPr>
      </w:pPr>
      <w:r>
        <w:rPr>
          <w:color w:val="auto"/>
          <w:spacing w:val="-6"/>
          <w:highlight w:val="none"/>
        </w:rPr>
        <w:t>质量保修范围包括地基基础工程、主体结构工程，屋面防水工程、有防水要</w:t>
      </w:r>
      <w:r>
        <w:rPr>
          <w:color w:val="auto"/>
          <w:spacing w:val="-7"/>
          <w:highlight w:val="none"/>
        </w:rPr>
        <w:t>求的卫生间、</w:t>
      </w:r>
      <w:r>
        <w:rPr>
          <w:color w:val="auto"/>
          <w:spacing w:val="2"/>
          <w:highlight w:val="none"/>
        </w:rPr>
        <w:t>房间和外墙面的防渗漏，供热与供冷系统，电</w:t>
      </w:r>
      <w:r>
        <w:rPr>
          <w:color w:val="auto"/>
          <w:spacing w:val="1"/>
          <w:highlight w:val="none"/>
        </w:rPr>
        <w:t>气管线、给排水管道、设备安装和装修工程，</w:t>
      </w:r>
      <w:r>
        <w:rPr>
          <w:color w:val="auto"/>
          <w:highlight w:val="none"/>
        </w:rPr>
        <w:t>以及双方约定的其他项目</w:t>
      </w:r>
      <w:r>
        <w:rPr>
          <w:rFonts w:hint="eastAsia"/>
          <w:color w:val="auto"/>
          <w:highlight w:val="none"/>
          <w:lang w:eastAsia="zh-CN"/>
        </w:rPr>
        <w:t>。</w:t>
      </w:r>
      <w:r>
        <w:rPr>
          <w:color w:val="auto"/>
          <w:highlight w:val="none"/>
        </w:rPr>
        <w:t>具体保修的内容，</w:t>
      </w:r>
      <w:r>
        <w:rPr>
          <w:color w:val="auto"/>
          <w:spacing w:val="-1"/>
          <w:highlight w:val="none"/>
        </w:rPr>
        <w:t>双方约定如下：</w:t>
      </w:r>
      <w:r>
        <w:rPr>
          <w:rFonts w:hint="eastAsia"/>
          <w:color w:val="auto"/>
          <w:spacing w:val="-1"/>
          <w:highlight w:val="none"/>
          <w:u w:val="single"/>
          <w:lang w:val="en-US" w:eastAsia="zh-CN"/>
        </w:rPr>
        <w:t xml:space="preserve"> </w:t>
      </w:r>
      <w:r>
        <w:rPr>
          <w:color w:val="auto"/>
          <w:spacing w:val="-1"/>
          <w:highlight w:val="none"/>
          <w:u w:val="single" w:color="auto"/>
        </w:rPr>
        <w:t xml:space="preserve">/ </w:t>
      </w:r>
      <w:r>
        <w:rPr>
          <w:color w:val="auto"/>
          <w:spacing w:val="-1"/>
          <w:highlight w:val="none"/>
        </w:rPr>
        <w:t>。</w:t>
      </w:r>
    </w:p>
    <w:p w14:paraId="3A910C3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9"/>
        <w:rPr>
          <w:color w:val="auto"/>
          <w:highlight w:val="none"/>
        </w:rPr>
      </w:pPr>
      <w:r>
        <w:rPr>
          <w:color w:val="auto"/>
          <w:spacing w:val="-2"/>
          <w:highlight w:val="none"/>
        </w:rPr>
        <w:t>二、质量保修期</w:t>
      </w:r>
    </w:p>
    <w:p w14:paraId="5363667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根据《建设工程质量管理条例》及有关规定，工程的质量保修期如下：</w:t>
      </w:r>
    </w:p>
    <w:p w14:paraId="6CF74DC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1．地基基础工程和主体结构工程为设计文件规定的工</w:t>
      </w:r>
      <w:r>
        <w:rPr>
          <w:color w:val="auto"/>
          <w:spacing w:val="-3"/>
          <w:highlight w:val="none"/>
        </w:rPr>
        <w:t>程合理使用年限；</w:t>
      </w:r>
    </w:p>
    <w:p w14:paraId="4692A3F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2．屋面防水工程、有防水要求的卫生间、房间和外墙面的防渗为</w:t>
      </w:r>
      <w:r>
        <w:rPr>
          <w:color w:val="auto"/>
          <w:spacing w:val="-1"/>
          <w:highlight w:val="none"/>
          <w:u w:val="single" w:color="auto"/>
        </w:rPr>
        <w:t xml:space="preserve">  </w:t>
      </w:r>
      <w:r>
        <w:rPr>
          <w:color w:val="auto"/>
          <w:spacing w:val="-2"/>
          <w:highlight w:val="none"/>
          <w:u w:val="single" w:color="auto"/>
        </w:rPr>
        <w:t xml:space="preserve">5  </w:t>
      </w:r>
      <w:r>
        <w:rPr>
          <w:color w:val="auto"/>
          <w:spacing w:val="-96"/>
          <w:highlight w:val="none"/>
        </w:rPr>
        <w:t xml:space="preserve"> </w:t>
      </w:r>
      <w:r>
        <w:rPr>
          <w:color w:val="auto"/>
          <w:spacing w:val="-2"/>
          <w:highlight w:val="none"/>
        </w:rPr>
        <w:t>年；</w:t>
      </w:r>
    </w:p>
    <w:p w14:paraId="36CF868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3．装修工程为</w:t>
      </w:r>
      <w:r>
        <w:rPr>
          <w:color w:val="auto"/>
          <w:spacing w:val="-4"/>
          <w:highlight w:val="none"/>
          <w:u w:val="single" w:color="auto"/>
        </w:rPr>
        <w:t xml:space="preserve">   2</w:t>
      </w:r>
      <w:r>
        <w:rPr>
          <w:color w:val="auto"/>
          <w:spacing w:val="2"/>
          <w:highlight w:val="none"/>
          <w:u w:val="single" w:color="auto"/>
        </w:rPr>
        <w:t xml:space="preserve">    </w:t>
      </w:r>
      <w:r>
        <w:rPr>
          <w:color w:val="auto"/>
          <w:spacing w:val="-95"/>
          <w:highlight w:val="none"/>
        </w:rPr>
        <w:t xml:space="preserve"> </w:t>
      </w:r>
      <w:r>
        <w:rPr>
          <w:color w:val="auto"/>
          <w:spacing w:val="-4"/>
          <w:highlight w:val="none"/>
        </w:rPr>
        <w:t>年；</w:t>
      </w:r>
    </w:p>
    <w:p w14:paraId="6E2F7E2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4．电气管线、给排水管道、设备安装工程为</w:t>
      </w:r>
      <w:r>
        <w:rPr>
          <w:color w:val="auto"/>
          <w:spacing w:val="-1"/>
          <w:highlight w:val="none"/>
          <w:u w:val="single" w:color="auto"/>
        </w:rPr>
        <w:t xml:space="preserve">     2</w:t>
      </w:r>
      <w:r>
        <w:rPr>
          <w:color w:val="auto"/>
          <w:spacing w:val="-2"/>
          <w:highlight w:val="none"/>
          <w:u w:val="single" w:color="auto"/>
        </w:rPr>
        <w:t xml:space="preserve">    </w:t>
      </w:r>
      <w:r>
        <w:rPr>
          <w:color w:val="auto"/>
          <w:spacing w:val="-95"/>
          <w:highlight w:val="none"/>
        </w:rPr>
        <w:t xml:space="preserve"> </w:t>
      </w:r>
      <w:r>
        <w:rPr>
          <w:color w:val="auto"/>
          <w:spacing w:val="-2"/>
          <w:highlight w:val="none"/>
        </w:rPr>
        <w:t>年；</w:t>
      </w:r>
    </w:p>
    <w:p w14:paraId="33E5B0E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5．供热与供冷系统为</w:t>
      </w:r>
      <w:r>
        <w:rPr>
          <w:color w:val="auto"/>
          <w:spacing w:val="-3"/>
          <w:highlight w:val="none"/>
          <w:u w:val="single" w:color="auto"/>
        </w:rPr>
        <w:t xml:space="preserve">  2   </w:t>
      </w:r>
      <w:r>
        <w:rPr>
          <w:color w:val="auto"/>
          <w:spacing w:val="-86"/>
          <w:highlight w:val="none"/>
        </w:rPr>
        <w:t xml:space="preserve"> </w:t>
      </w:r>
      <w:r>
        <w:rPr>
          <w:color w:val="auto"/>
          <w:spacing w:val="-3"/>
          <w:highlight w:val="none"/>
        </w:rPr>
        <w:t>个采暖期、供冷期；</w:t>
      </w:r>
    </w:p>
    <w:p w14:paraId="40843AD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6．住宅小区内的给排水设施、道路等配套工程为</w:t>
      </w:r>
      <w:r>
        <w:rPr>
          <w:color w:val="auto"/>
          <w:spacing w:val="-1"/>
          <w:highlight w:val="none"/>
          <w:u w:val="single" w:color="auto"/>
        </w:rPr>
        <w:t xml:space="preserve">  </w:t>
      </w:r>
      <w:r>
        <w:rPr>
          <w:color w:val="auto"/>
          <w:spacing w:val="-2"/>
          <w:highlight w:val="none"/>
          <w:u w:val="single" w:color="auto"/>
        </w:rPr>
        <w:t xml:space="preserve"> 2    </w:t>
      </w:r>
      <w:r>
        <w:rPr>
          <w:color w:val="auto"/>
          <w:spacing w:val="-96"/>
          <w:highlight w:val="none"/>
        </w:rPr>
        <w:t xml:space="preserve"> </w:t>
      </w:r>
      <w:r>
        <w:rPr>
          <w:color w:val="auto"/>
          <w:spacing w:val="-2"/>
          <w:highlight w:val="none"/>
        </w:rPr>
        <w:t>年；</w:t>
      </w:r>
    </w:p>
    <w:p w14:paraId="3590FD3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7．其他项目保修期限约定如下：</w:t>
      </w:r>
      <w:r>
        <w:rPr>
          <w:color w:val="auto"/>
          <w:spacing w:val="-1"/>
          <w:highlight w:val="none"/>
          <w:u w:val="single" w:color="auto"/>
        </w:rPr>
        <w:t xml:space="preserve">      /          </w:t>
      </w:r>
      <w:r>
        <w:rPr>
          <w:color w:val="auto"/>
          <w:spacing w:val="-1"/>
          <w:highlight w:val="none"/>
        </w:rPr>
        <w:t>。</w:t>
      </w:r>
    </w:p>
    <w:p w14:paraId="094E9BA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质量保修期自工程竣工验收合格之日起计算。</w:t>
      </w:r>
    </w:p>
    <w:p w14:paraId="5595C3C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9"/>
        <w:rPr>
          <w:color w:val="auto"/>
          <w:highlight w:val="none"/>
        </w:rPr>
      </w:pPr>
      <w:r>
        <w:rPr>
          <w:color w:val="auto"/>
          <w:spacing w:val="-2"/>
          <w:highlight w:val="none"/>
        </w:rPr>
        <w:t>三、缺陷责任期</w:t>
      </w:r>
    </w:p>
    <w:p w14:paraId="5C25AD1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工程缺陷责任期为</w:t>
      </w:r>
      <w:r>
        <w:rPr>
          <w:color w:val="auto"/>
          <w:spacing w:val="-3"/>
          <w:highlight w:val="none"/>
          <w:u w:val="single" w:color="auto"/>
        </w:rPr>
        <w:t xml:space="preserve"> 12 </w:t>
      </w:r>
      <w:r>
        <w:rPr>
          <w:color w:val="auto"/>
          <w:spacing w:val="-88"/>
          <w:highlight w:val="none"/>
        </w:rPr>
        <w:t xml:space="preserve"> </w:t>
      </w:r>
      <w:r>
        <w:rPr>
          <w:color w:val="auto"/>
          <w:spacing w:val="-3"/>
          <w:highlight w:val="none"/>
        </w:rPr>
        <w:t>个月，缺陷责任期自工程通过竣工验收之日起计算。单位/区段工程先于全部工程进行验收，单位/区段工程缺</w:t>
      </w:r>
      <w:r>
        <w:rPr>
          <w:color w:val="auto"/>
          <w:spacing w:val="-4"/>
          <w:highlight w:val="none"/>
        </w:rPr>
        <w:t>陷责任期自单位/区段工程验收合格之日起算。</w:t>
      </w:r>
    </w:p>
    <w:p w14:paraId="3673C15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缺陷责任期终止后，发包人应返还剩余的质量保证金。</w:t>
      </w:r>
    </w:p>
    <w:p w14:paraId="642F0A4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9"/>
        <w:rPr>
          <w:color w:val="auto"/>
          <w:highlight w:val="none"/>
        </w:rPr>
      </w:pPr>
      <w:r>
        <w:rPr>
          <w:color w:val="auto"/>
          <w:spacing w:val="-4"/>
          <w:highlight w:val="none"/>
        </w:rPr>
        <w:t>四、质量保修责任</w:t>
      </w:r>
    </w:p>
    <w:p w14:paraId="0C0845C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1．属于保修范围、内容的项目，承包人应当在接到保修通知之日起</w:t>
      </w:r>
      <w:r>
        <w:rPr>
          <w:color w:val="auto"/>
          <w:spacing w:val="-34"/>
          <w:highlight w:val="none"/>
        </w:rPr>
        <w:t xml:space="preserve"> </w:t>
      </w:r>
      <w:r>
        <w:rPr>
          <w:color w:val="auto"/>
          <w:spacing w:val="-2"/>
          <w:highlight w:val="none"/>
        </w:rPr>
        <w:t>7</w:t>
      </w:r>
      <w:r>
        <w:rPr>
          <w:color w:val="auto"/>
          <w:spacing w:val="-40"/>
          <w:highlight w:val="none"/>
        </w:rPr>
        <w:t xml:space="preserve"> </w:t>
      </w:r>
      <w:r>
        <w:rPr>
          <w:color w:val="auto"/>
          <w:spacing w:val="-2"/>
          <w:highlight w:val="none"/>
        </w:rPr>
        <w:t>天内派人保修。承包人不在约定期限内派人保修的，发包人可以委托他人修理。</w:t>
      </w:r>
    </w:p>
    <w:p w14:paraId="109D04C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2．发生紧急事故需抢修的，承包人在接到事故通知后，应当立即到达事故现场</w:t>
      </w:r>
      <w:r>
        <w:rPr>
          <w:color w:val="auto"/>
          <w:spacing w:val="-2"/>
          <w:highlight w:val="none"/>
        </w:rPr>
        <w:t>抢修。</w:t>
      </w:r>
    </w:p>
    <w:p w14:paraId="36A80E3F">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r>
        <w:rPr>
          <w:color w:val="auto"/>
          <w:highlight w:val="none"/>
        </w:rPr>
        <w:t>3．对于涉及结构安全的质量问题，应当按照《建设工程质量管理条例》的规</w:t>
      </w:r>
      <w:r>
        <w:rPr>
          <w:color w:val="auto"/>
          <w:spacing w:val="-1"/>
          <w:highlight w:val="none"/>
        </w:rPr>
        <w:t>定，立即</w:t>
      </w:r>
      <w:r>
        <w:rPr>
          <w:color w:val="auto"/>
          <w:spacing w:val="2"/>
          <w:highlight w:val="none"/>
        </w:rPr>
        <w:t>向当地建设行政主管部门和有关部门报告，采取</w:t>
      </w:r>
      <w:r>
        <w:rPr>
          <w:color w:val="auto"/>
          <w:spacing w:val="1"/>
          <w:highlight w:val="none"/>
        </w:rPr>
        <w:t>安全防范措施，并由承包人提出保修方案，</w:t>
      </w:r>
      <w:r>
        <w:rPr>
          <w:color w:val="auto"/>
          <w:spacing w:val="2"/>
          <w:highlight w:val="none"/>
        </w:rPr>
        <w:t>承包人将设计业务分包的</w:t>
      </w:r>
      <w:r>
        <w:rPr>
          <w:rFonts w:hint="eastAsia"/>
          <w:color w:val="auto"/>
          <w:spacing w:val="2"/>
          <w:highlight w:val="none"/>
          <w:lang w:eastAsia="zh-CN"/>
        </w:rPr>
        <w:t>，</w:t>
      </w:r>
      <w:r>
        <w:rPr>
          <w:color w:val="auto"/>
          <w:spacing w:val="2"/>
          <w:highlight w:val="none"/>
        </w:rPr>
        <w:t>应由原设计分包人或</w:t>
      </w:r>
      <w:r>
        <w:rPr>
          <w:color w:val="auto"/>
          <w:spacing w:val="1"/>
          <w:highlight w:val="none"/>
        </w:rPr>
        <w:t>具有相应资质等级的设计人提出保修方案，</w:t>
      </w:r>
      <w:r>
        <w:rPr>
          <w:color w:val="auto"/>
          <w:spacing w:val="-5"/>
          <w:highlight w:val="none"/>
        </w:rPr>
        <w:t>承包人实施保修。</w:t>
      </w:r>
    </w:p>
    <w:p w14:paraId="27E6082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4．质量保修完成后，由发包人组织验收。</w:t>
      </w:r>
    </w:p>
    <w:p w14:paraId="60BA38B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9"/>
        <w:rPr>
          <w:color w:val="auto"/>
          <w:highlight w:val="none"/>
        </w:rPr>
      </w:pPr>
      <w:r>
        <w:rPr>
          <w:color w:val="auto"/>
          <w:spacing w:val="-2"/>
          <w:highlight w:val="none"/>
        </w:rPr>
        <w:t>五、保修费用</w:t>
      </w:r>
    </w:p>
    <w:p w14:paraId="5BD2471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保修费用由造成质量缺陷的责任方承担。</w:t>
      </w:r>
    </w:p>
    <w:p w14:paraId="1D37B35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9"/>
        <w:rPr>
          <w:color w:val="auto"/>
          <w:highlight w:val="none"/>
        </w:rPr>
      </w:pPr>
      <w:r>
        <w:rPr>
          <w:color w:val="auto"/>
          <w:spacing w:val="-1"/>
          <w:highlight w:val="none"/>
        </w:rPr>
        <w:t>六、双方约定的其他工程质量保修事项：</w:t>
      </w:r>
      <w:r>
        <w:rPr>
          <w:rFonts w:hint="eastAsia"/>
          <w:color w:val="auto"/>
          <w:spacing w:val="-1"/>
          <w:highlight w:val="none"/>
          <w:u w:val="single"/>
          <w:lang w:val="en-US" w:eastAsia="zh-CN"/>
        </w:rPr>
        <w:t xml:space="preserve"> </w:t>
      </w:r>
      <w:r>
        <w:rPr>
          <w:color w:val="auto"/>
          <w:spacing w:val="-1"/>
          <w:highlight w:val="none"/>
          <w:u w:val="single" w:color="auto"/>
        </w:rPr>
        <w:t>/</w:t>
      </w:r>
      <w:r>
        <w:rPr>
          <w:rFonts w:hint="eastAsia"/>
          <w:color w:val="auto"/>
          <w:spacing w:val="-1"/>
          <w:highlight w:val="none"/>
          <w:u w:val="single" w:color="auto"/>
          <w:lang w:val="en-US" w:eastAsia="zh-CN"/>
        </w:rPr>
        <w:t xml:space="preserve"> </w:t>
      </w:r>
      <w:r>
        <w:rPr>
          <w:color w:val="auto"/>
          <w:spacing w:val="-1"/>
          <w:highlight w:val="none"/>
        </w:rPr>
        <w:t>。</w:t>
      </w:r>
    </w:p>
    <w:p w14:paraId="6BF35DB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spacing w:val="-3"/>
          <w:highlight w:val="none"/>
        </w:rPr>
      </w:pPr>
      <w:r>
        <w:rPr>
          <w:color w:val="auto"/>
          <w:spacing w:val="-4"/>
          <w:highlight w:val="none"/>
        </w:rPr>
        <w:t>工程质量保修书由发包人、承包人在工程竣工验收前共同签署，</w:t>
      </w:r>
      <w:r>
        <w:rPr>
          <w:color w:val="auto"/>
          <w:spacing w:val="-54"/>
          <w:highlight w:val="none"/>
        </w:rPr>
        <w:t xml:space="preserve"> </w:t>
      </w:r>
      <w:r>
        <w:rPr>
          <w:color w:val="auto"/>
          <w:spacing w:val="-4"/>
          <w:highlight w:val="none"/>
        </w:rPr>
        <w:t>作为工程总</w:t>
      </w:r>
      <w:r>
        <w:rPr>
          <w:color w:val="auto"/>
          <w:spacing w:val="-5"/>
          <w:highlight w:val="none"/>
        </w:rPr>
        <w:t>承包合同附</w:t>
      </w:r>
      <w:r>
        <w:rPr>
          <w:color w:val="auto"/>
          <w:spacing w:val="-3"/>
          <w:highlight w:val="none"/>
        </w:rPr>
        <w:t>件，其有效期限至保修期满。</w:t>
      </w:r>
    </w:p>
    <w:p w14:paraId="5174367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spacing w:val="-3"/>
          <w:highlight w:val="none"/>
        </w:rPr>
      </w:pPr>
    </w:p>
    <w:p w14:paraId="5B62208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spacing w:val="-3"/>
          <w:highlight w:val="none"/>
        </w:rPr>
      </w:pPr>
    </w:p>
    <w:p w14:paraId="676A27C7">
      <w:pPr>
        <w:pageBreakBefore w:val="0"/>
        <w:widowControl/>
        <w:kinsoku w:val="0"/>
        <w:wordWrap/>
        <w:overflowPunct/>
        <w:topLinePunct/>
        <w:autoSpaceDE w:val="0"/>
        <w:autoSpaceDN w:val="0"/>
        <w:bidi w:val="0"/>
        <w:adjustRightInd w:val="0"/>
        <w:snapToGrid w:val="0"/>
        <w:spacing w:line="360" w:lineRule="auto"/>
        <w:ind w:right="0" w:rightChars="0"/>
        <w:textAlignment w:val="baseline"/>
        <w:rPr>
          <w:rFonts w:ascii="Arial"/>
          <w:color w:val="auto"/>
          <w:sz w:val="21"/>
          <w:highlight w:val="none"/>
        </w:rPr>
      </w:pPr>
    </w:p>
    <w:p w14:paraId="18F91A7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spacing w:val="-1"/>
          <w:highlight w:val="none"/>
        </w:rPr>
        <w:sectPr>
          <w:headerReference r:id="rId29" w:type="default"/>
          <w:footerReference r:id="rId30" w:type="default"/>
          <w:pgSz w:w="11906" w:h="16839"/>
          <w:pgMar w:top="1134" w:right="1191" w:bottom="1134" w:left="1020" w:header="0" w:footer="987" w:gutter="0"/>
          <w:pgNumType w:fmt="decimal"/>
          <w:cols w:space="720" w:num="1"/>
          <w:rtlGutter w:val="0"/>
          <w:docGrid w:linePitch="0" w:charSpace="0"/>
        </w:sectPr>
      </w:pPr>
    </w:p>
    <w:p w14:paraId="3F3E83D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 xml:space="preserve">发包人(公章)：              </w:t>
      </w:r>
      <w:r>
        <w:rPr>
          <w:rFonts w:hint="eastAsia"/>
          <w:color w:val="auto"/>
          <w:spacing w:val="-1"/>
          <w:highlight w:val="none"/>
          <w:lang w:val="en-US" w:eastAsia="zh-CN"/>
        </w:rPr>
        <w:t xml:space="preserve">        </w:t>
      </w:r>
      <w:r>
        <w:rPr>
          <w:color w:val="auto"/>
          <w:spacing w:val="-1"/>
          <w:highlight w:val="none"/>
        </w:rPr>
        <w:t xml:space="preserve"> </w:t>
      </w:r>
      <w:r>
        <w:rPr>
          <w:rFonts w:hint="eastAsia"/>
          <w:color w:val="auto"/>
          <w:spacing w:val="-1"/>
          <w:highlight w:val="none"/>
          <w:lang w:val="en-US" w:eastAsia="zh-CN"/>
        </w:rPr>
        <w:t xml:space="preserve"> </w:t>
      </w:r>
    </w:p>
    <w:p w14:paraId="3640694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rFonts w:hint="eastAsia" w:ascii="宋体" w:hAnsi="宋体" w:eastAsia="宋体" w:cs="宋体"/>
          <w:color w:val="auto"/>
          <w:spacing w:val="-1"/>
          <w:highlight w:val="none"/>
          <w:u w:val="single"/>
        </w:rPr>
      </w:pPr>
      <w:r>
        <w:rPr>
          <w:color w:val="auto"/>
          <w:spacing w:val="-5"/>
          <w:highlight w:val="none"/>
        </w:rPr>
        <w:t>地</w:t>
      </w:r>
      <w:r>
        <w:rPr>
          <w:color w:val="auto"/>
          <w:spacing w:val="8"/>
          <w:highlight w:val="none"/>
        </w:rPr>
        <w:t xml:space="preserve">  </w:t>
      </w:r>
      <w:r>
        <w:rPr>
          <w:color w:val="auto"/>
          <w:spacing w:val="-5"/>
          <w:highlight w:val="none"/>
        </w:rPr>
        <w:t>址：</w:t>
      </w:r>
      <w:r>
        <w:rPr>
          <w:rFonts w:hint="eastAsia" w:cs="宋体"/>
          <w:color w:val="auto"/>
          <w:spacing w:val="-6"/>
          <w:highlight w:val="none"/>
          <w:u w:val="single"/>
          <w:lang w:val="en-US" w:eastAsia="zh-CN"/>
        </w:rPr>
        <w:t>辽宁省营口市北海经济开发区管理委员会1033室</w:t>
      </w:r>
      <w:r>
        <w:rPr>
          <w:color w:val="auto"/>
          <w:spacing w:val="-5"/>
          <w:highlight w:val="none"/>
        </w:rPr>
        <w:t xml:space="preserve">                 </w:t>
      </w:r>
    </w:p>
    <w:p w14:paraId="64D431B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 xml:space="preserve">法定代表人(签字)：          </w:t>
      </w:r>
      <w:r>
        <w:rPr>
          <w:color w:val="auto"/>
          <w:spacing w:val="-1"/>
          <w:highlight w:val="none"/>
        </w:rPr>
        <w:t xml:space="preserve"> </w:t>
      </w:r>
    </w:p>
    <w:p w14:paraId="78FD288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 xml:space="preserve">委托代理人(签字)：           </w:t>
      </w:r>
      <w:r>
        <w:rPr>
          <w:rFonts w:hint="eastAsia"/>
          <w:color w:val="auto"/>
          <w:highlight w:val="none"/>
          <w:lang w:val="en-US" w:eastAsia="zh-CN"/>
        </w:rPr>
        <w:t xml:space="preserve">       </w:t>
      </w:r>
    </w:p>
    <w:p w14:paraId="7EC0D5E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0" w:firstLineChars="200"/>
        <w:textAlignment w:val="baseline"/>
        <w:rPr>
          <w:color w:val="auto"/>
          <w:highlight w:val="none"/>
        </w:rPr>
      </w:pPr>
      <w:r>
        <w:rPr>
          <w:color w:val="auto"/>
          <w:spacing w:val="-10"/>
          <w:highlight w:val="none"/>
        </w:rPr>
        <w:t>电</w:t>
      </w:r>
      <w:r>
        <w:rPr>
          <w:color w:val="auto"/>
          <w:spacing w:val="8"/>
          <w:highlight w:val="none"/>
        </w:rPr>
        <w:t xml:space="preserve">  </w:t>
      </w:r>
      <w:r>
        <w:rPr>
          <w:color w:val="auto"/>
          <w:spacing w:val="-10"/>
          <w:highlight w:val="none"/>
        </w:rPr>
        <w:t>话：</w:t>
      </w:r>
      <w:r>
        <w:rPr>
          <w:rFonts w:hint="eastAsia" w:cs="宋体"/>
          <w:color w:val="auto"/>
          <w:highlight w:val="none"/>
          <w:u w:val="single" w:color="auto"/>
          <w:lang w:val="en-US" w:eastAsia="zh-CN"/>
        </w:rPr>
        <w:t xml:space="preserve">              </w:t>
      </w:r>
      <w:r>
        <w:rPr>
          <w:color w:val="auto"/>
          <w:spacing w:val="-10"/>
          <w:highlight w:val="none"/>
        </w:rPr>
        <w:t xml:space="preserve">            </w:t>
      </w:r>
      <w:r>
        <w:rPr>
          <w:rFonts w:hint="eastAsia"/>
          <w:color w:val="auto"/>
          <w:spacing w:val="-10"/>
          <w:highlight w:val="none"/>
          <w:lang w:val="en-US" w:eastAsia="zh-CN"/>
        </w:rPr>
        <w:t xml:space="preserve">      </w:t>
      </w:r>
    </w:p>
    <w:p w14:paraId="069E169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4" w:firstLineChars="200"/>
        <w:textAlignment w:val="baseline"/>
        <w:rPr>
          <w:color w:val="auto"/>
          <w:highlight w:val="none"/>
        </w:rPr>
      </w:pPr>
      <w:r>
        <w:rPr>
          <w:color w:val="auto"/>
          <w:spacing w:val="-9"/>
          <w:highlight w:val="none"/>
        </w:rPr>
        <w:t>传</w:t>
      </w:r>
      <w:r>
        <w:rPr>
          <w:color w:val="auto"/>
          <w:spacing w:val="5"/>
          <w:highlight w:val="none"/>
        </w:rPr>
        <w:t xml:space="preserve">  </w:t>
      </w:r>
      <w:r>
        <w:rPr>
          <w:color w:val="auto"/>
          <w:spacing w:val="-9"/>
          <w:highlight w:val="none"/>
        </w:rPr>
        <w:t>真：</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color w:val="auto"/>
          <w:highlight w:val="none"/>
        </w:rPr>
        <w:t xml:space="preserve">         </w:t>
      </w:r>
      <w:r>
        <w:rPr>
          <w:rFonts w:hint="eastAsia"/>
          <w:color w:val="auto"/>
          <w:highlight w:val="none"/>
          <w:lang w:val="en-US" w:eastAsia="zh-CN"/>
        </w:rPr>
        <w:t xml:space="preserve">         </w:t>
      </w:r>
    </w:p>
    <w:p w14:paraId="0C7A282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rFonts w:hint="default" w:eastAsia="宋体"/>
          <w:color w:val="auto"/>
          <w:highlight w:val="none"/>
          <w:lang w:val="en-US" w:eastAsia="zh-CN"/>
        </w:rPr>
      </w:pPr>
      <w:r>
        <w:rPr>
          <w:color w:val="auto"/>
          <w:spacing w:val="-6"/>
          <w:highlight w:val="none"/>
        </w:rPr>
        <w:t>开户银行：</w:t>
      </w:r>
      <w:r>
        <w:rPr>
          <w:rFonts w:hint="eastAsia"/>
          <w:color w:val="auto"/>
          <w:spacing w:val="-6"/>
          <w:highlight w:val="none"/>
          <w:u w:val="single"/>
          <w:lang w:val="en-US" w:eastAsia="zh-CN"/>
        </w:rPr>
        <w:t xml:space="preserve">               </w:t>
      </w:r>
      <w:r>
        <w:rPr>
          <w:color w:val="auto"/>
          <w:highlight w:val="none"/>
        </w:rPr>
        <w:t xml:space="preserve">     </w:t>
      </w:r>
      <w:r>
        <w:rPr>
          <w:rFonts w:hint="eastAsia"/>
          <w:color w:val="auto"/>
          <w:highlight w:val="none"/>
          <w:lang w:val="en-US" w:eastAsia="zh-CN"/>
        </w:rPr>
        <w:t xml:space="preserve">         </w:t>
      </w:r>
    </w:p>
    <w:p w14:paraId="6B8A3FD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color w:val="auto"/>
          <w:highlight w:val="none"/>
        </w:rPr>
      </w:pPr>
      <w:r>
        <w:rPr>
          <w:color w:val="auto"/>
          <w:spacing w:val="-6"/>
          <w:highlight w:val="none"/>
        </w:rPr>
        <w:t>账</w:t>
      </w:r>
      <w:r>
        <w:rPr>
          <w:color w:val="auto"/>
          <w:spacing w:val="9"/>
          <w:highlight w:val="none"/>
        </w:rPr>
        <w:t xml:space="preserve">  </w:t>
      </w:r>
      <w:r>
        <w:rPr>
          <w:color w:val="auto"/>
          <w:spacing w:val="-6"/>
          <w:highlight w:val="none"/>
        </w:rPr>
        <w:t>号：</w:t>
      </w:r>
      <w:r>
        <w:rPr>
          <w:rFonts w:hint="eastAsia"/>
          <w:color w:val="auto"/>
          <w:spacing w:val="-6"/>
          <w:highlight w:val="none"/>
          <w:lang w:val="en-US" w:eastAsia="zh-CN"/>
        </w:rPr>
        <w:t xml:space="preserve">  </w:t>
      </w:r>
      <w:r>
        <w:rPr>
          <w:rFonts w:hint="eastAsia"/>
          <w:color w:val="auto"/>
          <w:spacing w:val="-6"/>
          <w:highlight w:val="none"/>
          <w:u w:val="single"/>
          <w:lang w:val="en-US" w:eastAsia="zh-CN"/>
        </w:rPr>
        <w:t xml:space="preserve">              </w:t>
      </w:r>
      <w:r>
        <w:rPr>
          <w:rFonts w:hint="eastAsia" w:ascii="宋体" w:hAnsi="宋体" w:eastAsia="宋体" w:cs="宋体"/>
          <w:color w:val="auto"/>
          <w:spacing w:val="-1"/>
          <w:highlight w:val="none"/>
          <w:u w:val="single"/>
        </w:rPr>
        <w:t xml:space="preserve"> </w:t>
      </w:r>
      <w:r>
        <w:rPr>
          <w:color w:val="auto"/>
          <w:spacing w:val="-6"/>
          <w:highlight w:val="none"/>
        </w:rPr>
        <w:t xml:space="preserve">      </w:t>
      </w:r>
      <w:r>
        <w:rPr>
          <w:rFonts w:hint="eastAsia"/>
          <w:color w:val="auto"/>
          <w:spacing w:val="-6"/>
          <w:highlight w:val="none"/>
          <w:lang w:val="en-US" w:eastAsia="zh-CN"/>
        </w:rPr>
        <w:t xml:space="preserve"> </w:t>
      </w:r>
      <w:r>
        <w:rPr>
          <w:color w:val="auto"/>
          <w:spacing w:val="-6"/>
          <w:highlight w:val="none"/>
        </w:rPr>
        <w:t xml:space="preserve"> </w:t>
      </w:r>
      <w:r>
        <w:rPr>
          <w:rFonts w:hint="eastAsia"/>
          <w:color w:val="auto"/>
          <w:spacing w:val="-6"/>
          <w:highlight w:val="none"/>
          <w:lang w:val="en-US" w:eastAsia="zh-CN"/>
        </w:rPr>
        <w:t xml:space="preserve">           </w:t>
      </w:r>
    </w:p>
    <w:p w14:paraId="6BD6514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4" w:firstLineChars="200"/>
        <w:textAlignment w:val="baseline"/>
        <w:rPr>
          <w:color w:val="auto"/>
          <w:highlight w:val="none"/>
        </w:rPr>
      </w:pPr>
      <w:r>
        <w:rPr>
          <w:color w:val="auto"/>
          <w:spacing w:val="-9"/>
          <w:highlight w:val="none"/>
        </w:rPr>
        <w:t>邮政编码：</w:t>
      </w:r>
      <w:r>
        <w:rPr>
          <w:rFonts w:hint="eastAsia" w:cs="宋体"/>
          <w:color w:val="auto"/>
          <w:spacing w:val="-1"/>
          <w:highlight w:val="none"/>
          <w:u w:val="single"/>
          <w:lang w:val="en-US" w:eastAsia="zh-CN"/>
        </w:rPr>
        <w:t xml:space="preserve">            </w:t>
      </w:r>
      <w:r>
        <w:rPr>
          <w:rFonts w:hint="eastAsia" w:ascii="宋体" w:hAnsi="宋体" w:eastAsia="宋体" w:cs="宋体"/>
          <w:color w:val="auto"/>
          <w:spacing w:val="-1"/>
          <w:highlight w:val="none"/>
          <w:u w:val="single"/>
        </w:rPr>
        <w:t xml:space="preserve">    </w:t>
      </w:r>
      <w:r>
        <w:rPr>
          <w:color w:val="auto"/>
          <w:spacing w:val="1"/>
          <w:highlight w:val="none"/>
        </w:rPr>
        <w:t xml:space="preserve">               </w:t>
      </w:r>
      <w:r>
        <w:rPr>
          <w:rFonts w:hint="eastAsia"/>
          <w:color w:val="auto"/>
          <w:spacing w:val="1"/>
          <w:highlight w:val="none"/>
          <w:lang w:val="en-US" w:eastAsia="zh-CN"/>
        </w:rPr>
        <w:t xml:space="preserve">     </w:t>
      </w:r>
    </w:p>
    <w:p w14:paraId="1C05E3B3">
      <w:pPr>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承包人(公章)：</w:t>
      </w:r>
    </w:p>
    <w:p w14:paraId="21262394">
      <w:pPr>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rFonts w:ascii="Arial"/>
          <w:color w:val="auto"/>
          <w:sz w:val="21"/>
          <w:highlight w:val="none"/>
        </w:rPr>
      </w:pPr>
      <w:r>
        <w:rPr>
          <w:color w:val="auto"/>
          <w:spacing w:val="-5"/>
          <w:highlight w:val="none"/>
        </w:rPr>
        <w:t>地  址：</w:t>
      </w:r>
      <w:r>
        <w:rPr>
          <w:color w:val="auto"/>
          <w:highlight w:val="none"/>
          <w:u w:val="single" w:color="auto"/>
        </w:rPr>
        <w:t xml:space="preserve"> </w:t>
      </w:r>
      <w:r>
        <w:rPr>
          <w:rFonts w:hint="eastAsia"/>
          <w:color w:val="auto"/>
          <w:highlight w:val="none"/>
          <w:u w:val="single" w:color="auto"/>
          <w:lang w:val="en-US" w:eastAsia="zh-CN"/>
        </w:rPr>
        <w:t xml:space="preserve">               </w:t>
      </w:r>
      <w:r>
        <w:rPr>
          <w:rFonts w:hint="eastAsia" w:ascii="宋体" w:hAnsi="宋体" w:eastAsia="宋体" w:cs="宋体"/>
          <w:color w:val="auto"/>
          <w:spacing w:val="-2"/>
          <w:highlight w:val="none"/>
          <w:u w:val="single" w:color="auto"/>
          <w:lang w:val="en-US" w:eastAsia="zh-CN"/>
        </w:rPr>
        <w:t xml:space="preserve"> </w:t>
      </w:r>
      <w:r>
        <w:rPr>
          <w:color w:val="auto"/>
          <w:highlight w:val="none"/>
          <w:u w:val="single" w:color="auto"/>
        </w:rPr>
        <w:t xml:space="preserve"> </w:t>
      </w:r>
    </w:p>
    <w:p w14:paraId="38EF8997">
      <w:pPr>
        <w:pStyle w:val="9"/>
        <w:keepNext w:val="0"/>
        <w:keepLines w:val="0"/>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spacing w:val="-1"/>
          <w:highlight w:val="none"/>
        </w:rPr>
      </w:pPr>
      <w:r>
        <w:rPr>
          <w:color w:val="auto"/>
          <w:spacing w:val="-1"/>
          <w:highlight w:val="none"/>
        </w:rPr>
        <w:t xml:space="preserve">法定代表人(签字)：    </w:t>
      </w:r>
    </w:p>
    <w:p w14:paraId="4D5F2D1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spacing w:val="-1"/>
          <w:highlight w:val="none"/>
        </w:rPr>
      </w:pPr>
      <w:r>
        <w:rPr>
          <w:color w:val="auto"/>
          <w:highlight w:val="none"/>
        </w:rPr>
        <w:t>委</w:t>
      </w:r>
      <w:r>
        <w:rPr>
          <w:color w:val="auto"/>
          <w:spacing w:val="-1"/>
          <w:highlight w:val="none"/>
        </w:rPr>
        <w:t>托代理人(签字)：</w:t>
      </w:r>
    </w:p>
    <w:p w14:paraId="3B287B3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0" w:firstLineChars="200"/>
        <w:textAlignment w:val="baseline"/>
        <w:rPr>
          <w:rFonts w:hint="eastAsia" w:ascii="宋体" w:hAnsi="宋体" w:eastAsia="宋体" w:cs="宋体"/>
          <w:color w:val="auto"/>
          <w:spacing w:val="-1"/>
          <w:highlight w:val="none"/>
          <w:u w:val="single"/>
        </w:rPr>
      </w:pPr>
      <w:r>
        <w:rPr>
          <w:color w:val="auto"/>
          <w:spacing w:val="-10"/>
          <w:highlight w:val="none"/>
        </w:rPr>
        <w:t>电</w:t>
      </w:r>
      <w:r>
        <w:rPr>
          <w:color w:val="auto"/>
          <w:spacing w:val="5"/>
          <w:highlight w:val="none"/>
        </w:rPr>
        <w:t xml:space="preserve">  </w:t>
      </w:r>
      <w:r>
        <w:rPr>
          <w:color w:val="auto"/>
          <w:spacing w:val="-10"/>
          <w:highlight w:val="none"/>
        </w:rPr>
        <w:t>话：</w:t>
      </w:r>
      <w:r>
        <w:rPr>
          <w:color w:val="auto"/>
          <w:highlight w:val="none"/>
          <w:u w:val="single" w:color="auto"/>
        </w:rPr>
        <w:t xml:space="preserve"> </w:t>
      </w:r>
      <w:r>
        <w:rPr>
          <w:rFonts w:hint="eastAsia"/>
          <w:color w:val="auto"/>
          <w:highlight w:val="none"/>
          <w:u w:val="single" w:color="auto"/>
          <w:lang w:val="en-US" w:eastAsia="zh-CN"/>
        </w:rPr>
        <w:t xml:space="preserve">               </w:t>
      </w:r>
      <w:r>
        <w:rPr>
          <w:rFonts w:hint="eastAsia" w:ascii="宋体" w:hAnsi="宋体" w:eastAsia="宋体" w:cs="宋体"/>
          <w:color w:val="auto"/>
          <w:spacing w:val="-2"/>
          <w:highlight w:val="none"/>
          <w:u w:val="single" w:color="auto"/>
          <w:lang w:val="en-US" w:eastAsia="zh-CN"/>
        </w:rPr>
        <w:t xml:space="preserve"> </w:t>
      </w:r>
      <w:r>
        <w:rPr>
          <w:color w:val="auto"/>
          <w:highlight w:val="none"/>
          <w:u w:val="single" w:color="auto"/>
        </w:rPr>
        <w:t xml:space="preserve"> </w:t>
      </w:r>
    </w:p>
    <w:p w14:paraId="3D7FDFD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4" w:firstLineChars="200"/>
        <w:textAlignment w:val="baseline"/>
        <w:rPr>
          <w:rFonts w:hint="eastAsia" w:ascii="宋体" w:hAnsi="宋体" w:eastAsia="宋体" w:cs="宋体"/>
          <w:color w:val="auto"/>
          <w:spacing w:val="-1"/>
          <w:highlight w:val="none"/>
          <w:u w:val="single"/>
        </w:rPr>
      </w:pPr>
      <w:r>
        <w:rPr>
          <w:color w:val="auto"/>
          <w:spacing w:val="-9"/>
          <w:highlight w:val="none"/>
        </w:rPr>
        <w:t>传</w:t>
      </w:r>
      <w:r>
        <w:rPr>
          <w:color w:val="auto"/>
          <w:spacing w:val="8"/>
          <w:highlight w:val="none"/>
        </w:rPr>
        <w:t xml:space="preserve">  </w:t>
      </w:r>
      <w:r>
        <w:rPr>
          <w:color w:val="auto"/>
          <w:spacing w:val="-9"/>
          <w:highlight w:val="none"/>
        </w:rPr>
        <w:t>真：</w:t>
      </w:r>
      <w:r>
        <w:rPr>
          <w:color w:val="auto"/>
          <w:highlight w:val="none"/>
          <w:u w:val="single" w:color="auto"/>
        </w:rPr>
        <w:t xml:space="preserve"> </w:t>
      </w:r>
      <w:r>
        <w:rPr>
          <w:rFonts w:hint="eastAsia"/>
          <w:color w:val="auto"/>
          <w:highlight w:val="none"/>
          <w:u w:val="single" w:color="auto"/>
          <w:lang w:val="en-US" w:eastAsia="zh-CN"/>
        </w:rPr>
        <w:t xml:space="preserve">               </w:t>
      </w:r>
      <w:r>
        <w:rPr>
          <w:rFonts w:hint="eastAsia" w:ascii="宋体" w:hAnsi="宋体" w:eastAsia="宋体" w:cs="宋体"/>
          <w:color w:val="auto"/>
          <w:spacing w:val="-2"/>
          <w:highlight w:val="none"/>
          <w:u w:val="single" w:color="auto"/>
          <w:lang w:val="en-US" w:eastAsia="zh-CN"/>
        </w:rPr>
        <w:t xml:space="preserve"> </w:t>
      </w:r>
      <w:r>
        <w:rPr>
          <w:color w:val="auto"/>
          <w:highlight w:val="none"/>
          <w:u w:val="single" w:color="auto"/>
        </w:rPr>
        <w:t xml:space="preserve"> </w:t>
      </w:r>
    </w:p>
    <w:p w14:paraId="58FCB768">
      <w:pPr>
        <w:pStyle w:val="9"/>
        <w:pageBreakBefore w:val="0"/>
        <w:widowControl/>
        <w:kinsoku w:val="0"/>
        <w:wordWrap/>
        <w:overflowPunct/>
        <w:topLinePunct/>
        <w:autoSpaceDE w:val="0"/>
        <w:autoSpaceDN w:val="0"/>
        <w:bidi w:val="0"/>
        <w:adjustRightInd w:val="0"/>
        <w:snapToGrid w:val="0"/>
        <w:spacing w:line="360" w:lineRule="auto"/>
        <w:ind w:right="0" w:rightChars="0" w:firstLine="396" w:firstLineChars="200"/>
        <w:textAlignment w:val="baseline"/>
        <w:rPr>
          <w:rFonts w:hint="eastAsia"/>
          <w:color w:val="auto"/>
          <w:spacing w:val="-6"/>
          <w:highlight w:val="none"/>
          <w:u w:val="single"/>
          <w:lang w:val="en-US" w:eastAsia="zh-CN"/>
        </w:rPr>
      </w:pPr>
      <w:r>
        <w:rPr>
          <w:color w:val="auto"/>
          <w:spacing w:val="-6"/>
          <w:highlight w:val="none"/>
        </w:rPr>
        <w:t>开户银行：</w:t>
      </w:r>
      <w:r>
        <w:rPr>
          <w:color w:val="auto"/>
          <w:highlight w:val="none"/>
          <w:u w:val="single" w:color="auto"/>
        </w:rPr>
        <w:t xml:space="preserve"> </w:t>
      </w:r>
      <w:r>
        <w:rPr>
          <w:rFonts w:hint="eastAsia"/>
          <w:color w:val="auto"/>
          <w:highlight w:val="none"/>
          <w:u w:val="single" w:color="auto"/>
          <w:lang w:val="en-US" w:eastAsia="zh-CN"/>
        </w:rPr>
        <w:t xml:space="preserve">               </w:t>
      </w:r>
      <w:r>
        <w:rPr>
          <w:rFonts w:hint="eastAsia" w:ascii="宋体" w:hAnsi="宋体" w:eastAsia="宋体" w:cs="宋体"/>
          <w:color w:val="auto"/>
          <w:spacing w:val="-2"/>
          <w:highlight w:val="none"/>
          <w:u w:val="single" w:color="auto"/>
          <w:lang w:val="en-US" w:eastAsia="zh-CN"/>
        </w:rPr>
        <w:t xml:space="preserve"> </w:t>
      </w:r>
      <w:r>
        <w:rPr>
          <w:color w:val="auto"/>
          <w:highlight w:val="none"/>
          <w:u w:val="single" w:color="auto"/>
        </w:rPr>
        <w:t xml:space="preserve"> </w:t>
      </w:r>
    </w:p>
    <w:p w14:paraId="1367DF7E">
      <w:pPr>
        <w:pStyle w:val="9"/>
        <w:pageBreakBefore w:val="0"/>
        <w:widowControl/>
        <w:kinsoku w:val="0"/>
        <w:wordWrap/>
        <w:overflowPunct/>
        <w:topLinePunct/>
        <w:autoSpaceDE w:val="0"/>
        <w:autoSpaceDN w:val="0"/>
        <w:bidi w:val="0"/>
        <w:adjustRightInd w:val="0"/>
        <w:snapToGrid w:val="0"/>
        <w:spacing w:line="360" w:lineRule="auto"/>
        <w:ind w:right="0" w:rightChars="0" w:firstLine="396" w:firstLineChars="200"/>
        <w:textAlignment w:val="baseline"/>
        <w:rPr>
          <w:rFonts w:hint="eastAsia" w:ascii="宋体" w:hAnsi="宋体" w:eastAsia="宋体" w:cs="宋体"/>
          <w:color w:val="auto"/>
          <w:spacing w:val="-1"/>
          <w:highlight w:val="none"/>
          <w:u w:val="single"/>
        </w:rPr>
      </w:pPr>
      <w:r>
        <w:rPr>
          <w:color w:val="auto"/>
          <w:spacing w:val="-6"/>
          <w:highlight w:val="none"/>
        </w:rPr>
        <w:t>账</w:t>
      </w:r>
      <w:r>
        <w:rPr>
          <w:color w:val="auto"/>
          <w:spacing w:val="7"/>
          <w:highlight w:val="none"/>
        </w:rPr>
        <w:t xml:space="preserve">  </w:t>
      </w:r>
      <w:r>
        <w:rPr>
          <w:color w:val="auto"/>
          <w:spacing w:val="-6"/>
          <w:highlight w:val="none"/>
        </w:rPr>
        <w:t>号：</w:t>
      </w:r>
      <w:r>
        <w:rPr>
          <w:color w:val="auto"/>
          <w:highlight w:val="none"/>
          <w:u w:val="single" w:color="auto"/>
        </w:rPr>
        <w:t xml:space="preserve"> </w:t>
      </w:r>
      <w:r>
        <w:rPr>
          <w:rFonts w:hint="eastAsia"/>
          <w:color w:val="auto"/>
          <w:highlight w:val="none"/>
          <w:u w:val="single" w:color="auto"/>
          <w:lang w:val="en-US" w:eastAsia="zh-CN"/>
        </w:rPr>
        <w:t xml:space="preserve">               </w:t>
      </w:r>
      <w:r>
        <w:rPr>
          <w:rFonts w:hint="eastAsia" w:ascii="宋体" w:hAnsi="宋体" w:eastAsia="宋体" w:cs="宋体"/>
          <w:color w:val="auto"/>
          <w:spacing w:val="-2"/>
          <w:highlight w:val="none"/>
          <w:u w:val="single" w:color="auto"/>
          <w:lang w:val="en-US" w:eastAsia="zh-CN"/>
        </w:rPr>
        <w:t xml:space="preserve"> </w:t>
      </w:r>
      <w:r>
        <w:rPr>
          <w:color w:val="auto"/>
          <w:highlight w:val="none"/>
          <w:u w:val="single" w:color="auto"/>
        </w:rPr>
        <w:t xml:space="preserve"> </w:t>
      </w:r>
    </w:p>
    <w:p w14:paraId="1EA73589">
      <w:pPr>
        <w:pStyle w:val="9"/>
        <w:pageBreakBefore w:val="0"/>
        <w:widowControl/>
        <w:kinsoku w:val="0"/>
        <w:wordWrap/>
        <w:overflowPunct/>
        <w:topLinePunct/>
        <w:autoSpaceDE w:val="0"/>
        <w:autoSpaceDN w:val="0"/>
        <w:bidi w:val="0"/>
        <w:adjustRightInd w:val="0"/>
        <w:snapToGrid w:val="0"/>
        <w:spacing w:line="360" w:lineRule="auto"/>
        <w:ind w:right="0" w:rightChars="0" w:firstLine="384" w:firstLineChars="200"/>
        <w:textAlignment w:val="baseline"/>
        <w:rPr>
          <w:rFonts w:hint="default" w:ascii="宋体" w:hAnsi="宋体" w:eastAsia="宋体" w:cs="宋体"/>
          <w:color w:val="auto"/>
          <w:spacing w:val="-1"/>
          <w:highlight w:val="none"/>
          <w:u w:val="single"/>
          <w:lang w:val="en-US" w:eastAsia="zh-CN"/>
        </w:rPr>
      </w:pPr>
      <w:r>
        <w:rPr>
          <w:color w:val="auto"/>
          <w:spacing w:val="-9"/>
          <w:highlight w:val="none"/>
        </w:rPr>
        <w:t>邮政编码：</w:t>
      </w:r>
      <w:r>
        <w:rPr>
          <w:color w:val="auto"/>
          <w:highlight w:val="none"/>
          <w:u w:val="single" w:color="auto"/>
        </w:rPr>
        <w:t xml:space="preserve"> </w:t>
      </w:r>
      <w:r>
        <w:rPr>
          <w:rFonts w:hint="eastAsia"/>
          <w:color w:val="auto"/>
          <w:highlight w:val="none"/>
          <w:u w:val="single" w:color="auto"/>
          <w:lang w:val="en-US" w:eastAsia="zh-CN"/>
        </w:rPr>
        <w:t xml:space="preserve">               </w:t>
      </w:r>
      <w:r>
        <w:rPr>
          <w:rFonts w:hint="eastAsia" w:ascii="宋体" w:hAnsi="宋体" w:eastAsia="宋体" w:cs="宋体"/>
          <w:color w:val="auto"/>
          <w:spacing w:val="-2"/>
          <w:highlight w:val="none"/>
          <w:u w:val="single" w:color="auto"/>
          <w:lang w:val="en-US" w:eastAsia="zh-CN"/>
        </w:rPr>
        <w:t xml:space="preserve"> </w:t>
      </w:r>
      <w:r>
        <w:rPr>
          <w:color w:val="auto"/>
          <w:highlight w:val="none"/>
          <w:u w:val="single" w:color="auto"/>
        </w:rPr>
        <w:t xml:space="preserve"> </w:t>
      </w:r>
    </w:p>
    <w:p w14:paraId="2E0A25E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rFonts w:hint="eastAsia" w:ascii="宋体" w:hAnsi="宋体" w:eastAsia="宋体" w:cs="宋体"/>
          <w:color w:val="auto"/>
          <w:spacing w:val="-1"/>
          <w:highlight w:val="none"/>
          <w:u w:val="single"/>
        </w:rPr>
        <w:sectPr>
          <w:type w:val="continuous"/>
          <w:pgSz w:w="11906" w:h="16839"/>
          <w:pgMar w:top="1134" w:right="1191" w:bottom="1134" w:left="1020" w:header="0" w:footer="987" w:gutter="0"/>
          <w:pgNumType w:fmt="decimal"/>
          <w:cols w:equalWidth="0" w:num="2">
            <w:col w:w="4635" w:space="425"/>
            <w:col w:w="4635"/>
          </w:cols>
          <w:rtlGutter w:val="0"/>
          <w:docGrid w:linePitch="0" w:charSpace="0"/>
        </w:sectPr>
      </w:pPr>
    </w:p>
    <w:p w14:paraId="5E7E4DE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rFonts w:hint="eastAsia" w:ascii="宋体" w:hAnsi="宋体" w:eastAsia="宋体" w:cs="宋体"/>
          <w:color w:val="auto"/>
          <w:spacing w:val="-1"/>
          <w:highlight w:val="none"/>
          <w:u w:val="single"/>
        </w:rPr>
      </w:pPr>
    </w:p>
    <w:p w14:paraId="264059F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rFonts w:hint="eastAsia" w:ascii="宋体" w:hAnsi="宋体" w:eastAsia="宋体" w:cs="宋体"/>
          <w:color w:val="auto"/>
          <w:spacing w:val="-1"/>
          <w:highlight w:val="none"/>
          <w:u w:val="single"/>
        </w:rPr>
      </w:pPr>
    </w:p>
    <w:p w14:paraId="0245508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spacing w:val="-1"/>
          <w:highlight w:val="none"/>
        </w:rPr>
      </w:pPr>
    </w:p>
    <w:p w14:paraId="2E3C75B7">
      <w:pPr>
        <w:pStyle w:val="9"/>
        <w:keepNext w:val="0"/>
        <w:keepLines w:val="0"/>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rFonts w:hint="eastAsia" w:eastAsia="宋体"/>
          <w:color w:val="auto"/>
          <w:highlight w:val="none"/>
          <w:lang w:eastAsia="zh-CN"/>
        </w:rPr>
      </w:pPr>
      <w:r>
        <w:rPr>
          <w:color w:val="auto"/>
          <w:spacing w:val="-1"/>
          <w:highlight w:val="none"/>
        </w:rPr>
        <w:t xml:space="preserve">         </w:t>
      </w:r>
      <w:r>
        <w:rPr>
          <w:rFonts w:hint="eastAsia"/>
          <w:color w:val="auto"/>
          <w:spacing w:val="-1"/>
          <w:highlight w:val="none"/>
          <w:lang w:val="en-US" w:eastAsia="zh-CN"/>
        </w:rPr>
        <w:t xml:space="preserve">                        </w:t>
      </w:r>
      <w:r>
        <w:rPr>
          <w:color w:val="auto"/>
          <w:spacing w:val="-1"/>
          <w:highlight w:val="none"/>
        </w:rPr>
        <w:t xml:space="preserve"> </w:t>
      </w:r>
    </w:p>
    <w:p w14:paraId="589D1C91">
      <w:pPr>
        <w:pStyle w:val="5"/>
        <w:keepNext w:val="0"/>
        <w:keepLines w:val="0"/>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sectPr>
          <w:type w:val="continuous"/>
          <w:pgSz w:w="11906" w:h="16839"/>
          <w:pgMar w:top="1134" w:right="1191" w:bottom="1134" w:left="1020" w:header="0" w:footer="987" w:gutter="0"/>
          <w:pgNumType w:fmt="decimal"/>
          <w:cols w:space="720" w:num="1"/>
          <w:rtlGutter w:val="0"/>
          <w:docGrid w:linePitch="0" w:charSpace="0"/>
        </w:sectPr>
      </w:pPr>
    </w:p>
    <w:p w14:paraId="03824B8A">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301C8EE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542" w:firstLineChars="200"/>
        <w:jc w:val="center"/>
        <w:textAlignment w:val="baseline"/>
        <w:outlineLvl w:val="0"/>
        <w:rPr>
          <w:color w:val="auto"/>
          <w:sz w:val="28"/>
          <w:szCs w:val="28"/>
          <w:highlight w:val="none"/>
        </w:rPr>
      </w:pPr>
      <w:bookmarkStart w:id="2249" w:name="_Toc22119"/>
      <w:r>
        <w:rPr>
          <w:b/>
          <w:bCs/>
          <w:color w:val="auto"/>
          <w:spacing w:val="-5"/>
          <w:sz w:val="28"/>
          <w:szCs w:val="28"/>
          <w:highlight w:val="none"/>
        </w:rPr>
        <w:t>附件</w:t>
      </w:r>
      <w:r>
        <w:rPr>
          <w:color w:val="auto"/>
          <w:spacing w:val="-59"/>
          <w:sz w:val="28"/>
          <w:szCs w:val="28"/>
          <w:highlight w:val="none"/>
        </w:rPr>
        <w:t xml:space="preserve"> </w:t>
      </w:r>
      <w:r>
        <w:rPr>
          <w:b/>
          <w:bCs/>
          <w:color w:val="auto"/>
          <w:spacing w:val="-5"/>
          <w:sz w:val="28"/>
          <w:szCs w:val="28"/>
          <w:highlight w:val="none"/>
        </w:rPr>
        <w:t>4</w:t>
      </w:r>
      <w:r>
        <w:rPr>
          <w:color w:val="auto"/>
          <w:spacing w:val="-5"/>
          <w:sz w:val="28"/>
          <w:szCs w:val="28"/>
          <w:highlight w:val="none"/>
        </w:rPr>
        <w:t xml:space="preserve"> </w:t>
      </w:r>
      <w:r>
        <w:rPr>
          <w:b/>
          <w:bCs/>
          <w:color w:val="auto"/>
          <w:spacing w:val="-5"/>
          <w:sz w:val="28"/>
          <w:szCs w:val="28"/>
          <w:highlight w:val="none"/>
        </w:rPr>
        <w:t>主要建设工程文件目录</w:t>
      </w:r>
      <w:bookmarkEnd w:id="2249"/>
    </w:p>
    <w:p w14:paraId="071CC4F3">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bl>
      <w:tblPr>
        <w:tblStyle w:val="63"/>
        <w:tblW w:w="92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8"/>
        <w:gridCol w:w="1275"/>
        <w:gridCol w:w="1448"/>
        <w:gridCol w:w="1242"/>
        <w:gridCol w:w="1448"/>
        <w:gridCol w:w="1673"/>
      </w:tblGrid>
      <w:tr w14:paraId="5CA2E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jc w:val="center"/>
        </w:trPr>
        <w:tc>
          <w:tcPr>
            <w:tcW w:w="2128" w:type="dxa"/>
          </w:tcPr>
          <w:p w14:paraId="26593417">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文件名称</w:t>
            </w:r>
          </w:p>
        </w:tc>
        <w:tc>
          <w:tcPr>
            <w:tcW w:w="1275" w:type="dxa"/>
          </w:tcPr>
          <w:p w14:paraId="522881D7">
            <w:pPr>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套数</w:t>
            </w:r>
          </w:p>
        </w:tc>
        <w:tc>
          <w:tcPr>
            <w:tcW w:w="1448" w:type="dxa"/>
          </w:tcPr>
          <w:p w14:paraId="77ED164E">
            <w:pPr>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费用（元）</w:t>
            </w:r>
          </w:p>
        </w:tc>
        <w:tc>
          <w:tcPr>
            <w:tcW w:w="1242" w:type="dxa"/>
          </w:tcPr>
          <w:p w14:paraId="0A6FD8D5">
            <w:pPr>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质量</w:t>
            </w:r>
          </w:p>
        </w:tc>
        <w:tc>
          <w:tcPr>
            <w:tcW w:w="1448" w:type="dxa"/>
          </w:tcPr>
          <w:p w14:paraId="4916BA57">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移交时间</w:t>
            </w:r>
          </w:p>
        </w:tc>
        <w:tc>
          <w:tcPr>
            <w:tcW w:w="1673" w:type="dxa"/>
          </w:tcPr>
          <w:p w14:paraId="07E48C96">
            <w:pPr>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责任人</w:t>
            </w:r>
          </w:p>
        </w:tc>
      </w:tr>
      <w:tr w14:paraId="40357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128" w:type="dxa"/>
          </w:tcPr>
          <w:p w14:paraId="50DDA69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75" w:type="dxa"/>
          </w:tcPr>
          <w:p w14:paraId="28A2002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23D63D4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42" w:type="dxa"/>
          </w:tcPr>
          <w:p w14:paraId="73C592A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064BA34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673" w:type="dxa"/>
          </w:tcPr>
          <w:p w14:paraId="795CA83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263F8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2128" w:type="dxa"/>
          </w:tcPr>
          <w:p w14:paraId="1AE8168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75" w:type="dxa"/>
          </w:tcPr>
          <w:p w14:paraId="6F822FF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1B8EC78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42" w:type="dxa"/>
          </w:tcPr>
          <w:p w14:paraId="66B9E12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63C6033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673" w:type="dxa"/>
          </w:tcPr>
          <w:p w14:paraId="78EFDB9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7C269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128" w:type="dxa"/>
          </w:tcPr>
          <w:p w14:paraId="051E3A3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75" w:type="dxa"/>
          </w:tcPr>
          <w:p w14:paraId="74CE7756">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433D160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42" w:type="dxa"/>
          </w:tcPr>
          <w:p w14:paraId="4267B28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7DD5ED1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673" w:type="dxa"/>
          </w:tcPr>
          <w:p w14:paraId="4A7DBB2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37453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2128" w:type="dxa"/>
          </w:tcPr>
          <w:p w14:paraId="56B5BCC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75" w:type="dxa"/>
          </w:tcPr>
          <w:p w14:paraId="296FF42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2825562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42" w:type="dxa"/>
          </w:tcPr>
          <w:p w14:paraId="06ED2D7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160E1FD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673" w:type="dxa"/>
          </w:tcPr>
          <w:p w14:paraId="47AA381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6EB2C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128" w:type="dxa"/>
          </w:tcPr>
          <w:p w14:paraId="17256B0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75" w:type="dxa"/>
          </w:tcPr>
          <w:p w14:paraId="22407C6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2DEB82B6">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42" w:type="dxa"/>
          </w:tcPr>
          <w:p w14:paraId="17E8D83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6CF0194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673" w:type="dxa"/>
          </w:tcPr>
          <w:p w14:paraId="4FABB7D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328C3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2128" w:type="dxa"/>
          </w:tcPr>
          <w:p w14:paraId="0AC5668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75" w:type="dxa"/>
          </w:tcPr>
          <w:p w14:paraId="0EBB206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1ABD3F5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42" w:type="dxa"/>
          </w:tcPr>
          <w:p w14:paraId="7940A6B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196CF36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673" w:type="dxa"/>
          </w:tcPr>
          <w:p w14:paraId="07BD33D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157E8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128" w:type="dxa"/>
          </w:tcPr>
          <w:p w14:paraId="5A412AE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75" w:type="dxa"/>
          </w:tcPr>
          <w:p w14:paraId="5258A46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0D8AFD7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42" w:type="dxa"/>
          </w:tcPr>
          <w:p w14:paraId="7B6D556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7D62711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673" w:type="dxa"/>
          </w:tcPr>
          <w:p w14:paraId="2586B5F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78021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2128" w:type="dxa"/>
          </w:tcPr>
          <w:p w14:paraId="6B595AA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75" w:type="dxa"/>
          </w:tcPr>
          <w:p w14:paraId="489C413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23D069D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42" w:type="dxa"/>
          </w:tcPr>
          <w:p w14:paraId="0C1D2CF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33D1471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673" w:type="dxa"/>
          </w:tcPr>
          <w:p w14:paraId="60643DB6">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53FA6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2128" w:type="dxa"/>
          </w:tcPr>
          <w:p w14:paraId="01AD560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75" w:type="dxa"/>
          </w:tcPr>
          <w:p w14:paraId="73C3F13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18A3CE7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42" w:type="dxa"/>
          </w:tcPr>
          <w:p w14:paraId="5454341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4E37E22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673" w:type="dxa"/>
          </w:tcPr>
          <w:p w14:paraId="29A602D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694EF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2128" w:type="dxa"/>
          </w:tcPr>
          <w:p w14:paraId="3F854D9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75" w:type="dxa"/>
          </w:tcPr>
          <w:p w14:paraId="0DFEE95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6E85A0E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42" w:type="dxa"/>
          </w:tcPr>
          <w:p w14:paraId="1189416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63836A2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673" w:type="dxa"/>
          </w:tcPr>
          <w:p w14:paraId="5D48A21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62BB6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128" w:type="dxa"/>
          </w:tcPr>
          <w:p w14:paraId="645AF2E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75" w:type="dxa"/>
          </w:tcPr>
          <w:p w14:paraId="44BEAD5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79A8233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42" w:type="dxa"/>
          </w:tcPr>
          <w:p w14:paraId="180C45F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31B2662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673" w:type="dxa"/>
          </w:tcPr>
          <w:p w14:paraId="725F903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30DA0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2128" w:type="dxa"/>
          </w:tcPr>
          <w:p w14:paraId="4050C45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75" w:type="dxa"/>
          </w:tcPr>
          <w:p w14:paraId="18CFA7A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7C61E4C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42" w:type="dxa"/>
          </w:tcPr>
          <w:p w14:paraId="2F58BCC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7D45AFA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673" w:type="dxa"/>
          </w:tcPr>
          <w:p w14:paraId="11719D26">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22E9E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128" w:type="dxa"/>
          </w:tcPr>
          <w:p w14:paraId="5A9375D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75" w:type="dxa"/>
          </w:tcPr>
          <w:p w14:paraId="166A7FD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2563FF6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42" w:type="dxa"/>
          </w:tcPr>
          <w:p w14:paraId="283AC10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09AB287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673" w:type="dxa"/>
          </w:tcPr>
          <w:p w14:paraId="2D103B8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391A5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128" w:type="dxa"/>
          </w:tcPr>
          <w:p w14:paraId="7868B6A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75" w:type="dxa"/>
          </w:tcPr>
          <w:p w14:paraId="231A133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21ECF08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42" w:type="dxa"/>
          </w:tcPr>
          <w:p w14:paraId="3012F65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0C5BEB5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673" w:type="dxa"/>
          </w:tcPr>
          <w:p w14:paraId="657B83F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2B54A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128" w:type="dxa"/>
          </w:tcPr>
          <w:p w14:paraId="41C3A1C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75" w:type="dxa"/>
          </w:tcPr>
          <w:p w14:paraId="65BFB83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0A2C9DF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42" w:type="dxa"/>
          </w:tcPr>
          <w:p w14:paraId="7CD45C7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24684AB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673" w:type="dxa"/>
          </w:tcPr>
          <w:p w14:paraId="5FFE1C3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7D366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2128" w:type="dxa"/>
          </w:tcPr>
          <w:p w14:paraId="02A2789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75" w:type="dxa"/>
          </w:tcPr>
          <w:p w14:paraId="25FC1BA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3BB73AA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42" w:type="dxa"/>
          </w:tcPr>
          <w:p w14:paraId="58A79FF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044729A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673" w:type="dxa"/>
          </w:tcPr>
          <w:p w14:paraId="12BB68B6">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5B6B4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128" w:type="dxa"/>
          </w:tcPr>
          <w:p w14:paraId="0D61E2A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75" w:type="dxa"/>
          </w:tcPr>
          <w:p w14:paraId="45AF79F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6DB5F92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42" w:type="dxa"/>
          </w:tcPr>
          <w:p w14:paraId="336B7DE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4A15083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673" w:type="dxa"/>
          </w:tcPr>
          <w:p w14:paraId="7FF5D17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33D19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2128" w:type="dxa"/>
          </w:tcPr>
          <w:p w14:paraId="61C1CA5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75" w:type="dxa"/>
          </w:tcPr>
          <w:p w14:paraId="51DDFF4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1D3D7D2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42" w:type="dxa"/>
          </w:tcPr>
          <w:p w14:paraId="3E1F6F06">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0B9DCA3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673" w:type="dxa"/>
          </w:tcPr>
          <w:p w14:paraId="20165F2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37D67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2128" w:type="dxa"/>
          </w:tcPr>
          <w:p w14:paraId="009B11A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75" w:type="dxa"/>
          </w:tcPr>
          <w:p w14:paraId="31564CF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498A87A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42" w:type="dxa"/>
          </w:tcPr>
          <w:p w14:paraId="215EA02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48" w:type="dxa"/>
          </w:tcPr>
          <w:p w14:paraId="7D0AA2B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673" w:type="dxa"/>
          </w:tcPr>
          <w:p w14:paraId="29B6E10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bl>
    <w:p w14:paraId="3E72BA8E">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52332922">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hAnsi="Arial" w:eastAsia="Arial" w:cs="Arial"/>
          <w:color w:val="auto"/>
          <w:sz w:val="21"/>
          <w:szCs w:val="21"/>
          <w:highlight w:val="none"/>
        </w:rPr>
        <w:sectPr>
          <w:headerReference r:id="rId31" w:type="default"/>
          <w:footerReference r:id="rId32" w:type="default"/>
          <w:pgSz w:w="11906" w:h="16839"/>
          <w:pgMar w:top="1134" w:right="1191" w:bottom="1134" w:left="1020" w:header="0" w:footer="987" w:gutter="0"/>
          <w:pgNumType w:fmt="decimal"/>
          <w:cols w:space="720" w:num="1"/>
          <w:rtlGutter w:val="0"/>
          <w:docGrid w:linePitch="0" w:charSpace="0"/>
        </w:sectPr>
      </w:pPr>
    </w:p>
    <w:p w14:paraId="4ED2B42C">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529B4C1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538" w:firstLineChars="200"/>
        <w:jc w:val="center"/>
        <w:textAlignment w:val="baseline"/>
        <w:outlineLvl w:val="0"/>
        <w:rPr>
          <w:color w:val="auto"/>
          <w:sz w:val="28"/>
          <w:szCs w:val="28"/>
          <w:highlight w:val="none"/>
        </w:rPr>
      </w:pPr>
      <w:bookmarkStart w:id="2250" w:name="_Toc25131"/>
      <w:r>
        <w:rPr>
          <w:b/>
          <w:bCs/>
          <w:color w:val="auto"/>
          <w:spacing w:val="-6"/>
          <w:sz w:val="28"/>
          <w:szCs w:val="28"/>
          <w:highlight w:val="none"/>
        </w:rPr>
        <w:t>附件</w:t>
      </w:r>
      <w:r>
        <w:rPr>
          <w:color w:val="auto"/>
          <w:spacing w:val="-45"/>
          <w:sz w:val="28"/>
          <w:szCs w:val="28"/>
          <w:highlight w:val="none"/>
        </w:rPr>
        <w:t xml:space="preserve"> </w:t>
      </w:r>
      <w:r>
        <w:rPr>
          <w:b/>
          <w:bCs/>
          <w:color w:val="auto"/>
          <w:spacing w:val="-6"/>
          <w:sz w:val="28"/>
          <w:szCs w:val="28"/>
          <w:highlight w:val="none"/>
        </w:rPr>
        <w:t>5</w:t>
      </w:r>
      <w:r>
        <w:rPr>
          <w:color w:val="auto"/>
          <w:spacing w:val="-6"/>
          <w:sz w:val="28"/>
          <w:szCs w:val="28"/>
          <w:highlight w:val="none"/>
        </w:rPr>
        <w:t xml:space="preserve"> </w:t>
      </w:r>
      <w:r>
        <w:rPr>
          <w:b/>
          <w:bCs/>
          <w:color w:val="auto"/>
          <w:spacing w:val="-6"/>
          <w:sz w:val="28"/>
          <w:szCs w:val="28"/>
          <w:highlight w:val="none"/>
        </w:rPr>
        <w:t>承包人主要管理人员表</w:t>
      </w:r>
      <w:bookmarkEnd w:id="2250"/>
    </w:p>
    <w:p w14:paraId="3B8B02AB">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bl>
      <w:tblPr>
        <w:tblStyle w:val="6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8"/>
        <w:gridCol w:w="1040"/>
        <w:gridCol w:w="2486"/>
        <w:gridCol w:w="1192"/>
        <w:gridCol w:w="4145"/>
      </w:tblGrid>
      <w:tr w14:paraId="214BE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397" w:type="pct"/>
          </w:tcPr>
          <w:p w14:paraId="6974F8B1">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序号</w:t>
            </w:r>
          </w:p>
        </w:tc>
        <w:tc>
          <w:tcPr>
            <w:tcW w:w="545" w:type="pct"/>
          </w:tcPr>
          <w:p w14:paraId="093092BC">
            <w:pPr>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姓名</w:t>
            </w:r>
          </w:p>
        </w:tc>
        <w:tc>
          <w:tcPr>
            <w:tcW w:w="1290" w:type="pct"/>
          </w:tcPr>
          <w:p w14:paraId="34260E06">
            <w:pPr>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职务</w:t>
            </w:r>
          </w:p>
        </w:tc>
        <w:tc>
          <w:tcPr>
            <w:tcW w:w="623" w:type="pct"/>
          </w:tcPr>
          <w:p w14:paraId="5A179B64">
            <w:pPr>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职称</w:t>
            </w:r>
          </w:p>
        </w:tc>
        <w:tc>
          <w:tcPr>
            <w:tcW w:w="2144" w:type="pct"/>
          </w:tcPr>
          <w:p w14:paraId="554146A1">
            <w:pPr>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主要资历、经验及承担过的项目</w:t>
            </w:r>
          </w:p>
        </w:tc>
      </w:tr>
      <w:tr w14:paraId="7A919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97" w:type="pct"/>
          </w:tcPr>
          <w:p w14:paraId="4DEF2A61">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宋体" w:hAnsi="宋体" w:eastAsia="宋体" w:cs="宋体"/>
                <w:color w:val="auto"/>
                <w:sz w:val="21"/>
                <w:szCs w:val="21"/>
                <w:highlight w:val="none"/>
              </w:rPr>
            </w:pPr>
            <w:r>
              <w:rPr>
                <w:rFonts w:ascii="宋体" w:hAnsi="宋体" w:eastAsia="宋体" w:cs="宋体"/>
                <w:color w:val="auto"/>
                <w:sz w:val="21"/>
                <w:szCs w:val="21"/>
                <w:highlight w:val="none"/>
              </w:rPr>
              <w:t>1</w:t>
            </w:r>
          </w:p>
        </w:tc>
        <w:tc>
          <w:tcPr>
            <w:tcW w:w="545" w:type="pct"/>
          </w:tcPr>
          <w:p w14:paraId="0548561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90" w:type="pct"/>
          </w:tcPr>
          <w:p w14:paraId="39CB7E66">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工程总承包项目经理</w:t>
            </w:r>
          </w:p>
        </w:tc>
        <w:tc>
          <w:tcPr>
            <w:tcW w:w="623" w:type="pct"/>
          </w:tcPr>
          <w:p w14:paraId="79AE010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2144" w:type="pct"/>
          </w:tcPr>
          <w:p w14:paraId="1582808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78287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97" w:type="pct"/>
          </w:tcPr>
          <w:p w14:paraId="0ED0B999">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宋体" w:hAnsi="宋体" w:eastAsia="宋体" w:cs="宋体"/>
                <w:color w:val="auto"/>
                <w:sz w:val="21"/>
                <w:szCs w:val="21"/>
                <w:highlight w:val="none"/>
              </w:rPr>
            </w:pPr>
            <w:r>
              <w:rPr>
                <w:rFonts w:ascii="宋体" w:hAnsi="宋体" w:eastAsia="宋体" w:cs="宋体"/>
                <w:color w:val="auto"/>
                <w:sz w:val="21"/>
                <w:szCs w:val="21"/>
                <w:highlight w:val="none"/>
              </w:rPr>
              <w:t>2</w:t>
            </w:r>
          </w:p>
        </w:tc>
        <w:tc>
          <w:tcPr>
            <w:tcW w:w="545" w:type="pct"/>
          </w:tcPr>
          <w:p w14:paraId="014CEB6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90" w:type="pct"/>
          </w:tcPr>
          <w:p w14:paraId="5E6C68B7">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施工负责人</w:t>
            </w:r>
          </w:p>
        </w:tc>
        <w:tc>
          <w:tcPr>
            <w:tcW w:w="623" w:type="pct"/>
          </w:tcPr>
          <w:p w14:paraId="0402E88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2144" w:type="pct"/>
          </w:tcPr>
          <w:p w14:paraId="4DDDA4B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10FBE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97" w:type="pct"/>
          </w:tcPr>
          <w:p w14:paraId="365303E3">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宋体" w:hAnsi="宋体" w:eastAsia="宋体" w:cs="宋体"/>
                <w:color w:val="auto"/>
                <w:sz w:val="21"/>
                <w:szCs w:val="21"/>
                <w:highlight w:val="none"/>
              </w:rPr>
            </w:pPr>
            <w:r>
              <w:rPr>
                <w:rFonts w:ascii="宋体" w:hAnsi="宋体" w:eastAsia="宋体" w:cs="宋体"/>
                <w:color w:val="auto"/>
                <w:sz w:val="21"/>
                <w:szCs w:val="21"/>
                <w:highlight w:val="none"/>
              </w:rPr>
              <w:t>3</w:t>
            </w:r>
          </w:p>
        </w:tc>
        <w:tc>
          <w:tcPr>
            <w:tcW w:w="545" w:type="pct"/>
          </w:tcPr>
          <w:p w14:paraId="4BA4355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90" w:type="pct"/>
          </w:tcPr>
          <w:p w14:paraId="00248B16">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设计负责人</w:t>
            </w:r>
          </w:p>
        </w:tc>
        <w:tc>
          <w:tcPr>
            <w:tcW w:w="623" w:type="pct"/>
          </w:tcPr>
          <w:p w14:paraId="45F59F06">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2144" w:type="pct"/>
          </w:tcPr>
          <w:p w14:paraId="4ADD860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7C239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97" w:type="pct"/>
          </w:tcPr>
          <w:p w14:paraId="3DF746F9">
            <w:pPr>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6"/>
                <w:position w:val="2"/>
                <w:sz w:val="21"/>
                <w:szCs w:val="21"/>
                <w:highlight w:val="none"/>
              </w:rPr>
              <w:t>……</w:t>
            </w:r>
          </w:p>
        </w:tc>
        <w:tc>
          <w:tcPr>
            <w:tcW w:w="545" w:type="pct"/>
          </w:tcPr>
          <w:p w14:paraId="24822B8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90" w:type="pct"/>
          </w:tcPr>
          <w:p w14:paraId="21F4DAD4">
            <w:pPr>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6"/>
                <w:position w:val="2"/>
                <w:sz w:val="21"/>
                <w:szCs w:val="21"/>
                <w:highlight w:val="none"/>
              </w:rPr>
              <w:t>……</w:t>
            </w:r>
          </w:p>
        </w:tc>
        <w:tc>
          <w:tcPr>
            <w:tcW w:w="623" w:type="pct"/>
          </w:tcPr>
          <w:p w14:paraId="10BBE14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2144" w:type="pct"/>
          </w:tcPr>
          <w:p w14:paraId="4D6DA15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5EF0E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5000" w:type="pct"/>
            <w:gridSpan w:val="5"/>
          </w:tcPr>
          <w:p w14:paraId="59D5C778">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施工班组</w:t>
            </w:r>
          </w:p>
        </w:tc>
      </w:tr>
      <w:tr w14:paraId="7088C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97" w:type="pct"/>
          </w:tcPr>
          <w:p w14:paraId="16A4825E">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宋体" w:hAnsi="宋体" w:eastAsia="宋体" w:cs="宋体"/>
                <w:color w:val="auto"/>
                <w:sz w:val="21"/>
                <w:szCs w:val="21"/>
                <w:highlight w:val="none"/>
              </w:rPr>
            </w:pPr>
            <w:r>
              <w:rPr>
                <w:rFonts w:ascii="宋体" w:hAnsi="宋体" w:eastAsia="宋体" w:cs="宋体"/>
                <w:color w:val="auto"/>
                <w:sz w:val="21"/>
                <w:szCs w:val="21"/>
                <w:highlight w:val="none"/>
              </w:rPr>
              <w:t>4</w:t>
            </w:r>
          </w:p>
        </w:tc>
        <w:tc>
          <w:tcPr>
            <w:tcW w:w="545" w:type="pct"/>
          </w:tcPr>
          <w:p w14:paraId="12D7A76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90" w:type="pct"/>
          </w:tcPr>
          <w:p w14:paraId="02DC7993">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技术负责人</w:t>
            </w:r>
          </w:p>
        </w:tc>
        <w:tc>
          <w:tcPr>
            <w:tcW w:w="623" w:type="pct"/>
          </w:tcPr>
          <w:p w14:paraId="45F8918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2144" w:type="pct"/>
          </w:tcPr>
          <w:p w14:paraId="5C1C638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123A3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97" w:type="pct"/>
          </w:tcPr>
          <w:p w14:paraId="1BE94892">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宋体" w:hAnsi="宋体" w:eastAsia="宋体" w:cs="宋体"/>
                <w:color w:val="auto"/>
                <w:sz w:val="21"/>
                <w:szCs w:val="21"/>
                <w:highlight w:val="none"/>
              </w:rPr>
            </w:pPr>
            <w:r>
              <w:rPr>
                <w:rFonts w:ascii="宋体" w:hAnsi="宋体" w:eastAsia="宋体" w:cs="宋体"/>
                <w:color w:val="auto"/>
                <w:sz w:val="21"/>
                <w:szCs w:val="21"/>
                <w:highlight w:val="none"/>
              </w:rPr>
              <w:t>5</w:t>
            </w:r>
          </w:p>
        </w:tc>
        <w:tc>
          <w:tcPr>
            <w:tcW w:w="545" w:type="pct"/>
          </w:tcPr>
          <w:p w14:paraId="2001720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90" w:type="pct"/>
          </w:tcPr>
          <w:p w14:paraId="14792137">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施工员</w:t>
            </w:r>
          </w:p>
        </w:tc>
        <w:tc>
          <w:tcPr>
            <w:tcW w:w="623" w:type="pct"/>
          </w:tcPr>
          <w:p w14:paraId="09C8ABC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2144" w:type="pct"/>
          </w:tcPr>
          <w:p w14:paraId="782D1F9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41389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97" w:type="pct"/>
          </w:tcPr>
          <w:p w14:paraId="3FA62B53">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宋体" w:hAnsi="宋体" w:eastAsia="宋体" w:cs="宋体"/>
                <w:color w:val="auto"/>
                <w:sz w:val="21"/>
                <w:szCs w:val="21"/>
                <w:highlight w:val="none"/>
              </w:rPr>
            </w:pPr>
            <w:r>
              <w:rPr>
                <w:rFonts w:ascii="宋体" w:hAnsi="宋体" w:eastAsia="宋体" w:cs="宋体"/>
                <w:color w:val="auto"/>
                <w:sz w:val="21"/>
                <w:szCs w:val="21"/>
                <w:highlight w:val="none"/>
              </w:rPr>
              <w:t>6</w:t>
            </w:r>
          </w:p>
        </w:tc>
        <w:tc>
          <w:tcPr>
            <w:tcW w:w="545" w:type="pct"/>
          </w:tcPr>
          <w:p w14:paraId="6C1AFCC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90" w:type="pct"/>
          </w:tcPr>
          <w:p w14:paraId="41DB172A">
            <w:pPr>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安全员</w:t>
            </w:r>
          </w:p>
        </w:tc>
        <w:tc>
          <w:tcPr>
            <w:tcW w:w="623" w:type="pct"/>
          </w:tcPr>
          <w:p w14:paraId="7DB4FE9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2144" w:type="pct"/>
          </w:tcPr>
          <w:p w14:paraId="7F8BB3A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46110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97" w:type="pct"/>
          </w:tcPr>
          <w:p w14:paraId="63B04A8E">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宋体" w:hAnsi="宋体" w:eastAsia="宋体" w:cs="宋体"/>
                <w:color w:val="auto"/>
                <w:sz w:val="21"/>
                <w:szCs w:val="21"/>
                <w:highlight w:val="none"/>
              </w:rPr>
            </w:pPr>
            <w:r>
              <w:rPr>
                <w:rFonts w:ascii="宋体" w:hAnsi="宋体" w:eastAsia="宋体" w:cs="宋体"/>
                <w:color w:val="auto"/>
                <w:sz w:val="21"/>
                <w:szCs w:val="21"/>
                <w:highlight w:val="none"/>
              </w:rPr>
              <w:t>7</w:t>
            </w:r>
          </w:p>
        </w:tc>
        <w:tc>
          <w:tcPr>
            <w:tcW w:w="545" w:type="pct"/>
          </w:tcPr>
          <w:p w14:paraId="352E8DE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90" w:type="pct"/>
          </w:tcPr>
          <w:p w14:paraId="668B5032">
            <w:pPr>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质量员</w:t>
            </w:r>
          </w:p>
        </w:tc>
        <w:tc>
          <w:tcPr>
            <w:tcW w:w="623" w:type="pct"/>
          </w:tcPr>
          <w:p w14:paraId="66E00E5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2144" w:type="pct"/>
          </w:tcPr>
          <w:p w14:paraId="5BF016A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695A1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97" w:type="pct"/>
          </w:tcPr>
          <w:p w14:paraId="6CA799DA">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宋体" w:hAnsi="宋体" w:eastAsia="宋体" w:cs="宋体"/>
                <w:color w:val="auto"/>
                <w:sz w:val="21"/>
                <w:szCs w:val="21"/>
                <w:highlight w:val="none"/>
              </w:rPr>
            </w:pPr>
            <w:r>
              <w:rPr>
                <w:rFonts w:ascii="宋体" w:hAnsi="宋体" w:eastAsia="宋体" w:cs="宋体"/>
                <w:color w:val="auto"/>
                <w:sz w:val="21"/>
                <w:szCs w:val="21"/>
                <w:highlight w:val="none"/>
              </w:rPr>
              <w:t>8</w:t>
            </w:r>
          </w:p>
        </w:tc>
        <w:tc>
          <w:tcPr>
            <w:tcW w:w="545" w:type="pct"/>
          </w:tcPr>
          <w:p w14:paraId="7B7EF70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90" w:type="pct"/>
          </w:tcPr>
          <w:p w14:paraId="2280BC4D">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材料员</w:t>
            </w:r>
          </w:p>
        </w:tc>
        <w:tc>
          <w:tcPr>
            <w:tcW w:w="623" w:type="pct"/>
          </w:tcPr>
          <w:p w14:paraId="652E852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2144" w:type="pct"/>
          </w:tcPr>
          <w:p w14:paraId="0D746F9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71679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97" w:type="pct"/>
          </w:tcPr>
          <w:p w14:paraId="46D5C599">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宋体" w:hAnsi="宋体" w:eastAsia="宋体" w:cs="宋体"/>
                <w:color w:val="auto"/>
                <w:sz w:val="21"/>
                <w:szCs w:val="21"/>
                <w:highlight w:val="none"/>
              </w:rPr>
            </w:pPr>
            <w:r>
              <w:rPr>
                <w:rFonts w:ascii="宋体" w:hAnsi="宋体" w:eastAsia="宋体" w:cs="宋体"/>
                <w:color w:val="auto"/>
                <w:sz w:val="21"/>
                <w:szCs w:val="21"/>
                <w:highlight w:val="none"/>
              </w:rPr>
              <w:t>9</w:t>
            </w:r>
          </w:p>
        </w:tc>
        <w:tc>
          <w:tcPr>
            <w:tcW w:w="545" w:type="pct"/>
          </w:tcPr>
          <w:p w14:paraId="7FED46D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90" w:type="pct"/>
          </w:tcPr>
          <w:p w14:paraId="5FA8421A">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机械员</w:t>
            </w:r>
          </w:p>
        </w:tc>
        <w:tc>
          <w:tcPr>
            <w:tcW w:w="623" w:type="pct"/>
          </w:tcPr>
          <w:p w14:paraId="336C084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2144" w:type="pct"/>
          </w:tcPr>
          <w:p w14:paraId="186A932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6DF7E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97" w:type="pct"/>
          </w:tcPr>
          <w:p w14:paraId="1DDBCA70">
            <w:pPr>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10</w:t>
            </w:r>
          </w:p>
        </w:tc>
        <w:tc>
          <w:tcPr>
            <w:tcW w:w="545" w:type="pct"/>
          </w:tcPr>
          <w:p w14:paraId="673EBF4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90" w:type="pct"/>
          </w:tcPr>
          <w:p w14:paraId="4B1CED42">
            <w:pPr>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资料员</w:t>
            </w:r>
          </w:p>
        </w:tc>
        <w:tc>
          <w:tcPr>
            <w:tcW w:w="623" w:type="pct"/>
          </w:tcPr>
          <w:p w14:paraId="2A5A4CD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2144" w:type="pct"/>
          </w:tcPr>
          <w:p w14:paraId="7F0AA9F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34B37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97" w:type="pct"/>
          </w:tcPr>
          <w:p w14:paraId="1F5A13C5">
            <w:pPr>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6"/>
                <w:position w:val="2"/>
                <w:sz w:val="21"/>
                <w:szCs w:val="21"/>
                <w:highlight w:val="none"/>
              </w:rPr>
              <w:t>……</w:t>
            </w:r>
          </w:p>
        </w:tc>
        <w:tc>
          <w:tcPr>
            <w:tcW w:w="545" w:type="pct"/>
          </w:tcPr>
          <w:p w14:paraId="2BB0CEC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90" w:type="pct"/>
          </w:tcPr>
          <w:p w14:paraId="1385EEC7">
            <w:pPr>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6"/>
                <w:position w:val="2"/>
                <w:sz w:val="21"/>
                <w:szCs w:val="21"/>
                <w:highlight w:val="none"/>
              </w:rPr>
              <w:t>……</w:t>
            </w:r>
          </w:p>
        </w:tc>
        <w:tc>
          <w:tcPr>
            <w:tcW w:w="623" w:type="pct"/>
          </w:tcPr>
          <w:p w14:paraId="0DE6392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2144" w:type="pct"/>
          </w:tcPr>
          <w:p w14:paraId="0724C0D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16910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5000" w:type="pct"/>
            <w:gridSpan w:val="5"/>
          </w:tcPr>
          <w:p w14:paraId="3007B54B">
            <w:pPr>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设计班组</w:t>
            </w:r>
          </w:p>
        </w:tc>
      </w:tr>
      <w:tr w14:paraId="34E37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97" w:type="pct"/>
          </w:tcPr>
          <w:p w14:paraId="1E6B323F">
            <w:pPr>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11</w:t>
            </w:r>
          </w:p>
        </w:tc>
        <w:tc>
          <w:tcPr>
            <w:tcW w:w="545" w:type="pct"/>
          </w:tcPr>
          <w:p w14:paraId="120796D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90" w:type="pct"/>
          </w:tcPr>
          <w:p w14:paraId="3E7FC342">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建筑专业设计人员</w:t>
            </w:r>
          </w:p>
        </w:tc>
        <w:tc>
          <w:tcPr>
            <w:tcW w:w="623" w:type="pct"/>
          </w:tcPr>
          <w:p w14:paraId="46D7F62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2144" w:type="pct"/>
          </w:tcPr>
          <w:p w14:paraId="7C11D7F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5AB62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97" w:type="pct"/>
          </w:tcPr>
          <w:p w14:paraId="019DCD16">
            <w:pPr>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12</w:t>
            </w:r>
          </w:p>
        </w:tc>
        <w:tc>
          <w:tcPr>
            <w:tcW w:w="545" w:type="pct"/>
          </w:tcPr>
          <w:p w14:paraId="49515D4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90" w:type="pct"/>
          </w:tcPr>
          <w:p w14:paraId="5E1568F1">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结构专业设计人员</w:t>
            </w:r>
          </w:p>
        </w:tc>
        <w:tc>
          <w:tcPr>
            <w:tcW w:w="623" w:type="pct"/>
          </w:tcPr>
          <w:p w14:paraId="42102436">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2144" w:type="pct"/>
          </w:tcPr>
          <w:p w14:paraId="3FCD587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26783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97" w:type="pct"/>
          </w:tcPr>
          <w:p w14:paraId="79D42F4E">
            <w:pPr>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13</w:t>
            </w:r>
          </w:p>
        </w:tc>
        <w:tc>
          <w:tcPr>
            <w:tcW w:w="545" w:type="pct"/>
          </w:tcPr>
          <w:p w14:paraId="78E25B1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90" w:type="pct"/>
          </w:tcPr>
          <w:p w14:paraId="5F956FC8">
            <w:pPr>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给排水专业设计人员</w:t>
            </w:r>
          </w:p>
        </w:tc>
        <w:tc>
          <w:tcPr>
            <w:tcW w:w="623" w:type="pct"/>
          </w:tcPr>
          <w:p w14:paraId="5AF2DC3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2144" w:type="pct"/>
          </w:tcPr>
          <w:p w14:paraId="28E208B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3EAE3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97" w:type="pct"/>
          </w:tcPr>
          <w:p w14:paraId="22D5285C">
            <w:pPr>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14</w:t>
            </w:r>
          </w:p>
        </w:tc>
        <w:tc>
          <w:tcPr>
            <w:tcW w:w="545" w:type="pct"/>
          </w:tcPr>
          <w:p w14:paraId="39C7887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90" w:type="pct"/>
          </w:tcPr>
          <w:p w14:paraId="4FCF2230">
            <w:pPr>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电气专业设计人员</w:t>
            </w:r>
          </w:p>
        </w:tc>
        <w:tc>
          <w:tcPr>
            <w:tcW w:w="623" w:type="pct"/>
          </w:tcPr>
          <w:p w14:paraId="03ED083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2144" w:type="pct"/>
          </w:tcPr>
          <w:p w14:paraId="357A23E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68109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97" w:type="pct"/>
          </w:tcPr>
          <w:p w14:paraId="6B12D2A0">
            <w:pPr>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15</w:t>
            </w:r>
          </w:p>
        </w:tc>
        <w:tc>
          <w:tcPr>
            <w:tcW w:w="545" w:type="pct"/>
          </w:tcPr>
          <w:p w14:paraId="3934DAA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90" w:type="pct"/>
          </w:tcPr>
          <w:p w14:paraId="45D40DDF">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一级造价工程师</w:t>
            </w:r>
          </w:p>
        </w:tc>
        <w:tc>
          <w:tcPr>
            <w:tcW w:w="623" w:type="pct"/>
          </w:tcPr>
          <w:p w14:paraId="4000A9F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2144" w:type="pct"/>
          </w:tcPr>
          <w:p w14:paraId="0E7994A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2F964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397" w:type="pct"/>
          </w:tcPr>
          <w:p w14:paraId="72B76AF3">
            <w:pPr>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6"/>
                <w:position w:val="2"/>
                <w:sz w:val="21"/>
                <w:szCs w:val="21"/>
                <w:highlight w:val="none"/>
              </w:rPr>
              <w:t>……</w:t>
            </w:r>
          </w:p>
        </w:tc>
        <w:tc>
          <w:tcPr>
            <w:tcW w:w="545" w:type="pct"/>
          </w:tcPr>
          <w:p w14:paraId="4FFC28D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290" w:type="pct"/>
          </w:tcPr>
          <w:p w14:paraId="4FD77D5F">
            <w:pPr>
              <w:pageBreakBefore w:val="0"/>
              <w:widowControl/>
              <w:kinsoku w:val="0"/>
              <w:wordWrap/>
              <w:overflowPunct/>
              <w:topLinePunct/>
              <w:autoSpaceDE w:val="0"/>
              <w:autoSpaceDN w:val="0"/>
              <w:bidi w:val="0"/>
              <w:adjustRightInd w:val="0"/>
              <w:snapToGrid w:val="0"/>
              <w:spacing w:line="360" w:lineRule="auto"/>
              <w:ind w:left="0" w:leftChars="0" w:right="0" w:rightChars="0" w:firstLine="396"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6"/>
                <w:position w:val="2"/>
                <w:sz w:val="21"/>
                <w:szCs w:val="21"/>
                <w:highlight w:val="none"/>
              </w:rPr>
              <w:t>……</w:t>
            </w:r>
          </w:p>
        </w:tc>
        <w:tc>
          <w:tcPr>
            <w:tcW w:w="623" w:type="pct"/>
          </w:tcPr>
          <w:p w14:paraId="1D0ED00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2144" w:type="pct"/>
          </w:tcPr>
          <w:p w14:paraId="05A1973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bl>
    <w:p w14:paraId="684A5CAD">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562AB9A6">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hAnsi="Arial" w:eastAsia="Arial" w:cs="Arial"/>
          <w:color w:val="auto"/>
          <w:sz w:val="21"/>
          <w:szCs w:val="21"/>
          <w:highlight w:val="none"/>
        </w:rPr>
        <w:sectPr>
          <w:headerReference r:id="rId33" w:type="default"/>
          <w:footerReference r:id="rId34" w:type="default"/>
          <w:pgSz w:w="11906" w:h="16839"/>
          <w:pgMar w:top="1134" w:right="1191" w:bottom="1134" w:left="1020" w:header="0" w:footer="987" w:gutter="0"/>
          <w:pgNumType w:fmt="decimal"/>
          <w:cols w:space="720" w:num="1"/>
          <w:rtlGutter w:val="0"/>
          <w:docGrid w:linePitch="0" w:charSpace="0"/>
        </w:sectPr>
      </w:pPr>
    </w:p>
    <w:p w14:paraId="2F1E7E47">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2FA2F7D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534" w:firstLineChars="200"/>
        <w:jc w:val="center"/>
        <w:textAlignment w:val="baseline"/>
        <w:outlineLvl w:val="0"/>
        <w:rPr>
          <w:color w:val="auto"/>
          <w:sz w:val="28"/>
          <w:szCs w:val="28"/>
          <w:highlight w:val="none"/>
        </w:rPr>
      </w:pPr>
      <w:bookmarkStart w:id="2251" w:name="_Toc11093"/>
      <w:r>
        <w:rPr>
          <w:b/>
          <w:bCs/>
          <w:color w:val="auto"/>
          <w:spacing w:val="-7"/>
          <w:sz w:val="28"/>
          <w:szCs w:val="28"/>
          <w:highlight w:val="none"/>
        </w:rPr>
        <w:t>附件</w:t>
      </w:r>
      <w:r>
        <w:rPr>
          <w:color w:val="auto"/>
          <w:spacing w:val="-47"/>
          <w:sz w:val="28"/>
          <w:szCs w:val="28"/>
          <w:highlight w:val="none"/>
        </w:rPr>
        <w:t xml:space="preserve"> </w:t>
      </w:r>
      <w:r>
        <w:rPr>
          <w:b/>
          <w:bCs/>
          <w:color w:val="auto"/>
          <w:spacing w:val="-7"/>
          <w:sz w:val="28"/>
          <w:szCs w:val="28"/>
          <w:highlight w:val="none"/>
        </w:rPr>
        <w:t>6</w:t>
      </w:r>
      <w:r>
        <w:rPr>
          <w:color w:val="auto"/>
          <w:spacing w:val="-7"/>
          <w:sz w:val="28"/>
          <w:szCs w:val="28"/>
          <w:highlight w:val="none"/>
        </w:rPr>
        <w:t xml:space="preserve"> </w:t>
      </w:r>
      <w:r>
        <w:rPr>
          <w:b/>
          <w:bCs/>
          <w:color w:val="auto"/>
          <w:spacing w:val="-7"/>
          <w:sz w:val="28"/>
          <w:szCs w:val="28"/>
          <w:highlight w:val="none"/>
        </w:rPr>
        <w:t>价格指数权重表</w:t>
      </w:r>
      <w:bookmarkEnd w:id="2251"/>
    </w:p>
    <w:p w14:paraId="0CB82B43">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bl>
      <w:tblPr>
        <w:tblStyle w:val="6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61"/>
        <w:gridCol w:w="672"/>
        <w:gridCol w:w="1009"/>
        <w:gridCol w:w="1399"/>
        <w:gridCol w:w="1246"/>
        <w:gridCol w:w="1399"/>
        <w:gridCol w:w="1419"/>
        <w:gridCol w:w="1596"/>
      </w:tblGrid>
      <w:tr w14:paraId="3AF3D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95" w:type="pct"/>
            <w:vMerge w:val="restart"/>
            <w:tcBorders>
              <w:bottom w:val="nil"/>
            </w:tcBorders>
          </w:tcPr>
          <w:p w14:paraId="28947D0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p w14:paraId="29A0D467">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序号</w:t>
            </w:r>
          </w:p>
        </w:tc>
        <w:tc>
          <w:tcPr>
            <w:tcW w:w="866" w:type="pct"/>
            <w:gridSpan w:val="2"/>
            <w:vMerge w:val="restart"/>
            <w:tcBorders>
              <w:bottom w:val="nil"/>
            </w:tcBorders>
          </w:tcPr>
          <w:p w14:paraId="66E152B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p w14:paraId="400B00FB">
            <w:pPr>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名称</w:t>
            </w:r>
          </w:p>
        </w:tc>
        <w:tc>
          <w:tcPr>
            <w:tcW w:w="1363" w:type="pct"/>
            <w:gridSpan w:val="2"/>
          </w:tcPr>
          <w:p w14:paraId="4351285B">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变更权重</w:t>
            </w:r>
            <w:r>
              <w:rPr>
                <w:rFonts w:ascii="宋体" w:hAnsi="宋体" w:eastAsia="宋体" w:cs="宋体"/>
                <w:color w:val="auto"/>
                <w:spacing w:val="-49"/>
                <w:sz w:val="21"/>
                <w:szCs w:val="21"/>
                <w:highlight w:val="none"/>
              </w:rPr>
              <w:t xml:space="preserve"> </w:t>
            </w:r>
            <w:r>
              <w:rPr>
                <w:rFonts w:ascii="宋体" w:hAnsi="宋体" w:eastAsia="宋体" w:cs="宋体"/>
                <w:color w:val="auto"/>
                <w:spacing w:val="-2"/>
                <w:sz w:val="21"/>
                <w:szCs w:val="21"/>
                <w:highlight w:val="none"/>
              </w:rPr>
              <w:t>B</w:t>
            </w:r>
          </w:p>
        </w:tc>
        <w:tc>
          <w:tcPr>
            <w:tcW w:w="1452" w:type="pct"/>
            <w:gridSpan w:val="2"/>
          </w:tcPr>
          <w:p w14:paraId="0295B289">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基本价格指数</w:t>
            </w:r>
            <w:r>
              <w:rPr>
                <w:rFonts w:ascii="宋体" w:hAnsi="宋体" w:eastAsia="宋体" w:cs="宋体"/>
                <w:color w:val="auto"/>
                <w:spacing w:val="-44"/>
                <w:sz w:val="21"/>
                <w:szCs w:val="21"/>
                <w:highlight w:val="none"/>
              </w:rPr>
              <w:t xml:space="preserve"> </w:t>
            </w:r>
            <w:r>
              <w:rPr>
                <w:rFonts w:ascii="宋体" w:hAnsi="宋体" w:eastAsia="宋体" w:cs="宋体"/>
                <w:color w:val="auto"/>
                <w:spacing w:val="-2"/>
                <w:sz w:val="21"/>
                <w:szCs w:val="21"/>
                <w:highlight w:val="none"/>
              </w:rPr>
              <w:t>F0</w:t>
            </w:r>
          </w:p>
        </w:tc>
        <w:tc>
          <w:tcPr>
            <w:tcW w:w="822" w:type="pct"/>
          </w:tcPr>
          <w:p w14:paraId="43E32E7C">
            <w:pPr>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备注</w:t>
            </w:r>
          </w:p>
        </w:tc>
      </w:tr>
      <w:tr w14:paraId="4571D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495" w:type="pct"/>
            <w:vMerge w:val="continue"/>
            <w:tcBorders>
              <w:top w:val="nil"/>
            </w:tcBorders>
          </w:tcPr>
          <w:p w14:paraId="1EE58FF6">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866" w:type="pct"/>
            <w:gridSpan w:val="2"/>
            <w:vMerge w:val="continue"/>
            <w:tcBorders>
              <w:top w:val="nil"/>
            </w:tcBorders>
          </w:tcPr>
          <w:p w14:paraId="54A2F8C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1" w:type="pct"/>
          </w:tcPr>
          <w:p w14:paraId="095028A2">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代号</w:t>
            </w:r>
          </w:p>
        </w:tc>
        <w:tc>
          <w:tcPr>
            <w:tcW w:w="641" w:type="pct"/>
          </w:tcPr>
          <w:p w14:paraId="6A61A81D">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权重</w:t>
            </w:r>
          </w:p>
        </w:tc>
        <w:tc>
          <w:tcPr>
            <w:tcW w:w="721" w:type="pct"/>
          </w:tcPr>
          <w:p w14:paraId="63C0F313">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代号</w:t>
            </w:r>
          </w:p>
        </w:tc>
        <w:tc>
          <w:tcPr>
            <w:tcW w:w="730" w:type="pct"/>
          </w:tcPr>
          <w:p w14:paraId="53AFC727">
            <w:pPr>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指数</w:t>
            </w:r>
          </w:p>
        </w:tc>
        <w:tc>
          <w:tcPr>
            <w:tcW w:w="822" w:type="pct"/>
          </w:tcPr>
          <w:p w14:paraId="72FABD6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4B3E7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495" w:type="pct"/>
          </w:tcPr>
          <w:p w14:paraId="116BBBE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346" w:type="pct"/>
            <w:vMerge w:val="restart"/>
            <w:tcBorders>
              <w:bottom w:val="nil"/>
            </w:tcBorders>
            <w:textDirection w:val="tbRlV"/>
          </w:tcPr>
          <w:p w14:paraId="6F39191E">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宋体" w:hAnsi="宋体" w:eastAsia="宋体" w:cs="宋体"/>
                <w:color w:val="auto"/>
                <w:sz w:val="21"/>
                <w:szCs w:val="21"/>
                <w:highlight w:val="none"/>
              </w:rPr>
            </w:pPr>
            <w:r>
              <w:rPr>
                <w:rFonts w:ascii="宋体" w:hAnsi="宋体" w:eastAsia="宋体" w:cs="宋体"/>
                <w:color w:val="auto"/>
                <w:sz w:val="21"/>
                <w:szCs w:val="21"/>
                <w:highlight w:val="none"/>
              </w:rPr>
              <w:t>变</w:t>
            </w:r>
            <w:r>
              <w:rPr>
                <w:rFonts w:ascii="宋体" w:hAnsi="宋体" w:eastAsia="宋体" w:cs="宋体"/>
                <w:color w:val="auto"/>
                <w:spacing w:val="26"/>
                <w:sz w:val="21"/>
                <w:szCs w:val="21"/>
                <w:highlight w:val="none"/>
              </w:rPr>
              <w:t xml:space="preserve"> </w:t>
            </w:r>
            <w:r>
              <w:rPr>
                <w:rFonts w:ascii="宋体" w:hAnsi="宋体" w:eastAsia="宋体" w:cs="宋体"/>
                <w:color w:val="auto"/>
                <w:sz w:val="21"/>
                <w:szCs w:val="21"/>
                <w:highlight w:val="none"/>
              </w:rPr>
              <w:t>值</w:t>
            </w:r>
            <w:r>
              <w:rPr>
                <w:rFonts w:ascii="宋体" w:hAnsi="宋体" w:eastAsia="宋体" w:cs="宋体"/>
                <w:color w:val="auto"/>
                <w:spacing w:val="24"/>
                <w:sz w:val="21"/>
                <w:szCs w:val="21"/>
                <w:highlight w:val="none"/>
              </w:rPr>
              <w:t xml:space="preserve"> </w:t>
            </w:r>
            <w:r>
              <w:rPr>
                <w:rFonts w:ascii="宋体" w:hAnsi="宋体" w:eastAsia="宋体" w:cs="宋体"/>
                <w:color w:val="auto"/>
                <w:sz w:val="21"/>
                <w:szCs w:val="21"/>
                <w:highlight w:val="none"/>
              </w:rPr>
              <w:t>部</w:t>
            </w:r>
            <w:r>
              <w:rPr>
                <w:rFonts w:ascii="宋体" w:hAnsi="宋体" w:eastAsia="宋体" w:cs="宋体"/>
                <w:color w:val="auto"/>
                <w:spacing w:val="24"/>
                <w:sz w:val="21"/>
                <w:szCs w:val="21"/>
                <w:highlight w:val="none"/>
              </w:rPr>
              <w:t xml:space="preserve"> </w:t>
            </w:r>
            <w:r>
              <w:rPr>
                <w:rFonts w:ascii="宋体" w:hAnsi="宋体" w:eastAsia="宋体" w:cs="宋体"/>
                <w:color w:val="auto"/>
                <w:sz w:val="21"/>
                <w:szCs w:val="21"/>
                <w:highlight w:val="none"/>
              </w:rPr>
              <w:t>分</w:t>
            </w:r>
          </w:p>
        </w:tc>
        <w:tc>
          <w:tcPr>
            <w:tcW w:w="520" w:type="pct"/>
          </w:tcPr>
          <w:p w14:paraId="466F6B6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1" w:type="pct"/>
          </w:tcPr>
          <w:p w14:paraId="036B025C">
            <w:pPr>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B1</w:t>
            </w:r>
          </w:p>
        </w:tc>
        <w:tc>
          <w:tcPr>
            <w:tcW w:w="641" w:type="pct"/>
          </w:tcPr>
          <w:p w14:paraId="751CDA4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1" w:type="pct"/>
          </w:tcPr>
          <w:p w14:paraId="58827897">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F01</w:t>
            </w:r>
          </w:p>
        </w:tc>
        <w:tc>
          <w:tcPr>
            <w:tcW w:w="730" w:type="pct"/>
          </w:tcPr>
          <w:p w14:paraId="6DE36DB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822" w:type="pct"/>
          </w:tcPr>
          <w:p w14:paraId="6A8B113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64E09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495" w:type="pct"/>
          </w:tcPr>
          <w:p w14:paraId="755E0B8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346" w:type="pct"/>
            <w:vMerge w:val="continue"/>
            <w:tcBorders>
              <w:top w:val="nil"/>
              <w:bottom w:val="nil"/>
            </w:tcBorders>
            <w:textDirection w:val="tbRlV"/>
          </w:tcPr>
          <w:p w14:paraId="2CD0CE0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20" w:type="pct"/>
          </w:tcPr>
          <w:p w14:paraId="349BB01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1" w:type="pct"/>
          </w:tcPr>
          <w:p w14:paraId="38E527F3">
            <w:pPr>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B2</w:t>
            </w:r>
          </w:p>
        </w:tc>
        <w:tc>
          <w:tcPr>
            <w:tcW w:w="641" w:type="pct"/>
          </w:tcPr>
          <w:p w14:paraId="30A2D9B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1" w:type="pct"/>
          </w:tcPr>
          <w:p w14:paraId="1472D432">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F02</w:t>
            </w:r>
          </w:p>
        </w:tc>
        <w:tc>
          <w:tcPr>
            <w:tcW w:w="730" w:type="pct"/>
          </w:tcPr>
          <w:p w14:paraId="2DB0DD2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822" w:type="pct"/>
          </w:tcPr>
          <w:p w14:paraId="339136E6">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4B487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495" w:type="pct"/>
          </w:tcPr>
          <w:p w14:paraId="7FB50ED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346" w:type="pct"/>
            <w:vMerge w:val="continue"/>
            <w:tcBorders>
              <w:top w:val="nil"/>
              <w:bottom w:val="nil"/>
            </w:tcBorders>
            <w:textDirection w:val="tbRlV"/>
          </w:tcPr>
          <w:p w14:paraId="4C6906B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20" w:type="pct"/>
          </w:tcPr>
          <w:p w14:paraId="1834882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1" w:type="pct"/>
          </w:tcPr>
          <w:p w14:paraId="08E70B35">
            <w:pPr>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B3</w:t>
            </w:r>
          </w:p>
        </w:tc>
        <w:tc>
          <w:tcPr>
            <w:tcW w:w="641" w:type="pct"/>
          </w:tcPr>
          <w:p w14:paraId="09CBF1C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1" w:type="pct"/>
          </w:tcPr>
          <w:p w14:paraId="655BFA7A">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F03</w:t>
            </w:r>
          </w:p>
        </w:tc>
        <w:tc>
          <w:tcPr>
            <w:tcW w:w="730" w:type="pct"/>
          </w:tcPr>
          <w:p w14:paraId="5CB9416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822" w:type="pct"/>
          </w:tcPr>
          <w:p w14:paraId="66D81C5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082DE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495" w:type="pct"/>
          </w:tcPr>
          <w:p w14:paraId="7BE4E394">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346" w:type="pct"/>
            <w:vMerge w:val="continue"/>
            <w:tcBorders>
              <w:top w:val="nil"/>
              <w:bottom w:val="nil"/>
            </w:tcBorders>
            <w:textDirection w:val="tbRlV"/>
          </w:tcPr>
          <w:p w14:paraId="071D9F7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20" w:type="pct"/>
          </w:tcPr>
          <w:p w14:paraId="484F2D0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1" w:type="pct"/>
          </w:tcPr>
          <w:p w14:paraId="321AA2DD">
            <w:pPr>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B4</w:t>
            </w:r>
          </w:p>
        </w:tc>
        <w:tc>
          <w:tcPr>
            <w:tcW w:w="641" w:type="pct"/>
          </w:tcPr>
          <w:p w14:paraId="76399041">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1" w:type="pct"/>
          </w:tcPr>
          <w:p w14:paraId="480A07A8">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F04</w:t>
            </w:r>
          </w:p>
        </w:tc>
        <w:tc>
          <w:tcPr>
            <w:tcW w:w="730" w:type="pct"/>
          </w:tcPr>
          <w:p w14:paraId="0813560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822" w:type="pct"/>
          </w:tcPr>
          <w:p w14:paraId="6E9EDB8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42E2D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495" w:type="pct"/>
          </w:tcPr>
          <w:p w14:paraId="0196CDB2">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346" w:type="pct"/>
            <w:vMerge w:val="continue"/>
            <w:tcBorders>
              <w:top w:val="nil"/>
              <w:bottom w:val="nil"/>
            </w:tcBorders>
            <w:textDirection w:val="tbRlV"/>
          </w:tcPr>
          <w:p w14:paraId="324FAC90">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20" w:type="pct"/>
          </w:tcPr>
          <w:p w14:paraId="1DFFD91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1" w:type="pct"/>
          </w:tcPr>
          <w:p w14:paraId="341EF21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41" w:type="pct"/>
          </w:tcPr>
          <w:p w14:paraId="44926E23">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1" w:type="pct"/>
          </w:tcPr>
          <w:p w14:paraId="022B31EF">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30" w:type="pct"/>
          </w:tcPr>
          <w:p w14:paraId="5E3F534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822" w:type="pct"/>
          </w:tcPr>
          <w:p w14:paraId="13486E1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6B695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495" w:type="pct"/>
          </w:tcPr>
          <w:p w14:paraId="42D497C8">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346" w:type="pct"/>
            <w:vMerge w:val="continue"/>
            <w:tcBorders>
              <w:top w:val="nil"/>
            </w:tcBorders>
            <w:textDirection w:val="tbRlV"/>
          </w:tcPr>
          <w:p w14:paraId="0E1093B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520" w:type="pct"/>
          </w:tcPr>
          <w:p w14:paraId="315A72C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1" w:type="pct"/>
          </w:tcPr>
          <w:p w14:paraId="3E9CA96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41" w:type="pct"/>
          </w:tcPr>
          <w:p w14:paraId="6702DAA5">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1" w:type="pct"/>
          </w:tcPr>
          <w:p w14:paraId="471BEFDE">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30" w:type="pct"/>
          </w:tcPr>
          <w:p w14:paraId="7B7FB90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822" w:type="pct"/>
          </w:tcPr>
          <w:p w14:paraId="6576ED7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77795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361" w:type="pct"/>
            <w:gridSpan w:val="3"/>
          </w:tcPr>
          <w:p w14:paraId="51C2F785">
            <w:pPr>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定值部分权重</w:t>
            </w:r>
            <w:r>
              <w:rPr>
                <w:rFonts w:ascii="宋体" w:hAnsi="宋体" w:eastAsia="宋体" w:cs="宋体"/>
                <w:color w:val="auto"/>
                <w:spacing w:val="-51"/>
                <w:sz w:val="21"/>
                <w:szCs w:val="21"/>
                <w:highlight w:val="none"/>
              </w:rPr>
              <w:t xml:space="preserve"> </w:t>
            </w:r>
            <w:r>
              <w:rPr>
                <w:rFonts w:ascii="宋体" w:hAnsi="宋体" w:eastAsia="宋体" w:cs="宋体"/>
                <w:color w:val="auto"/>
                <w:spacing w:val="-2"/>
                <w:sz w:val="21"/>
                <w:szCs w:val="21"/>
                <w:highlight w:val="none"/>
              </w:rPr>
              <w:t>A</w:t>
            </w:r>
          </w:p>
        </w:tc>
        <w:tc>
          <w:tcPr>
            <w:tcW w:w="721" w:type="pct"/>
          </w:tcPr>
          <w:p w14:paraId="5C47024D">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641" w:type="pct"/>
          </w:tcPr>
          <w:p w14:paraId="5253CCBC">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21" w:type="pct"/>
          </w:tcPr>
          <w:p w14:paraId="5A6CB63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730" w:type="pct"/>
          </w:tcPr>
          <w:p w14:paraId="2A55AD99">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822" w:type="pct"/>
          </w:tcPr>
          <w:p w14:paraId="316B7617">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r w14:paraId="45F40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361" w:type="pct"/>
            <w:gridSpan w:val="3"/>
          </w:tcPr>
          <w:p w14:paraId="6A640140">
            <w:pPr>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合计</w:t>
            </w:r>
          </w:p>
        </w:tc>
        <w:tc>
          <w:tcPr>
            <w:tcW w:w="1363" w:type="pct"/>
            <w:gridSpan w:val="2"/>
          </w:tcPr>
          <w:p w14:paraId="46D0A046">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1452" w:type="pct"/>
            <w:gridSpan w:val="2"/>
          </w:tcPr>
          <w:p w14:paraId="6505A15B">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c>
          <w:tcPr>
            <w:tcW w:w="822" w:type="pct"/>
          </w:tcPr>
          <w:p w14:paraId="0CE16A6A">
            <w:pPr>
              <w:pStyle w:val="64"/>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p>
        </w:tc>
      </w:tr>
    </w:tbl>
    <w:p w14:paraId="37583199">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3909CB9F">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hAnsi="Arial" w:eastAsia="Arial" w:cs="Arial"/>
          <w:color w:val="auto"/>
          <w:sz w:val="21"/>
          <w:szCs w:val="21"/>
          <w:highlight w:val="none"/>
        </w:rPr>
        <w:sectPr>
          <w:headerReference r:id="rId35" w:type="default"/>
          <w:footerReference r:id="rId36" w:type="default"/>
          <w:pgSz w:w="11906" w:h="16839"/>
          <w:pgMar w:top="1134" w:right="1191" w:bottom="1134" w:left="1020" w:header="0" w:footer="987" w:gutter="0"/>
          <w:pgNumType w:fmt="decimal"/>
          <w:cols w:space="720" w:num="1"/>
          <w:rtlGutter w:val="0"/>
          <w:docGrid w:linePitch="0" w:charSpace="0"/>
        </w:sectPr>
      </w:pPr>
    </w:p>
    <w:p w14:paraId="2C106BB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538" w:firstLineChars="200"/>
        <w:jc w:val="center"/>
        <w:textAlignment w:val="baseline"/>
        <w:outlineLvl w:val="0"/>
        <w:rPr>
          <w:color w:val="auto"/>
          <w:sz w:val="28"/>
          <w:szCs w:val="28"/>
          <w:highlight w:val="none"/>
        </w:rPr>
      </w:pPr>
      <w:bookmarkStart w:id="2252" w:name="_Toc10471"/>
      <w:r>
        <w:rPr>
          <w:b/>
          <w:bCs/>
          <w:color w:val="auto"/>
          <w:spacing w:val="-6"/>
          <w:sz w:val="28"/>
          <w:szCs w:val="28"/>
          <w:highlight w:val="none"/>
        </w:rPr>
        <w:t>附件</w:t>
      </w:r>
      <w:r>
        <w:rPr>
          <w:color w:val="auto"/>
          <w:spacing w:val="-37"/>
          <w:sz w:val="28"/>
          <w:szCs w:val="28"/>
          <w:highlight w:val="none"/>
        </w:rPr>
        <w:t xml:space="preserve"> </w:t>
      </w:r>
      <w:r>
        <w:rPr>
          <w:b/>
          <w:bCs/>
          <w:color w:val="auto"/>
          <w:spacing w:val="-6"/>
          <w:sz w:val="28"/>
          <w:szCs w:val="28"/>
          <w:highlight w:val="none"/>
        </w:rPr>
        <w:t>7</w:t>
      </w:r>
      <w:r>
        <w:rPr>
          <w:color w:val="auto"/>
          <w:spacing w:val="-6"/>
          <w:sz w:val="28"/>
          <w:szCs w:val="28"/>
          <w:highlight w:val="none"/>
        </w:rPr>
        <w:t xml:space="preserve"> </w:t>
      </w:r>
      <w:r>
        <w:rPr>
          <w:b/>
          <w:bCs/>
          <w:color w:val="auto"/>
          <w:spacing w:val="-6"/>
          <w:sz w:val="28"/>
          <w:szCs w:val="28"/>
          <w:highlight w:val="none"/>
        </w:rPr>
        <w:t>文明施工及环境保护协议书</w:t>
      </w:r>
      <w:bookmarkEnd w:id="2252"/>
    </w:p>
    <w:p w14:paraId="5AC4856A">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6BCA1C8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44" w:firstLineChars="200"/>
        <w:textAlignment w:val="baseline"/>
        <w:rPr>
          <w:rFonts w:hint="eastAsia" w:eastAsia="宋体"/>
          <w:color w:val="auto"/>
          <w:highlight w:val="none"/>
          <w:lang w:eastAsia="zh-CN"/>
        </w:rPr>
      </w:pPr>
      <w:r>
        <w:rPr>
          <w:color w:val="auto"/>
          <w:spacing w:val="-19"/>
          <w:highlight w:val="none"/>
        </w:rPr>
        <w:t>发包人（全称</w:t>
      </w:r>
      <w:r>
        <w:rPr>
          <w:color w:val="auto"/>
          <w:spacing w:val="-9"/>
          <w:highlight w:val="none"/>
        </w:rPr>
        <w:t>）：</w:t>
      </w:r>
      <w:r>
        <w:rPr>
          <w:rFonts w:hint="eastAsia"/>
          <w:color w:val="auto"/>
          <w:spacing w:val="-19"/>
          <w:highlight w:val="none"/>
          <w:u w:val="single"/>
          <w:lang w:eastAsia="zh-CN"/>
        </w:rPr>
        <w:t>营口国盛中济产业开发建设有限公司</w:t>
      </w:r>
    </w:p>
    <w:p w14:paraId="1D5B9C6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44" w:firstLineChars="200"/>
        <w:textAlignment w:val="baseline"/>
        <w:rPr>
          <w:color w:val="auto"/>
          <w:highlight w:val="none"/>
          <w:u w:val="single" w:color="auto"/>
        </w:rPr>
      </w:pPr>
      <w:r>
        <w:rPr>
          <w:color w:val="auto"/>
          <w:spacing w:val="-19"/>
          <w:highlight w:val="none"/>
        </w:rPr>
        <w:t>承包人（全称</w:t>
      </w:r>
      <w:r>
        <w:rPr>
          <w:color w:val="auto"/>
          <w:spacing w:val="-8"/>
          <w:highlight w:val="none"/>
        </w:rPr>
        <w:t>）：</w:t>
      </w:r>
      <w:r>
        <w:rPr>
          <w:color w:val="auto"/>
          <w:highlight w:val="none"/>
          <w:u w:val="single" w:color="auto"/>
        </w:rPr>
        <w:t xml:space="preserve"> </w:t>
      </w:r>
      <w:r>
        <w:rPr>
          <w:rFonts w:hint="eastAsia"/>
          <w:color w:val="auto"/>
          <w:highlight w:val="none"/>
          <w:u w:val="single" w:color="auto"/>
          <w:lang w:val="en-US" w:eastAsia="zh-CN"/>
        </w:rPr>
        <w:t xml:space="preserve">               </w:t>
      </w:r>
      <w:r>
        <w:rPr>
          <w:rFonts w:hint="eastAsia" w:ascii="宋体" w:hAnsi="宋体" w:eastAsia="宋体" w:cs="宋体"/>
          <w:color w:val="auto"/>
          <w:spacing w:val="-2"/>
          <w:highlight w:val="none"/>
          <w:u w:val="single" w:color="auto"/>
          <w:lang w:val="en-US" w:eastAsia="zh-CN"/>
        </w:rPr>
        <w:t xml:space="preserve"> </w:t>
      </w:r>
      <w:r>
        <w:rPr>
          <w:color w:val="auto"/>
          <w:highlight w:val="none"/>
          <w:u w:val="single" w:color="auto"/>
        </w:rPr>
        <w:t xml:space="preserve">   </w:t>
      </w:r>
    </w:p>
    <w:p w14:paraId="11E68DA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依照国家、营口市的有关法规和政策，发包人、承包人双方经充分协商,特签订本文明</w:t>
      </w:r>
      <w:r>
        <w:rPr>
          <w:color w:val="auto"/>
          <w:spacing w:val="-6"/>
          <w:highlight w:val="none"/>
        </w:rPr>
        <w:t>施工协议书。</w:t>
      </w:r>
    </w:p>
    <w:p w14:paraId="14074BF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一、本文明施工协议书作为合同的附件，与该合同具有同等效力。</w:t>
      </w:r>
    </w:p>
    <w:p w14:paraId="62520CE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8" w:firstLineChars="200"/>
        <w:textAlignment w:val="baseline"/>
        <w:rPr>
          <w:color w:val="auto"/>
          <w:highlight w:val="none"/>
        </w:rPr>
      </w:pPr>
      <w:r>
        <w:rPr>
          <w:color w:val="auto"/>
          <w:spacing w:val="2"/>
          <w:highlight w:val="none"/>
        </w:rPr>
        <w:t>二、承包人文明施工和环境保护必须严格执行相关的法律、法规、规章、规范</w:t>
      </w:r>
      <w:r>
        <w:rPr>
          <w:color w:val="auto"/>
          <w:spacing w:val="1"/>
          <w:highlight w:val="none"/>
        </w:rPr>
        <w:t>性文件、</w:t>
      </w:r>
      <w:r>
        <w:rPr>
          <w:color w:val="auto"/>
          <w:spacing w:val="-3"/>
          <w:highlight w:val="none"/>
        </w:rPr>
        <w:t>标准及发包人下发的相关规定。</w:t>
      </w:r>
    </w:p>
    <w:p w14:paraId="4C40B91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三、承包人的法定代表人、项目经理、文明施工负责人对本工程安全文明施工工作各负</w:t>
      </w:r>
      <w:r>
        <w:rPr>
          <w:color w:val="auto"/>
          <w:spacing w:val="-9"/>
          <w:highlight w:val="none"/>
        </w:rPr>
        <w:t>其责。</w:t>
      </w:r>
    </w:p>
    <w:p w14:paraId="42C8218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四、根据营口市建设工程安全文明施工管理有关要求，发包人有权审查承包人文明施工</w:t>
      </w:r>
      <w:r>
        <w:rPr>
          <w:color w:val="auto"/>
          <w:spacing w:val="-3"/>
          <w:highlight w:val="none"/>
        </w:rPr>
        <w:t>管理体制是否符合市政府及有关主管部门的规定，有权向承包人提出文明施工的要求以及日</w:t>
      </w:r>
      <w:r>
        <w:rPr>
          <w:color w:val="auto"/>
          <w:spacing w:val="-4"/>
          <w:highlight w:val="none"/>
        </w:rPr>
        <w:t>常施工现场的督促检查。</w:t>
      </w:r>
    </w:p>
    <w:p w14:paraId="211150A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五、承包人施工现场应按照营口市建委创建文明安全工地的标准和要求进行文明安全施</w:t>
      </w:r>
      <w:r>
        <w:rPr>
          <w:color w:val="auto"/>
          <w:spacing w:val="-2"/>
          <w:highlight w:val="none"/>
        </w:rPr>
        <w:t>工管理，包括有关设施的设置、办法的制定与实施和资料的准备。</w:t>
      </w:r>
    </w:p>
    <w:p w14:paraId="7E34AC4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六、承包人应通过有效的技术手段和管理措施将施工噪声控</w:t>
      </w:r>
      <w:r>
        <w:rPr>
          <w:color w:val="auto"/>
          <w:spacing w:val="-2"/>
          <w:highlight w:val="none"/>
        </w:rPr>
        <w:t>制到最低程度。</w:t>
      </w:r>
    </w:p>
    <w:p w14:paraId="200FEDE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七、承包人在工程施工中，应严格遵守国家环境保护部门的有关规定。承包人有责任采</w:t>
      </w:r>
      <w:r>
        <w:rPr>
          <w:color w:val="auto"/>
          <w:spacing w:val="-4"/>
          <w:highlight w:val="none"/>
        </w:rPr>
        <w:t>取有效措施以预防和消除因施工造成的环境污染，对工程范围以外的土地及植被应注意保护，</w:t>
      </w:r>
      <w:r>
        <w:rPr>
          <w:color w:val="auto"/>
          <w:spacing w:val="-2"/>
          <w:highlight w:val="none"/>
        </w:rPr>
        <w:t>并应保证发包人避免由于污染而承担的索赔或罚款。</w:t>
      </w:r>
    </w:p>
    <w:p w14:paraId="0C1A018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八、承包人生产、生活设施应符合环保要求，并接受当地政府及有关</w:t>
      </w:r>
      <w:r>
        <w:rPr>
          <w:color w:val="auto"/>
          <w:spacing w:val="-2"/>
          <w:highlight w:val="none"/>
        </w:rPr>
        <w:t>部门的监督。</w:t>
      </w:r>
    </w:p>
    <w:p w14:paraId="65F6648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九、承包人应在施工期间加强环保意识、保持工地清洁、控制扬尘、杜</w:t>
      </w:r>
      <w:r>
        <w:rPr>
          <w:color w:val="auto"/>
          <w:spacing w:val="-2"/>
          <w:highlight w:val="none"/>
        </w:rPr>
        <w:t>绝漏洒材料。</w:t>
      </w:r>
    </w:p>
    <w:p w14:paraId="509A620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8" w:firstLineChars="200"/>
        <w:textAlignment w:val="baseline"/>
        <w:rPr>
          <w:color w:val="auto"/>
          <w:highlight w:val="none"/>
        </w:rPr>
      </w:pPr>
      <w:r>
        <w:rPr>
          <w:color w:val="auto"/>
          <w:spacing w:val="2"/>
          <w:highlight w:val="none"/>
        </w:rPr>
        <w:t>十、承包人不得使用任何政府明令禁止使用的对人体有害的任何材料（如放射性材料、</w:t>
      </w:r>
      <w:r>
        <w:rPr>
          <w:color w:val="auto"/>
          <w:spacing w:val="-4"/>
          <w:highlight w:val="none"/>
        </w:rPr>
        <w:t>石棉制品等</w:t>
      </w:r>
      <w:r>
        <w:rPr>
          <w:color w:val="auto"/>
          <w:spacing w:val="-11"/>
          <w:highlight w:val="none"/>
        </w:rPr>
        <w:t>），</w:t>
      </w:r>
      <w:r>
        <w:rPr>
          <w:color w:val="auto"/>
          <w:spacing w:val="-4"/>
          <w:highlight w:val="none"/>
        </w:rPr>
        <w:t>承包人违背此项约定的责任和后果由承</w:t>
      </w:r>
      <w:r>
        <w:rPr>
          <w:color w:val="auto"/>
          <w:spacing w:val="-5"/>
          <w:highlight w:val="none"/>
        </w:rPr>
        <w:t>包人完全负责。</w:t>
      </w:r>
    </w:p>
    <w:p w14:paraId="0BB2D06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十一、承包人应为防止进出场的车辆的遗洒和轮胎夹带物等污染周边和公共道路等行为制定并落实必要的措施，这类措施应至少包括在现场出入口设立冲刷池等；承包人还应对施</w:t>
      </w:r>
      <w:r>
        <w:rPr>
          <w:color w:val="auto"/>
          <w:spacing w:val="-2"/>
          <w:highlight w:val="none"/>
        </w:rPr>
        <w:t>工临时污水排放系统建立符合标准的临时沉淀池和化粪池等。</w:t>
      </w:r>
    </w:p>
    <w:p w14:paraId="5044C37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十二、承包人应及时处理施工及生活中产生的废弃物，运至指定地点弃置，如无法及时</w:t>
      </w:r>
      <w:r>
        <w:rPr>
          <w:color w:val="auto"/>
          <w:spacing w:val="-3"/>
          <w:highlight w:val="none"/>
        </w:rPr>
        <w:t>处理或运走，则必须设法防止散失。</w:t>
      </w:r>
    </w:p>
    <w:p w14:paraId="2561BCB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十三、整个工程施工期间，承包人应负责保持所有的</w:t>
      </w:r>
      <w:r>
        <w:rPr>
          <w:color w:val="auto"/>
          <w:spacing w:val="-6"/>
          <w:highlight w:val="none"/>
        </w:rPr>
        <w:t>现有道路、步行道、踏步和在它们</w:t>
      </w:r>
      <w:r>
        <w:rPr>
          <w:color w:val="auto"/>
          <w:spacing w:val="-3"/>
          <w:highlight w:val="none"/>
        </w:rPr>
        <w:t>地下的服务设施的使用功能；承包人应自费对那些因受他控制的因素引起的损害或损坏进行</w:t>
      </w:r>
      <w:r>
        <w:rPr>
          <w:color w:val="auto"/>
          <w:spacing w:val="-1"/>
          <w:highlight w:val="none"/>
        </w:rPr>
        <w:t>修缮直至达到政府有关管理机构满意，并支付与此相关的任何费</w:t>
      </w:r>
      <w:r>
        <w:rPr>
          <w:color w:val="auto"/>
          <w:spacing w:val="-2"/>
          <w:highlight w:val="none"/>
        </w:rPr>
        <w:t>用和罚款。</w:t>
      </w:r>
    </w:p>
    <w:p w14:paraId="4FEB374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32" w:firstLineChars="200"/>
        <w:textAlignment w:val="baseline"/>
        <w:rPr>
          <w:color w:val="auto"/>
          <w:highlight w:val="none"/>
        </w:rPr>
      </w:pPr>
      <w:r>
        <w:rPr>
          <w:color w:val="auto"/>
          <w:spacing w:val="3"/>
          <w:highlight w:val="none"/>
        </w:rPr>
        <w:t>十四、承包人应确保所有现场周边毗邻的道路、步行道和现</w:t>
      </w:r>
      <w:r>
        <w:rPr>
          <w:color w:val="auto"/>
          <w:spacing w:val="2"/>
          <w:highlight w:val="none"/>
        </w:rPr>
        <w:t>场出入口等的干净和整洁，</w:t>
      </w:r>
    </w:p>
    <w:p w14:paraId="6B6E0F93">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sectPr>
          <w:headerReference r:id="rId37" w:type="default"/>
          <w:footerReference r:id="rId38" w:type="default"/>
          <w:pgSz w:w="11906" w:h="16839"/>
          <w:pgMar w:top="1134" w:right="1191" w:bottom="1134" w:left="1020" w:header="0" w:footer="987" w:gutter="0"/>
          <w:pgNumType w:fmt="decimal"/>
          <w:cols w:space="720" w:num="1"/>
          <w:rtlGutter w:val="0"/>
          <w:docGrid w:linePitch="0" w:charSpace="0"/>
        </w:sectPr>
      </w:pPr>
    </w:p>
    <w:p w14:paraId="3FEC1A2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jc w:val="both"/>
        <w:textAlignment w:val="baseline"/>
        <w:rPr>
          <w:color w:val="auto"/>
          <w:highlight w:val="none"/>
        </w:rPr>
      </w:pPr>
      <w:r>
        <w:rPr>
          <w:color w:val="auto"/>
          <w:spacing w:val="-3"/>
          <w:highlight w:val="none"/>
        </w:rPr>
        <w:t>同时保证它们及周边公共交通、公众生活不因承包人和其他受承包人控制的施工操</w:t>
      </w:r>
      <w:r>
        <w:rPr>
          <w:color w:val="auto"/>
          <w:spacing w:val="-4"/>
          <w:highlight w:val="none"/>
        </w:rPr>
        <w:t>作、材料</w:t>
      </w:r>
      <w:r>
        <w:rPr>
          <w:color w:val="auto"/>
          <w:highlight w:val="none"/>
        </w:rPr>
        <w:t xml:space="preserve"> </w:t>
      </w:r>
      <w:r>
        <w:rPr>
          <w:color w:val="auto"/>
          <w:spacing w:val="-5"/>
          <w:highlight w:val="none"/>
        </w:rPr>
        <w:t>装卸、车辆、材料、物品、设备和工人而带来任何妨碍；承包人应保证发包人免于与</w:t>
      </w:r>
      <w:r>
        <w:rPr>
          <w:color w:val="auto"/>
          <w:spacing w:val="-6"/>
          <w:highlight w:val="none"/>
        </w:rPr>
        <w:t>上述事</w:t>
      </w:r>
      <w:r>
        <w:rPr>
          <w:color w:val="auto"/>
          <w:highlight w:val="none"/>
        </w:rPr>
        <w:t xml:space="preserve"> </w:t>
      </w:r>
      <w:r>
        <w:rPr>
          <w:color w:val="auto"/>
          <w:spacing w:val="-2"/>
          <w:highlight w:val="none"/>
        </w:rPr>
        <w:t>件有关的任何索赔、诉讼、损害和损失。</w:t>
      </w:r>
    </w:p>
    <w:p w14:paraId="56C41AD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十五、承包人应在施工永久围挡的入口安装电子控制及识</w:t>
      </w:r>
      <w:r>
        <w:rPr>
          <w:color w:val="auto"/>
          <w:spacing w:val="-2"/>
          <w:highlight w:val="none"/>
        </w:rPr>
        <w:t>别的门禁系统。</w:t>
      </w:r>
    </w:p>
    <w:p w14:paraId="0BCBEF9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8" w:firstLineChars="200"/>
        <w:textAlignment w:val="baseline"/>
        <w:rPr>
          <w:color w:val="auto"/>
          <w:highlight w:val="none"/>
        </w:rPr>
      </w:pPr>
      <w:r>
        <w:rPr>
          <w:color w:val="auto"/>
          <w:spacing w:val="-8"/>
          <w:highlight w:val="none"/>
        </w:rPr>
        <w:t>十六、承包人应按照发包人的要求安设施工围挡，并保持其在施工期内完整、整洁；承</w:t>
      </w:r>
      <w:r>
        <w:rPr>
          <w:color w:val="auto"/>
          <w:spacing w:val="-3"/>
          <w:highlight w:val="none"/>
        </w:rPr>
        <w:t>包人应按照发包人的要求对永久施工围挡进行亮化，并保持其亮化的效果直至工程结束；临时施工围挡也应进行必要的亮化，达到与永久施工围挡的协调及施工周围环境的美观。承包</w:t>
      </w:r>
      <w:r>
        <w:rPr>
          <w:color w:val="auto"/>
          <w:spacing w:val="-2"/>
          <w:highlight w:val="none"/>
        </w:rPr>
        <w:t>人按照发包人要求随旧随换，满足发包人公益宣传相关要求。</w:t>
      </w:r>
    </w:p>
    <w:p w14:paraId="4D60F11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4" w:firstLineChars="200"/>
        <w:textAlignment w:val="baseline"/>
        <w:rPr>
          <w:color w:val="auto"/>
          <w:highlight w:val="none"/>
        </w:rPr>
      </w:pPr>
      <w:r>
        <w:rPr>
          <w:color w:val="auto"/>
          <w:spacing w:val="-14"/>
          <w:highlight w:val="none"/>
        </w:rPr>
        <w:t>十七、本协议未尽事宜，依据有关法规、规章处理，法规、规章没有明确规</w:t>
      </w:r>
      <w:r>
        <w:rPr>
          <w:color w:val="auto"/>
          <w:spacing w:val="-15"/>
          <w:highlight w:val="none"/>
        </w:rPr>
        <w:t>定的，</w:t>
      </w:r>
      <w:r>
        <w:rPr>
          <w:color w:val="auto"/>
          <w:spacing w:val="40"/>
          <w:highlight w:val="none"/>
        </w:rPr>
        <w:t xml:space="preserve"> </w:t>
      </w:r>
      <w:r>
        <w:rPr>
          <w:color w:val="auto"/>
          <w:spacing w:val="-15"/>
          <w:highlight w:val="none"/>
        </w:rPr>
        <w:t>经双</w:t>
      </w:r>
      <w:r>
        <w:rPr>
          <w:color w:val="auto"/>
          <w:spacing w:val="-5"/>
          <w:highlight w:val="none"/>
        </w:rPr>
        <w:t>方协商处理解决。</w:t>
      </w:r>
    </w:p>
    <w:p w14:paraId="1E2B1DD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十八、本协议自签订之日起生效。</w:t>
      </w:r>
    </w:p>
    <w:p w14:paraId="7CF9ECCA">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09F8C2BF">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32675DF0">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3C6A1985">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62E3D938">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5E0E5E0D">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7875F7D4">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4E0169A1">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spacing w:val="-8"/>
          <w:highlight w:val="none"/>
        </w:rPr>
        <w:sectPr>
          <w:headerReference r:id="rId39" w:type="default"/>
          <w:footerReference r:id="rId40" w:type="default"/>
          <w:pgSz w:w="11906" w:h="16839"/>
          <w:pgMar w:top="1134" w:right="1191" w:bottom="1134" w:left="1020" w:header="0" w:footer="987" w:gutter="0"/>
          <w:pgNumType w:fmt="decimal"/>
          <w:cols w:space="720" w:num="1"/>
          <w:rtlGutter w:val="0"/>
          <w:docGrid w:linePitch="0" w:charSpace="0"/>
        </w:sectPr>
      </w:pPr>
    </w:p>
    <w:p w14:paraId="3BB94FF5">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highlight w:val="none"/>
        </w:rPr>
      </w:pPr>
      <w:r>
        <w:rPr>
          <w:color w:val="auto"/>
          <w:spacing w:val="-8"/>
          <w:highlight w:val="none"/>
        </w:rPr>
        <w:t>发包人</w:t>
      </w:r>
      <w:r>
        <w:rPr>
          <w:color w:val="auto"/>
          <w:spacing w:val="-12"/>
          <w:highlight w:val="none"/>
        </w:rPr>
        <w:t>：（</w:t>
      </w:r>
      <w:r>
        <w:rPr>
          <w:color w:val="auto"/>
          <w:spacing w:val="-8"/>
          <w:highlight w:val="none"/>
        </w:rPr>
        <w:t xml:space="preserve">盖章）   </w:t>
      </w:r>
      <w:r>
        <w:rPr>
          <w:rFonts w:hint="eastAsia"/>
          <w:color w:val="auto"/>
          <w:spacing w:val="-8"/>
          <w:highlight w:val="none"/>
          <w:lang w:val="en-US" w:eastAsia="zh-CN"/>
        </w:rPr>
        <w:t xml:space="preserve">     </w:t>
      </w:r>
      <w:r>
        <w:rPr>
          <w:color w:val="auto"/>
          <w:spacing w:val="-8"/>
          <w:highlight w:val="none"/>
        </w:rPr>
        <w:t xml:space="preserve">  </w:t>
      </w:r>
    </w:p>
    <w:p w14:paraId="35E1FE2B">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highlight w:val="none"/>
        </w:rPr>
      </w:pPr>
      <w:r>
        <w:rPr>
          <w:color w:val="auto"/>
          <w:spacing w:val="-5"/>
          <w:highlight w:val="none"/>
        </w:rPr>
        <w:t>法定代表人：</w:t>
      </w:r>
      <w:r>
        <w:rPr>
          <w:color w:val="auto"/>
          <w:highlight w:val="none"/>
        </w:rPr>
        <w:t xml:space="preserve">         </w:t>
      </w:r>
      <w:r>
        <w:rPr>
          <w:rFonts w:hint="eastAsia"/>
          <w:color w:val="auto"/>
          <w:highlight w:val="none"/>
          <w:lang w:val="en-US" w:eastAsia="zh-CN"/>
        </w:rPr>
        <w:t xml:space="preserve">     </w:t>
      </w:r>
      <w:r>
        <w:rPr>
          <w:color w:val="auto"/>
          <w:highlight w:val="none"/>
        </w:rPr>
        <w:t xml:space="preserve"> </w:t>
      </w:r>
    </w:p>
    <w:p w14:paraId="35CCC27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地址：</w:t>
      </w:r>
      <w:r>
        <w:rPr>
          <w:rFonts w:hint="eastAsia" w:cs="宋体"/>
          <w:color w:val="auto"/>
          <w:highlight w:val="none"/>
          <w:u w:val="single" w:color="auto"/>
          <w:lang w:val="en-US" w:eastAsia="zh-CN"/>
        </w:rPr>
        <w:t>辽宁省营口市北海经济开发区管理委员会1033室</w:t>
      </w:r>
      <w:r>
        <w:rPr>
          <w:color w:val="auto"/>
          <w:spacing w:val="-4"/>
          <w:highlight w:val="none"/>
        </w:rPr>
        <w:t xml:space="preserve">         </w:t>
      </w:r>
      <w:r>
        <w:rPr>
          <w:rFonts w:hint="eastAsia"/>
          <w:color w:val="auto"/>
          <w:spacing w:val="-4"/>
          <w:highlight w:val="none"/>
          <w:lang w:val="en-US" w:eastAsia="zh-CN"/>
        </w:rPr>
        <w:t xml:space="preserve">    </w:t>
      </w:r>
      <w:r>
        <w:rPr>
          <w:color w:val="auto"/>
          <w:spacing w:val="-4"/>
          <w:highlight w:val="none"/>
        </w:rPr>
        <w:t xml:space="preserve">  </w:t>
      </w:r>
    </w:p>
    <w:p w14:paraId="5CA3E6BA">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highlight w:val="none"/>
        </w:rPr>
      </w:pPr>
      <w:r>
        <w:rPr>
          <w:color w:val="auto"/>
          <w:spacing w:val="-15"/>
          <w:highlight w:val="none"/>
        </w:rPr>
        <w:t>电话：</w:t>
      </w:r>
      <w:r>
        <w:rPr>
          <w:rFonts w:hint="eastAsia" w:cs="宋体"/>
          <w:color w:val="auto"/>
          <w:highlight w:val="none"/>
          <w:u w:val="single" w:color="auto"/>
          <w:lang w:val="en-US" w:eastAsia="zh-CN"/>
        </w:rPr>
        <w:t xml:space="preserve">            </w:t>
      </w:r>
      <w:r>
        <w:rPr>
          <w:color w:val="auto"/>
          <w:spacing w:val="1"/>
          <w:highlight w:val="none"/>
        </w:rPr>
        <w:t xml:space="preserve">         </w:t>
      </w:r>
    </w:p>
    <w:p w14:paraId="6AB16607">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spacing w:val="-15"/>
          <w:highlight w:val="none"/>
        </w:rPr>
      </w:pPr>
      <w:r>
        <w:rPr>
          <w:color w:val="auto"/>
          <w:spacing w:val="-15"/>
          <w:highlight w:val="none"/>
        </w:rPr>
        <w:t>年</w:t>
      </w:r>
      <w:r>
        <w:rPr>
          <w:color w:val="auto"/>
          <w:spacing w:val="4"/>
          <w:highlight w:val="none"/>
        </w:rPr>
        <w:t xml:space="preserve">   </w:t>
      </w:r>
      <w:r>
        <w:rPr>
          <w:color w:val="auto"/>
          <w:spacing w:val="-15"/>
          <w:highlight w:val="none"/>
        </w:rPr>
        <w:t>月</w:t>
      </w:r>
      <w:r>
        <w:rPr>
          <w:color w:val="auto"/>
          <w:spacing w:val="15"/>
          <w:highlight w:val="none"/>
        </w:rPr>
        <w:t xml:space="preserve">   </w:t>
      </w:r>
      <w:r>
        <w:rPr>
          <w:color w:val="auto"/>
          <w:spacing w:val="-15"/>
          <w:highlight w:val="none"/>
        </w:rPr>
        <w:t>日</w:t>
      </w:r>
    </w:p>
    <w:p w14:paraId="12582B05">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highlight w:val="none"/>
        </w:rPr>
      </w:pPr>
      <w:r>
        <w:rPr>
          <w:color w:val="auto"/>
          <w:spacing w:val="-8"/>
          <w:highlight w:val="none"/>
        </w:rPr>
        <w:br w:type="column"/>
      </w:r>
      <w:r>
        <w:rPr>
          <w:color w:val="auto"/>
          <w:spacing w:val="-8"/>
          <w:highlight w:val="none"/>
        </w:rPr>
        <w:t>承包人</w:t>
      </w:r>
      <w:r>
        <w:rPr>
          <w:color w:val="auto"/>
          <w:spacing w:val="-12"/>
          <w:highlight w:val="none"/>
        </w:rPr>
        <w:t>：（</w:t>
      </w:r>
      <w:r>
        <w:rPr>
          <w:color w:val="auto"/>
          <w:spacing w:val="-8"/>
          <w:highlight w:val="none"/>
        </w:rPr>
        <w:t>盖章）</w:t>
      </w:r>
      <w:r>
        <w:rPr>
          <w:color w:val="auto"/>
          <w:highlight w:val="none"/>
        </w:rPr>
        <w:t xml:space="preserve"> </w:t>
      </w:r>
    </w:p>
    <w:p w14:paraId="45A4BE7B">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highlight w:val="none"/>
        </w:rPr>
      </w:pPr>
      <w:r>
        <w:rPr>
          <w:color w:val="auto"/>
          <w:spacing w:val="-5"/>
          <w:highlight w:val="none"/>
        </w:rPr>
        <w:t>法定代表人：</w:t>
      </w:r>
    </w:p>
    <w:p w14:paraId="49FDC1FE">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highlight w:val="none"/>
        </w:rPr>
      </w:pPr>
      <w:r>
        <w:rPr>
          <w:color w:val="auto"/>
          <w:spacing w:val="-4"/>
          <w:highlight w:val="none"/>
        </w:rPr>
        <w:t>地址：</w:t>
      </w:r>
      <w:r>
        <w:rPr>
          <w:color w:val="auto"/>
          <w:highlight w:val="none"/>
          <w:u w:val="single" w:color="auto"/>
        </w:rPr>
        <w:t xml:space="preserve"> </w:t>
      </w:r>
      <w:r>
        <w:rPr>
          <w:rFonts w:hint="eastAsia"/>
          <w:color w:val="auto"/>
          <w:highlight w:val="none"/>
          <w:u w:val="single" w:color="auto"/>
          <w:lang w:val="en-US" w:eastAsia="zh-CN"/>
        </w:rPr>
        <w:t xml:space="preserve">               </w:t>
      </w:r>
      <w:r>
        <w:rPr>
          <w:rFonts w:hint="eastAsia" w:ascii="宋体" w:hAnsi="宋体" w:eastAsia="宋体" w:cs="宋体"/>
          <w:color w:val="auto"/>
          <w:spacing w:val="-2"/>
          <w:highlight w:val="none"/>
          <w:u w:val="single" w:color="auto"/>
          <w:lang w:val="en-US" w:eastAsia="zh-CN"/>
        </w:rPr>
        <w:t xml:space="preserve"> </w:t>
      </w:r>
      <w:r>
        <w:rPr>
          <w:color w:val="auto"/>
          <w:highlight w:val="none"/>
          <w:u w:val="single" w:color="auto"/>
        </w:rPr>
        <w:t xml:space="preserve"> </w:t>
      </w:r>
      <w:r>
        <w:rPr>
          <w:color w:val="auto"/>
          <w:highlight w:val="none"/>
        </w:rPr>
        <w:t xml:space="preserve">  </w:t>
      </w:r>
    </w:p>
    <w:p w14:paraId="53F0EAB7">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highlight w:val="none"/>
        </w:rPr>
      </w:pPr>
      <w:r>
        <w:rPr>
          <w:color w:val="auto"/>
          <w:spacing w:val="-15"/>
          <w:highlight w:val="none"/>
        </w:rPr>
        <w:t>电话：</w:t>
      </w:r>
      <w:r>
        <w:rPr>
          <w:color w:val="auto"/>
          <w:highlight w:val="none"/>
          <w:u w:val="single" w:color="auto"/>
        </w:rPr>
        <w:t xml:space="preserve"> </w:t>
      </w:r>
      <w:r>
        <w:rPr>
          <w:rFonts w:hint="eastAsia"/>
          <w:color w:val="auto"/>
          <w:highlight w:val="none"/>
          <w:u w:val="single" w:color="auto"/>
          <w:lang w:val="en-US" w:eastAsia="zh-CN"/>
        </w:rPr>
        <w:t xml:space="preserve">               </w:t>
      </w:r>
      <w:r>
        <w:rPr>
          <w:rFonts w:hint="eastAsia" w:ascii="宋体" w:hAnsi="宋体" w:eastAsia="宋体" w:cs="宋体"/>
          <w:color w:val="auto"/>
          <w:spacing w:val="-2"/>
          <w:highlight w:val="none"/>
          <w:u w:val="single" w:color="auto"/>
          <w:lang w:val="en-US" w:eastAsia="zh-CN"/>
        </w:rPr>
        <w:t xml:space="preserve"> </w:t>
      </w:r>
      <w:r>
        <w:rPr>
          <w:color w:val="auto"/>
          <w:highlight w:val="none"/>
          <w:u w:val="single" w:color="auto"/>
        </w:rPr>
        <w:t xml:space="preserve"> </w:t>
      </w:r>
    </w:p>
    <w:p w14:paraId="1F2E939F">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spacing w:val="-15"/>
          <w:highlight w:val="none"/>
        </w:rPr>
      </w:pPr>
      <w:r>
        <w:rPr>
          <w:color w:val="auto"/>
          <w:spacing w:val="-15"/>
          <w:highlight w:val="none"/>
        </w:rPr>
        <w:t>年</w:t>
      </w:r>
      <w:r>
        <w:rPr>
          <w:color w:val="auto"/>
          <w:spacing w:val="4"/>
          <w:highlight w:val="none"/>
        </w:rPr>
        <w:t xml:space="preserve">   </w:t>
      </w:r>
      <w:r>
        <w:rPr>
          <w:color w:val="auto"/>
          <w:spacing w:val="-15"/>
          <w:highlight w:val="none"/>
        </w:rPr>
        <w:t>月</w:t>
      </w:r>
      <w:r>
        <w:rPr>
          <w:color w:val="auto"/>
          <w:spacing w:val="15"/>
          <w:highlight w:val="none"/>
        </w:rPr>
        <w:t xml:space="preserve">   </w:t>
      </w:r>
      <w:r>
        <w:rPr>
          <w:color w:val="auto"/>
          <w:spacing w:val="-15"/>
          <w:highlight w:val="none"/>
        </w:rPr>
        <w:t>日</w:t>
      </w:r>
    </w:p>
    <w:p w14:paraId="4703F65B">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highlight w:val="none"/>
        </w:rPr>
        <w:sectPr>
          <w:type w:val="continuous"/>
          <w:pgSz w:w="11906" w:h="16839"/>
          <w:pgMar w:top="1134" w:right="1191" w:bottom="1134" w:left="1020" w:header="0" w:footer="987" w:gutter="0"/>
          <w:pgNumType w:fmt="decimal"/>
          <w:cols w:equalWidth="0" w:num="2">
            <w:col w:w="4635" w:space="425"/>
            <w:col w:w="4635"/>
          </w:cols>
          <w:rtlGutter w:val="0"/>
          <w:docGrid w:linePitch="0" w:charSpace="0"/>
        </w:sectPr>
      </w:pPr>
    </w:p>
    <w:p w14:paraId="3FAC444E">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highlight w:val="none"/>
        </w:rPr>
      </w:pPr>
      <w:r>
        <w:rPr>
          <w:color w:val="auto"/>
          <w:highlight w:val="none"/>
        </w:rPr>
        <w:t xml:space="preserve">               </w:t>
      </w:r>
      <w:r>
        <w:rPr>
          <w:rFonts w:hint="eastAsia"/>
          <w:color w:val="auto"/>
          <w:highlight w:val="none"/>
          <w:lang w:val="en-US" w:eastAsia="zh-CN"/>
        </w:rPr>
        <w:t xml:space="preserve">        </w:t>
      </w:r>
      <w:r>
        <w:rPr>
          <w:color w:val="auto"/>
          <w:highlight w:val="none"/>
        </w:rPr>
        <w:t xml:space="preserve"> </w:t>
      </w:r>
    </w:p>
    <w:p w14:paraId="14AE8431">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sectPr>
          <w:type w:val="continuous"/>
          <w:pgSz w:w="11906" w:h="16839"/>
          <w:pgMar w:top="1134" w:right="1191" w:bottom="1134" w:left="1020" w:header="0" w:footer="987" w:gutter="0"/>
          <w:pgNumType w:fmt="decimal"/>
          <w:cols w:space="720" w:num="1"/>
          <w:rtlGutter w:val="0"/>
          <w:docGrid w:linePitch="0" w:charSpace="0"/>
        </w:sectPr>
      </w:pPr>
    </w:p>
    <w:p w14:paraId="251F370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538" w:firstLineChars="200"/>
        <w:textAlignment w:val="baseline"/>
        <w:outlineLvl w:val="0"/>
        <w:rPr>
          <w:color w:val="auto"/>
          <w:sz w:val="28"/>
          <w:szCs w:val="28"/>
          <w:highlight w:val="none"/>
        </w:rPr>
      </w:pPr>
      <w:bookmarkStart w:id="2253" w:name="_Toc2476"/>
      <w:r>
        <w:rPr>
          <w:b/>
          <w:bCs/>
          <w:color w:val="auto"/>
          <w:spacing w:val="-6"/>
          <w:sz w:val="28"/>
          <w:szCs w:val="28"/>
          <w:highlight w:val="none"/>
        </w:rPr>
        <w:t>附件</w:t>
      </w:r>
      <w:r>
        <w:rPr>
          <w:color w:val="auto"/>
          <w:spacing w:val="-57"/>
          <w:sz w:val="28"/>
          <w:szCs w:val="28"/>
          <w:highlight w:val="none"/>
        </w:rPr>
        <w:t xml:space="preserve"> </w:t>
      </w:r>
      <w:r>
        <w:rPr>
          <w:b/>
          <w:bCs/>
          <w:color w:val="auto"/>
          <w:spacing w:val="-6"/>
          <w:sz w:val="28"/>
          <w:szCs w:val="28"/>
          <w:highlight w:val="none"/>
        </w:rPr>
        <w:t>8</w:t>
      </w:r>
      <w:r>
        <w:rPr>
          <w:color w:val="auto"/>
          <w:spacing w:val="-6"/>
          <w:sz w:val="28"/>
          <w:szCs w:val="28"/>
          <w:highlight w:val="none"/>
        </w:rPr>
        <w:t xml:space="preserve"> </w:t>
      </w:r>
      <w:r>
        <w:rPr>
          <w:b/>
          <w:bCs/>
          <w:color w:val="auto"/>
          <w:spacing w:val="-6"/>
          <w:sz w:val="28"/>
          <w:szCs w:val="28"/>
          <w:highlight w:val="none"/>
        </w:rPr>
        <w:t>安全生产协议书</w:t>
      </w:r>
      <w:bookmarkEnd w:id="2253"/>
    </w:p>
    <w:p w14:paraId="12C0935C">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18BFFDC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44" w:firstLineChars="200"/>
        <w:textAlignment w:val="baseline"/>
        <w:rPr>
          <w:rFonts w:hint="eastAsia" w:eastAsia="宋体"/>
          <w:color w:val="auto"/>
          <w:highlight w:val="none"/>
          <w:lang w:eastAsia="zh-CN"/>
        </w:rPr>
      </w:pPr>
      <w:r>
        <w:rPr>
          <w:color w:val="auto"/>
          <w:spacing w:val="-19"/>
          <w:highlight w:val="none"/>
        </w:rPr>
        <w:t>发包人（全称</w:t>
      </w:r>
      <w:r>
        <w:rPr>
          <w:color w:val="auto"/>
          <w:spacing w:val="-9"/>
          <w:highlight w:val="none"/>
        </w:rPr>
        <w:t>）：</w:t>
      </w:r>
      <w:r>
        <w:rPr>
          <w:rFonts w:hint="eastAsia"/>
          <w:color w:val="auto"/>
          <w:spacing w:val="-19"/>
          <w:highlight w:val="none"/>
          <w:u w:val="single"/>
          <w:lang w:eastAsia="zh-CN"/>
        </w:rPr>
        <w:t>营口国盛中济产业开发建设有限公司</w:t>
      </w:r>
    </w:p>
    <w:p w14:paraId="2FD4EBF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44" w:firstLineChars="200"/>
        <w:textAlignment w:val="baseline"/>
        <w:rPr>
          <w:color w:val="auto"/>
          <w:highlight w:val="none"/>
          <w:u w:val="single" w:color="auto"/>
        </w:rPr>
      </w:pPr>
      <w:r>
        <w:rPr>
          <w:color w:val="auto"/>
          <w:spacing w:val="-19"/>
          <w:highlight w:val="none"/>
        </w:rPr>
        <w:t>承包人（全称</w:t>
      </w:r>
      <w:r>
        <w:rPr>
          <w:color w:val="auto"/>
          <w:spacing w:val="-8"/>
          <w:highlight w:val="none"/>
        </w:rPr>
        <w:t>）：</w:t>
      </w:r>
      <w:r>
        <w:rPr>
          <w:color w:val="auto"/>
          <w:highlight w:val="none"/>
          <w:u w:val="single" w:color="auto"/>
        </w:rPr>
        <w:t xml:space="preserve"> </w:t>
      </w:r>
      <w:r>
        <w:rPr>
          <w:rFonts w:hint="eastAsia"/>
          <w:color w:val="auto"/>
          <w:highlight w:val="none"/>
          <w:u w:val="single" w:color="auto"/>
          <w:lang w:val="en-US" w:eastAsia="zh-CN"/>
        </w:rPr>
        <w:t xml:space="preserve">               </w:t>
      </w:r>
      <w:r>
        <w:rPr>
          <w:rFonts w:hint="eastAsia" w:ascii="宋体" w:hAnsi="宋体" w:eastAsia="宋体" w:cs="宋体"/>
          <w:color w:val="auto"/>
          <w:spacing w:val="-2"/>
          <w:highlight w:val="none"/>
          <w:u w:val="single" w:color="auto"/>
          <w:lang w:val="en-US" w:eastAsia="zh-CN"/>
        </w:rPr>
        <w:t xml:space="preserve"> </w:t>
      </w:r>
      <w:r>
        <w:rPr>
          <w:color w:val="auto"/>
          <w:highlight w:val="none"/>
          <w:u w:val="single" w:color="auto"/>
        </w:rPr>
        <w:t xml:space="preserve">   </w:t>
      </w:r>
    </w:p>
    <w:p w14:paraId="5B2AD02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为贯彻“安全第一，预防为主</w:t>
      </w:r>
      <w:r>
        <w:rPr>
          <w:color w:val="auto"/>
          <w:spacing w:val="-59"/>
          <w:highlight w:val="none"/>
        </w:rPr>
        <w:t xml:space="preserve"> </w:t>
      </w:r>
      <w:r>
        <w:rPr>
          <w:color w:val="auto"/>
          <w:spacing w:val="-4"/>
          <w:highlight w:val="none"/>
        </w:rPr>
        <w:t>”的方针，确保工程的施工安全，依照国家、营口市的有</w:t>
      </w:r>
      <w:r>
        <w:rPr>
          <w:color w:val="auto"/>
          <w:spacing w:val="-1"/>
          <w:highlight w:val="none"/>
        </w:rPr>
        <w:t>关法规和政策</w:t>
      </w:r>
      <w:r>
        <w:rPr>
          <w:rFonts w:hint="eastAsia"/>
          <w:color w:val="auto"/>
          <w:spacing w:val="-1"/>
          <w:highlight w:val="none"/>
          <w:lang w:eastAsia="zh-CN"/>
        </w:rPr>
        <w:t>，</w:t>
      </w:r>
      <w:r>
        <w:rPr>
          <w:color w:val="auto"/>
          <w:spacing w:val="-1"/>
          <w:highlight w:val="none"/>
        </w:rPr>
        <w:t>发包人、承包人双方经充分协商,特签订本安全</w:t>
      </w:r>
      <w:r>
        <w:rPr>
          <w:color w:val="auto"/>
          <w:spacing w:val="-2"/>
          <w:highlight w:val="none"/>
        </w:rPr>
        <w:t>生产协议书。</w:t>
      </w:r>
    </w:p>
    <w:p w14:paraId="772EEF2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一、本安全生产协议书作为合同的附件，与该合同具有同等效力。</w:t>
      </w:r>
    </w:p>
    <w:p w14:paraId="328E007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二、承包人的法定代表人、项目经理、安全生产负责人、工地的现场安全员应对本工程</w:t>
      </w:r>
      <w:r>
        <w:rPr>
          <w:color w:val="auto"/>
          <w:spacing w:val="-4"/>
          <w:highlight w:val="none"/>
        </w:rPr>
        <w:t>安全生产工作各负其责。</w:t>
      </w:r>
    </w:p>
    <w:p w14:paraId="782D66D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三、根据营口市建设工程安全文明施工管理有关要求，</w:t>
      </w:r>
      <w:r>
        <w:rPr>
          <w:color w:val="auto"/>
          <w:spacing w:val="-52"/>
          <w:highlight w:val="none"/>
        </w:rPr>
        <w:t xml:space="preserve"> </w:t>
      </w:r>
      <w:r>
        <w:rPr>
          <w:color w:val="auto"/>
          <w:spacing w:val="-4"/>
          <w:highlight w:val="none"/>
        </w:rPr>
        <w:t>发包人有权审查承包</w:t>
      </w:r>
      <w:r>
        <w:rPr>
          <w:color w:val="auto"/>
          <w:spacing w:val="-5"/>
          <w:highlight w:val="none"/>
        </w:rPr>
        <w:t>人安全管理</w:t>
      </w:r>
      <w:r>
        <w:rPr>
          <w:color w:val="auto"/>
          <w:spacing w:val="-3"/>
          <w:highlight w:val="none"/>
        </w:rPr>
        <w:t>体制是否符合市政府及有关主管部门的规定，有权向承包人提出安全施工的要求以及日常施</w:t>
      </w:r>
      <w:r>
        <w:rPr>
          <w:color w:val="auto"/>
          <w:spacing w:val="-4"/>
          <w:highlight w:val="none"/>
        </w:rPr>
        <w:t>工现场的督促检查。</w:t>
      </w:r>
    </w:p>
    <w:p w14:paraId="0431062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四、承包人在承包工程施工中，必须根据设计</w:t>
      </w:r>
      <w:r>
        <w:rPr>
          <w:color w:val="auto"/>
          <w:spacing w:val="-6"/>
          <w:highlight w:val="none"/>
        </w:rPr>
        <w:t>图纸和施工规范，针对工程特点编制施工</w:t>
      </w:r>
      <w:r>
        <w:rPr>
          <w:color w:val="auto"/>
          <w:spacing w:val="-3"/>
          <w:highlight w:val="none"/>
        </w:rPr>
        <w:t>组织设计和落实相应的安全措施，健全安全管理体制，组织有关安全知识学习、安全教育等</w:t>
      </w:r>
      <w:r>
        <w:rPr>
          <w:color w:val="auto"/>
          <w:spacing w:val="-2"/>
          <w:highlight w:val="none"/>
        </w:rPr>
        <w:t>活动，建立各项安全操作规程</w:t>
      </w:r>
      <w:r>
        <w:rPr>
          <w:rFonts w:hint="eastAsia"/>
          <w:color w:val="auto"/>
          <w:spacing w:val="-2"/>
          <w:highlight w:val="none"/>
          <w:lang w:eastAsia="zh-CN"/>
        </w:rPr>
        <w:t>、</w:t>
      </w:r>
      <w:r>
        <w:rPr>
          <w:color w:val="auto"/>
          <w:spacing w:val="-2"/>
          <w:highlight w:val="none"/>
        </w:rPr>
        <w:t>安全生产责任制和安全检查制度。</w:t>
      </w:r>
    </w:p>
    <w:p w14:paraId="6DF42F6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rPr>
          <w:color w:val="auto"/>
          <w:highlight w:val="none"/>
        </w:rPr>
      </w:pPr>
      <w:r>
        <w:rPr>
          <w:color w:val="auto"/>
          <w:spacing w:val="-4"/>
          <w:highlight w:val="none"/>
        </w:rPr>
        <w:t>五、承包人在施工中要认真执行营口市和发包人工地安全管理的有关</w:t>
      </w:r>
      <w:r>
        <w:rPr>
          <w:color w:val="auto"/>
          <w:spacing w:val="-5"/>
          <w:highlight w:val="none"/>
        </w:rPr>
        <w:t>规定，</w:t>
      </w:r>
      <w:r>
        <w:rPr>
          <w:color w:val="auto"/>
          <w:spacing w:val="-52"/>
          <w:highlight w:val="none"/>
        </w:rPr>
        <w:t xml:space="preserve"> </w:t>
      </w:r>
      <w:r>
        <w:rPr>
          <w:color w:val="auto"/>
          <w:spacing w:val="-5"/>
          <w:highlight w:val="none"/>
        </w:rPr>
        <w:t>发包人将上</w:t>
      </w:r>
      <w:r>
        <w:rPr>
          <w:color w:val="auto"/>
          <w:spacing w:val="-2"/>
          <w:highlight w:val="none"/>
        </w:rPr>
        <w:t>述各项标准作为施工过程中安全检查和安全奖惩的依据。</w:t>
      </w:r>
    </w:p>
    <w:p w14:paraId="0823B67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六、承包人施工人员中的电工、焊工、起重吊运工等特殊工种必须按国家《特种作业人</w:t>
      </w:r>
      <w:r>
        <w:rPr>
          <w:color w:val="auto"/>
          <w:spacing w:val="-7"/>
          <w:highlight w:val="none"/>
        </w:rPr>
        <w:t>员安全技术培训考核管理办法》持有有效操作证件上岗，严禁无证、违章操作；</w:t>
      </w:r>
      <w:r>
        <w:rPr>
          <w:color w:val="auto"/>
          <w:spacing w:val="-8"/>
          <w:highlight w:val="none"/>
        </w:rPr>
        <w:t>施工机具中</w:t>
      </w:r>
      <w:r>
        <w:rPr>
          <w:color w:val="auto"/>
          <w:spacing w:val="-2"/>
          <w:highlight w:val="none"/>
        </w:rPr>
        <w:t>的受压容器、电气设备必须具有符合安全要求的保护设施。</w:t>
      </w:r>
    </w:p>
    <w:p w14:paraId="442823B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七、承包人在施工过程中，必须注意对地下管线及周围绿化和地面构筑物的保护。承包</w:t>
      </w:r>
      <w:r>
        <w:rPr>
          <w:color w:val="auto"/>
          <w:spacing w:val="-4"/>
          <w:highlight w:val="none"/>
        </w:rPr>
        <w:t>人要采取合理施工方案严格施工工艺、严格控制地表沉降，加强对地下管线和地面构造物的</w:t>
      </w:r>
      <w:r>
        <w:rPr>
          <w:color w:val="auto"/>
          <w:spacing w:val="-3"/>
          <w:highlight w:val="none"/>
        </w:rPr>
        <w:t>监控量测，及时采取有效措施保证地下管线和地表构造物的安全。（如果由于施工原因）在</w:t>
      </w:r>
      <w:r>
        <w:rPr>
          <w:color w:val="auto"/>
          <w:spacing w:val="-1"/>
          <w:highlight w:val="none"/>
        </w:rPr>
        <w:t>施工过程中造成的地下管线和地表构造物的损坏，由承包人承担全</w:t>
      </w:r>
      <w:r>
        <w:rPr>
          <w:color w:val="auto"/>
          <w:spacing w:val="-2"/>
          <w:highlight w:val="none"/>
        </w:rPr>
        <w:t>部责任。</w:t>
      </w:r>
    </w:p>
    <w:p w14:paraId="6CBE17E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八、承包人在施工过程中，应认真组织审核发包人下发的施工图纸，并严格按审核后的</w:t>
      </w:r>
      <w:r>
        <w:rPr>
          <w:color w:val="auto"/>
          <w:spacing w:val="-3"/>
          <w:highlight w:val="none"/>
        </w:rPr>
        <w:t>施工图纸及相应的国家有关标准施工，不允许随意改变施工工艺和方法，否则出现的任何施</w:t>
      </w:r>
      <w:r>
        <w:rPr>
          <w:color w:val="auto"/>
          <w:spacing w:val="-2"/>
          <w:highlight w:val="none"/>
        </w:rPr>
        <w:t>工质量和安全问题都将由承包人承担全部责任。</w:t>
      </w:r>
    </w:p>
    <w:p w14:paraId="67E7E36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九、若在施工过程中发生人员伤亡（含刑事案件）、火灾、爆炸等事故，承包人必须立</w:t>
      </w:r>
      <w:r>
        <w:rPr>
          <w:color w:val="auto"/>
          <w:spacing w:val="-1"/>
          <w:highlight w:val="none"/>
        </w:rPr>
        <w:t>即按有关规定及时上报发包人及政府主管部门，事故责任</w:t>
      </w:r>
      <w:r>
        <w:rPr>
          <w:color w:val="auto"/>
          <w:spacing w:val="-2"/>
          <w:highlight w:val="none"/>
        </w:rPr>
        <w:t>以及损失赔偿按有关规定执行。</w:t>
      </w:r>
    </w:p>
    <w:p w14:paraId="1CE5B91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十、承包人对施工现场的安全生产负总责，对分包工程的安全生产承担连带</w:t>
      </w:r>
      <w:r>
        <w:rPr>
          <w:color w:val="auto"/>
          <w:spacing w:val="-2"/>
          <w:highlight w:val="none"/>
        </w:rPr>
        <w:t>责任。</w:t>
      </w:r>
    </w:p>
    <w:p w14:paraId="4EE0D1D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十一、承包人在合同签订之后，应尽快自觉配合发包人到有关部门办理开工报告手续。</w:t>
      </w:r>
    </w:p>
    <w:p w14:paraId="29BCD59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十二、发包人、承包人双方严格执行《建设工程安全生产管理条例》有关责任规</w:t>
      </w:r>
      <w:r>
        <w:rPr>
          <w:color w:val="auto"/>
          <w:spacing w:val="-2"/>
          <w:highlight w:val="none"/>
        </w:rPr>
        <w:t>定。</w:t>
      </w:r>
    </w:p>
    <w:p w14:paraId="66A14EF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4" w:firstLineChars="200"/>
        <w:textAlignment w:val="baseline"/>
        <w:rPr>
          <w:color w:val="auto"/>
          <w:highlight w:val="none"/>
        </w:rPr>
      </w:pPr>
      <w:r>
        <w:rPr>
          <w:color w:val="auto"/>
          <w:spacing w:val="-14"/>
          <w:highlight w:val="none"/>
        </w:rPr>
        <w:t>十三、本协议未尽事宜，依据有关法规、规章处理，法规、规章没有明确规定的，经双</w:t>
      </w:r>
      <w:r>
        <w:rPr>
          <w:color w:val="auto"/>
          <w:spacing w:val="-5"/>
          <w:highlight w:val="none"/>
        </w:rPr>
        <w:t>方协商处理解决。</w:t>
      </w:r>
    </w:p>
    <w:p w14:paraId="14D72799">
      <w:pPr>
        <w:pStyle w:val="9"/>
        <w:pageBreakBefore w:val="0"/>
        <w:widowControl/>
        <w:kinsoku w:val="0"/>
        <w:wordWrap/>
        <w:overflowPunct/>
        <w:topLinePunct/>
        <w:autoSpaceDE w:val="0"/>
        <w:autoSpaceDN w:val="0"/>
        <w:bidi w:val="0"/>
        <w:adjustRightInd w:val="0"/>
        <w:snapToGrid w:val="0"/>
        <w:spacing w:line="360" w:lineRule="auto"/>
        <w:ind w:right="0" w:rightChars="0" w:firstLine="408" w:firstLineChars="200"/>
        <w:textAlignment w:val="baseline"/>
        <w:rPr>
          <w:color w:val="auto"/>
          <w:highlight w:val="none"/>
        </w:rPr>
        <w:sectPr>
          <w:headerReference r:id="rId41" w:type="default"/>
          <w:footerReference r:id="rId42" w:type="default"/>
          <w:pgSz w:w="11906" w:h="16839"/>
          <w:pgMar w:top="1134" w:right="1191" w:bottom="1134" w:left="1020" w:header="0" w:footer="987" w:gutter="0"/>
          <w:pgNumType w:fmt="decimal"/>
          <w:cols w:space="720" w:num="1"/>
          <w:rtlGutter w:val="0"/>
          <w:docGrid w:linePitch="0" w:charSpace="0"/>
        </w:sectPr>
      </w:pPr>
      <w:r>
        <w:rPr>
          <w:color w:val="auto"/>
          <w:spacing w:val="-3"/>
          <w:highlight w:val="none"/>
        </w:rPr>
        <w:t>十四、本协议自签订之日起生效。</w:t>
      </w:r>
    </w:p>
    <w:p w14:paraId="7CF9A9FB">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highlight w:val="none"/>
        </w:rPr>
      </w:pPr>
      <w:r>
        <w:rPr>
          <w:color w:val="auto"/>
          <w:spacing w:val="-8"/>
          <w:highlight w:val="none"/>
        </w:rPr>
        <w:t>发包人</w:t>
      </w:r>
      <w:r>
        <w:rPr>
          <w:color w:val="auto"/>
          <w:spacing w:val="-12"/>
          <w:highlight w:val="none"/>
        </w:rPr>
        <w:t>：（</w:t>
      </w:r>
      <w:r>
        <w:rPr>
          <w:color w:val="auto"/>
          <w:spacing w:val="-8"/>
          <w:highlight w:val="none"/>
        </w:rPr>
        <w:t xml:space="preserve">盖章）   </w:t>
      </w:r>
      <w:r>
        <w:rPr>
          <w:rFonts w:hint="eastAsia"/>
          <w:color w:val="auto"/>
          <w:spacing w:val="-8"/>
          <w:highlight w:val="none"/>
          <w:lang w:val="en-US" w:eastAsia="zh-CN"/>
        </w:rPr>
        <w:t xml:space="preserve">     </w:t>
      </w:r>
      <w:r>
        <w:rPr>
          <w:color w:val="auto"/>
          <w:spacing w:val="-8"/>
          <w:highlight w:val="none"/>
        </w:rPr>
        <w:t xml:space="preserve">  </w:t>
      </w:r>
    </w:p>
    <w:p w14:paraId="006E2B30">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highlight w:val="none"/>
        </w:rPr>
      </w:pPr>
      <w:r>
        <w:rPr>
          <w:color w:val="auto"/>
          <w:spacing w:val="-5"/>
          <w:highlight w:val="none"/>
        </w:rPr>
        <w:t>法定代表人：</w:t>
      </w:r>
      <w:r>
        <w:rPr>
          <w:color w:val="auto"/>
          <w:highlight w:val="none"/>
        </w:rPr>
        <w:t xml:space="preserve">         </w:t>
      </w:r>
      <w:r>
        <w:rPr>
          <w:rFonts w:hint="eastAsia"/>
          <w:color w:val="auto"/>
          <w:highlight w:val="none"/>
          <w:lang w:val="en-US" w:eastAsia="zh-CN"/>
        </w:rPr>
        <w:t xml:space="preserve">     </w:t>
      </w:r>
      <w:r>
        <w:rPr>
          <w:color w:val="auto"/>
          <w:highlight w:val="none"/>
        </w:rPr>
        <w:t xml:space="preserve"> </w:t>
      </w:r>
    </w:p>
    <w:p w14:paraId="166A8BD5">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highlight w:val="none"/>
        </w:rPr>
      </w:pPr>
      <w:r>
        <w:rPr>
          <w:color w:val="auto"/>
          <w:spacing w:val="-4"/>
          <w:highlight w:val="none"/>
        </w:rPr>
        <w:t>地址：</w:t>
      </w:r>
      <w:r>
        <w:rPr>
          <w:rFonts w:hint="eastAsia" w:cs="宋体"/>
          <w:color w:val="auto"/>
          <w:highlight w:val="none"/>
          <w:u w:val="single" w:color="auto"/>
          <w:lang w:val="en-US" w:eastAsia="zh-CN"/>
        </w:rPr>
        <w:t xml:space="preserve">辽宁省营口市北海经济开发区管理委员会1033室 </w:t>
      </w:r>
      <w:r>
        <w:rPr>
          <w:color w:val="auto"/>
          <w:spacing w:val="-4"/>
          <w:highlight w:val="none"/>
        </w:rPr>
        <w:t xml:space="preserve">         </w:t>
      </w:r>
      <w:r>
        <w:rPr>
          <w:rFonts w:hint="eastAsia"/>
          <w:color w:val="auto"/>
          <w:spacing w:val="-4"/>
          <w:highlight w:val="none"/>
          <w:lang w:val="en-US" w:eastAsia="zh-CN"/>
        </w:rPr>
        <w:t xml:space="preserve">    </w:t>
      </w:r>
      <w:r>
        <w:rPr>
          <w:color w:val="auto"/>
          <w:spacing w:val="-4"/>
          <w:highlight w:val="none"/>
        </w:rPr>
        <w:t xml:space="preserve">  </w:t>
      </w:r>
    </w:p>
    <w:p w14:paraId="06BFCBBD">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highlight w:val="none"/>
        </w:rPr>
      </w:pPr>
      <w:r>
        <w:rPr>
          <w:color w:val="auto"/>
          <w:spacing w:val="-15"/>
          <w:highlight w:val="none"/>
        </w:rPr>
        <w:t>电话：</w:t>
      </w:r>
      <w:r>
        <w:rPr>
          <w:rFonts w:hint="eastAsia" w:cs="宋体"/>
          <w:color w:val="auto"/>
          <w:highlight w:val="none"/>
          <w:u w:val="single" w:color="auto"/>
          <w:lang w:val="en-US" w:eastAsia="zh-CN"/>
        </w:rPr>
        <w:t xml:space="preserve">                      </w:t>
      </w:r>
      <w:r>
        <w:rPr>
          <w:color w:val="auto"/>
          <w:spacing w:val="1"/>
          <w:highlight w:val="none"/>
        </w:rPr>
        <w:t xml:space="preserve">         </w:t>
      </w:r>
    </w:p>
    <w:p w14:paraId="10087D20">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spacing w:val="-15"/>
          <w:highlight w:val="none"/>
        </w:rPr>
      </w:pPr>
      <w:r>
        <w:rPr>
          <w:color w:val="auto"/>
          <w:spacing w:val="-15"/>
          <w:highlight w:val="none"/>
        </w:rPr>
        <w:t>年</w:t>
      </w:r>
      <w:r>
        <w:rPr>
          <w:color w:val="auto"/>
          <w:spacing w:val="4"/>
          <w:highlight w:val="none"/>
        </w:rPr>
        <w:t xml:space="preserve">   </w:t>
      </w:r>
      <w:r>
        <w:rPr>
          <w:color w:val="auto"/>
          <w:spacing w:val="-15"/>
          <w:highlight w:val="none"/>
        </w:rPr>
        <w:t>月</w:t>
      </w:r>
      <w:r>
        <w:rPr>
          <w:color w:val="auto"/>
          <w:spacing w:val="15"/>
          <w:highlight w:val="none"/>
        </w:rPr>
        <w:t xml:space="preserve">   </w:t>
      </w:r>
      <w:r>
        <w:rPr>
          <w:color w:val="auto"/>
          <w:spacing w:val="-15"/>
          <w:highlight w:val="none"/>
        </w:rPr>
        <w:t>日</w:t>
      </w:r>
    </w:p>
    <w:p w14:paraId="673D5579">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highlight w:val="none"/>
        </w:rPr>
      </w:pPr>
      <w:r>
        <w:rPr>
          <w:color w:val="auto"/>
          <w:spacing w:val="-8"/>
          <w:highlight w:val="none"/>
        </w:rPr>
        <w:br w:type="column"/>
      </w:r>
      <w:r>
        <w:rPr>
          <w:color w:val="auto"/>
          <w:spacing w:val="-8"/>
          <w:highlight w:val="none"/>
        </w:rPr>
        <w:t>承包人</w:t>
      </w:r>
      <w:r>
        <w:rPr>
          <w:color w:val="auto"/>
          <w:spacing w:val="-12"/>
          <w:highlight w:val="none"/>
        </w:rPr>
        <w:t>：（</w:t>
      </w:r>
      <w:r>
        <w:rPr>
          <w:color w:val="auto"/>
          <w:spacing w:val="-8"/>
          <w:highlight w:val="none"/>
        </w:rPr>
        <w:t>盖章）</w:t>
      </w:r>
      <w:r>
        <w:rPr>
          <w:color w:val="auto"/>
          <w:highlight w:val="none"/>
        </w:rPr>
        <w:t xml:space="preserve"> </w:t>
      </w:r>
    </w:p>
    <w:p w14:paraId="19C31F18">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highlight w:val="none"/>
        </w:rPr>
      </w:pPr>
      <w:r>
        <w:rPr>
          <w:color w:val="auto"/>
          <w:spacing w:val="-5"/>
          <w:highlight w:val="none"/>
        </w:rPr>
        <w:t>法定代表人：</w:t>
      </w:r>
    </w:p>
    <w:p w14:paraId="48F4BE1B">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highlight w:val="none"/>
        </w:rPr>
      </w:pPr>
      <w:r>
        <w:rPr>
          <w:color w:val="auto"/>
          <w:spacing w:val="-4"/>
          <w:highlight w:val="none"/>
        </w:rPr>
        <w:t>地址：</w:t>
      </w:r>
      <w:r>
        <w:rPr>
          <w:color w:val="auto"/>
          <w:highlight w:val="none"/>
          <w:u w:val="single" w:color="auto"/>
        </w:rPr>
        <w:t xml:space="preserve"> </w:t>
      </w:r>
      <w:r>
        <w:rPr>
          <w:rFonts w:hint="eastAsia"/>
          <w:color w:val="auto"/>
          <w:highlight w:val="none"/>
          <w:u w:val="single" w:color="auto"/>
          <w:lang w:val="en-US" w:eastAsia="zh-CN"/>
        </w:rPr>
        <w:t xml:space="preserve">               </w:t>
      </w:r>
      <w:r>
        <w:rPr>
          <w:rFonts w:hint="eastAsia" w:ascii="宋体" w:hAnsi="宋体" w:eastAsia="宋体" w:cs="宋体"/>
          <w:color w:val="auto"/>
          <w:spacing w:val="-2"/>
          <w:highlight w:val="none"/>
          <w:u w:val="single" w:color="auto"/>
          <w:lang w:val="en-US" w:eastAsia="zh-CN"/>
        </w:rPr>
        <w:t xml:space="preserve"> </w:t>
      </w:r>
      <w:r>
        <w:rPr>
          <w:color w:val="auto"/>
          <w:highlight w:val="none"/>
          <w:u w:val="single" w:color="auto"/>
        </w:rPr>
        <w:t xml:space="preserve"> </w:t>
      </w:r>
      <w:r>
        <w:rPr>
          <w:color w:val="auto"/>
          <w:highlight w:val="none"/>
        </w:rPr>
        <w:t xml:space="preserve">  </w:t>
      </w:r>
    </w:p>
    <w:p w14:paraId="3A9DE046">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highlight w:val="none"/>
        </w:rPr>
      </w:pPr>
      <w:r>
        <w:rPr>
          <w:color w:val="auto"/>
          <w:spacing w:val="-15"/>
          <w:highlight w:val="none"/>
        </w:rPr>
        <w:t>电话：</w:t>
      </w:r>
      <w:r>
        <w:rPr>
          <w:color w:val="auto"/>
          <w:highlight w:val="none"/>
          <w:u w:val="single" w:color="auto"/>
        </w:rPr>
        <w:t xml:space="preserve"> </w:t>
      </w:r>
      <w:r>
        <w:rPr>
          <w:rFonts w:hint="eastAsia"/>
          <w:color w:val="auto"/>
          <w:highlight w:val="none"/>
          <w:u w:val="single" w:color="auto"/>
          <w:lang w:val="en-US" w:eastAsia="zh-CN"/>
        </w:rPr>
        <w:t xml:space="preserve">               </w:t>
      </w:r>
      <w:r>
        <w:rPr>
          <w:rFonts w:hint="eastAsia" w:ascii="宋体" w:hAnsi="宋体" w:eastAsia="宋体" w:cs="宋体"/>
          <w:color w:val="auto"/>
          <w:spacing w:val="-2"/>
          <w:highlight w:val="none"/>
          <w:u w:val="single" w:color="auto"/>
          <w:lang w:val="en-US" w:eastAsia="zh-CN"/>
        </w:rPr>
        <w:t xml:space="preserve"> </w:t>
      </w:r>
      <w:r>
        <w:rPr>
          <w:color w:val="auto"/>
          <w:highlight w:val="none"/>
          <w:u w:val="single" w:color="auto"/>
        </w:rPr>
        <w:t xml:space="preserve"> </w:t>
      </w:r>
    </w:p>
    <w:p w14:paraId="5A7D6C6F">
      <w:pPr>
        <w:pStyle w:val="9"/>
        <w:keepNext w:val="0"/>
        <w:keepLines w:val="0"/>
        <w:pageBreakBefore w:val="0"/>
        <w:widowControl/>
        <w:kinsoku w:val="0"/>
        <w:wordWrap/>
        <w:overflowPunct/>
        <w:topLinePunct/>
        <w:autoSpaceDE w:val="0"/>
        <w:autoSpaceDN w:val="0"/>
        <w:bidi w:val="0"/>
        <w:adjustRightInd w:val="0"/>
        <w:snapToGrid w:val="0"/>
        <w:spacing w:line="360" w:lineRule="auto"/>
        <w:ind w:left="420" w:leftChars="200" w:right="0" w:rightChars="0"/>
        <w:textAlignment w:val="baseline"/>
        <w:rPr>
          <w:color w:val="auto"/>
          <w:spacing w:val="-15"/>
          <w:highlight w:val="none"/>
        </w:rPr>
      </w:pPr>
      <w:r>
        <w:rPr>
          <w:color w:val="auto"/>
          <w:spacing w:val="-15"/>
          <w:highlight w:val="none"/>
        </w:rPr>
        <w:t>年</w:t>
      </w:r>
      <w:r>
        <w:rPr>
          <w:color w:val="auto"/>
          <w:spacing w:val="4"/>
          <w:highlight w:val="none"/>
        </w:rPr>
        <w:t xml:space="preserve">   </w:t>
      </w:r>
      <w:r>
        <w:rPr>
          <w:color w:val="auto"/>
          <w:spacing w:val="-15"/>
          <w:highlight w:val="none"/>
        </w:rPr>
        <w:t>月</w:t>
      </w:r>
      <w:r>
        <w:rPr>
          <w:color w:val="auto"/>
          <w:spacing w:val="15"/>
          <w:highlight w:val="none"/>
        </w:rPr>
        <w:t xml:space="preserve">   </w:t>
      </w:r>
      <w:r>
        <w:rPr>
          <w:color w:val="auto"/>
          <w:spacing w:val="-15"/>
          <w:highlight w:val="none"/>
        </w:rPr>
        <w:t>日</w:t>
      </w:r>
    </w:p>
    <w:p w14:paraId="67ECD030">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sectPr>
          <w:headerReference r:id="rId43" w:type="default"/>
          <w:footerReference r:id="rId44" w:type="default"/>
          <w:pgSz w:w="11906" w:h="16839"/>
          <w:pgMar w:top="1134" w:right="1191" w:bottom="1134" w:left="1020" w:header="0" w:footer="987" w:gutter="0"/>
          <w:pgNumType w:fmt="decimal"/>
          <w:cols w:equalWidth="0" w:num="2">
            <w:col w:w="4635" w:space="425"/>
            <w:col w:w="4635"/>
          </w:cols>
          <w:rtlGutter w:val="0"/>
          <w:docGrid w:linePitch="0" w:charSpace="0"/>
        </w:sectPr>
      </w:pPr>
    </w:p>
    <w:p w14:paraId="21AFEDE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538" w:firstLineChars="200"/>
        <w:jc w:val="center"/>
        <w:textAlignment w:val="baseline"/>
        <w:outlineLvl w:val="0"/>
        <w:rPr>
          <w:color w:val="auto"/>
          <w:sz w:val="28"/>
          <w:szCs w:val="28"/>
          <w:highlight w:val="none"/>
        </w:rPr>
      </w:pPr>
      <w:bookmarkStart w:id="2254" w:name="_Toc27867"/>
      <w:r>
        <w:rPr>
          <w:b/>
          <w:bCs/>
          <w:color w:val="auto"/>
          <w:spacing w:val="-6"/>
          <w:sz w:val="28"/>
          <w:szCs w:val="28"/>
          <w:highlight w:val="none"/>
        </w:rPr>
        <w:t>附件</w:t>
      </w:r>
      <w:r>
        <w:rPr>
          <w:color w:val="auto"/>
          <w:spacing w:val="-57"/>
          <w:sz w:val="28"/>
          <w:szCs w:val="28"/>
          <w:highlight w:val="none"/>
        </w:rPr>
        <w:t xml:space="preserve"> </w:t>
      </w:r>
      <w:r>
        <w:rPr>
          <w:b/>
          <w:bCs/>
          <w:color w:val="auto"/>
          <w:spacing w:val="-6"/>
          <w:sz w:val="28"/>
          <w:szCs w:val="28"/>
          <w:highlight w:val="none"/>
        </w:rPr>
        <w:t>9</w:t>
      </w:r>
      <w:r>
        <w:rPr>
          <w:color w:val="auto"/>
          <w:spacing w:val="-6"/>
          <w:sz w:val="28"/>
          <w:szCs w:val="28"/>
          <w:highlight w:val="none"/>
        </w:rPr>
        <w:t xml:space="preserve"> </w:t>
      </w:r>
      <w:r>
        <w:rPr>
          <w:b/>
          <w:bCs/>
          <w:color w:val="auto"/>
          <w:spacing w:val="-6"/>
          <w:sz w:val="28"/>
          <w:szCs w:val="28"/>
          <w:highlight w:val="none"/>
        </w:rPr>
        <w:t>廉洁合作协议书</w:t>
      </w:r>
      <w:bookmarkEnd w:id="2254"/>
    </w:p>
    <w:p w14:paraId="6AEFAE1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44" w:firstLineChars="200"/>
        <w:textAlignment w:val="baseline"/>
        <w:rPr>
          <w:rFonts w:hint="eastAsia" w:eastAsia="宋体"/>
          <w:color w:val="auto"/>
          <w:highlight w:val="none"/>
          <w:lang w:eastAsia="zh-CN"/>
        </w:rPr>
      </w:pPr>
      <w:r>
        <w:rPr>
          <w:color w:val="auto"/>
          <w:spacing w:val="-19"/>
          <w:highlight w:val="none"/>
        </w:rPr>
        <w:t>发包人（全称</w:t>
      </w:r>
      <w:r>
        <w:rPr>
          <w:color w:val="auto"/>
          <w:spacing w:val="-9"/>
          <w:highlight w:val="none"/>
        </w:rPr>
        <w:t>）：</w:t>
      </w:r>
      <w:r>
        <w:rPr>
          <w:rFonts w:hint="eastAsia"/>
          <w:color w:val="auto"/>
          <w:spacing w:val="-19"/>
          <w:highlight w:val="none"/>
          <w:u w:val="single"/>
          <w:lang w:eastAsia="zh-CN"/>
        </w:rPr>
        <w:t>营口国盛中济产业开发建设有限公司</w:t>
      </w:r>
    </w:p>
    <w:p w14:paraId="1E06493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44" w:firstLineChars="200"/>
        <w:textAlignment w:val="baseline"/>
        <w:rPr>
          <w:color w:val="auto"/>
          <w:highlight w:val="none"/>
          <w:u w:val="single" w:color="auto"/>
        </w:rPr>
      </w:pPr>
      <w:r>
        <w:rPr>
          <w:color w:val="auto"/>
          <w:spacing w:val="-19"/>
          <w:highlight w:val="none"/>
        </w:rPr>
        <w:t>承包人（全称</w:t>
      </w:r>
      <w:r>
        <w:rPr>
          <w:color w:val="auto"/>
          <w:spacing w:val="-8"/>
          <w:highlight w:val="none"/>
        </w:rPr>
        <w:t>）：</w:t>
      </w:r>
      <w:r>
        <w:rPr>
          <w:rFonts w:hint="eastAsia"/>
          <w:color w:val="auto"/>
          <w:spacing w:val="-1"/>
          <w:highlight w:val="none"/>
          <w:u w:val="single"/>
          <w:lang w:val="en-US" w:eastAsia="zh-CN"/>
        </w:rPr>
        <w:t>联合体牵头人：</w:t>
      </w:r>
      <w:r>
        <w:rPr>
          <w:color w:val="auto"/>
          <w:highlight w:val="none"/>
          <w:u w:val="single" w:color="auto"/>
        </w:rPr>
        <w:t xml:space="preserve"> </w:t>
      </w:r>
      <w:r>
        <w:rPr>
          <w:rFonts w:hint="eastAsia"/>
          <w:color w:val="auto"/>
          <w:highlight w:val="none"/>
          <w:u w:val="single" w:color="auto"/>
          <w:lang w:val="en-US" w:eastAsia="zh-CN"/>
        </w:rPr>
        <w:t xml:space="preserve">               </w:t>
      </w:r>
      <w:r>
        <w:rPr>
          <w:rFonts w:hint="eastAsia" w:ascii="宋体" w:hAnsi="宋体" w:eastAsia="宋体" w:cs="宋体"/>
          <w:color w:val="auto"/>
          <w:spacing w:val="-2"/>
          <w:highlight w:val="none"/>
          <w:u w:val="single" w:color="auto"/>
          <w:lang w:val="en-US" w:eastAsia="zh-CN"/>
        </w:rPr>
        <w:t xml:space="preserve"> </w:t>
      </w:r>
      <w:r>
        <w:rPr>
          <w:color w:val="auto"/>
          <w:highlight w:val="none"/>
          <w:u w:val="single" w:color="auto"/>
        </w:rPr>
        <w:t xml:space="preserve">   </w:t>
      </w:r>
    </w:p>
    <w:p w14:paraId="791F6BCD">
      <w:pPr>
        <w:pStyle w:val="9"/>
        <w:keepNext w:val="0"/>
        <w:keepLines w:val="0"/>
        <w:pageBreakBefore w:val="0"/>
        <w:widowControl/>
        <w:kinsoku w:val="0"/>
        <w:wordWrap/>
        <w:overflowPunct/>
        <w:topLinePunct/>
        <w:autoSpaceDE w:val="0"/>
        <w:autoSpaceDN w:val="0"/>
        <w:bidi w:val="0"/>
        <w:adjustRightInd w:val="0"/>
        <w:snapToGrid w:val="0"/>
        <w:spacing w:line="360" w:lineRule="auto"/>
        <w:ind w:left="0" w:leftChars="0" w:right="0" w:rightChars="0" w:firstLine="1872" w:firstLineChars="900"/>
        <w:textAlignment w:val="baseline"/>
        <w:rPr>
          <w:color w:val="auto"/>
          <w:highlight w:val="none"/>
        </w:rPr>
      </w:pPr>
      <w:r>
        <w:rPr>
          <w:rFonts w:hint="eastAsia"/>
          <w:color w:val="auto"/>
          <w:spacing w:val="-1"/>
          <w:highlight w:val="none"/>
          <w:u w:val="single"/>
          <w:lang w:val="en-US" w:eastAsia="zh-CN"/>
        </w:rPr>
        <w:t>联合体成员一：</w:t>
      </w:r>
      <w:r>
        <w:rPr>
          <w:color w:val="auto"/>
          <w:highlight w:val="none"/>
          <w:u w:val="single" w:color="auto"/>
        </w:rPr>
        <w:t xml:space="preserve"> </w:t>
      </w:r>
      <w:r>
        <w:rPr>
          <w:rFonts w:hint="eastAsia"/>
          <w:color w:val="auto"/>
          <w:highlight w:val="none"/>
          <w:u w:val="single" w:color="auto"/>
          <w:lang w:val="en-US" w:eastAsia="zh-CN"/>
        </w:rPr>
        <w:t xml:space="preserve">               </w:t>
      </w:r>
      <w:r>
        <w:rPr>
          <w:rFonts w:hint="eastAsia" w:ascii="宋体" w:hAnsi="宋体" w:eastAsia="宋体" w:cs="宋体"/>
          <w:color w:val="auto"/>
          <w:spacing w:val="-2"/>
          <w:highlight w:val="none"/>
          <w:u w:val="single" w:color="auto"/>
          <w:lang w:val="en-US" w:eastAsia="zh-CN"/>
        </w:rPr>
        <w:t xml:space="preserve"> </w:t>
      </w:r>
      <w:r>
        <w:rPr>
          <w:color w:val="auto"/>
          <w:highlight w:val="none"/>
          <w:u w:val="single" w:color="auto"/>
        </w:rPr>
        <w:t xml:space="preserve"> </w:t>
      </w:r>
    </w:p>
    <w:p w14:paraId="3AC3F87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jc w:val="both"/>
        <w:textAlignment w:val="baseline"/>
        <w:rPr>
          <w:color w:val="auto"/>
          <w:highlight w:val="none"/>
        </w:rPr>
      </w:pPr>
      <w:r>
        <w:rPr>
          <w:color w:val="auto"/>
          <w:spacing w:val="-4"/>
          <w:highlight w:val="none"/>
        </w:rPr>
        <w:t>发包人、承包人双方签署了</w:t>
      </w:r>
      <w:r>
        <w:rPr>
          <w:rFonts w:hint="eastAsia"/>
          <w:color w:val="auto"/>
          <w:spacing w:val="-2"/>
          <w:highlight w:val="none"/>
          <w:u w:val="single" w:color="auto"/>
          <w:lang w:eastAsia="zh-CN"/>
        </w:rPr>
        <w:t>中济智造产业基础设施配套项目</w:t>
      </w:r>
      <w:r>
        <w:rPr>
          <w:rFonts w:ascii="Times New Roman" w:hAnsi="Times New Roman" w:eastAsia="Times New Roman" w:cs="Times New Roman"/>
          <w:color w:val="auto"/>
          <w:spacing w:val="-1"/>
          <w:highlight w:val="none"/>
          <w:u w:val="single" w:color="auto"/>
        </w:rPr>
        <w:t xml:space="preserve">EPC </w:t>
      </w:r>
      <w:r>
        <w:rPr>
          <w:color w:val="auto"/>
          <w:spacing w:val="-1"/>
          <w:highlight w:val="none"/>
          <w:u w:val="single" w:color="auto"/>
        </w:rPr>
        <w:t>工程总承包</w:t>
      </w:r>
      <w:r>
        <w:rPr>
          <w:color w:val="auto"/>
          <w:spacing w:val="-4"/>
          <w:highlight w:val="none"/>
        </w:rPr>
        <w:t>合同，为加强工程项目建设期间的廉</w:t>
      </w:r>
      <w:r>
        <w:rPr>
          <w:color w:val="auto"/>
          <w:spacing w:val="-3"/>
          <w:highlight w:val="none"/>
        </w:rPr>
        <w:t>洁合作，确保项目高效优质按期竣工，双方经协商签订本协议并作为双方共同遵守的廉洁合</w:t>
      </w:r>
      <w:r>
        <w:rPr>
          <w:color w:val="auto"/>
          <w:spacing w:val="-6"/>
          <w:highlight w:val="none"/>
        </w:rPr>
        <w:t>作行为准则。</w:t>
      </w:r>
    </w:p>
    <w:p w14:paraId="7BDD978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9"/>
        <w:rPr>
          <w:color w:val="auto"/>
          <w:highlight w:val="none"/>
        </w:rPr>
      </w:pPr>
      <w:r>
        <w:rPr>
          <w:color w:val="auto"/>
          <w:spacing w:val="-4"/>
          <w:highlight w:val="none"/>
        </w:rPr>
        <w:t>1.发包人责任</w:t>
      </w:r>
    </w:p>
    <w:p w14:paraId="02245AA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1.1.发包人有责任向承包人介绍本单位有关廉洁合作管理的各项制度和规定。</w:t>
      </w:r>
    </w:p>
    <w:p w14:paraId="69FF983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1.2.发包人有责任对本单位项目管理人员进行廉洁合作教育。</w:t>
      </w:r>
    </w:p>
    <w:p w14:paraId="6E4EE66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4" w:firstLineChars="200"/>
        <w:textAlignment w:val="baseline"/>
        <w:rPr>
          <w:color w:val="auto"/>
          <w:highlight w:val="none"/>
        </w:rPr>
      </w:pPr>
      <w:r>
        <w:rPr>
          <w:color w:val="auto"/>
          <w:spacing w:val="1"/>
          <w:highlight w:val="none"/>
        </w:rPr>
        <w:t>1.3.发包人人员应严格遵守本单位有关廉洁合作管理的规定，不得接受承包人的宴请，</w:t>
      </w:r>
      <w:r>
        <w:rPr>
          <w:color w:val="auto"/>
          <w:spacing w:val="-3"/>
          <w:highlight w:val="none"/>
        </w:rPr>
        <w:t>不得接受任何形式的实物、现金或礼券。</w:t>
      </w:r>
    </w:p>
    <w:p w14:paraId="2CF5763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1.4.发包人在工程项目建设期间发现发包人的人员任何形式的索贿受贿行为，均应及时</w:t>
      </w:r>
      <w:r>
        <w:rPr>
          <w:color w:val="auto"/>
          <w:spacing w:val="-2"/>
          <w:highlight w:val="none"/>
        </w:rPr>
        <w:t>采取措施予以制止，并及时通报承包人领导。</w:t>
      </w:r>
    </w:p>
    <w:p w14:paraId="2A1A519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1.5.发包人的人员如违反廉洁合作管理制度及本协议规定，发包人应视情节轻重、影响</w:t>
      </w:r>
      <w:r>
        <w:rPr>
          <w:color w:val="auto"/>
          <w:spacing w:val="-4"/>
          <w:highlight w:val="none"/>
        </w:rPr>
        <w:t>大小给予行政及经济处罚。</w:t>
      </w:r>
    </w:p>
    <w:p w14:paraId="68BA760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1.6.对于承包人举报发包人人员违反廉洁合作规定的情况，发包人应及时进行调查，根</w:t>
      </w:r>
      <w:r>
        <w:rPr>
          <w:color w:val="auto"/>
          <w:spacing w:val="-4"/>
          <w:highlight w:val="none"/>
        </w:rPr>
        <w:t>据调查情况进行处理。</w:t>
      </w:r>
    </w:p>
    <w:p w14:paraId="2DB621F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9"/>
        <w:rPr>
          <w:color w:val="auto"/>
          <w:highlight w:val="none"/>
        </w:rPr>
      </w:pPr>
      <w:r>
        <w:rPr>
          <w:rFonts w:hint="eastAsia"/>
          <w:color w:val="auto"/>
          <w:spacing w:val="-2"/>
          <w:highlight w:val="none"/>
          <w:lang w:val="en-US" w:eastAsia="zh-CN"/>
        </w:rPr>
        <w:t>c</w:t>
      </w:r>
      <w:r>
        <w:rPr>
          <w:color w:val="auto"/>
          <w:spacing w:val="-2"/>
          <w:highlight w:val="none"/>
        </w:rPr>
        <w:t>2.承包人责任</w:t>
      </w:r>
    </w:p>
    <w:p w14:paraId="1EDD53F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2.1.承包人应保证承包人有关人员了解发包人单位有关廉</w:t>
      </w:r>
      <w:r>
        <w:rPr>
          <w:color w:val="auto"/>
          <w:spacing w:val="-1"/>
          <w:highlight w:val="none"/>
        </w:rPr>
        <w:t>洁合作管理的各项制度及本</w:t>
      </w:r>
      <w:r>
        <w:rPr>
          <w:color w:val="auto"/>
          <w:spacing w:val="-3"/>
          <w:highlight w:val="none"/>
        </w:rPr>
        <w:t>协议的规定，并遵照执行。</w:t>
      </w:r>
    </w:p>
    <w:p w14:paraId="7C7B012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2.2.承包人不得宴请发包人人员，不得以任何形式赠送实物、</w:t>
      </w:r>
      <w:r>
        <w:rPr>
          <w:color w:val="auto"/>
          <w:spacing w:val="-2"/>
          <w:highlight w:val="none"/>
        </w:rPr>
        <w:t>现金或礼券。</w:t>
      </w:r>
    </w:p>
    <w:p w14:paraId="6B43ED7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2.3.承包人在工程项目建设期间发现承包人人员任何向发包人的人员行贿行为，均应及</w:t>
      </w:r>
      <w:r>
        <w:rPr>
          <w:color w:val="auto"/>
          <w:spacing w:val="-2"/>
          <w:highlight w:val="none"/>
        </w:rPr>
        <w:t>时采取措施予以制止，并及时通报发包人单位领导。</w:t>
      </w:r>
    </w:p>
    <w:p w14:paraId="750DEBE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2.4.承包人有责任接受发包人对承包人在工程项目建设期</w:t>
      </w:r>
      <w:r>
        <w:rPr>
          <w:color w:val="auto"/>
          <w:spacing w:val="-1"/>
          <w:highlight w:val="none"/>
        </w:rPr>
        <w:t>间廉洁合作管理执行情况的</w:t>
      </w:r>
      <w:r>
        <w:rPr>
          <w:color w:val="auto"/>
          <w:spacing w:val="-9"/>
          <w:highlight w:val="none"/>
        </w:rPr>
        <w:t>监督。</w:t>
      </w:r>
    </w:p>
    <w:p w14:paraId="2CD49D5A">
      <w:pPr>
        <w:keepNext w:val="0"/>
        <w:keepLines w:val="0"/>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rFonts w:ascii="宋体" w:hAnsi="宋体" w:eastAsia="宋体" w:cs="宋体"/>
          <w:snapToGrid w:val="0"/>
          <w:color w:val="auto"/>
          <w:kern w:val="0"/>
          <w:sz w:val="21"/>
          <w:szCs w:val="21"/>
          <w:highlight w:val="none"/>
          <w:lang w:val="en-US" w:eastAsia="en-US" w:bidi="ar-SA"/>
        </w:rPr>
        <w:t>2.5</w:t>
      </w:r>
      <w:r>
        <w:rPr>
          <w:color w:val="auto"/>
          <w:highlight w:val="none"/>
        </w:rPr>
        <w:t>.承包人人员有义务就发包人人员任何形式的索贿或受</w:t>
      </w:r>
      <w:r>
        <w:rPr>
          <w:color w:val="auto"/>
          <w:spacing w:val="-1"/>
          <w:highlight w:val="none"/>
        </w:rPr>
        <w:t>贿行为及时向发包人单位领</w:t>
      </w:r>
      <w:r>
        <w:rPr>
          <w:color w:val="auto"/>
          <w:highlight w:val="none"/>
        </w:rPr>
        <w:t xml:space="preserve"> </w:t>
      </w:r>
      <w:r>
        <w:rPr>
          <w:color w:val="auto"/>
          <w:spacing w:val="-3"/>
          <w:highlight w:val="none"/>
        </w:rPr>
        <w:t>导举报；如承包人向发包人人员行贿，或发包人人员向承包人索贿，承包人满足其要求且并</w:t>
      </w:r>
      <w:r>
        <w:rPr>
          <w:color w:val="auto"/>
          <w:spacing w:val="13"/>
          <w:highlight w:val="none"/>
        </w:rPr>
        <w:t xml:space="preserve"> </w:t>
      </w:r>
      <w:r>
        <w:rPr>
          <w:color w:val="auto"/>
          <w:spacing w:val="-3"/>
          <w:highlight w:val="none"/>
        </w:rPr>
        <w:t>未向发包人举报的，一经查实</w:t>
      </w:r>
      <w:r>
        <w:rPr>
          <w:rFonts w:hint="eastAsia" w:eastAsia="宋体"/>
          <w:color w:val="auto"/>
          <w:spacing w:val="-3"/>
          <w:highlight w:val="none"/>
          <w:lang w:eastAsia="zh-CN"/>
        </w:rPr>
        <w:t>，</w:t>
      </w:r>
      <w:r>
        <w:rPr>
          <w:color w:val="auto"/>
          <w:spacing w:val="-3"/>
          <w:highlight w:val="none"/>
        </w:rPr>
        <w:t>除追回由此给发包人造成的损失外，承包人承诺在合同价款</w:t>
      </w:r>
      <w:r>
        <w:rPr>
          <w:color w:val="auto"/>
          <w:spacing w:val="13"/>
          <w:highlight w:val="none"/>
        </w:rPr>
        <w:t xml:space="preserve"> </w:t>
      </w:r>
      <w:r>
        <w:rPr>
          <w:color w:val="auto"/>
          <w:spacing w:val="-1"/>
          <w:highlight w:val="none"/>
        </w:rPr>
        <w:t>的基础上再让利</w:t>
      </w:r>
      <w:r>
        <w:rPr>
          <w:color w:val="auto"/>
          <w:spacing w:val="-29"/>
          <w:highlight w:val="none"/>
        </w:rPr>
        <w:t xml:space="preserve"> </w:t>
      </w:r>
      <w:r>
        <w:rPr>
          <w:color w:val="auto"/>
          <w:spacing w:val="-1"/>
          <w:highlight w:val="none"/>
        </w:rPr>
        <w:t>1%～</w:t>
      </w:r>
      <w:r>
        <w:rPr>
          <w:rFonts w:hint="eastAsia"/>
          <w:color w:val="auto"/>
          <w:spacing w:val="-1"/>
          <w:highlight w:val="none"/>
          <w:lang w:eastAsia="zh-CN"/>
        </w:rPr>
        <w:t>5%</w:t>
      </w:r>
      <w:r>
        <w:rPr>
          <w:color w:val="auto"/>
          <w:spacing w:val="-1"/>
          <w:highlight w:val="none"/>
        </w:rPr>
        <w:t>（由发包人视情节严重情况而定）进行最终结算，</w:t>
      </w:r>
      <w:r>
        <w:rPr>
          <w:color w:val="auto"/>
          <w:spacing w:val="-2"/>
          <w:highlight w:val="none"/>
        </w:rPr>
        <w:t>并对本方知情不</w:t>
      </w:r>
      <w:r>
        <w:rPr>
          <w:color w:val="auto"/>
          <w:spacing w:val="-4"/>
          <w:highlight w:val="none"/>
        </w:rPr>
        <w:t>报</w:t>
      </w:r>
      <w:r>
        <w:rPr>
          <w:rFonts w:hint="eastAsia" w:eastAsia="宋体"/>
          <w:color w:val="auto"/>
          <w:spacing w:val="-4"/>
          <w:highlight w:val="none"/>
          <w:lang w:val="en-US" w:eastAsia="zh-CN"/>
        </w:rPr>
        <w:t>的</w:t>
      </w:r>
      <w:r>
        <w:rPr>
          <w:color w:val="auto"/>
          <w:spacing w:val="-4"/>
          <w:highlight w:val="none"/>
        </w:rPr>
        <w:t>人员进行相应处罚。</w:t>
      </w:r>
    </w:p>
    <w:p w14:paraId="50D2FCC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2.6.如因承包人单位及人员在工程项目建设期间贿赂发包人人员，被检察机关立案查处</w:t>
      </w:r>
      <w:r>
        <w:rPr>
          <w:color w:val="auto"/>
          <w:spacing w:val="-1"/>
          <w:highlight w:val="none"/>
        </w:rPr>
        <w:t>的，发包人有权取消或终止工程合同的履行，由此给</w:t>
      </w:r>
      <w:r>
        <w:rPr>
          <w:color w:val="auto"/>
          <w:spacing w:val="-2"/>
          <w:highlight w:val="none"/>
        </w:rPr>
        <w:t>发包人造成的损失由承包人负责赔偿。</w:t>
      </w:r>
    </w:p>
    <w:p w14:paraId="3100DE40">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3C145528">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3BE821BB">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6064B30C">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0A65201F">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1D712C90">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04061A20">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487ACF9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44" w:firstLineChars="200"/>
        <w:textAlignment w:val="baseline"/>
        <w:rPr>
          <w:rFonts w:hint="default" w:eastAsia="宋体"/>
          <w:color w:val="auto"/>
          <w:highlight w:val="none"/>
          <w:lang w:val="en-US" w:eastAsia="zh-CN"/>
        </w:rPr>
      </w:pPr>
      <w:r>
        <w:rPr>
          <w:color w:val="auto"/>
          <w:spacing w:val="-19"/>
          <w:highlight w:val="none"/>
        </w:rPr>
        <w:t>发包人（公章</w:t>
      </w:r>
      <w:r>
        <w:rPr>
          <w:color w:val="auto"/>
          <w:spacing w:val="-8"/>
          <w:highlight w:val="none"/>
        </w:rPr>
        <w:t>）：</w:t>
      </w:r>
      <w:r>
        <w:rPr>
          <w:color w:val="auto"/>
          <w:spacing w:val="1"/>
          <w:highlight w:val="none"/>
        </w:rPr>
        <w:t xml:space="preserve">                   </w:t>
      </w:r>
      <w:r>
        <w:rPr>
          <w:color w:val="auto"/>
          <w:spacing w:val="-19"/>
          <w:highlight w:val="none"/>
        </w:rPr>
        <w:t>承包人（公章</w:t>
      </w:r>
      <w:r>
        <w:rPr>
          <w:color w:val="auto"/>
          <w:spacing w:val="-8"/>
          <w:highlight w:val="none"/>
        </w:rPr>
        <w:t>）：</w:t>
      </w:r>
      <w:r>
        <w:rPr>
          <w:rFonts w:hint="eastAsia"/>
          <w:color w:val="auto"/>
          <w:spacing w:val="-8"/>
          <w:highlight w:val="none"/>
          <w:lang w:val="en-US" w:eastAsia="zh-CN"/>
        </w:rPr>
        <w:t xml:space="preserve">                      </w:t>
      </w:r>
      <w:r>
        <w:rPr>
          <w:color w:val="auto"/>
          <w:spacing w:val="-19"/>
          <w:highlight w:val="none"/>
        </w:rPr>
        <w:t>承包人（公章</w:t>
      </w:r>
      <w:r>
        <w:rPr>
          <w:color w:val="auto"/>
          <w:spacing w:val="-8"/>
          <w:highlight w:val="none"/>
        </w:rPr>
        <w:t>）：</w:t>
      </w:r>
    </w:p>
    <w:p w14:paraId="72F0BD12">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64344967">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063A90F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法定代表人：</w:t>
      </w:r>
      <w:r>
        <w:rPr>
          <w:color w:val="auto"/>
          <w:highlight w:val="none"/>
        </w:rPr>
        <w:t xml:space="preserve">                      </w:t>
      </w:r>
      <w:r>
        <w:rPr>
          <w:color w:val="auto"/>
          <w:spacing w:val="-5"/>
          <w:highlight w:val="none"/>
        </w:rPr>
        <w:t>法定代表人：</w:t>
      </w:r>
      <w:r>
        <w:rPr>
          <w:rFonts w:hint="eastAsia"/>
          <w:color w:val="auto"/>
          <w:spacing w:val="-5"/>
          <w:highlight w:val="none"/>
          <w:lang w:val="en-US" w:eastAsia="zh-CN"/>
        </w:rPr>
        <w:t xml:space="preserve">                       </w:t>
      </w:r>
      <w:r>
        <w:rPr>
          <w:color w:val="auto"/>
          <w:highlight w:val="none"/>
        </w:rPr>
        <w:t xml:space="preserve"> </w:t>
      </w:r>
      <w:r>
        <w:rPr>
          <w:color w:val="auto"/>
          <w:spacing w:val="-5"/>
          <w:highlight w:val="none"/>
        </w:rPr>
        <w:t>法定代表人：</w:t>
      </w:r>
    </w:p>
    <w:p w14:paraId="01C046D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hint="default" w:eastAsia="宋体"/>
          <w:color w:val="auto"/>
          <w:highlight w:val="none"/>
          <w:lang w:val="en-US" w:eastAsia="zh-CN"/>
        </w:rPr>
      </w:pPr>
    </w:p>
    <w:p w14:paraId="3E010944">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55E6056C">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37CC6BF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rFonts w:hint="default" w:eastAsia="宋体"/>
          <w:color w:val="auto"/>
          <w:highlight w:val="none"/>
          <w:lang w:val="en-US" w:eastAsia="zh-CN"/>
        </w:rPr>
      </w:pPr>
      <w:r>
        <w:rPr>
          <w:color w:val="auto"/>
          <w:spacing w:val="-5"/>
          <w:highlight w:val="none"/>
        </w:rPr>
        <w:t>签约代表人：</w:t>
      </w:r>
      <w:r>
        <w:rPr>
          <w:color w:val="auto"/>
          <w:highlight w:val="none"/>
        </w:rPr>
        <w:t xml:space="preserve">                      </w:t>
      </w:r>
      <w:r>
        <w:rPr>
          <w:color w:val="auto"/>
          <w:spacing w:val="-5"/>
          <w:highlight w:val="none"/>
        </w:rPr>
        <w:t>签约代表人：</w:t>
      </w:r>
      <w:r>
        <w:rPr>
          <w:rFonts w:hint="eastAsia"/>
          <w:color w:val="auto"/>
          <w:spacing w:val="-5"/>
          <w:highlight w:val="none"/>
          <w:lang w:val="en-US" w:eastAsia="zh-CN"/>
        </w:rPr>
        <w:t xml:space="preserve">                        </w:t>
      </w:r>
      <w:r>
        <w:rPr>
          <w:color w:val="auto"/>
          <w:spacing w:val="-5"/>
          <w:highlight w:val="none"/>
        </w:rPr>
        <w:t>签约代表人：</w:t>
      </w:r>
    </w:p>
    <w:p w14:paraId="34B10CCD">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6AD687BB">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14310C9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8" w:firstLineChars="200"/>
        <w:textAlignment w:val="baseline"/>
        <w:rPr>
          <w:color w:val="auto"/>
          <w:highlight w:val="none"/>
        </w:rPr>
      </w:pPr>
      <w:r>
        <w:rPr>
          <w:color w:val="auto"/>
          <w:spacing w:val="-8"/>
          <w:highlight w:val="none"/>
        </w:rPr>
        <w:t>年</w:t>
      </w:r>
      <w:r>
        <w:rPr>
          <w:color w:val="auto"/>
          <w:spacing w:val="2"/>
          <w:highlight w:val="none"/>
        </w:rPr>
        <w:t xml:space="preserve">     </w:t>
      </w:r>
      <w:r>
        <w:rPr>
          <w:color w:val="auto"/>
          <w:spacing w:val="-8"/>
          <w:highlight w:val="none"/>
        </w:rPr>
        <w:t>月</w:t>
      </w:r>
      <w:r>
        <w:rPr>
          <w:color w:val="auto"/>
          <w:spacing w:val="9"/>
          <w:highlight w:val="none"/>
        </w:rPr>
        <w:t xml:space="preserve">     </w:t>
      </w:r>
      <w:r>
        <w:rPr>
          <w:color w:val="auto"/>
          <w:spacing w:val="-8"/>
          <w:highlight w:val="none"/>
        </w:rPr>
        <w:t>日</w:t>
      </w:r>
    </w:p>
    <w:p w14:paraId="3F6A84AE">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sectPr>
          <w:headerReference r:id="rId45" w:type="default"/>
          <w:footerReference r:id="rId46" w:type="default"/>
          <w:pgSz w:w="11906" w:h="16839"/>
          <w:pgMar w:top="1134" w:right="1191" w:bottom="1134" w:left="1020" w:header="0" w:footer="987" w:gutter="0"/>
          <w:pgNumType w:fmt="decimal"/>
          <w:cols w:space="720" w:num="1"/>
          <w:rtlGutter w:val="0"/>
          <w:docGrid w:linePitch="0" w:charSpace="0"/>
        </w:sectPr>
      </w:pPr>
    </w:p>
    <w:p w14:paraId="2220B996">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61E0D77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530" w:firstLineChars="200"/>
        <w:jc w:val="center"/>
        <w:textAlignment w:val="baseline"/>
        <w:outlineLvl w:val="0"/>
        <w:rPr>
          <w:color w:val="auto"/>
          <w:sz w:val="28"/>
          <w:szCs w:val="28"/>
          <w:highlight w:val="none"/>
        </w:rPr>
      </w:pPr>
      <w:bookmarkStart w:id="2255" w:name="_Toc15625"/>
      <w:r>
        <w:rPr>
          <w:b/>
          <w:bCs/>
          <w:color w:val="auto"/>
          <w:spacing w:val="-8"/>
          <w:sz w:val="28"/>
          <w:szCs w:val="28"/>
          <w:highlight w:val="none"/>
        </w:rPr>
        <w:t>附件</w:t>
      </w:r>
      <w:r>
        <w:rPr>
          <w:color w:val="auto"/>
          <w:spacing w:val="-36"/>
          <w:sz w:val="28"/>
          <w:szCs w:val="28"/>
          <w:highlight w:val="none"/>
        </w:rPr>
        <w:t xml:space="preserve"> </w:t>
      </w:r>
      <w:r>
        <w:rPr>
          <w:b/>
          <w:bCs/>
          <w:color w:val="auto"/>
          <w:spacing w:val="-8"/>
          <w:sz w:val="28"/>
          <w:szCs w:val="28"/>
          <w:highlight w:val="none"/>
        </w:rPr>
        <w:t>10</w:t>
      </w:r>
      <w:r>
        <w:rPr>
          <w:color w:val="auto"/>
          <w:spacing w:val="-8"/>
          <w:sz w:val="28"/>
          <w:szCs w:val="28"/>
          <w:highlight w:val="none"/>
        </w:rPr>
        <w:t xml:space="preserve"> </w:t>
      </w:r>
      <w:r>
        <w:rPr>
          <w:b/>
          <w:bCs/>
          <w:color w:val="auto"/>
          <w:spacing w:val="-8"/>
          <w:sz w:val="28"/>
          <w:szCs w:val="28"/>
          <w:highlight w:val="none"/>
        </w:rPr>
        <w:t>银行履约保函</w:t>
      </w:r>
      <w:bookmarkEnd w:id="2255"/>
    </w:p>
    <w:p w14:paraId="5B286F58">
      <w:pPr>
        <w:pStyle w:val="9"/>
        <w:pageBreakBefore w:val="0"/>
        <w:widowControl/>
        <w:tabs>
          <w:tab w:val="left" w:pos="2231"/>
        </w:tabs>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u w:val="single" w:color="auto"/>
        </w:rPr>
        <w:tab/>
      </w:r>
      <w:r>
        <w:rPr>
          <w:color w:val="auto"/>
          <w:spacing w:val="-17"/>
          <w:highlight w:val="none"/>
          <w:u w:val="single" w:color="auto"/>
        </w:rPr>
        <w:t>（发包人名称</w:t>
      </w:r>
      <w:r>
        <w:rPr>
          <w:color w:val="auto"/>
          <w:spacing w:val="-9"/>
          <w:highlight w:val="none"/>
          <w:u w:val="single" w:color="auto"/>
        </w:rPr>
        <w:t>）</w:t>
      </w:r>
      <w:r>
        <w:rPr>
          <w:color w:val="auto"/>
          <w:spacing w:val="105"/>
          <w:highlight w:val="none"/>
          <w:u w:val="single" w:color="auto"/>
        </w:rPr>
        <w:t xml:space="preserve"> </w:t>
      </w:r>
      <w:r>
        <w:rPr>
          <w:color w:val="auto"/>
          <w:spacing w:val="-9"/>
          <w:highlight w:val="none"/>
        </w:rPr>
        <w:t>：</w:t>
      </w:r>
    </w:p>
    <w:p w14:paraId="3D09BF0D">
      <w:pPr>
        <w:pStyle w:val="9"/>
        <w:pageBreakBefore w:val="0"/>
        <w:widowControl/>
        <w:tabs>
          <w:tab w:val="left" w:pos="9882"/>
        </w:tabs>
        <w:kinsoku w:val="0"/>
        <w:wordWrap/>
        <w:overflowPunct/>
        <w:topLinePunct/>
        <w:autoSpaceDE w:val="0"/>
        <w:autoSpaceDN w:val="0"/>
        <w:bidi w:val="0"/>
        <w:adjustRightInd w:val="0"/>
        <w:snapToGrid w:val="0"/>
        <w:spacing w:line="360" w:lineRule="auto"/>
        <w:ind w:left="0" w:leftChars="0" w:right="0" w:rightChars="0" w:firstLine="392" w:firstLineChars="200"/>
        <w:jc w:val="both"/>
        <w:textAlignment w:val="baseline"/>
        <w:rPr>
          <w:color w:val="auto"/>
          <w:highlight w:val="none"/>
        </w:rPr>
      </w:pPr>
      <w:r>
        <w:rPr>
          <w:color w:val="auto"/>
          <w:spacing w:val="-7"/>
          <w:highlight w:val="none"/>
        </w:rPr>
        <w:t>鉴于</w:t>
      </w:r>
      <w:r>
        <w:rPr>
          <w:color w:val="auto"/>
          <w:spacing w:val="-7"/>
          <w:highlight w:val="none"/>
          <w:u w:val="single" w:color="auto"/>
        </w:rPr>
        <w:t>（承包人名称</w:t>
      </w:r>
      <w:r>
        <w:rPr>
          <w:color w:val="auto"/>
          <w:spacing w:val="3"/>
          <w:highlight w:val="none"/>
          <w:u w:val="single" w:color="auto"/>
        </w:rPr>
        <w:t>）</w:t>
      </w:r>
      <w:r>
        <w:rPr>
          <w:color w:val="auto"/>
          <w:spacing w:val="9"/>
          <w:highlight w:val="none"/>
          <w:u w:val="single" w:color="auto"/>
        </w:rPr>
        <w:t xml:space="preserve">           </w:t>
      </w:r>
      <w:r>
        <w:rPr>
          <w:color w:val="auto"/>
          <w:spacing w:val="3"/>
          <w:highlight w:val="none"/>
        </w:rPr>
        <w:t>（</w:t>
      </w:r>
      <w:r>
        <w:rPr>
          <w:color w:val="auto"/>
          <w:spacing w:val="-7"/>
          <w:highlight w:val="none"/>
        </w:rPr>
        <w:t>以下简称“承包人</w:t>
      </w:r>
      <w:r>
        <w:rPr>
          <w:color w:val="auto"/>
          <w:spacing w:val="-71"/>
          <w:highlight w:val="none"/>
        </w:rPr>
        <w:t xml:space="preserve"> </w:t>
      </w:r>
      <w:r>
        <w:rPr>
          <w:color w:val="auto"/>
          <w:spacing w:val="-7"/>
          <w:highlight w:val="none"/>
        </w:rPr>
        <w:t>”）已保证按照与</w:t>
      </w:r>
      <w:r>
        <w:rPr>
          <w:color w:val="auto"/>
          <w:spacing w:val="-88"/>
          <w:highlight w:val="none"/>
        </w:rPr>
        <w:t xml:space="preserve"> </w:t>
      </w:r>
      <w:r>
        <w:rPr>
          <w:color w:val="auto"/>
          <w:highlight w:val="none"/>
          <w:u w:val="single" w:color="auto"/>
        </w:rPr>
        <w:tab/>
      </w:r>
      <w:r>
        <w:rPr>
          <w:color w:val="auto"/>
          <w:highlight w:val="none"/>
        </w:rPr>
        <w:t xml:space="preserve">  </w:t>
      </w:r>
    </w:p>
    <w:p w14:paraId="0B60E3B2">
      <w:pPr>
        <w:pStyle w:val="9"/>
        <w:pageBreakBefore w:val="0"/>
        <w:widowControl/>
        <w:tabs>
          <w:tab w:val="left" w:pos="9882"/>
        </w:tabs>
        <w:kinsoku w:val="0"/>
        <w:wordWrap/>
        <w:overflowPunct/>
        <w:topLinePunct/>
        <w:autoSpaceDE w:val="0"/>
        <w:autoSpaceDN w:val="0"/>
        <w:bidi w:val="0"/>
        <w:adjustRightInd w:val="0"/>
        <w:snapToGrid w:val="0"/>
        <w:spacing w:line="360" w:lineRule="auto"/>
        <w:ind w:right="0" w:rightChars="0"/>
        <w:jc w:val="both"/>
        <w:textAlignment w:val="baseline"/>
        <w:rPr>
          <w:color w:val="auto"/>
          <w:highlight w:val="none"/>
        </w:rPr>
      </w:pPr>
      <w:r>
        <w:rPr>
          <w:color w:val="auto"/>
          <w:spacing w:val="-14"/>
          <w:highlight w:val="none"/>
        </w:rPr>
        <w:t>（发包人名称</w:t>
      </w:r>
      <w:r>
        <w:rPr>
          <w:color w:val="auto"/>
          <w:spacing w:val="-9"/>
          <w:highlight w:val="none"/>
        </w:rPr>
        <w:t>）（</w:t>
      </w:r>
      <w:r>
        <w:rPr>
          <w:color w:val="auto"/>
          <w:spacing w:val="-14"/>
          <w:highlight w:val="none"/>
        </w:rPr>
        <w:t>以下简称“发包人</w:t>
      </w:r>
      <w:r>
        <w:rPr>
          <w:color w:val="auto"/>
          <w:spacing w:val="-77"/>
          <w:highlight w:val="none"/>
        </w:rPr>
        <w:t xml:space="preserve"> </w:t>
      </w:r>
      <w:r>
        <w:rPr>
          <w:color w:val="auto"/>
          <w:spacing w:val="-14"/>
          <w:highlight w:val="none"/>
        </w:rPr>
        <w:t>”）签订的《</w:t>
      </w:r>
      <w:r>
        <w:rPr>
          <w:color w:val="auto"/>
          <w:highlight w:val="none"/>
          <w:u w:val="single" w:color="auto"/>
        </w:rPr>
        <w:t xml:space="preserve">           </w:t>
      </w:r>
      <w:r>
        <w:rPr>
          <w:color w:val="auto"/>
          <w:spacing w:val="-95"/>
          <w:highlight w:val="none"/>
        </w:rPr>
        <w:t xml:space="preserve"> </w:t>
      </w:r>
      <w:r>
        <w:rPr>
          <w:color w:val="auto"/>
          <w:spacing w:val="-14"/>
          <w:highlight w:val="none"/>
        </w:rPr>
        <w:t>合同》</w:t>
      </w:r>
      <w:r>
        <w:rPr>
          <w:color w:val="auto"/>
          <w:spacing w:val="-15"/>
          <w:highlight w:val="none"/>
        </w:rPr>
        <w:t>（以下简称“合同</w:t>
      </w:r>
      <w:r>
        <w:rPr>
          <w:color w:val="auto"/>
          <w:spacing w:val="-78"/>
          <w:highlight w:val="none"/>
        </w:rPr>
        <w:t xml:space="preserve"> </w:t>
      </w:r>
      <w:r>
        <w:rPr>
          <w:color w:val="auto"/>
          <w:spacing w:val="-15"/>
          <w:highlight w:val="none"/>
        </w:rPr>
        <w:t>”）实</w:t>
      </w:r>
      <w:r>
        <w:rPr>
          <w:color w:val="auto"/>
          <w:spacing w:val="-7"/>
          <w:highlight w:val="none"/>
        </w:rPr>
        <w:t>施项目。</w:t>
      </w:r>
    </w:p>
    <w:p w14:paraId="2F0A7D2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鉴于发包人在上述合同中要求承包人向发包人提交下述金额的由银行开具的保函，作为承包人履行本合同责任的保证金。</w:t>
      </w:r>
    </w:p>
    <w:p w14:paraId="58B46E5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本银行同意为承包人出具本保函。</w:t>
      </w:r>
    </w:p>
    <w:p w14:paraId="355D106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4" w:firstLineChars="200"/>
        <w:textAlignment w:val="baseline"/>
        <w:rPr>
          <w:color w:val="auto"/>
          <w:highlight w:val="none"/>
        </w:rPr>
      </w:pPr>
      <w:r>
        <w:rPr>
          <w:color w:val="auto"/>
          <w:spacing w:val="-9"/>
          <w:highlight w:val="none"/>
        </w:rPr>
        <w:t>本银行在此代表承包人向发包人承担支付人民币（大写）</w:t>
      </w:r>
      <w:r>
        <w:rPr>
          <w:color w:val="auto"/>
          <w:highlight w:val="none"/>
          <w:u w:val="single" w:color="auto"/>
        </w:rPr>
        <w:t xml:space="preserve">                  </w:t>
      </w:r>
      <w:r>
        <w:rPr>
          <w:color w:val="auto"/>
          <w:spacing w:val="-90"/>
          <w:highlight w:val="none"/>
        </w:rPr>
        <w:t xml:space="preserve"> </w:t>
      </w:r>
      <w:r>
        <w:rPr>
          <w:color w:val="auto"/>
          <w:spacing w:val="-9"/>
          <w:highlight w:val="none"/>
        </w:rPr>
        <w:t>元的责任，</w:t>
      </w:r>
      <w:r>
        <w:rPr>
          <w:color w:val="auto"/>
          <w:spacing w:val="-3"/>
          <w:highlight w:val="none"/>
        </w:rPr>
        <w:t>我行无条件地且不可撤销的承诺：承包人在履行合同过程中，由于资金、技术、质量或非不可抗力等原因给发包人造成经济损失时，在发包人向本行提交书面索赔通知并要求得到上述金额内得任何付款时，本银行即予支付，不挑剔、不争辩、也不要求发包人出具证明或说明</w:t>
      </w:r>
      <w:r>
        <w:rPr>
          <w:color w:val="auto"/>
          <w:spacing w:val="-6"/>
          <w:highlight w:val="none"/>
        </w:rPr>
        <w:t>背景、理由。</w:t>
      </w:r>
    </w:p>
    <w:p w14:paraId="04B512F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本银行放弃发包人应先向承包人要求赔偿上述金额然后再向本银行提出要求的</w:t>
      </w:r>
      <w:r>
        <w:rPr>
          <w:color w:val="auto"/>
          <w:spacing w:val="-2"/>
          <w:highlight w:val="none"/>
        </w:rPr>
        <w:t>权利。</w:t>
      </w:r>
      <w:r>
        <w:rPr>
          <w:color w:val="auto"/>
          <w:spacing w:val="-3"/>
          <w:highlight w:val="none"/>
        </w:rPr>
        <w:t>本保函为见索即付的独立保函。</w:t>
      </w:r>
    </w:p>
    <w:p w14:paraId="73C7424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jc w:val="both"/>
        <w:textAlignment w:val="baseline"/>
        <w:rPr>
          <w:color w:val="auto"/>
          <w:highlight w:val="none"/>
        </w:rPr>
      </w:pPr>
      <w:r>
        <w:rPr>
          <w:color w:val="auto"/>
          <w:spacing w:val="-4"/>
          <w:highlight w:val="none"/>
        </w:rPr>
        <w:t>本银行进一步同意在发包人和承包人之间的合同条件、合同项下的项目或合同发生变化、</w:t>
      </w:r>
      <w:r>
        <w:rPr>
          <w:color w:val="auto"/>
          <w:spacing w:val="-3"/>
          <w:highlight w:val="none"/>
        </w:rPr>
        <w:t>补充或修改后</w:t>
      </w:r>
      <w:r>
        <w:rPr>
          <w:rFonts w:hint="eastAsia"/>
          <w:color w:val="auto"/>
          <w:spacing w:val="-3"/>
          <w:highlight w:val="none"/>
          <w:lang w:eastAsia="zh-CN"/>
        </w:rPr>
        <w:t>，</w:t>
      </w:r>
      <w:r>
        <w:rPr>
          <w:color w:val="auto"/>
          <w:spacing w:val="-3"/>
          <w:highlight w:val="none"/>
        </w:rPr>
        <w:t>本银行承担本保函的责任也不改变，有关上述变化、补充和修改也无须通知</w:t>
      </w:r>
      <w:r>
        <w:rPr>
          <w:color w:val="auto"/>
          <w:spacing w:val="-8"/>
          <w:highlight w:val="none"/>
        </w:rPr>
        <w:t>本银行。</w:t>
      </w:r>
    </w:p>
    <w:p w14:paraId="2859555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本保函自发包人、承包人双方签订的合同生效之日起至发包人签发工程接收证书之日止</w:t>
      </w:r>
      <w:r>
        <w:rPr>
          <w:color w:val="auto"/>
          <w:spacing w:val="-7"/>
          <w:highlight w:val="none"/>
        </w:rPr>
        <w:t>一直有效。</w:t>
      </w:r>
    </w:p>
    <w:p w14:paraId="6E90CEE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因本保函发生的纠纷，可由双方协商解决，协商不成的，任何一方均可向</w:t>
      </w:r>
      <w:r>
        <w:rPr>
          <w:color w:val="auto"/>
          <w:spacing w:val="-4"/>
          <w:highlight w:val="none"/>
        </w:rPr>
        <w:t>发包人所在地</w:t>
      </w:r>
      <w:r>
        <w:rPr>
          <w:color w:val="auto"/>
          <w:spacing w:val="-3"/>
          <w:highlight w:val="none"/>
        </w:rPr>
        <w:t>有管辖权的人民法院起诉。</w:t>
      </w:r>
    </w:p>
    <w:p w14:paraId="5F52C0DD">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1BFBB54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银行名称</w:t>
      </w:r>
      <w:r>
        <w:rPr>
          <w:color w:val="auto"/>
          <w:highlight w:val="none"/>
        </w:rPr>
        <w:t>：</w:t>
      </w:r>
      <w:r>
        <w:rPr>
          <w:color w:val="auto"/>
          <w:spacing w:val="4"/>
          <w:highlight w:val="none"/>
        </w:rPr>
        <w:t xml:space="preserve">                         </w:t>
      </w:r>
      <w:r>
        <w:rPr>
          <w:color w:val="auto"/>
          <w:highlight w:val="none"/>
        </w:rPr>
        <w:t>（</w:t>
      </w:r>
      <w:r>
        <w:rPr>
          <w:color w:val="auto"/>
          <w:spacing w:val="-3"/>
          <w:highlight w:val="none"/>
        </w:rPr>
        <w:t>盖章）</w:t>
      </w:r>
    </w:p>
    <w:p w14:paraId="7F18C4C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8" w:firstLineChars="200"/>
        <w:textAlignment w:val="baseline"/>
        <w:rPr>
          <w:color w:val="auto"/>
          <w:highlight w:val="none"/>
        </w:rPr>
      </w:pPr>
      <w:r>
        <w:rPr>
          <w:color w:val="auto"/>
          <w:spacing w:val="-8"/>
          <w:highlight w:val="none"/>
        </w:rPr>
        <w:t>银行法定代表人（或负责人</w:t>
      </w:r>
      <w:r>
        <w:rPr>
          <w:color w:val="auto"/>
          <w:spacing w:val="1"/>
          <w:highlight w:val="none"/>
        </w:rPr>
        <w:t>）：            （</w:t>
      </w:r>
      <w:r>
        <w:rPr>
          <w:color w:val="auto"/>
          <w:spacing w:val="-8"/>
          <w:highlight w:val="none"/>
        </w:rPr>
        <w:t>签字或签章）</w:t>
      </w:r>
    </w:p>
    <w:p w14:paraId="74A0153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color w:val="auto"/>
          <w:highlight w:val="none"/>
        </w:rPr>
      </w:pPr>
      <w:r>
        <w:rPr>
          <w:color w:val="auto"/>
          <w:spacing w:val="-13"/>
          <w:highlight w:val="none"/>
        </w:rPr>
        <w:t>地</w:t>
      </w:r>
      <w:r>
        <w:rPr>
          <w:color w:val="auto"/>
          <w:spacing w:val="2"/>
          <w:highlight w:val="none"/>
        </w:rPr>
        <w:t xml:space="preserve">    </w:t>
      </w:r>
      <w:r>
        <w:rPr>
          <w:color w:val="auto"/>
          <w:spacing w:val="-13"/>
          <w:highlight w:val="none"/>
        </w:rPr>
        <w:t>址：</w:t>
      </w:r>
    </w:p>
    <w:p w14:paraId="6A52AA8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72" w:firstLineChars="200"/>
        <w:textAlignment w:val="baseline"/>
        <w:rPr>
          <w:color w:val="auto"/>
          <w:highlight w:val="none"/>
        </w:rPr>
      </w:pPr>
      <w:r>
        <w:rPr>
          <w:color w:val="auto"/>
          <w:spacing w:val="-12"/>
          <w:highlight w:val="none"/>
        </w:rPr>
        <w:t>邮政编码：</w:t>
      </w:r>
    </w:p>
    <w:p w14:paraId="07CC688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color w:val="auto"/>
          <w:highlight w:val="none"/>
        </w:rPr>
      </w:pPr>
      <w:r>
        <w:rPr>
          <w:color w:val="auto"/>
          <w:spacing w:val="-13"/>
          <w:highlight w:val="none"/>
        </w:rPr>
        <w:t>日</w:t>
      </w:r>
      <w:r>
        <w:rPr>
          <w:color w:val="auto"/>
          <w:spacing w:val="2"/>
          <w:highlight w:val="none"/>
        </w:rPr>
        <w:t xml:space="preserve">    </w:t>
      </w:r>
      <w:r>
        <w:rPr>
          <w:color w:val="auto"/>
          <w:spacing w:val="-13"/>
          <w:highlight w:val="none"/>
        </w:rPr>
        <w:t>期：</w:t>
      </w:r>
      <w:r>
        <w:rPr>
          <w:color w:val="auto"/>
          <w:spacing w:val="1"/>
          <w:highlight w:val="none"/>
        </w:rPr>
        <w:t xml:space="preserve">           </w:t>
      </w:r>
      <w:r>
        <w:rPr>
          <w:color w:val="auto"/>
          <w:spacing w:val="-13"/>
          <w:highlight w:val="none"/>
        </w:rPr>
        <w:t>年</w:t>
      </w:r>
      <w:r>
        <w:rPr>
          <w:color w:val="auto"/>
          <w:spacing w:val="2"/>
          <w:highlight w:val="none"/>
        </w:rPr>
        <w:t xml:space="preserve">     </w:t>
      </w:r>
      <w:r>
        <w:rPr>
          <w:color w:val="auto"/>
          <w:spacing w:val="-13"/>
          <w:highlight w:val="none"/>
        </w:rPr>
        <w:t>月</w:t>
      </w:r>
      <w:r>
        <w:rPr>
          <w:color w:val="auto"/>
          <w:spacing w:val="12"/>
          <w:highlight w:val="none"/>
        </w:rPr>
        <w:t xml:space="preserve">    </w:t>
      </w:r>
      <w:r>
        <w:rPr>
          <w:color w:val="auto"/>
          <w:spacing w:val="-13"/>
          <w:highlight w:val="none"/>
        </w:rPr>
        <w:t>日</w:t>
      </w:r>
    </w:p>
    <w:p w14:paraId="719CD58A">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sectPr>
          <w:headerReference r:id="rId47" w:type="default"/>
          <w:footerReference r:id="rId48" w:type="default"/>
          <w:pgSz w:w="11906" w:h="16839"/>
          <w:pgMar w:top="1134" w:right="1191" w:bottom="1134" w:left="1020" w:header="0" w:footer="987" w:gutter="0"/>
          <w:pgNumType w:fmt="decimal"/>
          <w:cols w:space="720" w:num="1"/>
          <w:rtlGutter w:val="0"/>
          <w:docGrid w:linePitch="0" w:charSpace="0"/>
        </w:sectPr>
      </w:pPr>
    </w:p>
    <w:p w14:paraId="6AA1235D">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781D73C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526" w:firstLineChars="200"/>
        <w:jc w:val="center"/>
        <w:textAlignment w:val="baseline"/>
        <w:outlineLvl w:val="0"/>
        <w:rPr>
          <w:color w:val="auto"/>
          <w:sz w:val="28"/>
          <w:szCs w:val="28"/>
          <w:highlight w:val="none"/>
        </w:rPr>
      </w:pPr>
      <w:bookmarkStart w:id="2256" w:name="_Toc194"/>
      <w:r>
        <w:rPr>
          <w:b/>
          <w:bCs/>
          <w:color w:val="auto"/>
          <w:spacing w:val="-9"/>
          <w:sz w:val="28"/>
          <w:szCs w:val="28"/>
          <w:highlight w:val="none"/>
        </w:rPr>
        <w:t>附件</w:t>
      </w:r>
      <w:r>
        <w:rPr>
          <w:color w:val="auto"/>
          <w:spacing w:val="-32"/>
          <w:sz w:val="28"/>
          <w:szCs w:val="28"/>
          <w:highlight w:val="none"/>
        </w:rPr>
        <w:t xml:space="preserve"> </w:t>
      </w:r>
      <w:r>
        <w:rPr>
          <w:b/>
          <w:bCs/>
          <w:color w:val="auto"/>
          <w:spacing w:val="-9"/>
          <w:sz w:val="28"/>
          <w:szCs w:val="28"/>
          <w:highlight w:val="none"/>
        </w:rPr>
        <w:t>11</w:t>
      </w:r>
      <w:r>
        <w:rPr>
          <w:color w:val="auto"/>
          <w:spacing w:val="-9"/>
          <w:sz w:val="28"/>
          <w:szCs w:val="28"/>
          <w:highlight w:val="none"/>
        </w:rPr>
        <w:t xml:space="preserve"> </w:t>
      </w:r>
      <w:r>
        <w:rPr>
          <w:b/>
          <w:bCs/>
          <w:color w:val="auto"/>
          <w:spacing w:val="-9"/>
          <w:sz w:val="28"/>
          <w:szCs w:val="28"/>
          <w:highlight w:val="none"/>
        </w:rPr>
        <w:t>预付款担保</w:t>
      </w:r>
      <w:bookmarkEnd w:id="2256"/>
    </w:p>
    <w:p w14:paraId="75BF103D">
      <w:pPr>
        <w:pStyle w:val="9"/>
        <w:pageBreakBefore w:val="0"/>
        <w:widowControl/>
        <w:tabs>
          <w:tab w:val="left" w:pos="2231"/>
        </w:tabs>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u w:val="single" w:color="auto"/>
        </w:rPr>
        <w:tab/>
      </w:r>
      <w:r>
        <w:rPr>
          <w:color w:val="auto"/>
          <w:spacing w:val="-23"/>
          <w:w w:val="95"/>
          <w:highlight w:val="none"/>
          <w:u w:val="single" w:color="auto"/>
        </w:rPr>
        <w:t>（发包人名称</w:t>
      </w:r>
      <w:r>
        <w:rPr>
          <w:color w:val="auto"/>
          <w:spacing w:val="-12"/>
          <w:highlight w:val="none"/>
          <w:u w:val="single" w:color="auto"/>
        </w:rPr>
        <w:t>）</w:t>
      </w:r>
      <w:r>
        <w:rPr>
          <w:color w:val="auto"/>
          <w:spacing w:val="-12"/>
          <w:highlight w:val="none"/>
        </w:rPr>
        <w:t>：</w:t>
      </w:r>
    </w:p>
    <w:p w14:paraId="4FE3C0DC">
      <w:pPr>
        <w:pStyle w:val="9"/>
        <w:pageBreakBefore w:val="0"/>
        <w:widowControl/>
        <w:tabs>
          <w:tab w:val="left" w:pos="9997"/>
        </w:tabs>
        <w:kinsoku w:val="0"/>
        <w:wordWrap/>
        <w:overflowPunct/>
        <w:topLinePunct/>
        <w:autoSpaceDE w:val="0"/>
        <w:autoSpaceDN w:val="0"/>
        <w:bidi w:val="0"/>
        <w:adjustRightInd w:val="0"/>
        <w:snapToGrid w:val="0"/>
        <w:spacing w:line="360" w:lineRule="auto"/>
        <w:ind w:left="0" w:leftChars="0" w:right="0" w:rightChars="0" w:firstLine="380" w:firstLineChars="200"/>
        <w:jc w:val="both"/>
        <w:textAlignment w:val="baseline"/>
        <w:rPr>
          <w:color w:val="auto"/>
          <w:highlight w:val="none"/>
        </w:rPr>
      </w:pPr>
      <w:r>
        <w:rPr>
          <w:color w:val="auto"/>
          <w:spacing w:val="-10"/>
          <w:highlight w:val="none"/>
        </w:rPr>
        <w:t xml:space="preserve">根据 </w:t>
      </w:r>
      <w:r>
        <w:rPr>
          <w:color w:val="auto"/>
          <w:spacing w:val="-10"/>
          <w:highlight w:val="none"/>
          <w:u w:val="single" w:color="auto"/>
        </w:rPr>
        <w:t xml:space="preserve">                 </w:t>
      </w:r>
      <w:r>
        <w:rPr>
          <w:color w:val="auto"/>
          <w:spacing w:val="-10"/>
          <w:highlight w:val="none"/>
        </w:rPr>
        <w:t>（承包人名称</w:t>
      </w:r>
      <w:r>
        <w:rPr>
          <w:color w:val="auto"/>
          <w:highlight w:val="none"/>
        </w:rPr>
        <w:t>）（</w:t>
      </w:r>
      <w:r>
        <w:rPr>
          <w:color w:val="auto"/>
          <w:spacing w:val="-10"/>
          <w:highlight w:val="none"/>
        </w:rPr>
        <w:t>以下简称“承包人</w:t>
      </w:r>
      <w:r>
        <w:rPr>
          <w:color w:val="auto"/>
          <w:spacing w:val="-77"/>
          <w:highlight w:val="none"/>
        </w:rPr>
        <w:t xml:space="preserve"> </w:t>
      </w:r>
      <w:r>
        <w:rPr>
          <w:color w:val="auto"/>
          <w:spacing w:val="-10"/>
          <w:highlight w:val="none"/>
        </w:rPr>
        <w:t>”）与</w:t>
      </w:r>
      <w:r>
        <w:rPr>
          <w:color w:val="auto"/>
          <w:spacing w:val="-88"/>
          <w:highlight w:val="none"/>
        </w:rPr>
        <w:t xml:space="preserve"> </w:t>
      </w:r>
      <w:r>
        <w:rPr>
          <w:color w:val="auto"/>
          <w:highlight w:val="none"/>
          <w:u w:val="single" w:color="auto"/>
        </w:rPr>
        <w:tab/>
      </w:r>
      <w:r>
        <w:rPr>
          <w:color w:val="auto"/>
          <w:highlight w:val="none"/>
        </w:rPr>
        <w:t xml:space="preserve">  </w:t>
      </w:r>
    </w:p>
    <w:p w14:paraId="3E4A9270">
      <w:pPr>
        <w:pStyle w:val="9"/>
        <w:pageBreakBefore w:val="0"/>
        <w:widowControl/>
        <w:tabs>
          <w:tab w:val="left" w:pos="9997"/>
        </w:tabs>
        <w:kinsoku w:val="0"/>
        <w:wordWrap/>
        <w:overflowPunct/>
        <w:topLinePunct/>
        <w:autoSpaceDE w:val="0"/>
        <w:autoSpaceDN w:val="0"/>
        <w:bidi w:val="0"/>
        <w:adjustRightInd w:val="0"/>
        <w:snapToGrid w:val="0"/>
        <w:spacing w:line="360" w:lineRule="auto"/>
        <w:ind w:right="0" w:rightChars="0"/>
        <w:jc w:val="both"/>
        <w:textAlignment w:val="baseline"/>
        <w:rPr>
          <w:color w:val="auto"/>
          <w:highlight w:val="none"/>
        </w:rPr>
      </w:pPr>
      <w:r>
        <w:rPr>
          <w:color w:val="auto"/>
          <w:spacing w:val="-11"/>
          <w:highlight w:val="none"/>
        </w:rPr>
        <w:t>（发包人名称</w:t>
      </w:r>
      <w:r>
        <w:rPr>
          <w:color w:val="auto"/>
          <w:spacing w:val="-3"/>
          <w:highlight w:val="none"/>
        </w:rPr>
        <w:t>）（</w:t>
      </w:r>
      <w:r>
        <w:rPr>
          <w:color w:val="auto"/>
          <w:spacing w:val="-11"/>
          <w:highlight w:val="none"/>
        </w:rPr>
        <w:t>以下简称“发包人</w:t>
      </w:r>
      <w:r>
        <w:rPr>
          <w:color w:val="auto"/>
          <w:spacing w:val="-77"/>
          <w:highlight w:val="none"/>
        </w:rPr>
        <w:t xml:space="preserve"> </w:t>
      </w:r>
      <w:r>
        <w:rPr>
          <w:color w:val="auto"/>
          <w:spacing w:val="-11"/>
          <w:highlight w:val="none"/>
        </w:rPr>
        <w:t xml:space="preserve">”）于 </w:t>
      </w:r>
      <w:r>
        <w:rPr>
          <w:color w:val="auto"/>
          <w:spacing w:val="-11"/>
          <w:highlight w:val="none"/>
          <w:u w:val="single" w:color="auto"/>
        </w:rPr>
        <w:t xml:space="preserve">    </w:t>
      </w:r>
      <w:r>
        <w:rPr>
          <w:color w:val="auto"/>
          <w:spacing w:val="-96"/>
          <w:highlight w:val="none"/>
        </w:rPr>
        <w:t xml:space="preserve"> </w:t>
      </w:r>
      <w:r>
        <w:rPr>
          <w:color w:val="auto"/>
          <w:spacing w:val="-11"/>
          <w:highlight w:val="none"/>
        </w:rPr>
        <w:t>年</w:t>
      </w:r>
      <w:r>
        <w:rPr>
          <w:color w:val="auto"/>
          <w:highlight w:val="none"/>
          <w:u w:val="single" w:color="auto"/>
        </w:rPr>
        <w:t xml:space="preserve">    </w:t>
      </w:r>
      <w:r>
        <w:rPr>
          <w:color w:val="auto"/>
          <w:spacing w:val="-92"/>
          <w:highlight w:val="none"/>
        </w:rPr>
        <w:t xml:space="preserve"> </w:t>
      </w:r>
      <w:r>
        <w:rPr>
          <w:color w:val="auto"/>
          <w:spacing w:val="-11"/>
          <w:highlight w:val="none"/>
        </w:rPr>
        <w:t>月</w:t>
      </w:r>
      <w:r>
        <w:rPr>
          <w:color w:val="auto"/>
          <w:highlight w:val="none"/>
          <w:u w:val="single" w:color="auto"/>
        </w:rPr>
        <w:t xml:space="preserve">    </w:t>
      </w:r>
      <w:r>
        <w:rPr>
          <w:color w:val="auto"/>
          <w:spacing w:val="-61"/>
          <w:highlight w:val="none"/>
        </w:rPr>
        <w:t xml:space="preserve"> </w:t>
      </w:r>
      <w:r>
        <w:rPr>
          <w:color w:val="auto"/>
          <w:spacing w:val="-11"/>
          <w:highlight w:val="none"/>
        </w:rPr>
        <w:t>日签订的</w:t>
      </w:r>
      <w:r>
        <w:rPr>
          <w:rFonts w:hint="eastAsia"/>
          <w:color w:val="auto"/>
          <w:spacing w:val="-11"/>
          <w:highlight w:val="none"/>
          <w:u w:val="single"/>
          <w:lang w:val="en-US" w:eastAsia="zh-CN"/>
        </w:rPr>
        <w:t xml:space="preserve">         </w:t>
      </w:r>
      <w:r>
        <w:rPr>
          <w:color w:val="auto"/>
          <w:spacing w:val="-9"/>
          <w:highlight w:val="none"/>
        </w:rPr>
        <w:t>（工程名称）《建设项目工程总承包合同》，承包人按约定的金额向你方提交一份预付款担保，</w:t>
      </w:r>
      <w:r>
        <w:rPr>
          <w:color w:val="auto"/>
          <w:spacing w:val="-3"/>
          <w:highlight w:val="none"/>
        </w:rPr>
        <w:t>即有权得到你方支付相等金额的预付款。我方愿意就你方提供给承包人的预付款为承包人提</w:t>
      </w:r>
      <w:r>
        <w:rPr>
          <w:color w:val="auto"/>
          <w:spacing w:val="-5"/>
          <w:highlight w:val="none"/>
        </w:rPr>
        <w:t>供连带责任担保。</w:t>
      </w:r>
    </w:p>
    <w:p w14:paraId="01C550C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4" w:firstLineChars="200"/>
        <w:textAlignment w:val="baseline"/>
        <w:rPr>
          <w:color w:val="auto"/>
          <w:highlight w:val="none"/>
        </w:rPr>
      </w:pPr>
      <w:r>
        <w:rPr>
          <w:color w:val="auto"/>
          <w:spacing w:val="1"/>
          <w:highlight w:val="none"/>
        </w:rPr>
        <w:t>1. 担保金额人民币（大写）</w:t>
      </w:r>
      <w:r>
        <w:rPr>
          <w:color w:val="auto"/>
          <w:highlight w:val="none"/>
          <w:u w:val="single" w:color="auto"/>
        </w:rPr>
        <w:t xml:space="preserve">                </w:t>
      </w:r>
      <w:r>
        <w:rPr>
          <w:color w:val="auto"/>
          <w:spacing w:val="-96"/>
          <w:highlight w:val="none"/>
        </w:rPr>
        <w:t xml:space="preserve"> </w:t>
      </w:r>
      <w:r>
        <w:rPr>
          <w:color w:val="auto"/>
          <w:spacing w:val="1"/>
          <w:highlight w:val="none"/>
        </w:rPr>
        <w:t>元(¥</w:t>
      </w:r>
      <w:r>
        <w:rPr>
          <w:color w:val="auto"/>
          <w:spacing w:val="1"/>
          <w:highlight w:val="none"/>
          <w:u w:val="single" w:color="auto"/>
        </w:rPr>
        <w:t xml:space="preserve">         </w:t>
      </w:r>
      <w:r>
        <w:rPr>
          <w:color w:val="auto"/>
          <w:highlight w:val="none"/>
          <w:u w:val="single" w:color="auto"/>
        </w:rPr>
        <w:t xml:space="preserve">    </w:t>
      </w:r>
      <w:r>
        <w:rPr>
          <w:color w:val="auto"/>
          <w:spacing w:val="-74"/>
          <w:highlight w:val="none"/>
        </w:rPr>
        <w:t xml:space="preserve"> </w:t>
      </w:r>
      <w:r>
        <w:rPr>
          <w:color w:val="auto"/>
          <w:highlight w:val="none"/>
        </w:rPr>
        <w:t>)。</w:t>
      </w:r>
    </w:p>
    <w:p w14:paraId="4FEC622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2. 担保有效期自预付款支付给承包人起生效，至你方签发</w:t>
      </w:r>
      <w:r>
        <w:rPr>
          <w:color w:val="auto"/>
          <w:spacing w:val="-1"/>
          <w:highlight w:val="none"/>
        </w:rPr>
        <w:t>的进度款支付证书说明已完</w:t>
      </w:r>
      <w:r>
        <w:rPr>
          <w:color w:val="auto"/>
          <w:spacing w:val="-7"/>
          <w:highlight w:val="none"/>
        </w:rPr>
        <w:t>全扣清止。</w:t>
      </w:r>
    </w:p>
    <w:p w14:paraId="34AD223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3. 在本保函有效期内，因承包人违反合同约定的义务</w:t>
      </w:r>
      <w:r>
        <w:rPr>
          <w:color w:val="auto"/>
          <w:spacing w:val="-1"/>
          <w:highlight w:val="none"/>
        </w:rPr>
        <w:t>而要求收回预付款时，我方在收</w:t>
      </w:r>
      <w:r>
        <w:rPr>
          <w:color w:val="auto"/>
          <w:spacing w:val="-2"/>
          <w:highlight w:val="none"/>
        </w:rPr>
        <w:t>到你方的书面通知后，在7天内无条件支付。但本保函的担保金额，在任何时候不应超过预</w:t>
      </w:r>
      <w:r>
        <w:rPr>
          <w:color w:val="auto"/>
          <w:spacing w:val="-1"/>
          <w:highlight w:val="none"/>
        </w:rPr>
        <w:t>付款金额减去你方按合同约定在向承包人签发的进度款支付证书中扣除的</w:t>
      </w:r>
      <w:r>
        <w:rPr>
          <w:color w:val="auto"/>
          <w:spacing w:val="-2"/>
          <w:highlight w:val="none"/>
        </w:rPr>
        <w:t>金额。</w:t>
      </w:r>
    </w:p>
    <w:p w14:paraId="71DF5BD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4. 你方和承包人按合同约定变更合同时，我方承担本保函规定的义务不</w:t>
      </w:r>
      <w:r>
        <w:rPr>
          <w:color w:val="auto"/>
          <w:spacing w:val="-2"/>
          <w:highlight w:val="none"/>
        </w:rPr>
        <w:t>变。</w:t>
      </w:r>
    </w:p>
    <w:p w14:paraId="6778195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5. 因本保函发生的纠纷，可由双方协商解决，协商不</w:t>
      </w:r>
      <w:r>
        <w:rPr>
          <w:color w:val="auto"/>
          <w:spacing w:val="-1"/>
          <w:highlight w:val="none"/>
        </w:rPr>
        <w:t>成的，任何一方均可向发包人所</w:t>
      </w:r>
      <w:r>
        <w:rPr>
          <w:color w:val="auto"/>
          <w:spacing w:val="-3"/>
          <w:highlight w:val="none"/>
        </w:rPr>
        <w:t>在地有管辖权的人民法院起诉。</w:t>
      </w:r>
    </w:p>
    <w:p w14:paraId="51732495">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6. 本保函自我方法定代表人（或其授权代理人）签字并加盖公章之日</w:t>
      </w:r>
      <w:r>
        <w:rPr>
          <w:color w:val="auto"/>
          <w:spacing w:val="-2"/>
          <w:highlight w:val="none"/>
        </w:rPr>
        <w:t>起生效。</w:t>
      </w:r>
    </w:p>
    <w:p w14:paraId="12555FB7">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561055FC">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2C7468FF">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7B709BAD">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6B9DA59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担保人</w:t>
      </w:r>
      <w:r>
        <w:rPr>
          <w:color w:val="auto"/>
          <w:spacing w:val="-3"/>
          <w:highlight w:val="none"/>
        </w:rPr>
        <w:t>：</w:t>
      </w:r>
      <w:r>
        <w:rPr>
          <w:color w:val="auto"/>
          <w:spacing w:val="4"/>
          <w:highlight w:val="none"/>
        </w:rPr>
        <w:t xml:space="preserve">                         </w:t>
      </w:r>
      <w:r>
        <w:rPr>
          <w:color w:val="auto"/>
          <w:spacing w:val="-3"/>
          <w:highlight w:val="none"/>
        </w:rPr>
        <w:t>（</w:t>
      </w:r>
      <w:r>
        <w:rPr>
          <w:color w:val="auto"/>
          <w:spacing w:val="-2"/>
          <w:highlight w:val="none"/>
        </w:rPr>
        <w:t>盖单位章）</w:t>
      </w:r>
    </w:p>
    <w:p w14:paraId="629399A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法定代表人或其委托代理人</w:t>
      </w:r>
      <w:r>
        <w:rPr>
          <w:color w:val="auto"/>
          <w:spacing w:val="4"/>
          <w:highlight w:val="none"/>
        </w:rPr>
        <w:t>：</w:t>
      </w:r>
      <w:r>
        <w:rPr>
          <w:color w:val="auto"/>
          <w:spacing w:val="9"/>
          <w:highlight w:val="none"/>
        </w:rPr>
        <w:t xml:space="preserve">           </w:t>
      </w:r>
      <w:r>
        <w:rPr>
          <w:color w:val="auto"/>
          <w:spacing w:val="4"/>
          <w:highlight w:val="none"/>
        </w:rPr>
        <w:t>（</w:t>
      </w:r>
      <w:r>
        <w:rPr>
          <w:color w:val="auto"/>
          <w:spacing w:val="-2"/>
          <w:highlight w:val="none"/>
        </w:rPr>
        <w:t>签字）</w:t>
      </w:r>
    </w:p>
    <w:p w14:paraId="23380C3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color w:val="auto"/>
          <w:highlight w:val="none"/>
        </w:rPr>
      </w:pPr>
      <w:r>
        <w:rPr>
          <w:color w:val="auto"/>
          <w:spacing w:val="-13"/>
          <w:highlight w:val="none"/>
        </w:rPr>
        <w:t>地</w:t>
      </w:r>
      <w:r>
        <w:rPr>
          <w:color w:val="auto"/>
          <w:spacing w:val="2"/>
          <w:highlight w:val="none"/>
        </w:rPr>
        <w:t xml:space="preserve">    </w:t>
      </w:r>
      <w:r>
        <w:rPr>
          <w:color w:val="auto"/>
          <w:spacing w:val="-13"/>
          <w:highlight w:val="none"/>
        </w:rPr>
        <w:t>址：</w:t>
      </w:r>
    </w:p>
    <w:p w14:paraId="44650D90">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72" w:firstLineChars="200"/>
        <w:textAlignment w:val="baseline"/>
        <w:rPr>
          <w:color w:val="auto"/>
          <w:highlight w:val="none"/>
        </w:rPr>
      </w:pPr>
      <w:r>
        <w:rPr>
          <w:color w:val="auto"/>
          <w:spacing w:val="-12"/>
          <w:highlight w:val="none"/>
        </w:rPr>
        <w:t>邮政编码：</w:t>
      </w:r>
    </w:p>
    <w:p w14:paraId="570193CE">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36" w:firstLineChars="200"/>
        <w:textAlignment w:val="baseline"/>
        <w:rPr>
          <w:color w:val="auto"/>
          <w:highlight w:val="none"/>
        </w:rPr>
      </w:pPr>
      <w:r>
        <w:rPr>
          <w:color w:val="auto"/>
          <w:spacing w:val="-21"/>
          <w:highlight w:val="none"/>
        </w:rPr>
        <w:t>电</w:t>
      </w:r>
      <w:r>
        <w:rPr>
          <w:color w:val="auto"/>
          <w:spacing w:val="2"/>
          <w:highlight w:val="none"/>
        </w:rPr>
        <w:t xml:space="preserve">    </w:t>
      </w:r>
      <w:r>
        <w:rPr>
          <w:color w:val="auto"/>
          <w:spacing w:val="-21"/>
          <w:highlight w:val="none"/>
        </w:rPr>
        <w:t>话：</w:t>
      </w:r>
    </w:p>
    <w:p w14:paraId="45CC904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color w:val="auto"/>
          <w:highlight w:val="none"/>
        </w:rPr>
      </w:pPr>
      <w:r>
        <w:rPr>
          <w:color w:val="auto"/>
          <w:spacing w:val="-13"/>
          <w:highlight w:val="none"/>
        </w:rPr>
        <w:t>传</w:t>
      </w:r>
      <w:r>
        <w:rPr>
          <w:color w:val="auto"/>
          <w:spacing w:val="3"/>
          <w:highlight w:val="none"/>
        </w:rPr>
        <w:t xml:space="preserve">    </w:t>
      </w:r>
      <w:r>
        <w:rPr>
          <w:color w:val="auto"/>
          <w:spacing w:val="-13"/>
          <w:highlight w:val="none"/>
        </w:rPr>
        <w:t>真：</w:t>
      </w:r>
    </w:p>
    <w:p w14:paraId="1BAF9130">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4FF3845B">
      <w:pPr>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rFonts w:ascii="Arial"/>
          <w:color w:val="auto"/>
          <w:sz w:val="21"/>
          <w:highlight w:val="none"/>
        </w:rPr>
      </w:pPr>
    </w:p>
    <w:p w14:paraId="270E50D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8" w:firstLineChars="200"/>
        <w:textAlignment w:val="baseline"/>
        <w:rPr>
          <w:color w:val="auto"/>
          <w:highlight w:val="none"/>
        </w:rPr>
        <w:sectPr>
          <w:headerReference r:id="rId49" w:type="default"/>
          <w:footerReference r:id="rId50" w:type="default"/>
          <w:pgSz w:w="11906" w:h="16839"/>
          <w:pgMar w:top="1134" w:right="1191" w:bottom="1134" w:left="1020" w:header="0" w:footer="987" w:gutter="0"/>
          <w:pgNumType w:fmt="decimal"/>
          <w:cols w:space="720" w:num="1"/>
          <w:rtlGutter w:val="0"/>
          <w:docGrid w:linePitch="0" w:charSpace="0"/>
        </w:sectPr>
      </w:pPr>
      <w:r>
        <w:rPr>
          <w:color w:val="auto"/>
          <w:spacing w:val="-8"/>
          <w:highlight w:val="none"/>
        </w:rPr>
        <w:t>年</w:t>
      </w:r>
      <w:r>
        <w:rPr>
          <w:color w:val="auto"/>
          <w:spacing w:val="2"/>
          <w:highlight w:val="none"/>
        </w:rPr>
        <w:t xml:space="preserve">      </w:t>
      </w:r>
      <w:r>
        <w:rPr>
          <w:color w:val="auto"/>
          <w:spacing w:val="-8"/>
          <w:highlight w:val="none"/>
        </w:rPr>
        <w:t>月</w:t>
      </w:r>
      <w:r>
        <w:rPr>
          <w:color w:val="auto"/>
          <w:spacing w:val="7"/>
          <w:highlight w:val="none"/>
        </w:rPr>
        <w:t xml:space="preserve">      </w:t>
      </w:r>
    </w:p>
    <w:p w14:paraId="6B423199">
      <w:pPr>
        <w:pageBreakBefore w:val="0"/>
        <w:widowControl/>
        <w:kinsoku w:val="0"/>
        <w:wordWrap/>
        <w:overflowPunct/>
        <w:topLinePunct/>
        <w:autoSpaceDE w:val="0"/>
        <w:autoSpaceDN w:val="0"/>
        <w:bidi w:val="0"/>
        <w:adjustRightInd w:val="0"/>
        <w:snapToGrid w:val="0"/>
        <w:spacing w:line="360" w:lineRule="auto"/>
        <w:ind w:right="0" w:rightChars="0"/>
        <w:textAlignment w:val="baseline"/>
        <w:rPr>
          <w:rFonts w:ascii="Arial"/>
          <w:color w:val="auto"/>
          <w:sz w:val="21"/>
          <w:highlight w:val="none"/>
        </w:rPr>
      </w:pPr>
    </w:p>
    <w:p w14:paraId="0CB580F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522" w:firstLineChars="200"/>
        <w:jc w:val="center"/>
        <w:textAlignment w:val="baseline"/>
        <w:outlineLvl w:val="0"/>
        <w:rPr>
          <w:color w:val="auto"/>
          <w:sz w:val="28"/>
          <w:szCs w:val="28"/>
          <w:highlight w:val="none"/>
        </w:rPr>
      </w:pPr>
      <w:bookmarkStart w:id="2257" w:name="_Toc29821"/>
      <w:r>
        <w:rPr>
          <w:b/>
          <w:bCs/>
          <w:color w:val="auto"/>
          <w:spacing w:val="-10"/>
          <w:sz w:val="28"/>
          <w:szCs w:val="28"/>
          <w:highlight w:val="none"/>
        </w:rPr>
        <w:t>附件</w:t>
      </w:r>
      <w:r>
        <w:rPr>
          <w:color w:val="auto"/>
          <w:spacing w:val="-30"/>
          <w:sz w:val="28"/>
          <w:szCs w:val="28"/>
          <w:highlight w:val="none"/>
        </w:rPr>
        <w:t xml:space="preserve"> </w:t>
      </w:r>
      <w:r>
        <w:rPr>
          <w:b/>
          <w:bCs/>
          <w:color w:val="auto"/>
          <w:spacing w:val="-10"/>
          <w:sz w:val="28"/>
          <w:szCs w:val="28"/>
          <w:highlight w:val="none"/>
        </w:rPr>
        <w:t>12</w:t>
      </w:r>
      <w:r>
        <w:rPr>
          <w:color w:val="auto"/>
          <w:spacing w:val="-10"/>
          <w:sz w:val="28"/>
          <w:szCs w:val="28"/>
          <w:highlight w:val="none"/>
        </w:rPr>
        <w:t xml:space="preserve"> </w:t>
      </w:r>
      <w:r>
        <w:rPr>
          <w:b/>
          <w:bCs/>
          <w:color w:val="auto"/>
          <w:spacing w:val="-10"/>
          <w:sz w:val="28"/>
          <w:szCs w:val="28"/>
          <w:highlight w:val="none"/>
        </w:rPr>
        <w:t>支付担保</w:t>
      </w:r>
      <w:bookmarkEnd w:id="2257"/>
    </w:p>
    <w:p w14:paraId="3CC34D6D">
      <w:pPr>
        <w:pStyle w:val="9"/>
        <w:pageBreakBefore w:val="0"/>
        <w:widowControl/>
        <w:tabs>
          <w:tab w:val="left" w:pos="3176"/>
        </w:tabs>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u w:val="single" w:color="auto"/>
        </w:rPr>
        <w:tab/>
      </w:r>
      <w:r>
        <w:rPr>
          <w:color w:val="auto"/>
          <w:spacing w:val="-25"/>
          <w:w w:val="90"/>
          <w:highlight w:val="none"/>
          <w:u w:val="single" w:color="auto"/>
        </w:rPr>
        <w:t>（承包人</w:t>
      </w:r>
      <w:r>
        <w:rPr>
          <w:color w:val="auto"/>
          <w:spacing w:val="-21"/>
          <w:highlight w:val="none"/>
          <w:u w:val="single" w:color="auto"/>
        </w:rPr>
        <w:t>）</w:t>
      </w:r>
      <w:r>
        <w:rPr>
          <w:color w:val="auto"/>
          <w:spacing w:val="-21"/>
          <w:highlight w:val="none"/>
        </w:rPr>
        <w:t>：</w:t>
      </w:r>
    </w:p>
    <w:p w14:paraId="308CB04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jc w:val="both"/>
        <w:textAlignment w:val="baseline"/>
        <w:rPr>
          <w:rFonts w:hint="eastAsia" w:eastAsia="宋体"/>
          <w:color w:val="auto"/>
          <w:highlight w:val="none"/>
          <w:lang w:val="en-US" w:eastAsia="zh-CN"/>
        </w:rPr>
      </w:pPr>
      <w:r>
        <w:rPr>
          <w:color w:val="auto"/>
          <w:spacing w:val="-5"/>
          <w:highlight w:val="none"/>
        </w:rPr>
        <w:t xml:space="preserve">鉴于你方作为承包人已经与 </w:t>
      </w:r>
      <w:r>
        <w:rPr>
          <w:color w:val="auto"/>
          <w:highlight w:val="none"/>
          <w:u w:val="single" w:color="auto"/>
        </w:rPr>
        <w:t xml:space="preserve">                            </w:t>
      </w:r>
      <w:r>
        <w:rPr>
          <w:color w:val="auto"/>
          <w:spacing w:val="-5"/>
          <w:highlight w:val="none"/>
        </w:rPr>
        <w:t>（发包人名称</w:t>
      </w:r>
      <w:r>
        <w:rPr>
          <w:color w:val="auto"/>
          <w:spacing w:val="-8"/>
          <w:highlight w:val="none"/>
        </w:rPr>
        <w:t>）（</w:t>
      </w:r>
      <w:r>
        <w:rPr>
          <w:color w:val="auto"/>
          <w:spacing w:val="-5"/>
          <w:highlight w:val="none"/>
        </w:rPr>
        <w:t>以</w:t>
      </w:r>
      <w:r>
        <w:rPr>
          <w:color w:val="auto"/>
          <w:spacing w:val="-6"/>
          <w:highlight w:val="none"/>
        </w:rPr>
        <w:t>下称</w:t>
      </w:r>
      <w:r>
        <w:rPr>
          <w:color w:val="auto"/>
          <w:highlight w:val="none"/>
        </w:rPr>
        <w:t xml:space="preserve">  </w:t>
      </w:r>
      <w:r>
        <w:rPr>
          <w:color w:val="auto"/>
          <w:spacing w:val="-8"/>
          <w:highlight w:val="none"/>
        </w:rPr>
        <w:t>“发包人</w:t>
      </w:r>
      <w:r>
        <w:rPr>
          <w:color w:val="auto"/>
          <w:spacing w:val="-77"/>
          <w:highlight w:val="none"/>
        </w:rPr>
        <w:t xml:space="preserve"> </w:t>
      </w:r>
      <w:r>
        <w:rPr>
          <w:color w:val="auto"/>
          <w:spacing w:val="-8"/>
          <w:highlight w:val="none"/>
        </w:rPr>
        <w:t>”）于</w:t>
      </w:r>
      <w:r>
        <w:rPr>
          <w:color w:val="auto"/>
          <w:spacing w:val="-93"/>
          <w:highlight w:val="none"/>
        </w:rPr>
        <w:t xml:space="preserve"> </w:t>
      </w:r>
      <w:r>
        <w:rPr>
          <w:color w:val="auto"/>
          <w:highlight w:val="none"/>
          <w:u w:val="single" w:color="auto"/>
        </w:rPr>
        <w:t xml:space="preserve">   </w:t>
      </w:r>
      <w:r>
        <w:rPr>
          <w:color w:val="auto"/>
          <w:spacing w:val="-96"/>
          <w:highlight w:val="none"/>
        </w:rPr>
        <w:t xml:space="preserve"> </w:t>
      </w:r>
      <w:r>
        <w:rPr>
          <w:color w:val="auto"/>
          <w:spacing w:val="-8"/>
          <w:highlight w:val="none"/>
        </w:rPr>
        <w:t>年</w:t>
      </w:r>
      <w:r>
        <w:rPr>
          <w:color w:val="auto"/>
          <w:spacing w:val="-8"/>
          <w:highlight w:val="none"/>
          <w:u w:val="single" w:color="auto"/>
        </w:rPr>
        <w:t xml:space="preserve">   </w:t>
      </w:r>
      <w:r>
        <w:rPr>
          <w:color w:val="auto"/>
          <w:spacing w:val="-91"/>
          <w:highlight w:val="none"/>
        </w:rPr>
        <w:t xml:space="preserve"> </w:t>
      </w:r>
      <w:r>
        <w:rPr>
          <w:color w:val="auto"/>
          <w:spacing w:val="-8"/>
          <w:highlight w:val="none"/>
        </w:rPr>
        <w:t>月</w:t>
      </w:r>
      <w:r>
        <w:rPr>
          <w:color w:val="auto"/>
          <w:spacing w:val="-8"/>
          <w:highlight w:val="none"/>
          <w:u w:val="single" w:color="auto"/>
        </w:rPr>
        <w:t xml:space="preserve">    </w:t>
      </w:r>
      <w:r>
        <w:rPr>
          <w:color w:val="auto"/>
          <w:spacing w:val="-61"/>
          <w:highlight w:val="none"/>
        </w:rPr>
        <w:t xml:space="preserve"> </w:t>
      </w:r>
      <w:r>
        <w:rPr>
          <w:color w:val="auto"/>
          <w:spacing w:val="-8"/>
          <w:highlight w:val="none"/>
        </w:rPr>
        <w:t>日签订了</w:t>
      </w:r>
      <w:r>
        <w:rPr>
          <w:color w:val="auto"/>
          <w:spacing w:val="-8"/>
          <w:highlight w:val="none"/>
          <w:u w:val="single" w:color="auto"/>
        </w:rPr>
        <w:t xml:space="preserve">     </w:t>
      </w:r>
      <w:r>
        <w:rPr>
          <w:color w:val="auto"/>
          <w:spacing w:val="-9"/>
          <w:highlight w:val="none"/>
          <w:u w:val="single" w:color="auto"/>
        </w:rPr>
        <w:t xml:space="preserve">         </w:t>
      </w:r>
      <w:r>
        <w:rPr>
          <w:color w:val="auto"/>
          <w:spacing w:val="-9"/>
          <w:highlight w:val="none"/>
        </w:rPr>
        <w:t>（工程名称）《建设项目工程总承包</w:t>
      </w:r>
      <w:r>
        <w:rPr>
          <w:color w:val="auto"/>
          <w:highlight w:val="none"/>
        </w:rPr>
        <w:t xml:space="preserve"> </w:t>
      </w:r>
      <w:r>
        <w:rPr>
          <w:color w:val="auto"/>
          <w:spacing w:val="-3"/>
          <w:highlight w:val="none"/>
        </w:rPr>
        <w:t>合同》（以下称“主合同</w:t>
      </w:r>
      <w:r>
        <w:rPr>
          <w:color w:val="auto"/>
          <w:spacing w:val="-75"/>
          <w:highlight w:val="none"/>
        </w:rPr>
        <w:t xml:space="preserve"> </w:t>
      </w:r>
      <w:r>
        <w:rPr>
          <w:color w:val="auto"/>
          <w:spacing w:val="-3"/>
          <w:highlight w:val="none"/>
        </w:rPr>
        <w:t>”</w:t>
      </w:r>
      <w:r>
        <w:rPr>
          <w:color w:val="auto"/>
          <w:spacing w:val="-37"/>
          <w:w w:val="67"/>
          <w:highlight w:val="none"/>
        </w:rPr>
        <w:t>），</w:t>
      </w:r>
      <w:r>
        <w:rPr>
          <w:color w:val="auto"/>
          <w:spacing w:val="-3"/>
          <w:highlight w:val="none"/>
        </w:rPr>
        <w:t>应发包人的申请</w:t>
      </w:r>
      <w:r>
        <w:rPr>
          <w:color w:val="auto"/>
          <w:spacing w:val="-4"/>
          <w:highlight w:val="none"/>
        </w:rPr>
        <w:t>，我方愿就发包人履行主合同约定的工程款支</w:t>
      </w:r>
      <w:r>
        <w:rPr>
          <w:color w:val="auto"/>
          <w:spacing w:val="-3"/>
          <w:highlight w:val="none"/>
        </w:rPr>
        <w:t>付义务以保证的方式向你方提供如下担保</w:t>
      </w:r>
      <w:r>
        <w:rPr>
          <w:rFonts w:hint="eastAsia"/>
          <w:color w:val="auto"/>
          <w:spacing w:val="-3"/>
          <w:highlight w:val="none"/>
          <w:lang w:val="en-US" w:eastAsia="zh-CN"/>
        </w:rPr>
        <w:t>:</w:t>
      </w:r>
    </w:p>
    <w:p w14:paraId="690F435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9"/>
        <w:rPr>
          <w:color w:val="auto"/>
          <w:highlight w:val="none"/>
        </w:rPr>
      </w:pPr>
      <w:r>
        <w:rPr>
          <w:color w:val="auto"/>
          <w:spacing w:val="-2"/>
          <w:highlight w:val="none"/>
        </w:rPr>
        <w:t>一、保证的范围及保证金额</w:t>
      </w:r>
    </w:p>
    <w:p w14:paraId="2E3E5E6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1. 我方的保证范围是主合同约定的工程款。</w:t>
      </w:r>
    </w:p>
    <w:p w14:paraId="48AE8B6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76" w:firstLineChars="200"/>
        <w:textAlignment w:val="baseline"/>
        <w:rPr>
          <w:color w:val="auto"/>
          <w:highlight w:val="none"/>
        </w:rPr>
      </w:pPr>
      <w:r>
        <w:rPr>
          <w:color w:val="auto"/>
          <w:spacing w:val="-11"/>
          <w:highlight w:val="none"/>
        </w:rPr>
        <w:t>2. 本保函所称主合同约定的工程款是指主合同约定</w:t>
      </w:r>
      <w:r>
        <w:rPr>
          <w:color w:val="auto"/>
          <w:spacing w:val="-12"/>
          <w:highlight w:val="none"/>
        </w:rPr>
        <w:t>的除工程质量保证金以外的合同价款。</w:t>
      </w:r>
    </w:p>
    <w:p w14:paraId="017207A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rFonts w:hint="eastAsia" w:eastAsia="宋体"/>
          <w:color w:val="auto"/>
          <w:highlight w:val="none"/>
          <w:lang w:val="en-US" w:eastAsia="zh-CN"/>
        </w:rPr>
      </w:pPr>
      <w:r>
        <w:rPr>
          <w:color w:val="auto"/>
          <w:spacing w:val="-1"/>
          <w:highlight w:val="none"/>
        </w:rPr>
        <w:t>3. 我方保证的金额是主合同约定的工程款的</w:t>
      </w:r>
      <w:r>
        <w:rPr>
          <w:color w:val="auto"/>
          <w:spacing w:val="-1"/>
          <w:highlight w:val="none"/>
          <w:u w:val="single" w:color="auto"/>
        </w:rPr>
        <w:t xml:space="preserve">      </w:t>
      </w:r>
      <w:r>
        <w:rPr>
          <w:color w:val="auto"/>
          <w:spacing w:val="-1"/>
          <w:highlight w:val="none"/>
        </w:rPr>
        <w:t>%，数额最高不超过人民币元（大</w:t>
      </w:r>
      <w:r>
        <w:rPr>
          <w:color w:val="auto"/>
          <w:spacing w:val="18"/>
          <w:highlight w:val="none"/>
        </w:rPr>
        <w:t xml:space="preserve"> </w:t>
      </w:r>
      <w:r>
        <w:rPr>
          <w:color w:val="auto"/>
          <w:spacing w:val="-4"/>
          <w:highlight w:val="none"/>
        </w:rPr>
        <w:t>写</w:t>
      </w:r>
      <w:r>
        <w:rPr>
          <w:color w:val="auto"/>
          <w:spacing w:val="-53"/>
          <w:w w:val="95"/>
          <w:highlight w:val="none"/>
        </w:rPr>
        <w:t>：</w:t>
      </w:r>
      <w:r>
        <w:rPr>
          <w:color w:val="auto"/>
          <w:highlight w:val="none"/>
          <w:u w:val="single" w:color="auto"/>
        </w:rPr>
        <w:t xml:space="preserve">        </w:t>
      </w:r>
      <w:r>
        <w:rPr>
          <w:color w:val="auto"/>
          <w:spacing w:val="-53"/>
          <w:w w:val="95"/>
          <w:highlight w:val="none"/>
        </w:rPr>
        <w:t>）</w:t>
      </w:r>
      <w:r>
        <w:rPr>
          <w:rFonts w:hint="eastAsia"/>
          <w:color w:val="auto"/>
          <w:spacing w:val="-53"/>
          <w:w w:val="95"/>
          <w:highlight w:val="none"/>
          <w:lang w:eastAsia="zh-CN"/>
        </w:rPr>
        <w:t>。</w:t>
      </w:r>
    </w:p>
    <w:p w14:paraId="790D499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9"/>
        <w:rPr>
          <w:color w:val="auto"/>
          <w:highlight w:val="none"/>
        </w:rPr>
      </w:pPr>
      <w:r>
        <w:rPr>
          <w:color w:val="auto"/>
          <w:spacing w:val="-1"/>
          <w:highlight w:val="none"/>
        </w:rPr>
        <w:t>二、保证的方式及保证期间</w:t>
      </w:r>
    </w:p>
    <w:p w14:paraId="3902DCCD">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1. 我方保证的方式为：连带责任保证。</w:t>
      </w:r>
    </w:p>
    <w:p w14:paraId="2B28A32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2. 我方保证的期间为：自本合同生效之日起至主合同约</w:t>
      </w:r>
      <w:r>
        <w:rPr>
          <w:color w:val="auto"/>
          <w:spacing w:val="-1"/>
          <w:highlight w:val="none"/>
        </w:rPr>
        <w:t>定的工程款支付完毕之日后</w:t>
      </w:r>
      <w:r>
        <w:rPr>
          <w:color w:val="auto"/>
          <w:spacing w:val="-17"/>
          <w:highlight w:val="none"/>
        </w:rPr>
        <w:t>日内。</w:t>
      </w:r>
    </w:p>
    <w:p w14:paraId="2E330C7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3. 你方与发包人协议变更工程款支付日期的，经我方</w:t>
      </w:r>
      <w:r>
        <w:rPr>
          <w:color w:val="auto"/>
          <w:spacing w:val="-1"/>
          <w:highlight w:val="none"/>
        </w:rPr>
        <w:t>书面同意后，保证期间按照变更</w:t>
      </w:r>
      <w:r>
        <w:rPr>
          <w:color w:val="auto"/>
          <w:spacing w:val="-4"/>
          <w:highlight w:val="none"/>
        </w:rPr>
        <w:t>后的支付日期做相应调整。</w:t>
      </w:r>
    </w:p>
    <w:p w14:paraId="66DB523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outlineLvl w:val="9"/>
        <w:rPr>
          <w:color w:val="auto"/>
          <w:highlight w:val="none"/>
        </w:rPr>
      </w:pPr>
      <w:r>
        <w:rPr>
          <w:color w:val="auto"/>
          <w:spacing w:val="-1"/>
          <w:highlight w:val="none"/>
        </w:rPr>
        <w:t>三、承担保证责任的形式</w:t>
      </w:r>
    </w:p>
    <w:p w14:paraId="4041481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我方承担保证责任的形式是代为支付。发包人未按主合同约定向你方支付工程款的，由</w:t>
      </w:r>
      <w:r>
        <w:rPr>
          <w:color w:val="auto"/>
          <w:spacing w:val="-3"/>
          <w:highlight w:val="none"/>
        </w:rPr>
        <w:t>我方在保证金额内代为支付。</w:t>
      </w:r>
    </w:p>
    <w:p w14:paraId="1EFE61E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4" w:firstLineChars="200"/>
        <w:textAlignment w:val="baseline"/>
        <w:outlineLvl w:val="9"/>
        <w:rPr>
          <w:color w:val="auto"/>
          <w:highlight w:val="none"/>
        </w:rPr>
      </w:pPr>
      <w:r>
        <w:rPr>
          <w:color w:val="auto"/>
          <w:spacing w:val="-4"/>
          <w:highlight w:val="none"/>
        </w:rPr>
        <w:t>四、代偿的安排</w:t>
      </w:r>
    </w:p>
    <w:p w14:paraId="57A58E4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1. 你方要求我方承担保证责任的，应向我方发出书面索赔通知及发包人未支付主合同约定工程款的证明材料。索赔通知应写明要求索赔的金额，支付款项应</w:t>
      </w:r>
      <w:r>
        <w:rPr>
          <w:color w:val="auto"/>
          <w:spacing w:val="-2"/>
          <w:highlight w:val="none"/>
        </w:rPr>
        <w:t>到达的账号。</w:t>
      </w:r>
    </w:p>
    <w:p w14:paraId="19FC44A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2. 在出现你方与发包人因工程质量发生争议，发</w:t>
      </w:r>
      <w:r>
        <w:rPr>
          <w:color w:val="auto"/>
          <w:spacing w:val="-2"/>
          <w:highlight w:val="none"/>
        </w:rPr>
        <w:t>包人拒绝向你方支付工程款的情形时，</w:t>
      </w:r>
      <w:r>
        <w:rPr>
          <w:color w:val="auto"/>
          <w:spacing w:val="-3"/>
          <w:highlight w:val="none"/>
        </w:rPr>
        <w:t>你方要求我方履行保证责任代为支付的，需提供符合相应条件要求的工程质量检测机构出具</w:t>
      </w:r>
      <w:r>
        <w:rPr>
          <w:color w:val="auto"/>
          <w:spacing w:val="-5"/>
          <w:highlight w:val="none"/>
        </w:rPr>
        <w:t>的质量说明材料。</w:t>
      </w:r>
    </w:p>
    <w:p w14:paraId="5CF4253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8" w:firstLineChars="200"/>
        <w:textAlignment w:val="baseline"/>
        <w:rPr>
          <w:color w:val="auto"/>
          <w:highlight w:val="none"/>
        </w:rPr>
      </w:pPr>
      <w:r>
        <w:rPr>
          <w:color w:val="auto"/>
          <w:spacing w:val="2"/>
          <w:highlight w:val="none"/>
        </w:rPr>
        <w:t>3. 我方收到你方的书面索赔通知及相应的证明材料后7天内</w:t>
      </w:r>
      <w:r>
        <w:rPr>
          <w:color w:val="auto"/>
          <w:spacing w:val="1"/>
          <w:highlight w:val="none"/>
        </w:rPr>
        <w:t>无条件支付。</w:t>
      </w:r>
    </w:p>
    <w:p w14:paraId="08B5D56C">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9"/>
        <w:rPr>
          <w:color w:val="auto"/>
          <w:highlight w:val="none"/>
        </w:rPr>
      </w:pPr>
      <w:r>
        <w:rPr>
          <w:color w:val="auto"/>
          <w:spacing w:val="-2"/>
          <w:highlight w:val="none"/>
        </w:rPr>
        <w:t>五、保证责任的解除</w:t>
      </w:r>
    </w:p>
    <w:p w14:paraId="51D95A1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1. 在本保函承诺的保证期间内，你方未书面向我方主张保证责任的，自保证期间届满</w:t>
      </w:r>
      <w:r>
        <w:rPr>
          <w:color w:val="auto"/>
          <w:spacing w:val="-4"/>
          <w:highlight w:val="none"/>
        </w:rPr>
        <w:t>次日起，我方保证责任解除。</w:t>
      </w:r>
    </w:p>
    <w:p w14:paraId="2FF8EC0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2. 发包人按主合同约定履行了工程款的全部支付义务的，</w:t>
      </w:r>
      <w:r>
        <w:rPr>
          <w:color w:val="auto"/>
          <w:spacing w:val="-1"/>
          <w:highlight w:val="none"/>
        </w:rPr>
        <w:t>自本保函承诺的保证期间届</w:t>
      </w:r>
      <w:r>
        <w:rPr>
          <w:color w:val="auto"/>
          <w:spacing w:val="-3"/>
          <w:highlight w:val="none"/>
        </w:rPr>
        <w:t>满次日起，我方保证责任解除。</w:t>
      </w:r>
    </w:p>
    <w:p w14:paraId="056FF0A1">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3. 我方按照本保函向你方履行保证责任所支付金额达</w:t>
      </w:r>
      <w:r>
        <w:rPr>
          <w:color w:val="auto"/>
          <w:spacing w:val="-1"/>
          <w:highlight w:val="none"/>
        </w:rPr>
        <w:t>到本保函保证金额时，自我方向你方支付（支付款项从我方账户划出）之日</w:t>
      </w:r>
      <w:r>
        <w:rPr>
          <w:color w:val="auto"/>
          <w:spacing w:val="-2"/>
          <w:highlight w:val="none"/>
        </w:rPr>
        <w:t>起，保证责任即解除。</w:t>
      </w:r>
    </w:p>
    <w:p w14:paraId="1031814F">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4. 按照法律法规的规定或出现应解除我方保证责任的其他情形的</w:t>
      </w:r>
      <w:r>
        <w:rPr>
          <w:color w:val="auto"/>
          <w:spacing w:val="-1"/>
          <w:highlight w:val="none"/>
        </w:rPr>
        <w:t>，我方在本保函项下</w:t>
      </w:r>
      <w:r>
        <w:rPr>
          <w:color w:val="auto"/>
          <w:spacing w:val="-6"/>
          <w:highlight w:val="none"/>
        </w:rPr>
        <w:t>的保证责任亦解除。</w:t>
      </w:r>
    </w:p>
    <w:p w14:paraId="3A40F69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rFonts w:hint="eastAsia" w:eastAsia="宋体"/>
          <w:color w:val="auto"/>
          <w:highlight w:val="none"/>
          <w:lang w:eastAsia="zh-CN"/>
        </w:rPr>
      </w:pPr>
      <w:r>
        <w:rPr>
          <w:color w:val="auto"/>
          <w:spacing w:val="-1"/>
          <w:highlight w:val="none"/>
        </w:rPr>
        <w:t>5. 我方解除保证责任后，你方应自我方保证责任解除之日起</w:t>
      </w:r>
      <w:r>
        <w:rPr>
          <w:color w:val="auto"/>
          <w:spacing w:val="-1"/>
          <w:highlight w:val="none"/>
          <w:u w:val="single" w:color="auto"/>
        </w:rPr>
        <w:t xml:space="preserve">  </w:t>
      </w:r>
      <w:r>
        <w:rPr>
          <w:color w:val="auto"/>
          <w:spacing w:val="-79"/>
          <w:highlight w:val="none"/>
        </w:rPr>
        <w:t xml:space="preserve"> </w:t>
      </w:r>
      <w:r>
        <w:rPr>
          <w:color w:val="auto"/>
          <w:spacing w:val="-1"/>
          <w:highlight w:val="none"/>
        </w:rPr>
        <w:t>个工作日内，将本保函</w:t>
      </w:r>
      <w:r>
        <w:rPr>
          <w:color w:val="auto"/>
          <w:spacing w:val="-6"/>
          <w:highlight w:val="none"/>
        </w:rPr>
        <w:t>原件返还我方</w:t>
      </w:r>
      <w:r>
        <w:rPr>
          <w:rFonts w:hint="eastAsia"/>
          <w:color w:val="auto"/>
          <w:spacing w:val="-6"/>
          <w:highlight w:val="none"/>
          <w:lang w:eastAsia="zh-CN"/>
        </w:rPr>
        <w:t>。</w:t>
      </w:r>
    </w:p>
    <w:p w14:paraId="1D69184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9"/>
        <w:rPr>
          <w:color w:val="auto"/>
          <w:highlight w:val="none"/>
        </w:rPr>
      </w:pPr>
      <w:r>
        <w:rPr>
          <w:color w:val="auto"/>
          <w:spacing w:val="-2"/>
          <w:highlight w:val="none"/>
        </w:rPr>
        <w:t>六、免责条款</w:t>
      </w:r>
    </w:p>
    <w:p w14:paraId="208082A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1. 因你方违约致使发包人不能履行义务的，我方不承担保证责任。</w:t>
      </w:r>
    </w:p>
    <w:p w14:paraId="6B2F62C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2. 依照法律法规的规定或你方与发包人的另</w:t>
      </w:r>
      <w:r>
        <w:rPr>
          <w:color w:val="auto"/>
          <w:spacing w:val="-2"/>
          <w:highlight w:val="none"/>
        </w:rPr>
        <w:t>行约定，免除发包人部分或全部义务的，</w:t>
      </w:r>
      <w:r>
        <w:rPr>
          <w:color w:val="auto"/>
          <w:spacing w:val="-3"/>
          <w:highlight w:val="none"/>
        </w:rPr>
        <w:t>我方亦免除其相应的保证责任。</w:t>
      </w:r>
    </w:p>
    <w:p w14:paraId="40792B8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20" w:firstLineChars="200"/>
        <w:textAlignment w:val="baseline"/>
        <w:rPr>
          <w:color w:val="auto"/>
          <w:highlight w:val="none"/>
        </w:rPr>
      </w:pPr>
      <w:r>
        <w:rPr>
          <w:color w:val="auto"/>
          <w:highlight w:val="none"/>
        </w:rPr>
        <w:t>3. 你方与发包人协议变更主合同的，如加重发包人责</w:t>
      </w:r>
      <w:r>
        <w:rPr>
          <w:color w:val="auto"/>
          <w:spacing w:val="-1"/>
          <w:highlight w:val="none"/>
        </w:rPr>
        <w:t>任致使我方保证责任加重的，需征得我方书面同意，否则我方不再承担因此而加重部分的保证责任，但主合同</w:t>
      </w:r>
      <w:r>
        <w:rPr>
          <w:color w:val="auto"/>
          <w:spacing w:val="-2"/>
          <w:highlight w:val="none"/>
        </w:rPr>
        <w:t>第</w:t>
      </w:r>
      <w:r>
        <w:rPr>
          <w:color w:val="auto"/>
          <w:spacing w:val="-29"/>
          <w:highlight w:val="none"/>
        </w:rPr>
        <w:t xml:space="preserve"> </w:t>
      </w:r>
      <w:r>
        <w:rPr>
          <w:color w:val="auto"/>
          <w:spacing w:val="-2"/>
          <w:highlight w:val="none"/>
        </w:rPr>
        <w:t>10</w:t>
      </w:r>
      <w:r>
        <w:rPr>
          <w:color w:val="auto"/>
          <w:spacing w:val="-42"/>
          <w:highlight w:val="none"/>
        </w:rPr>
        <w:t xml:space="preserve"> </w:t>
      </w:r>
      <w:r>
        <w:rPr>
          <w:color w:val="auto"/>
          <w:spacing w:val="-2"/>
          <w:highlight w:val="none"/>
        </w:rPr>
        <w:t>条〔变</w:t>
      </w:r>
      <w:r>
        <w:rPr>
          <w:color w:val="auto"/>
          <w:highlight w:val="none"/>
        </w:rPr>
        <w:t xml:space="preserve"> </w:t>
      </w:r>
      <w:r>
        <w:rPr>
          <w:color w:val="auto"/>
          <w:spacing w:val="-3"/>
          <w:highlight w:val="none"/>
        </w:rPr>
        <w:t>更〕约定的变更不受本款限制。</w:t>
      </w:r>
    </w:p>
    <w:p w14:paraId="3636EC14">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4. 因不可抗力造成发包人不能履行义务的，我方不承</w:t>
      </w:r>
      <w:r>
        <w:rPr>
          <w:color w:val="auto"/>
          <w:spacing w:val="-2"/>
          <w:highlight w:val="none"/>
        </w:rPr>
        <w:t>担保证责任。</w:t>
      </w:r>
    </w:p>
    <w:p w14:paraId="3CFB5E4B">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9"/>
        <w:rPr>
          <w:color w:val="auto"/>
          <w:highlight w:val="none"/>
        </w:rPr>
      </w:pPr>
      <w:r>
        <w:rPr>
          <w:color w:val="auto"/>
          <w:spacing w:val="-2"/>
          <w:highlight w:val="none"/>
        </w:rPr>
        <w:t>七、争议解决</w:t>
      </w:r>
    </w:p>
    <w:p w14:paraId="7CC5CD6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因本保函或本保函相关事项发生的纠纷，可由双方协商解决，协商不成的，按下列第</w:t>
      </w:r>
      <w:r>
        <w:rPr>
          <w:color w:val="auto"/>
          <w:spacing w:val="-8"/>
          <w:highlight w:val="none"/>
        </w:rPr>
        <w:t>种方式解决：</w:t>
      </w:r>
    </w:p>
    <w:p w14:paraId="491A898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0" w:firstLineChars="200"/>
        <w:textAlignment w:val="baseline"/>
        <w:rPr>
          <w:color w:val="auto"/>
          <w:highlight w:val="none"/>
        </w:rPr>
      </w:pPr>
      <w:r>
        <w:rPr>
          <w:color w:val="auto"/>
          <w:spacing w:val="-5"/>
          <w:highlight w:val="none"/>
        </w:rPr>
        <w:t xml:space="preserve">（1）向 </w:t>
      </w:r>
      <w:r>
        <w:rPr>
          <w:color w:val="auto"/>
          <w:highlight w:val="none"/>
          <w:u w:val="single" w:color="auto"/>
        </w:rPr>
        <w:t xml:space="preserve">                    </w:t>
      </w:r>
      <w:r>
        <w:rPr>
          <w:color w:val="auto"/>
          <w:spacing w:val="-88"/>
          <w:highlight w:val="none"/>
        </w:rPr>
        <w:t xml:space="preserve"> </w:t>
      </w:r>
      <w:r>
        <w:rPr>
          <w:color w:val="auto"/>
          <w:spacing w:val="-5"/>
          <w:highlight w:val="none"/>
        </w:rPr>
        <w:t>仲裁委员会申请仲裁；</w:t>
      </w:r>
    </w:p>
    <w:p w14:paraId="20971E5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92" w:firstLineChars="200"/>
        <w:textAlignment w:val="baseline"/>
        <w:rPr>
          <w:color w:val="auto"/>
          <w:highlight w:val="none"/>
        </w:rPr>
      </w:pPr>
      <w:r>
        <w:rPr>
          <w:color w:val="auto"/>
          <w:spacing w:val="-7"/>
          <w:highlight w:val="none"/>
        </w:rPr>
        <w:t>（2）向</w:t>
      </w:r>
      <w:r>
        <w:rPr>
          <w:color w:val="auto"/>
          <w:spacing w:val="-77"/>
          <w:highlight w:val="none"/>
        </w:rPr>
        <w:t xml:space="preserve"> </w:t>
      </w:r>
      <w:r>
        <w:rPr>
          <w:color w:val="auto"/>
          <w:highlight w:val="none"/>
          <w:u w:val="single" w:color="auto"/>
        </w:rPr>
        <w:t xml:space="preserve">                     </w:t>
      </w:r>
      <w:r>
        <w:rPr>
          <w:color w:val="auto"/>
          <w:spacing w:val="-95"/>
          <w:highlight w:val="none"/>
        </w:rPr>
        <w:t xml:space="preserve"> </w:t>
      </w:r>
      <w:r>
        <w:rPr>
          <w:color w:val="auto"/>
          <w:spacing w:val="-7"/>
          <w:highlight w:val="none"/>
        </w:rPr>
        <w:t>人民法院起诉。</w:t>
      </w:r>
    </w:p>
    <w:p w14:paraId="26C269D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outlineLvl w:val="9"/>
        <w:rPr>
          <w:color w:val="auto"/>
          <w:highlight w:val="none"/>
        </w:rPr>
      </w:pPr>
      <w:r>
        <w:rPr>
          <w:color w:val="auto"/>
          <w:spacing w:val="-2"/>
          <w:highlight w:val="none"/>
        </w:rPr>
        <w:t>八、保函的生效</w:t>
      </w:r>
    </w:p>
    <w:p w14:paraId="746EB906">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6" w:firstLineChars="200"/>
        <w:textAlignment w:val="baseline"/>
        <w:rPr>
          <w:color w:val="auto"/>
          <w:highlight w:val="none"/>
        </w:rPr>
      </w:pPr>
      <w:r>
        <w:rPr>
          <w:color w:val="auto"/>
          <w:spacing w:val="-1"/>
          <w:highlight w:val="none"/>
        </w:rPr>
        <w:t>本保函自我方法定代表人（或其授权代理人）签字并加盖公章</w:t>
      </w:r>
      <w:r>
        <w:rPr>
          <w:color w:val="auto"/>
          <w:spacing w:val="-2"/>
          <w:highlight w:val="none"/>
        </w:rPr>
        <w:t>之日起生效。</w:t>
      </w:r>
    </w:p>
    <w:p w14:paraId="6BFAC64A">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08" w:firstLineChars="200"/>
        <w:textAlignment w:val="baseline"/>
        <w:rPr>
          <w:color w:val="auto"/>
          <w:highlight w:val="none"/>
        </w:rPr>
      </w:pPr>
      <w:r>
        <w:rPr>
          <w:color w:val="auto"/>
          <w:spacing w:val="-3"/>
          <w:highlight w:val="none"/>
        </w:rPr>
        <w:t>担保人</w:t>
      </w:r>
      <w:r>
        <w:rPr>
          <w:color w:val="auto"/>
          <w:spacing w:val="-2"/>
          <w:highlight w:val="none"/>
        </w:rPr>
        <w:t>：</w:t>
      </w:r>
      <w:r>
        <w:rPr>
          <w:color w:val="auto"/>
          <w:spacing w:val="3"/>
          <w:highlight w:val="none"/>
        </w:rPr>
        <w:t xml:space="preserve">                                  </w:t>
      </w:r>
      <w:r>
        <w:rPr>
          <w:color w:val="auto"/>
          <w:spacing w:val="-2"/>
          <w:highlight w:val="none"/>
        </w:rPr>
        <w:t>（</w:t>
      </w:r>
      <w:r>
        <w:rPr>
          <w:color w:val="auto"/>
          <w:spacing w:val="-3"/>
          <w:highlight w:val="none"/>
        </w:rPr>
        <w:t>盖章）</w:t>
      </w:r>
    </w:p>
    <w:p w14:paraId="48088D4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412" w:firstLineChars="200"/>
        <w:textAlignment w:val="baseline"/>
        <w:rPr>
          <w:color w:val="auto"/>
          <w:highlight w:val="none"/>
        </w:rPr>
      </w:pPr>
      <w:r>
        <w:rPr>
          <w:color w:val="auto"/>
          <w:spacing w:val="-2"/>
          <w:highlight w:val="none"/>
        </w:rPr>
        <w:t>法定代表人或委托代理人</w:t>
      </w:r>
      <w:r>
        <w:rPr>
          <w:color w:val="auto"/>
          <w:spacing w:val="3"/>
          <w:highlight w:val="none"/>
        </w:rPr>
        <w:t>：</w:t>
      </w:r>
      <w:r>
        <w:rPr>
          <w:color w:val="auto"/>
          <w:spacing w:val="5"/>
          <w:highlight w:val="none"/>
        </w:rPr>
        <w:t xml:space="preserve">                  </w:t>
      </w:r>
      <w:r>
        <w:rPr>
          <w:color w:val="auto"/>
          <w:spacing w:val="3"/>
          <w:highlight w:val="none"/>
        </w:rPr>
        <w:t>（</w:t>
      </w:r>
      <w:r>
        <w:rPr>
          <w:color w:val="auto"/>
          <w:spacing w:val="-2"/>
          <w:highlight w:val="none"/>
        </w:rPr>
        <w:t>签字）</w:t>
      </w:r>
    </w:p>
    <w:p w14:paraId="020BBA72">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color w:val="auto"/>
          <w:highlight w:val="none"/>
        </w:rPr>
      </w:pPr>
      <w:r>
        <w:rPr>
          <w:color w:val="auto"/>
          <w:spacing w:val="-13"/>
          <w:highlight w:val="none"/>
        </w:rPr>
        <w:t>地址：</w:t>
      </w:r>
    </w:p>
    <w:p w14:paraId="6084AE13">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72" w:firstLineChars="200"/>
        <w:textAlignment w:val="baseline"/>
        <w:rPr>
          <w:color w:val="auto"/>
          <w:highlight w:val="none"/>
        </w:rPr>
      </w:pPr>
      <w:r>
        <w:rPr>
          <w:color w:val="auto"/>
          <w:spacing w:val="-12"/>
          <w:highlight w:val="none"/>
        </w:rPr>
        <w:t>邮政编码：</w:t>
      </w:r>
    </w:p>
    <w:p w14:paraId="79D3FFF7">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68" w:firstLineChars="200"/>
        <w:textAlignment w:val="baseline"/>
        <w:rPr>
          <w:color w:val="auto"/>
          <w:highlight w:val="none"/>
        </w:rPr>
      </w:pPr>
      <w:r>
        <w:rPr>
          <w:color w:val="auto"/>
          <w:spacing w:val="-13"/>
          <w:highlight w:val="none"/>
        </w:rPr>
        <w:t>传真：</w:t>
      </w:r>
    </w:p>
    <w:p w14:paraId="1D0333C8">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8" w:firstLineChars="200"/>
        <w:textAlignment w:val="baseline"/>
        <w:rPr>
          <w:color w:val="auto"/>
          <w:highlight w:val="none"/>
        </w:rPr>
      </w:pPr>
      <w:r>
        <w:rPr>
          <w:color w:val="auto"/>
          <w:spacing w:val="-8"/>
          <w:highlight w:val="none"/>
        </w:rPr>
        <w:t>年</w:t>
      </w:r>
      <w:r>
        <w:rPr>
          <w:color w:val="auto"/>
          <w:spacing w:val="2"/>
          <w:highlight w:val="none"/>
        </w:rPr>
        <w:t xml:space="preserve">      </w:t>
      </w:r>
      <w:r>
        <w:rPr>
          <w:color w:val="auto"/>
          <w:spacing w:val="-8"/>
          <w:highlight w:val="none"/>
        </w:rPr>
        <w:t>月</w:t>
      </w:r>
      <w:r>
        <w:rPr>
          <w:color w:val="auto"/>
          <w:spacing w:val="7"/>
          <w:highlight w:val="none"/>
        </w:rPr>
        <w:t xml:space="preserve">      </w:t>
      </w:r>
      <w:r>
        <w:rPr>
          <w:color w:val="auto"/>
          <w:spacing w:val="-8"/>
          <w:highlight w:val="none"/>
        </w:rPr>
        <w:t>日</w:t>
      </w:r>
    </w:p>
    <w:p w14:paraId="0E11FEF4">
      <w:pPr>
        <w:rPr>
          <w:color w:val="auto"/>
          <w:spacing w:val="-8"/>
          <w:highlight w:val="none"/>
        </w:rPr>
      </w:pPr>
      <w:r>
        <w:rPr>
          <w:color w:val="auto"/>
          <w:spacing w:val="-8"/>
          <w:highlight w:val="none"/>
        </w:rPr>
        <w:br w:type="page"/>
      </w:r>
    </w:p>
    <w:p w14:paraId="4D9CEF39">
      <w:pPr>
        <w:pStyle w:val="9"/>
        <w:pageBreakBefore w:val="0"/>
        <w:widowControl/>
        <w:kinsoku w:val="0"/>
        <w:wordWrap/>
        <w:overflowPunct/>
        <w:topLinePunct/>
        <w:autoSpaceDE w:val="0"/>
        <w:autoSpaceDN w:val="0"/>
        <w:bidi w:val="0"/>
        <w:adjustRightInd w:val="0"/>
        <w:snapToGrid w:val="0"/>
        <w:spacing w:line="360" w:lineRule="auto"/>
        <w:ind w:left="0" w:leftChars="0" w:right="0" w:rightChars="0" w:firstLine="388" w:firstLineChars="200"/>
        <w:textAlignment w:val="baseline"/>
        <w:rPr>
          <w:color w:val="auto"/>
          <w:spacing w:val="-8"/>
          <w:highlight w:val="none"/>
        </w:rPr>
      </w:pPr>
    </w:p>
    <w:p w14:paraId="788B5834">
      <w:pPr>
        <w:rPr>
          <w:rFonts w:hint="eastAsia"/>
          <w:color w:val="auto"/>
          <w:highlight w:val="none"/>
        </w:rPr>
      </w:pPr>
    </w:p>
    <w:p w14:paraId="5D9D5B8D">
      <w:pPr>
        <w:rPr>
          <w:rFonts w:hint="eastAsia"/>
          <w:color w:val="auto"/>
          <w:highlight w:val="none"/>
        </w:rPr>
      </w:pPr>
    </w:p>
    <w:p w14:paraId="529F32D6">
      <w:pPr>
        <w:rPr>
          <w:rFonts w:hint="eastAsia"/>
          <w:color w:val="auto"/>
          <w:highlight w:val="none"/>
        </w:rPr>
      </w:pPr>
    </w:p>
    <w:p w14:paraId="62ACA266">
      <w:pPr>
        <w:rPr>
          <w:rFonts w:hint="eastAsia"/>
          <w:color w:val="auto"/>
          <w:highlight w:val="none"/>
        </w:rPr>
      </w:pPr>
    </w:p>
    <w:p w14:paraId="04E6E879">
      <w:pPr>
        <w:rPr>
          <w:rFonts w:hint="eastAsia"/>
          <w:color w:val="auto"/>
          <w:highlight w:val="none"/>
        </w:rPr>
      </w:pPr>
    </w:p>
    <w:p w14:paraId="41C77837">
      <w:pPr>
        <w:rPr>
          <w:rFonts w:hint="eastAsia"/>
          <w:color w:val="auto"/>
          <w:highlight w:val="none"/>
        </w:rPr>
      </w:pPr>
    </w:p>
    <w:p w14:paraId="0988A2FD">
      <w:pPr>
        <w:rPr>
          <w:rFonts w:hint="eastAsia"/>
          <w:color w:val="auto"/>
          <w:highlight w:val="none"/>
        </w:rPr>
      </w:pPr>
    </w:p>
    <w:p w14:paraId="03496A70">
      <w:pPr>
        <w:rPr>
          <w:rFonts w:hint="eastAsia"/>
          <w:color w:val="auto"/>
          <w:highlight w:val="none"/>
        </w:rPr>
      </w:pPr>
    </w:p>
    <w:p w14:paraId="5B945D76">
      <w:pPr>
        <w:rPr>
          <w:rFonts w:hint="eastAsia"/>
          <w:color w:val="auto"/>
          <w:highlight w:val="none"/>
        </w:rPr>
      </w:pPr>
    </w:p>
    <w:p w14:paraId="75FE7EDA">
      <w:pPr>
        <w:rPr>
          <w:rFonts w:hint="eastAsia"/>
          <w:color w:val="auto"/>
          <w:highlight w:val="none"/>
        </w:rPr>
      </w:pPr>
    </w:p>
    <w:p w14:paraId="6D5E34FF">
      <w:pPr>
        <w:rPr>
          <w:rFonts w:hint="eastAsia"/>
          <w:color w:val="auto"/>
          <w:highlight w:val="none"/>
        </w:rPr>
      </w:pPr>
    </w:p>
    <w:p w14:paraId="1569FFD0">
      <w:pPr>
        <w:rPr>
          <w:rFonts w:hint="eastAsia"/>
          <w:color w:val="auto"/>
          <w:highlight w:val="none"/>
        </w:rPr>
      </w:pPr>
    </w:p>
    <w:p w14:paraId="7B5DF77A">
      <w:pPr>
        <w:rPr>
          <w:rFonts w:hint="eastAsia"/>
          <w:color w:val="auto"/>
          <w:highlight w:val="none"/>
        </w:rPr>
      </w:pPr>
    </w:p>
    <w:p w14:paraId="66E7264A">
      <w:pPr>
        <w:rPr>
          <w:rFonts w:hint="eastAsia"/>
          <w:color w:val="auto"/>
          <w:highlight w:val="none"/>
        </w:rPr>
      </w:pPr>
    </w:p>
    <w:p w14:paraId="2B5F2C36">
      <w:pPr>
        <w:rPr>
          <w:rFonts w:hint="eastAsia"/>
          <w:color w:val="auto"/>
          <w:highlight w:val="none"/>
        </w:rPr>
      </w:pPr>
    </w:p>
    <w:p w14:paraId="6FB64FF1">
      <w:pPr>
        <w:pStyle w:val="2"/>
        <w:spacing w:before="120" w:after="120" w:line="400" w:lineRule="exact"/>
        <w:jc w:val="center"/>
        <w:rPr>
          <w:rFonts w:hint="eastAsia" w:ascii="黑体" w:hAnsi="黑体" w:eastAsia="黑体"/>
          <w:b w:val="0"/>
          <w:bCs w:val="0"/>
          <w:color w:val="auto"/>
          <w:sz w:val="48"/>
          <w:szCs w:val="48"/>
          <w:highlight w:val="none"/>
        </w:rPr>
      </w:pPr>
      <w:bookmarkStart w:id="2258" w:name="_Toc23839"/>
      <w:r>
        <w:rPr>
          <w:rFonts w:hint="eastAsia" w:ascii="黑体" w:hAnsi="黑体" w:eastAsia="黑体"/>
          <w:b w:val="0"/>
          <w:bCs w:val="0"/>
          <w:color w:val="auto"/>
          <w:sz w:val="48"/>
          <w:szCs w:val="48"/>
          <w:highlight w:val="none"/>
        </w:rPr>
        <w:t>第二卷</w:t>
      </w:r>
      <w:bookmarkEnd w:id="2146"/>
      <w:bookmarkEnd w:id="2147"/>
      <w:bookmarkEnd w:id="2258"/>
    </w:p>
    <w:p w14:paraId="03D6A3A9">
      <w:pPr>
        <w:rPr>
          <w:rFonts w:hint="eastAsia" w:ascii="黑体" w:eastAsia="黑体"/>
          <w:color w:val="auto"/>
          <w:sz w:val="48"/>
          <w:szCs w:val="48"/>
          <w:highlight w:val="none"/>
        </w:rPr>
      </w:pPr>
    </w:p>
    <w:p w14:paraId="271B4B03">
      <w:pPr>
        <w:rPr>
          <w:color w:val="auto"/>
          <w:highlight w:val="none"/>
        </w:rPr>
        <w:sectPr>
          <w:headerReference r:id="rId51" w:type="default"/>
          <w:footerReference r:id="rId52"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1BC6B2B">
      <w:pPr>
        <w:rPr>
          <w:rFonts w:hint="eastAsia"/>
          <w:color w:val="auto"/>
          <w:highlight w:val="none"/>
        </w:rPr>
      </w:pPr>
      <w:bookmarkStart w:id="2259" w:name="_Toc152265814_1"/>
      <w:bookmarkStart w:id="2260" w:name="_Toc256000197"/>
    </w:p>
    <w:p w14:paraId="1EA14D37">
      <w:pPr>
        <w:rPr>
          <w:rFonts w:hint="eastAsia"/>
          <w:color w:val="auto"/>
          <w:highlight w:val="none"/>
        </w:rPr>
      </w:pPr>
    </w:p>
    <w:p w14:paraId="799A082F">
      <w:pPr>
        <w:rPr>
          <w:rFonts w:hint="eastAsia"/>
          <w:color w:val="auto"/>
          <w:highlight w:val="none"/>
        </w:rPr>
      </w:pPr>
    </w:p>
    <w:p w14:paraId="14D5C4C4">
      <w:pPr>
        <w:rPr>
          <w:rFonts w:hint="eastAsia"/>
          <w:color w:val="auto"/>
          <w:highlight w:val="none"/>
        </w:rPr>
      </w:pPr>
    </w:p>
    <w:p w14:paraId="33980A9D">
      <w:pPr>
        <w:rPr>
          <w:rFonts w:hint="eastAsia"/>
          <w:color w:val="auto"/>
          <w:highlight w:val="none"/>
        </w:rPr>
      </w:pPr>
    </w:p>
    <w:p w14:paraId="6125EE90">
      <w:pPr>
        <w:rPr>
          <w:rFonts w:hint="eastAsia"/>
          <w:color w:val="auto"/>
          <w:highlight w:val="none"/>
        </w:rPr>
      </w:pPr>
    </w:p>
    <w:p w14:paraId="3D07284E">
      <w:pPr>
        <w:rPr>
          <w:rFonts w:hint="eastAsia"/>
          <w:color w:val="auto"/>
          <w:highlight w:val="none"/>
        </w:rPr>
      </w:pPr>
    </w:p>
    <w:p w14:paraId="055B3EC0">
      <w:pPr>
        <w:rPr>
          <w:rFonts w:hint="eastAsia"/>
          <w:color w:val="auto"/>
          <w:highlight w:val="none"/>
        </w:rPr>
      </w:pPr>
    </w:p>
    <w:p w14:paraId="248EDBB6">
      <w:pPr>
        <w:rPr>
          <w:rFonts w:hint="eastAsia"/>
          <w:color w:val="auto"/>
          <w:highlight w:val="none"/>
        </w:rPr>
      </w:pPr>
    </w:p>
    <w:p w14:paraId="1487E9B9">
      <w:pPr>
        <w:rPr>
          <w:rFonts w:hint="eastAsia"/>
          <w:color w:val="auto"/>
          <w:highlight w:val="none"/>
        </w:rPr>
      </w:pPr>
    </w:p>
    <w:p w14:paraId="0CC0A6B7">
      <w:pPr>
        <w:rPr>
          <w:rFonts w:hint="eastAsia"/>
          <w:color w:val="auto"/>
          <w:highlight w:val="none"/>
        </w:rPr>
      </w:pPr>
    </w:p>
    <w:p w14:paraId="7DE943F2">
      <w:pPr>
        <w:rPr>
          <w:rFonts w:hint="eastAsia"/>
          <w:color w:val="auto"/>
          <w:highlight w:val="none"/>
        </w:rPr>
      </w:pPr>
    </w:p>
    <w:p w14:paraId="0941A31F">
      <w:pPr>
        <w:rPr>
          <w:rFonts w:hint="eastAsia"/>
          <w:color w:val="auto"/>
          <w:highlight w:val="none"/>
        </w:rPr>
      </w:pPr>
    </w:p>
    <w:p w14:paraId="1C63711C">
      <w:pPr>
        <w:rPr>
          <w:rFonts w:hint="eastAsia"/>
          <w:color w:val="auto"/>
          <w:highlight w:val="none"/>
        </w:rPr>
      </w:pPr>
    </w:p>
    <w:p w14:paraId="79DF3014">
      <w:pPr>
        <w:rPr>
          <w:rFonts w:hint="eastAsia"/>
          <w:color w:val="auto"/>
          <w:highlight w:val="none"/>
        </w:rPr>
      </w:pPr>
    </w:p>
    <w:p w14:paraId="1A22E15C">
      <w:pPr>
        <w:pStyle w:val="2"/>
        <w:spacing w:before="120" w:after="120" w:line="400" w:lineRule="exact"/>
        <w:jc w:val="center"/>
        <w:rPr>
          <w:rFonts w:hint="default" w:eastAsia="黑体"/>
          <w:color w:val="auto"/>
          <w:highlight w:val="none"/>
          <w:lang w:val="en-US" w:eastAsia="zh-CN"/>
        </w:rPr>
        <w:sectPr>
          <w:footerReference r:id="rId5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261" w:name="_Toc4626"/>
      <w:r>
        <w:rPr>
          <w:rFonts w:ascii="黑体" w:hAnsi="黑体" w:eastAsia="黑体"/>
          <w:b w:val="0"/>
          <w:bCs w:val="0"/>
          <w:color w:val="auto"/>
          <w:sz w:val="32"/>
          <w:highlight w:val="none"/>
        </w:rPr>
        <w:t>第</w:t>
      </w:r>
      <w:r>
        <w:rPr>
          <w:rFonts w:hint="eastAsia" w:ascii="黑体" w:hAnsi="黑体" w:eastAsia="黑体"/>
          <w:b w:val="0"/>
          <w:bCs w:val="0"/>
          <w:color w:val="auto"/>
          <w:sz w:val="32"/>
          <w:highlight w:val="none"/>
          <w:lang w:val="en-US" w:eastAsia="zh-CN"/>
        </w:rPr>
        <w:t>五</w:t>
      </w:r>
      <w:r>
        <w:rPr>
          <w:rFonts w:ascii="黑体" w:hAnsi="黑体" w:eastAsia="黑体"/>
          <w:b w:val="0"/>
          <w:bCs w:val="0"/>
          <w:color w:val="auto"/>
          <w:sz w:val="32"/>
          <w:highlight w:val="none"/>
        </w:rPr>
        <w:t>章</w:t>
      </w:r>
      <w:r>
        <w:rPr>
          <w:rFonts w:hint="eastAsia" w:ascii="黑体" w:hAnsi="黑体" w:eastAsia="黑体"/>
          <w:b w:val="0"/>
          <w:bCs w:val="0"/>
          <w:color w:val="auto"/>
          <w:sz w:val="32"/>
          <w:highlight w:val="none"/>
          <w:lang w:val="en-US" w:eastAsia="zh-CN"/>
        </w:rPr>
        <w:t xml:space="preserve"> </w:t>
      </w:r>
      <w:r>
        <w:rPr>
          <w:rFonts w:hint="eastAsia" w:ascii="黑体" w:hAnsi="黑体" w:eastAsia="黑体"/>
          <w:b w:val="0"/>
          <w:bCs w:val="0"/>
          <w:color w:val="auto"/>
          <w:sz w:val="32"/>
          <w:highlight w:val="none"/>
        </w:rPr>
        <w:t xml:space="preserve"> </w:t>
      </w:r>
      <w:bookmarkEnd w:id="2259"/>
      <w:r>
        <w:rPr>
          <w:rFonts w:hint="eastAsia" w:ascii="黑体" w:hAnsi="黑体" w:eastAsia="黑体"/>
          <w:b w:val="0"/>
          <w:bCs w:val="0"/>
          <w:color w:val="auto"/>
          <w:sz w:val="32"/>
          <w:highlight w:val="none"/>
          <w:lang w:val="en-US" w:eastAsia="zh-CN"/>
        </w:rPr>
        <w:t>发包人要求</w:t>
      </w:r>
      <w:bookmarkEnd w:id="2260"/>
      <w:bookmarkEnd w:id="2261"/>
    </w:p>
    <w:p w14:paraId="1FD455CB">
      <w:pPr>
        <w:pStyle w:val="42"/>
        <w:adjustRightInd w:val="0"/>
        <w:snapToGrid w:val="0"/>
        <w:spacing w:line="360" w:lineRule="auto"/>
        <w:ind w:firstLine="422" w:firstLineChars="200"/>
        <w:rPr>
          <w:rFonts w:ascii="Arial" w:hAnsi="Arial" w:cs="Arial"/>
          <w:b/>
          <w:color w:val="auto"/>
          <w:sz w:val="21"/>
          <w:szCs w:val="21"/>
          <w:highlight w:val="none"/>
        </w:rPr>
      </w:pPr>
    </w:p>
    <w:p w14:paraId="18063EA4">
      <w:pPr>
        <w:pStyle w:val="46"/>
        <w:widowControl/>
        <w:shd w:val="clear" w:color="auto" w:fill="auto"/>
        <w:jc w:val="left"/>
        <w:rPr>
          <w:color w:val="auto"/>
          <w:sz w:val="21"/>
          <w:szCs w:val="21"/>
          <w:highlight w:val="none"/>
        </w:rPr>
      </w:pPr>
      <w:r>
        <w:rPr>
          <w:rFonts w:hint="eastAsia" w:ascii="宋体" w:hAnsi="宋体" w:cs="宋体"/>
          <w:b/>
          <w:bCs/>
          <w:color w:val="auto"/>
          <w:kern w:val="0"/>
          <w:sz w:val="21"/>
          <w:szCs w:val="21"/>
          <w:highlight w:val="none"/>
        </w:rPr>
        <w:t xml:space="preserve">一、工程概述 </w:t>
      </w:r>
    </w:p>
    <w:p w14:paraId="1685027B">
      <w:pPr>
        <w:pStyle w:val="46"/>
        <w:widowControl/>
        <w:shd w:val="clear" w:color="auto" w:fill="auto"/>
        <w:spacing w:line="360" w:lineRule="auto"/>
        <w:jc w:val="left"/>
        <w:rPr>
          <w:rFonts w:ascii="宋体" w:hAnsi="宋体" w:cs="宋体"/>
          <w:color w:val="auto"/>
          <w:kern w:val="0"/>
          <w:sz w:val="21"/>
          <w:szCs w:val="21"/>
          <w:highlight w:val="none"/>
        </w:rPr>
      </w:pPr>
      <w:r>
        <w:rPr>
          <w:rFonts w:hint="eastAsia" w:ascii="宋体" w:hAnsi="宋体" w:cs="宋体"/>
          <w:b/>
          <w:bCs/>
          <w:color w:val="auto"/>
          <w:kern w:val="0"/>
          <w:sz w:val="21"/>
          <w:szCs w:val="21"/>
          <w:highlight w:val="none"/>
        </w:rPr>
        <w:t>（一）工程范围:</w:t>
      </w:r>
    </w:p>
    <w:p w14:paraId="75D88141">
      <w:pPr>
        <w:pStyle w:val="46"/>
        <w:keepNext w:val="0"/>
        <w:keepLines w:val="0"/>
        <w:pageBreakBefore w:val="0"/>
        <w:widowControl/>
        <w:shd w:val="clear" w:color="auto" w:fill="auto"/>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总建筑面积：131358.69㎡，规划建设叶片厂房、整机厂房、储能装备制造及箱变厂房、机舱罩厂房、1#化学品库、2#化学品库、1#垃圾站、食堂宿舍、门卫、1#生产厂房、化学品库、2#垃圾站等。施工图设计范围:包含但不限于建设范围内施工图设计，地基处理、场平设计、产业园施工图设计(含建筑、结构、给排水系统、水消防工程、暖通工程、电气工程、弱电工程专项设计)、景观设计及施工图预算编制，现场设代、配合实验、验收等； 建安工程及室外配套工程范围:包含不限于基础工程(含桩基础、独立基础等)、土建工程、装修工程、安装工程(钢结构安装、给排水系统、水消防工程、暖通工程、电气工程、弱电工程)、室外配套工程(道路工程、电力工程、弱电工程、照明工程、控制工程、消防报警工程、给水外线工程、雨污水外线工程、消防外线工程)、专项工程(地基处理、降排水、基坑支护等)建筑施工图所示的全部工程内容。</w:t>
      </w:r>
    </w:p>
    <w:p w14:paraId="00667784">
      <w:pPr>
        <w:pStyle w:val="46"/>
        <w:widowControl/>
        <w:spacing w:line="360" w:lineRule="auto"/>
        <w:jc w:val="left"/>
        <w:rPr>
          <w:color w:val="auto"/>
          <w:sz w:val="21"/>
          <w:szCs w:val="21"/>
          <w:highlight w:val="none"/>
        </w:rPr>
      </w:pPr>
      <w:r>
        <w:rPr>
          <w:rFonts w:hint="eastAsia" w:ascii="宋体" w:hAnsi="宋体" w:cs="宋体"/>
          <w:b/>
          <w:bCs/>
          <w:color w:val="auto"/>
          <w:kern w:val="0"/>
          <w:sz w:val="21"/>
          <w:szCs w:val="21"/>
          <w:highlight w:val="none"/>
        </w:rPr>
        <w:t>（二）工期要求、质量要求：</w:t>
      </w:r>
    </w:p>
    <w:p w14:paraId="37877DF0">
      <w:pPr>
        <w:pStyle w:val="46"/>
        <w:widowControl/>
        <w:spacing w:line="360" w:lineRule="auto"/>
        <w:ind w:firstLine="420" w:firstLineChars="20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1.项目工期：2025年x月x日开工至202</w:t>
      </w:r>
      <w:r>
        <w:rPr>
          <w:rFonts w:hint="eastAsia" w:ascii="宋体" w:hAnsi="宋体" w:eastAsia="宋体" w:cs="宋体"/>
          <w:color w:val="auto"/>
          <w:kern w:val="0"/>
          <w:sz w:val="21"/>
          <w:szCs w:val="21"/>
          <w:highlight w:val="none"/>
          <w:lang w:val="en-US" w:eastAsia="zh-CN"/>
        </w:rPr>
        <w:t>7</w:t>
      </w:r>
      <w:r>
        <w:rPr>
          <w:rFonts w:hint="eastAsia" w:ascii="宋体" w:hAnsi="宋体" w:cs="宋体"/>
          <w:color w:val="auto"/>
          <w:kern w:val="0"/>
          <w:sz w:val="21"/>
          <w:szCs w:val="21"/>
          <w:highlight w:val="none"/>
        </w:rPr>
        <w:t>年x月x日竣工，共计730日历天；设计周期为自合同签订之日起60日历天内提交全部施工图纸。（设计服务期、施工期具体以双方签订的合同为准）</w:t>
      </w:r>
    </w:p>
    <w:p w14:paraId="3590B05F">
      <w:pPr>
        <w:pStyle w:val="49"/>
        <w:adjustRightInd w:val="0"/>
        <w:snapToGrid w:val="0"/>
        <w:spacing w:line="360" w:lineRule="auto"/>
        <w:ind w:firstLine="420" w:firstLineChars="200"/>
        <w:rPr>
          <w:rFonts w:ascii="Calibri" w:hAnsi="Calibri"/>
          <w:color w:val="auto"/>
          <w:sz w:val="21"/>
          <w:szCs w:val="21"/>
          <w:highlight w:val="none"/>
        </w:rPr>
      </w:pPr>
      <w:r>
        <w:rPr>
          <w:rFonts w:hint="eastAsia" w:ascii="宋体" w:hAnsi="宋体" w:cs="宋体"/>
          <w:color w:val="auto"/>
          <w:kern w:val="0"/>
          <w:sz w:val="21"/>
          <w:szCs w:val="21"/>
          <w:highlight w:val="none"/>
        </w:rPr>
        <w:t>2.</w:t>
      </w:r>
      <w:r>
        <w:rPr>
          <w:rFonts w:hint="eastAsia" w:ascii="Arial" w:hAnsi="Arial" w:cs="Arial"/>
          <w:color w:val="auto"/>
          <w:sz w:val="21"/>
          <w:szCs w:val="21"/>
          <w:highlight w:val="none"/>
          <w:lang w:val="zh-CN"/>
        </w:rPr>
        <w:t>设计质量标准：符合国家、行业设计规范和标准。施工质量标准：符合现行国家有关工程施工质量验收规范。</w:t>
      </w:r>
    </w:p>
    <w:p w14:paraId="7A005F02">
      <w:pPr>
        <w:pStyle w:val="46"/>
        <w:widowControl/>
        <w:spacing w:line="360" w:lineRule="auto"/>
        <w:jc w:val="left"/>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二、国家、行业技术标准及管理规定</w:t>
      </w:r>
    </w:p>
    <w:p w14:paraId="71F453AD">
      <w:pPr>
        <w:pStyle w:val="46"/>
        <w:widowControl/>
        <w:spacing w:line="360" w:lineRule="auto"/>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下列标准中有与现行标准不符的，以现行标准为准。</w:t>
      </w:r>
    </w:p>
    <w:p w14:paraId="584C577E">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《建筑制图标准》GB/T50104-2010</w:t>
      </w:r>
    </w:p>
    <w:p w14:paraId="79DB7188">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《工程建设标准强制性条文》(房屋建筑部分)2013年版</w:t>
      </w:r>
    </w:p>
    <w:p w14:paraId="30547A4E">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《民用建筑设计统一标准》GB50352-2019</w:t>
      </w:r>
    </w:p>
    <w:p w14:paraId="108E7562">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《民用建筑热工设计规范》GB50176-2016</w:t>
      </w:r>
    </w:p>
    <w:p w14:paraId="24318DC8">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《民用建筑节能设计标准实施细则(采暖居住建筑部分)》DB21/1007-1998</w:t>
      </w:r>
    </w:p>
    <w:p w14:paraId="6639FB3D">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《居住建筑节能设计标准》DB21/T1476-2011(辽宁省)</w:t>
      </w:r>
    </w:p>
    <w:p w14:paraId="4C4A7A84">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《既有居住建筑节能改造技术规程》JGJ/T129-2012</w:t>
      </w:r>
    </w:p>
    <w:p w14:paraId="32EF444F">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《建筑外门窗气密、水密、抗风压性能分级及检测方法》GB/T7106-2019</w:t>
      </w:r>
    </w:p>
    <w:p w14:paraId="4EC6EB3C">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《既有居住建筑节能改造技术规程》DB21/T1823-2010</w:t>
      </w:r>
    </w:p>
    <w:p w14:paraId="50CF0371">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《建筑外墙防水工程技术规程》JGJ/T235-2011</w:t>
      </w:r>
    </w:p>
    <w:p w14:paraId="58F2236A">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《屋面工程技术规范》GB50345-2012</w:t>
      </w:r>
    </w:p>
    <w:p w14:paraId="3CEF2416">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《坡屋面工程技术规范》GB50693-2011</w:t>
      </w:r>
    </w:p>
    <w:p w14:paraId="6447C33A">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《外墙外保温工程技术规程》JGJ144-2019</w:t>
      </w:r>
    </w:p>
    <w:p w14:paraId="62276EF6">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《墙体材料应用统一技术规范》GB50574-2010</w:t>
      </w:r>
    </w:p>
    <w:p w14:paraId="7090C28C">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《无机轻集料砂浆保温系统技术规程》JGJ253-2011</w:t>
      </w:r>
    </w:p>
    <w:p w14:paraId="2580DEDB">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《抹灰砂浆技术规程》JGJ/T220-2010</w:t>
      </w:r>
    </w:p>
    <w:p w14:paraId="19405A83">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《外墙内保温工程技术规程》JGJ/T261-2011</w:t>
      </w:r>
    </w:p>
    <w:p w14:paraId="3EA83522">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《住宅信报箱工程技术规范》GB50631-2010</w:t>
      </w:r>
    </w:p>
    <w:p w14:paraId="4DFD31EB">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《预拌砂浆应用技术规程》JGJ/T223-2010</w:t>
      </w:r>
    </w:p>
    <w:p w14:paraId="16CC8DE7">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《泡沫混凝土外墙外保温工程技术规程》DB21/T2117-2013</w:t>
      </w:r>
    </w:p>
    <w:p w14:paraId="7DB66B4A">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《硬泡聚氨酯保温防水工程技术规范》GB50404-2017</w:t>
      </w:r>
    </w:p>
    <w:p w14:paraId="1BC68067">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《建筑玻璃应用技术规程》JGJ113-2009</w:t>
      </w:r>
    </w:p>
    <w:p w14:paraId="4F5AB617">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《建筑设计防火规范》GB50016-2014</w:t>
      </w:r>
    </w:p>
    <w:p w14:paraId="67F8D9C5">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《辽宁省民用建筑外墙保温系统防火暂行规定》(辽公通[2014]234号)</w:t>
      </w:r>
    </w:p>
    <w:p w14:paraId="5D28B09E">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《外墙外保温工程技术规程》 JGJ144-2019</w:t>
      </w:r>
    </w:p>
    <w:p w14:paraId="267FD52F">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《既有建筑维护与改造通用规范[附条文说明]》GB5502-2021</w:t>
      </w:r>
    </w:p>
    <w:p w14:paraId="022B238F">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《城市居住区规划设计标准》GB 50180-2018</w:t>
      </w:r>
    </w:p>
    <w:p w14:paraId="1BBAB838">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《城乡建设用地竖向规划规范》CJJ83-2016</w:t>
      </w:r>
    </w:p>
    <w:p w14:paraId="1964A4FB">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《建筑与小区雨水控制及利用工程技术规范》GB 50400-2016</w:t>
      </w:r>
    </w:p>
    <w:p w14:paraId="4F4A2342">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《城市公共设施规划规范》GB 50442-2008</w:t>
      </w:r>
    </w:p>
    <w:p w14:paraId="3A1955AE">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《城市环境卫生设施规划标准》GB/T 50337-2018</w:t>
      </w:r>
    </w:p>
    <w:p w14:paraId="29563692">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《总图制图标准》GB/T 50103-2010</w:t>
      </w:r>
    </w:p>
    <w:p w14:paraId="2607A805">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《绿色建筑评价标准》GB/T 50378-2019</w:t>
      </w:r>
    </w:p>
    <w:p w14:paraId="21D4FAF6">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《种植屋面工程技术规程》JGJ 155-2013</w:t>
      </w:r>
    </w:p>
    <w:p w14:paraId="24D4E790">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《无障碍设计规范》GB 50763-2012</w:t>
      </w:r>
    </w:p>
    <w:p w14:paraId="026E4F0E">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《海绵城市建设技术指南 --低影响开发雨水系统构建》 (试行)</w:t>
      </w:r>
    </w:p>
    <w:p w14:paraId="3C066897">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《建筑设计防火规范》 GB 50016-2014</w:t>
      </w:r>
    </w:p>
    <w:p w14:paraId="35F421FA">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《居住区环境景观设计导则 》</w:t>
      </w:r>
    </w:p>
    <w:p w14:paraId="478D8827">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《建筑玻璃应用技术规程》JGJ 113-2015</w:t>
      </w:r>
    </w:p>
    <w:p w14:paraId="173E2337">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《木结构设计标准》GB 5005-2017</w:t>
      </w:r>
    </w:p>
    <w:p w14:paraId="1B68EE0C">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《建筑地面设计规范》GB 50037-2013</w:t>
      </w:r>
    </w:p>
    <w:p w14:paraId="03783437">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《建筑与市政工程无障碍通用规范》GB 55019-2021</w:t>
      </w:r>
    </w:p>
    <w:p w14:paraId="19F44A01">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《城市居住区规划设计规范》(GB50180-2016)</w:t>
      </w:r>
    </w:p>
    <w:p w14:paraId="10D06F49">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《无障碍设计规范》GB50763-2012</w:t>
      </w:r>
    </w:p>
    <w:p w14:paraId="5A436384">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《园林绿化工程施工及验收规范》CJJ82-2012</w:t>
      </w:r>
    </w:p>
    <w:p w14:paraId="26040C5B">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《环境景观室外工程细部构造》05J012-1</w:t>
      </w:r>
    </w:p>
    <w:p w14:paraId="20FAFAB9">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《砌体结构设计规范》GB50003-2011</w:t>
      </w:r>
    </w:p>
    <w:p w14:paraId="048539C0">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《城市绿化工程施工及验收规范》CJJ/T82</w:t>
      </w:r>
    </w:p>
    <w:p w14:paraId="53DC28CC">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《混凝土结构设计规范》GB50010-2010</w:t>
      </w:r>
    </w:p>
    <w:p w14:paraId="2024D7F8">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《城市道路绿化与规划设计规范》CJJ75-97</w:t>
      </w:r>
    </w:p>
    <w:p w14:paraId="3F74AB34">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《城市绿化和园林绿地用植物材料-木本苗》CJ/T34</w:t>
      </w:r>
    </w:p>
    <w:p w14:paraId="6A53D86C">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《给水排水管道工程施工及验收规范》GB50268-2008</w:t>
      </w:r>
    </w:p>
    <w:p w14:paraId="2D9B75B9">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《建筑给水排水设计规范》GB 50015-2009</w:t>
      </w:r>
    </w:p>
    <w:p w14:paraId="3966F80D">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《风景园林图例图示标准》CJJ/T67-2015</w:t>
      </w:r>
    </w:p>
    <w:p w14:paraId="646D3075">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《低压配电装置及线路设计规范》GB 50054-2011</w:t>
      </w:r>
    </w:p>
    <w:p w14:paraId="5EC01FC6">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《城市道路工程设计规范》CJJ37-2012(2016年版)</w:t>
      </w:r>
    </w:p>
    <w:p w14:paraId="32B1DDC5">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 xml:space="preserve">《园林绿化工程施工及验收规范》CJJ 82-2012 </w:t>
      </w:r>
    </w:p>
    <w:p w14:paraId="49C39BAB">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《公园设计规范》GB51192-2016</w:t>
      </w:r>
    </w:p>
    <w:p w14:paraId="225DB684">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《环境景观室外工程细部构造》15J012-1</w:t>
      </w:r>
    </w:p>
    <w:p w14:paraId="5EB28979">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 xml:space="preserve">《城市绿地设计规范》GB 50420-2007 </w:t>
      </w:r>
    </w:p>
    <w:p w14:paraId="2613FE8F">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《城市绿化工程施工及验收规范》CJJ82-99</w:t>
      </w:r>
    </w:p>
    <w:p w14:paraId="5D60584C">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《种植屋面工程技术规程》JGJ 155-2007</w:t>
      </w:r>
    </w:p>
    <w:p w14:paraId="59A81BE5">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《民用建筑电气设计标准》GB51348-2019</w:t>
      </w:r>
    </w:p>
    <w:p w14:paraId="4691934D">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《建筑设计防火规范》 GB50016-2014(2018年版)</w:t>
      </w:r>
    </w:p>
    <w:p w14:paraId="214669AC">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《建筑物防雷设计规范》GB50057-2010</w:t>
      </w:r>
    </w:p>
    <w:p w14:paraId="16CFA1EB">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《供配电系统设计规范》GB50052-2009</w:t>
      </w:r>
    </w:p>
    <w:p w14:paraId="4A2FD10D">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《低压配电设计规范》GB50054-2011</w:t>
      </w:r>
    </w:p>
    <w:p w14:paraId="1D3AD333">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《建筑照明设计标准》GB50034-2013</w:t>
      </w:r>
    </w:p>
    <w:p w14:paraId="0EFE4D1C">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《火灾自动报警系统设计规范》GB50116-2013</w:t>
      </w:r>
    </w:p>
    <w:p w14:paraId="7FC44186">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《电力工程电缆设计标准》 GB50217-2018</w:t>
      </w:r>
    </w:p>
    <w:p w14:paraId="7B04104D">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《建筑物电子信息系统防雷技术规范》GB50343-2012</w:t>
      </w:r>
    </w:p>
    <w:p w14:paraId="223C483D">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《有线电视网络工程设计标准》 GB50200-2018</w:t>
      </w:r>
    </w:p>
    <w:p w14:paraId="77F29205">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《综合布线系统工程设计规范》 GB50311-2016</w:t>
      </w:r>
    </w:p>
    <w:p w14:paraId="66660592">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《建筑机电工程抗震设计规范》GB50981-2014</w:t>
      </w:r>
    </w:p>
    <w:p w14:paraId="25D28B49">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《消防应急照明和疏散指示系统技术标准》GB51309-2018</w:t>
      </w:r>
    </w:p>
    <w:p w14:paraId="09816ACA">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《建筑装饰装修工程质量验收规范》GB50210-2001</w:t>
      </w:r>
    </w:p>
    <w:p w14:paraId="3A6AE4DA">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《室外排水设计标准》(GB50014-2021)</w:t>
      </w:r>
    </w:p>
    <w:p w14:paraId="46B06E27">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《给水排水管道工程施工及验收规范》(GB50268-2008)</w:t>
      </w:r>
    </w:p>
    <w:p w14:paraId="63404AF2">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《建筑机电工程抗震设计规范》(GB50981-2014)</w:t>
      </w:r>
    </w:p>
    <w:p w14:paraId="7484BC4E">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《室外给水排水和燃气热力工程抗震设计规范》(GB50032-2003)</w:t>
      </w:r>
    </w:p>
    <w:p w14:paraId="6A16C50D">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《室外排水设计规范》GB50014-2006(2016版)</w:t>
      </w:r>
    </w:p>
    <w:p w14:paraId="1B03CFC0">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《城市工程管线综合规划规范》(GB20289-2016)</w:t>
      </w:r>
    </w:p>
    <w:p w14:paraId="5597C6CE">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《危险房屋鉴定标准》 JGJ 125-2016</w:t>
      </w:r>
    </w:p>
    <w:p w14:paraId="6CE23F08">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《砌体结构设计规范》 GB 50003-2011</w:t>
      </w:r>
    </w:p>
    <w:p w14:paraId="2C721E60">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《砌体结构加固设计规范》 GB 50702-2011</w:t>
      </w:r>
    </w:p>
    <w:p w14:paraId="42F610C2">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《混凝土结构加固设计规范》 GB 50367-2013</w:t>
      </w:r>
    </w:p>
    <w:p w14:paraId="4AF7E9BA">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《建筑结构加固工程施工质量验收规范》 GB 50550-2010</w:t>
      </w:r>
    </w:p>
    <w:p w14:paraId="08FE44A8">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《工程结构加固材料安全性鉴定技术规范》 GB 50728-2011</w:t>
      </w:r>
    </w:p>
    <w:p w14:paraId="625ACC64">
      <w:pPr>
        <w:pStyle w:val="2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《砌体结构工程施工质量验收规范》 GB 50203-2011</w:t>
      </w:r>
    </w:p>
    <w:p w14:paraId="7DBB5295">
      <w:pPr>
        <w:pStyle w:val="46"/>
        <w:widowControl/>
        <w:jc w:val="left"/>
        <w:rPr>
          <w:rFonts w:hint="eastAsia" w:ascii="宋体" w:hAnsi="宋体" w:cs="宋体"/>
          <w:b/>
          <w:bCs/>
          <w:color w:val="auto"/>
          <w:sz w:val="24"/>
          <w:szCs w:val="24"/>
          <w:highlight w:val="none"/>
        </w:rPr>
      </w:pPr>
    </w:p>
    <w:p w14:paraId="71FD7003">
      <w:pPr>
        <w:pStyle w:val="46"/>
        <w:widowControl/>
        <w:jc w:val="left"/>
        <w:rPr>
          <w:rFonts w:ascii="宋体" w:hAnsi="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三</w:t>
      </w:r>
      <w:r>
        <w:rPr>
          <w:rFonts w:hint="eastAsia" w:ascii="宋体" w:hAnsi="宋体" w:cs="宋体"/>
          <w:b/>
          <w:bCs/>
          <w:color w:val="auto"/>
          <w:kern w:val="0"/>
          <w:sz w:val="21"/>
          <w:szCs w:val="21"/>
          <w:highlight w:val="none"/>
        </w:rPr>
        <w:t>、</w:t>
      </w:r>
      <w:r>
        <w:rPr>
          <w:rFonts w:ascii="Arial" w:hAnsi="Arial" w:cs="Arial"/>
          <w:b/>
          <w:color w:val="auto"/>
          <w:sz w:val="21"/>
          <w:szCs w:val="21"/>
          <w:highlight w:val="none"/>
        </w:rPr>
        <w:t>对施工、验收阶段的要求</w:t>
      </w:r>
    </w:p>
    <w:p w14:paraId="019BD7AA">
      <w:pPr>
        <w:pStyle w:val="42"/>
        <w:adjustRightInd w:val="0"/>
        <w:snapToGrid w:val="0"/>
        <w:spacing w:line="360" w:lineRule="auto"/>
        <w:ind w:firstLine="420" w:firstLineChars="200"/>
        <w:rPr>
          <w:rFonts w:hint="eastAsia" w:ascii="Arial" w:hAnsi="Arial" w:cs="Arial"/>
          <w:b/>
          <w:color w:val="auto"/>
          <w:sz w:val="21"/>
          <w:szCs w:val="21"/>
          <w:highlight w:val="none"/>
          <w:lang w:val="en-US" w:eastAsia="zh-CN"/>
        </w:rPr>
      </w:pPr>
      <w:r>
        <w:rPr>
          <w:rFonts w:ascii="Arial" w:hAnsi="Arial" w:cs="Arial"/>
          <w:bCs/>
          <w:color w:val="auto"/>
          <w:sz w:val="21"/>
          <w:szCs w:val="21"/>
          <w:highlight w:val="none"/>
        </w:rPr>
        <w:t>承包人</w:t>
      </w:r>
      <w:r>
        <w:rPr>
          <w:rFonts w:hint="eastAsia" w:ascii="Arial" w:hAnsi="Arial" w:cs="Arial"/>
          <w:bCs/>
          <w:color w:val="auto"/>
          <w:sz w:val="21"/>
          <w:szCs w:val="21"/>
          <w:highlight w:val="none"/>
        </w:rPr>
        <w:t>在施工现场应配备指挥车辆1-2辆，配备专职驾驶员，保证现场对外协调联络使用，指挥车应服从招标人调度。指挥车辆所发生的所有费用（如驾驶人员工资、燃油费、维修费、保养费等）均在本次报价内。</w:t>
      </w:r>
    </w:p>
    <w:p w14:paraId="4B20F198">
      <w:pPr>
        <w:pStyle w:val="42"/>
        <w:adjustRightInd w:val="0"/>
        <w:snapToGrid w:val="0"/>
        <w:spacing w:line="360" w:lineRule="auto"/>
        <w:ind w:firstLine="422" w:firstLineChars="200"/>
        <w:rPr>
          <w:rFonts w:ascii="Arial" w:hAnsi="Arial" w:cs="Arial"/>
          <w:b/>
          <w:color w:val="auto"/>
          <w:sz w:val="21"/>
          <w:szCs w:val="21"/>
          <w:highlight w:val="none"/>
        </w:rPr>
      </w:pPr>
      <w:r>
        <w:rPr>
          <w:rFonts w:hint="eastAsia" w:ascii="Arial" w:hAnsi="Arial" w:cs="Arial"/>
          <w:b/>
          <w:color w:val="auto"/>
          <w:sz w:val="21"/>
          <w:szCs w:val="21"/>
          <w:highlight w:val="none"/>
          <w:lang w:val="en-US" w:eastAsia="zh-CN"/>
        </w:rPr>
        <w:t>1</w:t>
      </w:r>
      <w:r>
        <w:rPr>
          <w:rFonts w:ascii="Arial" w:hAnsi="Arial" w:cs="Arial"/>
          <w:b/>
          <w:color w:val="auto"/>
          <w:sz w:val="21"/>
          <w:szCs w:val="21"/>
          <w:highlight w:val="none"/>
        </w:rPr>
        <w:t>. 工期要求</w:t>
      </w:r>
    </w:p>
    <w:p w14:paraId="65B549E2">
      <w:pPr>
        <w:pStyle w:val="42"/>
        <w:adjustRightInd w:val="0"/>
        <w:snapToGrid w:val="0"/>
        <w:spacing w:line="360" w:lineRule="auto"/>
        <w:ind w:firstLine="422" w:firstLineChars="200"/>
        <w:rPr>
          <w:rFonts w:ascii="Arial" w:hAnsi="Arial" w:cs="Arial"/>
          <w:b/>
          <w:color w:val="auto"/>
          <w:sz w:val="21"/>
          <w:szCs w:val="21"/>
          <w:highlight w:val="none"/>
        </w:rPr>
      </w:pPr>
      <w:r>
        <w:rPr>
          <w:rFonts w:hint="eastAsia" w:ascii="Arial" w:hAnsi="Arial" w:cs="Arial"/>
          <w:b/>
          <w:color w:val="auto"/>
          <w:sz w:val="21"/>
          <w:szCs w:val="21"/>
          <w:highlight w:val="none"/>
          <w:lang w:val="en-US" w:eastAsia="zh-CN"/>
        </w:rPr>
        <w:t>1</w:t>
      </w:r>
      <w:r>
        <w:rPr>
          <w:rFonts w:ascii="Arial" w:hAnsi="Arial" w:cs="Arial"/>
          <w:b/>
          <w:color w:val="auto"/>
          <w:sz w:val="21"/>
          <w:szCs w:val="21"/>
          <w:highlight w:val="none"/>
        </w:rPr>
        <w:t>.1 合同工期</w:t>
      </w:r>
    </w:p>
    <w:p w14:paraId="1881FFE0">
      <w:pPr>
        <w:pStyle w:val="42"/>
        <w:adjustRightInd w:val="0"/>
        <w:snapToGrid w:val="0"/>
        <w:spacing w:line="360" w:lineRule="auto"/>
        <w:ind w:firstLine="420" w:firstLineChars="200"/>
        <w:rPr>
          <w:rFonts w:ascii="Arial" w:hAnsi="Arial" w:cs="Arial"/>
          <w:bCs/>
          <w:color w:val="auto"/>
          <w:sz w:val="21"/>
          <w:szCs w:val="21"/>
          <w:highlight w:val="none"/>
        </w:rPr>
      </w:pPr>
      <w:r>
        <w:rPr>
          <w:rFonts w:hint="eastAsia" w:ascii="Arial" w:hAnsi="Arial" w:cs="Arial"/>
          <w:bCs/>
          <w:color w:val="auto"/>
          <w:sz w:val="21"/>
          <w:szCs w:val="21"/>
          <w:highlight w:val="none"/>
          <w:lang w:val="en-US" w:eastAsia="zh-CN"/>
        </w:rPr>
        <w:t>1</w:t>
      </w:r>
      <w:r>
        <w:rPr>
          <w:rFonts w:ascii="Arial" w:hAnsi="Arial" w:cs="Arial"/>
          <w:bCs/>
          <w:color w:val="auto"/>
          <w:sz w:val="21"/>
          <w:szCs w:val="21"/>
          <w:highlight w:val="none"/>
        </w:rPr>
        <w:t>.1.1 本工程合同工期和计划开、竣工日期为承包人在投标函附录中承诺的工期和计划开、竣工日期，并在合同协议书中载明。</w:t>
      </w:r>
    </w:p>
    <w:p w14:paraId="50B50F9D">
      <w:pPr>
        <w:pStyle w:val="42"/>
        <w:adjustRightInd w:val="0"/>
        <w:snapToGrid w:val="0"/>
        <w:spacing w:line="360" w:lineRule="auto"/>
        <w:ind w:firstLine="422" w:firstLineChars="200"/>
        <w:rPr>
          <w:rFonts w:ascii="Arial" w:hAnsi="Arial" w:cs="Arial"/>
          <w:b/>
          <w:color w:val="auto"/>
          <w:sz w:val="21"/>
          <w:szCs w:val="21"/>
          <w:highlight w:val="none"/>
        </w:rPr>
      </w:pPr>
      <w:r>
        <w:rPr>
          <w:rFonts w:hint="eastAsia" w:ascii="Arial" w:hAnsi="Arial" w:cs="Arial"/>
          <w:b/>
          <w:color w:val="auto"/>
          <w:sz w:val="21"/>
          <w:szCs w:val="21"/>
          <w:highlight w:val="none"/>
          <w:lang w:val="en-US" w:eastAsia="zh-CN"/>
        </w:rPr>
        <w:t>1</w:t>
      </w:r>
      <w:r>
        <w:rPr>
          <w:rFonts w:ascii="Arial" w:hAnsi="Arial" w:cs="Arial"/>
          <w:b/>
          <w:color w:val="auto"/>
          <w:sz w:val="21"/>
          <w:szCs w:val="21"/>
          <w:highlight w:val="none"/>
        </w:rPr>
        <w:t xml:space="preserve"> 2 关于工期的一般规定</w:t>
      </w:r>
    </w:p>
    <w:p w14:paraId="7FD3DD9C">
      <w:pPr>
        <w:pStyle w:val="42"/>
        <w:adjustRightInd w:val="0"/>
        <w:snapToGrid w:val="0"/>
        <w:spacing w:line="360" w:lineRule="auto"/>
        <w:ind w:firstLine="420" w:firstLineChars="200"/>
        <w:rPr>
          <w:rFonts w:ascii="Arial" w:hAnsi="Arial" w:cs="Arial"/>
          <w:bCs/>
          <w:color w:val="auto"/>
          <w:sz w:val="21"/>
          <w:szCs w:val="21"/>
          <w:highlight w:val="none"/>
        </w:rPr>
      </w:pPr>
      <w:r>
        <w:rPr>
          <w:rFonts w:hint="eastAsia" w:ascii="Arial" w:hAnsi="Arial" w:cs="Arial"/>
          <w:bCs/>
          <w:color w:val="auto"/>
          <w:sz w:val="21"/>
          <w:szCs w:val="21"/>
          <w:highlight w:val="none"/>
          <w:lang w:val="en-US" w:eastAsia="zh-CN"/>
        </w:rPr>
        <w:t>1</w:t>
      </w:r>
      <w:r>
        <w:rPr>
          <w:rFonts w:ascii="Arial" w:hAnsi="Arial" w:cs="Arial"/>
          <w:bCs/>
          <w:color w:val="auto"/>
          <w:sz w:val="21"/>
          <w:szCs w:val="21"/>
          <w:highlight w:val="none"/>
        </w:rPr>
        <w:t>.2.1 承包人在投标函中承诺的工期和计划开、竣工日期之间发生矛盾或者不一致时，以承包人承诺的工期为准。实际开工日期以监理人发出的开工通知中载明的开工日期为准。</w:t>
      </w:r>
    </w:p>
    <w:p w14:paraId="2C985ECE">
      <w:pPr>
        <w:pStyle w:val="42"/>
        <w:adjustRightInd w:val="0"/>
        <w:snapToGrid w:val="0"/>
        <w:spacing w:line="360" w:lineRule="auto"/>
        <w:ind w:firstLine="420" w:firstLineChars="200"/>
        <w:rPr>
          <w:rFonts w:ascii="Arial" w:hAnsi="Arial" w:cs="Arial"/>
          <w:bCs/>
          <w:color w:val="auto"/>
          <w:sz w:val="21"/>
          <w:szCs w:val="21"/>
          <w:highlight w:val="none"/>
        </w:rPr>
      </w:pPr>
      <w:r>
        <w:rPr>
          <w:rFonts w:hint="eastAsia" w:ascii="Arial" w:hAnsi="Arial" w:cs="Arial"/>
          <w:bCs/>
          <w:color w:val="auto"/>
          <w:sz w:val="21"/>
          <w:szCs w:val="21"/>
          <w:highlight w:val="none"/>
          <w:lang w:val="en-US" w:eastAsia="zh-CN"/>
        </w:rPr>
        <w:t>1</w:t>
      </w:r>
      <w:r>
        <w:rPr>
          <w:rFonts w:ascii="Arial" w:hAnsi="Arial" w:cs="Arial"/>
          <w:bCs/>
          <w:color w:val="auto"/>
          <w:sz w:val="21"/>
          <w:szCs w:val="21"/>
          <w:highlight w:val="none"/>
        </w:rPr>
        <w:t>.2.2 如果承包人在投标函附录中承诺的工期提前于发包人在本工程招标文件中所要求的工期，承包人在施工组织设计中应当制定相应的工期保证措施，由此而增加的费用应当被认为已经包括在投标总价中。除合同另有约定外，合同履约过程中发包人不会因此再向承包人支付任何性质的技术措施费用、赶工费用或其他任何性质的提前完工奖励等费用。</w:t>
      </w:r>
    </w:p>
    <w:p w14:paraId="7495F4ED">
      <w:pPr>
        <w:pStyle w:val="42"/>
        <w:adjustRightInd w:val="0"/>
        <w:snapToGrid w:val="0"/>
        <w:spacing w:line="360" w:lineRule="auto"/>
        <w:ind w:firstLine="420" w:firstLineChars="200"/>
        <w:rPr>
          <w:rFonts w:ascii="Arial" w:hAnsi="Arial" w:cs="Arial"/>
          <w:bCs/>
          <w:color w:val="auto"/>
          <w:sz w:val="21"/>
          <w:szCs w:val="21"/>
          <w:highlight w:val="none"/>
        </w:rPr>
      </w:pPr>
      <w:r>
        <w:rPr>
          <w:rFonts w:hint="eastAsia" w:ascii="Arial" w:hAnsi="Arial" w:cs="Arial"/>
          <w:bCs/>
          <w:color w:val="auto"/>
          <w:sz w:val="21"/>
          <w:szCs w:val="21"/>
          <w:highlight w:val="none"/>
          <w:lang w:val="en-US" w:eastAsia="zh-CN"/>
        </w:rPr>
        <w:t>1</w:t>
      </w:r>
      <w:r>
        <w:rPr>
          <w:rFonts w:ascii="Arial" w:hAnsi="Arial" w:cs="Arial"/>
          <w:bCs/>
          <w:color w:val="auto"/>
          <w:sz w:val="21"/>
          <w:szCs w:val="21"/>
          <w:highlight w:val="none"/>
        </w:rPr>
        <w:t>.2.3 承包人在投标函附录中所承诺的工期应当包括实施并完成规定的暂估价项目和实际可能发生的暂列金额在内的所有工作的工期。</w:t>
      </w:r>
    </w:p>
    <w:p w14:paraId="4C8B5AFC">
      <w:pPr>
        <w:pStyle w:val="42"/>
        <w:adjustRightInd w:val="0"/>
        <w:snapToGrid w:val="0"/>
        <w:spacing w:line="360" w:lineRule="auto"/>
        <w:ind w:firstLine="422" w:firstLineChars="200"/>
        <w:rPr>
          <w:rFonts w:ascii="Arial" w:hAnsi="Arial" w:cs="Arial"/>
          <w:b/>
          <w:color w:val="auto"/>
          <w:sz w:val="21"/>
          <w:szCs w:val="21"/>
          <w:highlight w:val="none"/>
        </w:rPr>
      </w:pPr>
      <w:r>
        <w:rPr>
          <w:rFonts w:hint="eastAsia" w:ascii="Arial" w:hAnsi="Arial" w:cs="Arial"/>
          <w:b/>
          <w:color w:val="auto"/>
          <w:sz w:val="21"/>
          <w:szCs w:val="21"/>
          <w:highlight w:val="none"/>
          <w:lang w:val="en-US" w:eastAsia="zh-CN"/>
        </w:rPr>
        <w:t>2</w:t>
      </w:r>
      <w:r>
        <w:rPr>
          <w:rFonts w:ascii="Arial" w:hAnsi="Arial" w:cs="Arial"/>
          <w:b/>
          <w:color w:val="auto"/>
          <w:sz w:val="21"/>
          <w:szCs w:val="21"/>
          <w:highlight w:val="none"/>
        </w:rPr>
        <w:t>. 质量要求</w:t>
      </w:r>
    </w:p>
    <w:p w14:paraId="2D61A3BD">
      <w:pPr>
        <w:pStyle w:val="42"/>
        <w:adjustRightInd w:val="0"/>
        <w:snapToGrid w:val="0"/>
        <w:spacing w:line="360" w:lineRule="auto"/>
        <w:ind w:firstLine="422" w:firstLineChars="200"/>
        <w:rPr>
          <w:rFonts w:ascii="Arial" w:hAnsi="Arial" w:cs="Arial"/>
          <w:b/>
          <w:color w:val="auto"/>
          <w:sz w:val="21"/>
          <w:szCs w:val="21"/>
          <w:highlight w:val="none"/>
        </w:rPr>
      </w:pPr>
      <w:r>
        <w:rPr>
          <w:rFonts w:hint="eastAsia" w:ascii="Arial" w:hAnsi="Arial" w:cs="Arial"/>
          <w:b/>
          <w:color w:val="auto"/>
          <w:sz w:val="21"/>
          <w:szCs w:val="21"/>
          <w:highlight w:val="none"/>
          <w:lang w:val="en-US" w:eastAsia="zh-CN"/>
        </w:rPr>
        <w:t>2</w:t>
      </w:r>
      <w:r>
        <w:rPr>
          <w:rFonts w:ascii="Arial" w:hAnsi="Arial" w:cs="Arial"/>
          <w:b/>
          <w:color w:val="auto"/>
          <w:sz w:val="21"/>
          <w:szCs w:val="21"/>
          <w:highlight w:val="none"/>
        </w:rPr>
        <w:t>.1 质量标准</w:t>
      </w:r>
    </w:p>
    <w:p w14:paraId="0BFCEE81">
      <w:pPr>
        <w:pStyle w:val="42"/>
        <w:adjustRightInd w:val="0"/>
        <w:snapToGrid w:val="0"/>
        <w:spacing w:line="360" w:lineRule="auto"/>
        <w:ind w:firstLine="420" w:firstLineChars="200"/>
        <w:rPr>
          <w:rFonts w:ascii="Arial" w:hAnsi="Arial" w:cs="Arial"/>
          <w:bCs/>
          <w:color w:val="auto"/>
          <w:sz w:val="21"/>
          <w:szCs w:val="21"/>
          <w:highlight w:val="none"/>
        </w:rPr>
      </w:pPr>
      <w:r>
        <w:rPr>
          <w:rFonts w:hint="eastAsia" w:ascii="Arial" w:hAnsi="Arial" w:cs="Arial"/>
          <w:bCs/>
          <w:color w:val="auto"/>
          <w:sz w:val="21"/>
          <w:szCs w:val="21"/>
          <w:highlight w:val="none"/>
          <w:lang w:val="en-US" w:eastAsia="zh-CN"/>
        </w:rPr>
        <w:t>2</w:t>
      </w:r>
      <w:r>
        <w:rPr>
          <w:rFonts w:ascii="Arial" w:hAnsi="Arial" w:cs="Arial"/>
          <w:bCs/>
          <w:color w:val="auto"/>
          <w:sz w:val="21"/>
          <w:szCs w:val="21"/>
          <w:highlight w:val="none"/>
        </w:rPr>
        <w:t>.1.1 本工程要求的质量标准为符合现行国家有关工程施工验收规范和标准的要求（合格）。</w:t>
      </w:r>
    </w:p>
    <w:p w14:paraId="30291674">
      <w:pPr>
        <w:pStyle w:val="42"/>
        <w:adjustRightInd w:val="0"/>
        <w:snapToGrid w:val="0"/>
        <w:spacing w:line="360" w:lineRule="auto"/>
        <w:ind w:firstLine="422" w:firstLineChars="200"/>
        <w:rPr>
          <w:rFonts w:ascii="Arial" w:hAnsi="Arial" w:cs="Arial"/>
          <w:b/>
          <w:color w:val="auto"/>
          <w:sz w:val="21"/>
          <w:szCs w:val="21"/>
          <w:highlight w:val="none"/>
        </w:rPr>
      </w:pPr>
      <w:r>
        <w:rPr>
          <w:rFonts w:hint="eastAsia" w:ascii="Arial" w:hAnsi="Arial" w:cs="Arial"/>
          <w:b/>
          <w:color w:val="auto"/>
          <w:sz w:val="21"/>
          <w:szCs w:val="21"/>
          <w:highlight w:val="none"/>
          <w:lang w:val="en-US" w:eastAsia="zh-CN"/>
        </w:rPr>
        <w:t>2</w:t>
      </w:r>
      <w:r>
        <w:rPr>
          <w:rFonts w:ascii="Arial" w:hAnsi="Arial" w:cs="Arial"/>
          <w:b/>
          <w:color w:val="auto"/>
          <w:sz w:val="21"/>
          <w:szCs w:val="21"/>
          <w:highlight w:val="none"/>
        </w:rPr>
        <w:t>.2 特殊质量要求</w:t>
      </w:r>
    </w:p>
    <w:p w14:paraId="64D085F4">
      <w:pPr>
        <w:pStyle w:val="42"/>
        <w:adjustRightInd w:val="0"/>
        <w:snapToGrid w:val="0"/>
        <w:spacing w:line="360" w:lineRule="auto"/>
        <w:ind w:firstLine="420" w:firstLineChars="200"/>
        <w:rPr>
          <w:rFonts w:ascii="Arial" w:hAnsi="Arial" w:cs="Arial"/>
          <w:bCs/>
          <w:color w:val="auto"/>
          <w:sz w:val="21"/>
          <w:szCs w:val="21"/>
          <w:highlight w:val="none"/>
        </w:rPr>
      </w:pPr>
      <w:r>
        <w:rPr>
          <w:rFonts w:hint="eastAsia" w:ascii="Arial" w:hAnsi="Arial" w:cs="Arial"/>
          <w:bCs/>
          <w:color w:val="auto"/>
          <w:sz w:val="21"/>
          <w:szCs w:val="21"/>
          <w:highlight w:val="none"/>
          <w:lang w:val="en-US" w:eastAsia="zh-CN"/>
        </w:rPr>
        <w:t>2</w:t>
      </w:r>
      <w:r>
        <w:rPr>
          <w:rFonts w:ascii="Arial" w:hAnsi="Arial" w:cs="Arial"/>
          <w:bCs/>
          <w:color w:val="auto"/>
          <w:sz w:val="21"/>
          <w:szCs w:val="21"/>
          <w:highlight w:val="none"/>
        </w:rPr>
        <w:t>.2.1 有关本工程质量方面的特殊要求如下：</w:t>
      </w:r>
      <w:r>
        <w:rPr>
          <w:rFonts w:ascii="Arial" w:hAnsi="Arial" w:cs="Arial"/>
          <w:bCs/>
          <w:color w:val="auto"/>
          <w:sz w:val="21"/>
          <w:szCs w:val="21"/>
          <w:highlight w:val="none"/>
          <w:u w:val="single"/>
        </w:rPr>
        <w:t xml:space="preserve">      无             </w:t>
      </w:r>
      <w:r>
        <w:rPr>
          <w:rFonts w:ascii="Arial" w:hAnsi="Arial" w:cs="Arial"/>
          <w:bCs/>
          <w:color w:val="auto"/>
          <w:sz w:val="21"/>
          <w:szCs w:val="21"/>
          <w:highlight w:val="none"/>
        </w:rPr>
        <w:t>。</w:t>
      </w:r>
    </w:p>
    <w:p w14:paraId="5F4B1106">
      <w:pPr>
        <w:pStyle w:val="42"/>
        <w:adjustRightInd w:val="0"/>
        <w:snapToGrid w:val="0"/>
        <w:spacing w:line="360" w:lineRule="auto"/>
        <w:ind w:firstLine="420" w:firstLineChars="200"/>
        <w:rPr>
          <w:rFonts w:ascii="Arial" w:hAnsi="Arial" w:cs="Arial"/>
          <w:bCs/>
          <w:color w:val="auto"/>
          <w:sz w:val="21"/>
          <w:szCs w:val="21"/>
          <w:highlight w:val="none"/>
        </w:rPr>
      </w:pPr>
      <w:r>
        <w:rPr>
          <w:rFonts w:hint="eastAsia" w:ascii="Arial" w:hAnsi="Arial" w:cs="Arial"/>
          <w:bCs/>
          <w:color w:val="auto"/>
          <w:sz w:val="21"/>
          <w:szCs w:val="21"/>
          <w:highlight w:val="none"/>
          <w:lang w:val="en-US" w:eastAsia="zh-CN"/>
        </w:rPr>
        <w:t>2</w:t>
      </w:r>
      <w:r>
        <w:rPr>
          <w:rFonts w:ascii="Arial" w:hAnsi="Arial" w:cs="Arial"/>
          <w:bCs/>
          <w:color w:val="auto"/>
          <w:sz w:val="21"/>
          <w:szCs w:val="21"/>
          <w:highlight w:val="none"/>
        </w:rPr>
        <w:t>.2.2 按照</w:t>
      </w:r>
      <w:r>
        <w:rPr>
          <w:rFonts w:hint="eastAsia" w:ascii="Arial" w:hAnsi="Arial" w:cs="Arial"/>
          <w:bCs/>
          <w:color w:val="auto"/>
          <w:sz w:val="21"/>
          <w:szCs w:val="21"/>
          <w:highlight w:val="none"/>
        </w:rPr>
        <w:t>《城镇道路工程施工与质量验收规范》（CJJ1-2008）</w:t>
      </w:r>
      <w:r>
        <w:rPr>
          <w:rFonts w:ascii="Arial" w:hAnsi="Arial" w:cs="Arial"/>
          <w:bCs/>
          <w:color w:val="auto"/>
          <w:sz w:val="21"/>
          <w:szCs w:val="21"/>
          <w:highlight w:val="none"/>
        </w:rPr>
        <w:t>进行施工管理，严格落实</w:t>
      </w:r>
      <w:r>
        <w:rPr>
          <w:rFonts w:hint="eastAsia" w:ascii="Arial" w:hAnsi="Arial" w:cs="Arial"/>
          <w:bCs/>
          <w:color w:val="auto"/>
          <w:sz w:val="21"/>
          <w:szCs w:val="21"/>
          <w:highlight w:val="none"/>
        </w:rPr>
        <w:t>市政</w:t>
      </w:r>
      <w:r>
        <w:rPr>
          <w:rFonts w:ascii="Arial" w:hAnsi="Arial" w:cs="Arial"/>
          <w:bCs/>
          <w:color w:val="auto"/>
          <w:sz w:val="21"/>
          <w:szCs w:val="21"/>
          <w:highlight w:val="none"/>
        </w:rPr>
        <w:t>设计要求。</w:t>
      </w:r>
    </w:p>
    <w:p w14:paraId="5B46FA57">
      <w:pPr>
        <w:pStyle w:val="42"/>
        <w:adjustRightInd w:val="0"/>
        <w:snapToGrid w:val="0"/>
        <w:spacing w:line="360" w:lineRule="auto"/>
        <w:ind w:firstLine="422" w:firstLineChars="200"/>
        <w:rPr>
          <w:rFonts w:ascii="Arial" w:hAnsi="Arial" w:cs="Arial"/>
          <w:b/>
          <w:color w:val="auto"/>
          <w:sz w:val="21"/>
          <w:szCs w:val="21"/>
          <w:highlight w:val="none"/>
        </w:rPr>
      </w:pPr>
      <w:r>
        <w:rPr>
          <w:rFonts w:hint="eastAsia" w:ascii="Arial" w:hAnsi="Arial" w:cs="Arial"/>
          <w:b/>
          <w:color w:val="auto"/>
          <w:sz w:val="21"/>
          <w:szCs w:val="21"/>
          <w:highlight w:val="none"/>
          <w:lang w:val="en-US" w:eastAsia="zh-CN"/>
        </w:rPr>
        <w:t>2</w:t>
      </w:r>
      <w:r>
        <w:rPr>
          <w:rFonts w:ascii="Arial" w:hAnsi="Arial" w:cs="Arial"/>
          <w:b/>
          <w:color w:val="auto"/>
          <w:sz w:val="21"/>
          <w:szCs w:val="21"/>
          <w:highlight w:val="none"/>
        </w:rPr>
        <w:t xml:space="preserve"> 3 施工工艺样板及首段验收的管理</w:t>
      </w:r>
    </w:p>
    <w:p w14:paraId="0ADE7DB4">
      <w:pPr>
        <w:pStyle w:val="42"/>
        <w:adjustRightInd w:val="0"/>
        <w:snapToGrid w:val="0"/>
        <w:spacing w:line="360" w:lineRule="auto"/>
        <w:ind w:firstLine="420" w:firstLineChars="200"/>
        <w:rPr>
          <w:rFonts w:ascii="Arial" w:hAnsi="Arial" w:cs="Arial"/>
          <w:bCs/>
          <w:color w:val="auto"/>
          <w:sz w:val="21"/>
          <w:szCs w:val="21"/>
          <w:highlight w:val="none"/>
        </w:rPr>
      </w:pPr>
      <w:r>
        <w:rPr>
          <w:rFonts w:hint="eastAsia" w:ascii="Arial" w:hAnsi="Arial" w:cs="Arial"/>
          <w:bCs/>
          <w:color w:val="auto"/>
          <w:sz w:val="21"/>
          <w:szCs w:val="21"/>
          <w:highlight w:val="none"/>
          <w:lang w:val="en-US" w:eastAsia="zh-CN"/>
        </w:rPr>
        <w:t>2</w:t>
      </w:r>
      <w:r>
        <w:rPr>
          <w:rFonts w:ascii="Arial" w:hAnsi="Arial" w:cs="Arial"/>
          <w:bCs/>
          <w:color w:val="auto"/>
          <w:sz w:val="21"/>
          <w:szCs w:val="21"/>
          <w:highlight w:val="none"/>
        </w:rPr>
        <w:t>.3.1 施工单位应在分部（子分部）工程施工图完成后，应及时组织专业技术人员根据设计文件和工程办要求，梳理施工过程中需要进行施工工艺样板及首段验收的工序，按分部工程形成《施工工艺样板一览表》、《首段（首件）验收一览表》，并经监理人审核后报发包人。</w:t>
      </w:r>
    </w:p>
    <w:p w14:paraId="41518010">
      <w:pPr>
        <w:pStyle w:val="42"/>
        <w:adjustRightInd w:val="0"/>
        <w:snapToGrid w:val="0"/>
        <w:spacing w:line="360" w:lineRule="auto"/>
        <w:ind w:firstLine="420" w:firstLineChars="200"/>
        <w:rPr>
          <w:rFonts w:ascii="Arial" w:hAnsi="Arial" w:cs="Arial"/>
          <w:bCs/>
          <w:color w:val="auto"/>
          <w:sz w:val="21"/>
          <w:szCs w:val="21"/>
          <w:highlight w:val="none"/>
        </w:rPr>
      </w:pPr>
      <w:r>
        <w:rPr>
          <w:rFonts w:hint="eastAsia" w:ascii="Arial" w:hAnsi="Arial" w:cs="Arial"/>
          <w:bCs/>
          <w:color w:val="auto"/>
          <w:sz w:val="21"/>
          <w:szCs w:val="21"/>
          <w:highlight w:val="none"/>
          <w:lang w:val="en-US" w:eastAsia="zh-CN"/>
        </w:rPr>
        <w:t>2</w:t>
      </w:r>
      <w:r>
        <w:rPr>
          <w:rFonts w:ascii="Arial" w:hAnsi="Arial" w:cs="Arial"/>
          <w:bCs/>
          <w:color w:val="auto"/>
          <w:sz w:val="21"/>
          <w:szCs w:val="21"/>
          <w:highlight w:val="none"/>
        </w:rPr>
        <w:t>.3.2 施工工艺样板应包括但不限于：</w:t>
      </w:r>
      <w:r>
        <w:rPr>
          <w:rFonts w:hint="eastAsia" w:ascii="Arial" w:hAnsi="Arial" w:cs="Arial"/>
          <w:bCs/>
          <w:color w:val="auto"/>
          <w:sz w:val="21"/>
          <w:szCs w:val="21"/>
          <w:highlight w:val="none"/>
        </w:rPr>
        <w:t>管道安装</w:t>
      </w:r>
      <w:r>
        <w:rPr>
          <w:rFonts w:ascii="Arial" w:hAnsi="Arial" w:cs="Arial"/>
          <w:bCs/>
          <w:color w:val="auto"/>
          <w:sz w:val="21"/>
          <w:szCs w:val="21"/>
          <w:highlight w:val="none"/>
        </w:rPr>
        <w:t>施工、</w:t>
      </w:r>
      <w:r>
        <w:rPr>
          <w:rFonts w:hint="eastAsia" w:ascii="Arial" w:hAnsi="Arial" w:cs="Arial"/>
          <w:bCs/>
          <w:color w:val="auto"/>
          <w:sz w:val="21"/>
          <w:szCs w:val="21"/>
          <w:highlight w:val="none"/>
        </w:rPr>
        <w:t>道路</w:t>
      </w:r>
      <w:r>
        <w:rPr>
          <w:rFonts w:ascii="Arial" w:hAnsi="Arial" w:cs="Arial"/>
          <w:bCs/>
          <w:color w:val="auto"/>
          <w:sz w:val="21"/>
          <w:szCs w:val="21"/>
          <w:highlight w:val="none"/>
        </w:rPr>
        <w:t>施工等；首段验收至少应包括：</w:t>
      </w:r>
      <w:r>
        <w:rPr>
          <w:rFonts w:hint="eastAsia" w:ascii="Arial" w:hAnsi="Arial" w:cs="Arial"/>
          <w:bCs/>
          <w:color w:val="auto"/>
          <w:sz w:val="21"/>
          <w:szCs w:val="21"/>
          <w:highlight w:val="none"/>
        </w:rPr>
        <w:t>桥梁桩基础</w:t>
      </w:r>
      <w:r>
        <w:rPr>
          <w:rFonts w:ascii="Arial" w:hAnsi="Arial" w:cs="Arial"/>
          <w:bCs/>
          <w:color w:val="auto"/>
          <w:sz w:val="21"/>
          <w:szCs w:val="21"/>
          <w:highlight w:val="none"/>
        </w:rPr>
        <w:t>施工、</w:t>
      </w:r>
      <w:r>
        <w:rPr>
          <w:rFonts w:hint="eastAsia" w:ascii="Arial" w:hAnsi="Arial" w:cs="Arial"/>
          <w:bCs/>
          <w:color w:val="auto"/>
          <w:sz w:val="21"/>
          <w:szCs w:val="21"/>
          <w:highlight w:val="none"/>
        </w:rPr>
        <w:t>桥台</w:t>
      </w:r>
      <w:r>
        <w:rPr>
          <w:rFonts w:ascii="Arial" w:hAnsi="Arial" w:cs="Arial"/>
          <w:bCs/>
          <w:color w:val="auto"/>
          <w:sz w:val="21"/>
          <w:szCs w:val="21"/>
          <w:highlight w:val="none"/>
        </w:rPr>
        <w:t>施工、</w:t>
      </w:r>
      <w:r>
        <w:rPr>
          <w:rFonts w:hint="eastAsia" w:ascii="Arial" w:hAnsi="Arial" w:cs="Arial"/>
          <w:bCs/>
          <w:color w:val="auto"/>
          <w:sz w:val="21"/>
          <w:szCs w:val="21"/>
          <w:highlight w:val="none"/>
        </w:rPr>
        <w:t>现浇梁</w:t>
      </w:r>
      <w:r>
        <w:rPr>
          <w:rFonts w:ascii="Arial" w:hAnsi="Arial" w:cs="Arial"/>
          <w:bCs/>
          <w:color w:val="auto"/>
          <w:sz w:val="21"/>
          <w:szCs w:val="21"/>
          <w:highlight w:val="none"/>
        </w:rPr>
        <w:t>施工、</w:t>
      </w:r>
      <w:r>
        <w:rPr>
          <w:rFonts w:hint="eastAsia" w:ascii="Arial" w:hAnsi="Arial" w:cs="Arial"/>
          <w:bCs/>
          <w:color w:val="auto"/>
          <w:sz w:val="21"/>
          <w:szCs w:val="21"/>
          <w:highlight w:val="none"/>
        </w:rPr>
        <w:t>管道安装</w:t>
      </w:r>
      <w:r>
        <w:rPr>
          <w:rFonts w:ascii="Arial" w:hAnsi="Arial" w:cs="Arial"/>
          <w:bCs/>
          <w:color w:val="auto"/>
          <w:sz w:val="21"/>
          <w:szCs w:val="21"/>
          <w:highlight w:val="none"/>
        </w:rPr>
        <w:t>施工、</w:t>
      </w:r>
      <w:r>
        <w:rPr>
          <w:rFonts w:hint="eastAsia" w:ascii="Arial" w:hAnsi="Arial" w:cs="Arial"/>
          <w:bCs/>
          <w:color w:val="auto"/>
          <w:sz w:val="21"/>
          <w:szCs w:val="21"/>
          <w:highlight w:val="none"/>
        </w:rPr>
        <w:t>道路路基回填</w:t>
      </w:r>
      <w:r>
        <w:rPr>
          <w:rFonts w:ascii="Arial" w:hAnsi="Arial" w:cs="Arial"/>
          <w:bCs/>
          <w:color w:val="auto"/>
          <w:sz w:val="21"/>
          <w:szCs w:val="21"/>
          <w:highlight w:val="none"/>
        </w:rPr>
        <w:t>施工、</w:t>
      </w:r>
      <w:r>
        <w:rPr>
          <w:rFonts w:hint="eastAsia" w:ascii="Arial" w:hAnsi="Arial" w:cs="Arial"/>
          <w:bCs/>
          <w:color w:val="auto"/>
          <w:sz w:val="21"/>
          <w:szCs w:val="21"/>
          <w:highlight w:val="none"/>
        </w:rPr>
        <w:t>路面沥青铺设</w:t>
      </w:r>
      <w:r>
        <w:rPr>
          <w:rFonts w:ascii="Arial" w:hAnsi="Arial" w:cs="Arial"/>
          <w:bCs/>
          <w:color w:val="auto"/>
          <w:sz w:val="21"/>
          <w:szCs w:val="21"/>
          <w:highlight w:val="none"/>
        </w:rPr>
        <w:t>施工等。</w:t>
      </w:r>
    </w:p>
    <w:p w14:paraId="117D8316">
      <w:pPr>
        <w:pStyle w:val="42"/>
        <w:adjustRightInd w:val="0"/>
        <w:snapToGrid w:val="0"/>
        <w:spacing w:line="360" w:lineRule="auto"/>
        <w:ind w:firstLine="420" w:firstLineChars="200"/>
        <w:rPr>
          <w:rFonts w:ascii="Arial" w:hAnsi="Arial" w:cs="Arial"/>
          <w:bCs/>
          <w:color w:val="auto"/>
          <w:sz w:val="21"/>
          <w:szCs w:val="21"/>
          <w:highlight w:val="none"/>
        </w:rPr>
      </w:pPr>
      <w:r>
        <w:rPr>
          <w:rFonts w:hint="eastAsia" w:ascii="Arial" w:hAnsi="Arial" w:cs="Arial"/>
          <w:bCs/>
          <w:color w:val="auto"/>
          <w:sz w:val="21"/>
          <w:szCs w:val="21"/>
          <w:highlight w:val="none"/>
          <w:lang w:val="en-US" w:eastAsia="zh-CN"/>
        </w:rPr>
        <w:t>2</w:t>
      </w:r>
      <w:r>
        <w:rPr>
          <w:rFonts w:ascii="Arial" w:hAnsi="Arial" w:cs="Arial"/>
          <w:bCs/>
          <w:color w:val="auto"/>
          <w:sz w:val="21"/>
          <w:szCs w:val="21"/>
          <w:highlight w:val="none"/>
        </w:rPr>
        <w:t>.3.3 施工单位应严格按照设计和规范要求进行施工工艺样板及首段（首件）施工，施工完成后承包人应及时报监理人、发包人组织验收。</w:t>
      </w:r>
    </w:p>
    <w:p w14:paraId="4E9DF430">
      <w:pPr>
        <w:pStyle w:val="42"/>
        <w:adjustRightInd w:val="0"/>
        <w:snapToGrid w:val="0"/>
        <w:spacing w:line="360" w:lineRule="auto"/>
        <w:ind w:firstLine="420" w:firstLineChars="200"/>
        <w:rPr>
          <w:rFonts w:ascii="Arial" w:hAnsi="Arial" w:cs="Arial"/>
          <w:bCs/>
          <w:color w:val="auto"/>
          <w:sz w:val="21"/>
          <w:szCs w:val="21"/>
          <w:highlight w:val="none"/>
        </w:rPr>
      </w:pPr>
      <w:r>
        <w:rPr>
          <w:rFonts w:hint="eastAsia" w:ascii="Arial" w:hAnsi="Arial" w:cs="Arial"/>
          <w:bCs/>
          <w:color w:val="auto"/>
          <w:sz w:val="21"/>
          <w:szCs w:val="21"/>
          <w:highlight w:val="none"/>
          <w:lang w:val="en-US" w:eastAsia="zh-CN"/>
        </w:rPr>
        <w:t>2</w:t>
      </w:r>
      <w:r>
        <w:rPr>
          <w:rFonts w:ascii="Arial" w:hAnsi="Arial" w:cs="Arial"/>
          <w:bCs/>
          <w:color w:val="auto"/>
          <w:sz w:val="21"/>
          <w:szCs w:val="21"/>
          <w:highlight w:val="none"/>
        </w:rPr>
        <w:t>.3.4 施工单位应根据验收时各方提出的意见进行整改，验收合格后方可进行大面积施工。</w:t>
      </w:r>
    </w:p>
    <w:p w14:paraId="787EA0E2">
      <w:pPr>
        <w:pStyle w:val="42"/>
        <w:adjustRightInd w:val="0"/>
        <w:snapToGrid w:val="0"/>
        <w:spacing w:line="360" w:lineRule="auto"/>
        <w:ind w:firstLine="422" w:firstLineChars="200"/>
        <w:rPr>
          <w:rFonts w:ascii="Arial" w:hAnsi="Arial" w:cs="Arial"/>
          <w:b/>
          <w:color w:val="auto"/>
          <w:sz w:val="21"/>
          <w:szCs w:val="21"/>
          <w:highlight w:val="none"/>
        </w:rPr>
      </w:pPr>
      <w:r>
        <w:rPr>
          <w:rFonts w:hint="eastAsia" w:ascii="Arial" w:hAnsi="Arial" w:cs="Arial"/>
          <w:b/>
          <w:color w:val="auto"/>
          <w:sz w:val="21"/>
          <w:szCs w:val="21"/>
          <w:highlight w:val="none"/>
          <w:lang w:val="en-US" w:eastAsia="zh-CN"/>
        </w:rPr>
        <w:t>3</w:t>
      </w:r>
      <w:r>
        <w:rPr>
          <w:rFonts w:ascii="Arial" w:hAnsi="Arial" w:cs="Arial"/>
          <w:b/>
          <w:color w:val="auto"/>
          <w:sz w:val="21"/>
          <w:szCs w:val="21"/>
          <w:highlight w:val="none"/>
        </w:rPr>
        <w:t>. 适用规范和标准 适用规范和标准</w:t>
      </w:r>
    </w:p>
    <w:p w14:paraId="673AC9C5">
      <w:pPr>
        <w:pStyle w:val="42"/>
        <w:adjustRightInd w:val="0"/>
        <w:snapToGrid w:val="0"/>
        <w:spacing w:line="360" w:lineRule="auto"/>
        <w:ind w:firstLine="422" w:firstLineChars="200"/>
        <w:rPr>
          <w:rFonts w:ascii="Arial" w:hAnsi="Arial" w:cs="Arial"/>
          <w:b/>
          <w:color w:val="auto"/>
          <w:sz w:val="21"/>
          <w:szCs w:val="21"/>
          <w:highlight w:val="none"/>
        </w:rPr>
      </w:pPr>
      <w:r>
        <w:rPr>
          <w:rFonts w:hint="eastAsia" w:ascii="Arial" w:hAnsi="Arial" w:cs="Arial"/>
          <w:b/>
          <w:color w:val="auto"/>
          <w:sz w:val="21"/>
          <w:szCs w:val="21"/>
          <w:highlight w:val="none"/>
          <w:lang w:val="en-US" w:eastAsia="zh-CN"/>
        </w:rPr>
        <w:t>3</w:t>
      </w:r>
      <w:r>
        <w:rPr>
          <w:rFonts w:ascii="Arial" w:hAnsi="Arial" w:cs="Arial"/>
          <w:b/>
          <w:color w:val="auto"/>
          <w:sz w:val="21"/>
          <w:szCs w:val="21"/>
          <w:highlight w:val="none"/>
        </w:rPr>
        <w:t>.1 适用的规范、标准和规程</w:t>
      </w:r>
    </w:p>
    <w:p w14:paraId="243B1E91">
      <w:pPr>
        <w:pStyle w:val="42"/>
        <w:adjustRightInd w:val="0"/>
        <w:snapToGrid w:val="0"/>
        <w:spacing w:line="360" w:lineRule="auto"/>
        <w:ind w:firstLine="420" w:firstLineChars="200"/>
        <w:rPr>
          <w:rFonts w:ascii="Arial" w:hAnsi="Arial" w:cs="Arial"/>
          <w:bCs/>
          <w:color w:val="auto"/>
          <w:sz w:val="21"/>
          <w:szCs w:val="21"/>
          <w:highlight w:val="none"/>
        </w:rPr>
      </w:pPr>
      <w:r>
        <w:rPr>
          <w:rFonts w:hint="eastAsia" w:ascii="Arial" w:hAnsi="Arial" w:cs="Arial"/>
          <w:bCs/>
          <w:color w:val="auto"/>
          <w:sz w:val="21"/>
          <w:szCs w:val="21"/>
          <w:highlight w:val="none"/>
          <w:lang w:val="en-US" w:eastAsia="zh-CN"/>
        </w:rPr>
        <w:t>3</w:t>
      </w:r>
      <w:r>
        <w:rPr>
          <w:rFonts w:ascii="Arial" w:hAnsi="Arial" w:cs="Arial"/>
          <w:bCs/>
          <w:color w:val="auto"/>
          <w:sz w:val="21"/>
          <w:szCs w:val="21"/>
          <w:highlight w:val="none"/>
        </w:rPr>
        <w:t>.1.1 除合同另有约定外，本工程适用现行国家、行业和地方规范、标准和规程。构成合同文件的任何内容与适用的规范、标准和规程之间出现矛盾，承包人应书面要求监理人予以澄清，除监理人有特别指示外，承包人应按照其中要求最严格的标准执行。</w:t>
      </w:r>
    </w:p>
    <w:p w14:paraId="5F36E405">
      <w:pPr>
        <w:pStyle w:val="42"/>
        <w:adjustRightInd w:val="0"/>
        <w:snapToGrid w:val="0"/>
        <w:spacing w:line="360" w:lineRule="auto"/>
        <w:ind w:firstLine="420" w:firstLineChars="200"/>
        <w:rPr>
          <w:rFonts w:ascii="Arial" w:hAnsi="Arial" w:cs="Arial"/>
          <w:bCs/>
          <w:color w:val="auto"/>
          <w:sz w:val="21"/>
          <w:szCs w:val="21"/>
          <w:highlight w:val="none"/>
        </w:rPr>
      </w:pPr>
      <w:r>
        <w:rPr>
          <w:rFonts w:hint="eastAsia" w:ascii="Arial" w:hAnsi="Arial" w:cs="Arial"/>
          <w:bCs/>
          <w:color w:val="auto"/>
          <w:sz w:val="21"/>
          <w:szCs w:val="21"/>
          <w:highlight w:val="none"/>
          <w:lang w:val="en-US" w:eastAsia="zh-CN"/>
        </w:rPr>
        <w:t>3</w:t>
      </w:r>
      <w:r>
        <w:rPr>
          <w:rFonts w:ascii="Arial" w:hAnsi="Arial" w:cs="Arial"/>
          <w:bCs/>
          <w:color w:val="auto"/>
          <w:sz w:val="21"/>
          <w:szCs w:val="21"/>
          <w:highlight w:val="none"/>
        </w:rPr>
        <w:t>.1.2 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w:t>
      </w:r>
    </w:p>
    <w:p w14:paraId="40475EA0">
      <w:pPr>
        <w:pStyle w:val="42"/>
        <w:adjustRightInd w:val="0"/>
        <w:snapToGrid w:val="0"/>
        <w:spacing w:line="360" w:lineRule="auto"/>
        <w:ind w:firstLine="422" w:firstLineChars="200"/>
        <w:rPr>
          <w:rFonts w:ascii="Arial" w:hAnsi="Arial" w:cs="Arial"/>
          <w:b/>
          <w:color w:val="auto"/>
          <w:sz w:val="21"/>
          <w:szCs w:val="21"/>
          <w:highlight w:val="none"/>
        </w:rPr>
      </w:pPr>
      <w:r>
        <w:rPr>
          <w:rFonts w:hint="eastAsia" w:ascii="Arial" w:hAnsi="Arial" w:cs="Arial"/>
          <w:b/>
          <w:color w:val="auto"/>
          <w:sz w:val="21"/>
          <w:szCs w:val="21"/>
          <w:highlight w:val="none"/>
          <w:lang w:val="en-US" w:eastAsia="zh-CN"/>
        </w:rPr>
        <w:t>4</w:t>
      </w:r>
      <w:r>
        <w:rPr>
          <w:rFonts w:ascii="Arial" w:hAnsi="Arial" w:cs="Arial"/>
          <w:b/>
          <w:color w:val="auto"/>
          <w:sz w:val="21"/>
          <w:szCs w:val="21"/>
          <w:highlight w:val="none"/>
        </w:rPr>
        <w:t>. 安全文明施工</w:t>
      </w:r>
    </w:p>
    <w:p w14:paraId="66E5C293">
      <w:pPr>
        <w:pStyle w:val="42"/>
        <w:adjustRightInd w:val="0"/>
        <w:snapToGrid w:val="0"/>
        <w:spacing w:line="360" w:lineRule="auto"/>
        <w:ind w:firstLine="420" w:firstLineChars="200"/>
        <w:rPr>
          <w:rFonts w:ascii="Arial" w:hAnsi="Arial" w:cs="Arial"/>
          <w:bCs/>
          <w:color w:val="auto"/>
          <w:sz w:val="21"/>
          <w:szCs w:val="21"/>
          <w:highlight w:val="none"/>
        </w:rPr>
      </w:pPr>
      <w:r>
        <w:rPr>
          <w:rFonts w:hint="eastAsia" w:ascii="Arial" w:hAnsi="Arial" w:cs="Arial"/>
          <w:bCs/>
          <w:color w:val="auto"/>
          <w:sz w:val="21"/>
          <w:szCs w:val="21"/>
          <w:highlight w:val="none"/>
          <w:lang w:val="en-US" w:eastAsia="zh-CN"/>
        </w:rPr>
        <w:t>4</w:t>
      </w:r>
      <w:r>
        <w:rPr>
          <w:rFonts w:ascii="Arial" w:hAnsi="Arial" w:cs="Arial"/>
          <w:bCs/>
          <w:color w:val="auto"/>
          <w:sz w:val="21"/>
          <w:szCs w:val="21"/>
          <w:highlight w:val="none"/>
        </w:rPr>
        <w:t>.1 安全目标</w:t>
      </w:r>
    </w:p>
    <w:p w14:paraId="24AD5939">
      <w:pPr>
        <w:pStyle w:val="42"/>
        <w:adjustRightInd w:val="0"/>
        <w:snapToGrid w:val="0"/>
        <w:spacing w:line="360" w:lineRule="auto"/>
        <w:ind w:firstLine="420" w:firstLineChars="200"/>
        <w:rPr>
          <w:rFonts w:ascii="Arial" w:hAnsi="Arial" w:cs="Arial"/>
          <w:bCs/>
          <w:color w:val="auto"/>
          <w:sz w:val="21"/>
          <w:szCs w:val="21"/>
          <w:highlight w:val="none"/>
        </w:rPr>
      </w:pPr>
      <w:r>
        <w:rPr>
          <w:rFonts w:hint="eastAsia" w:ascii="Arial" w:hAnsi="Arial" w:cs="Arial"/>
          <w:bCs/>
          <w:color w:val="auto"/>
          <w:sz w:val="21"/>
          <w:szCs w:val="21"/>
          <w:highlight w:val="none"/>
          <w:lang w:val="en-US" w:eastAsia="zh-CN"/>
        </w:rPr>
        <w:t>4</w:t>
      </w:r>
      <w:r>
        <w:rPr>
          <w:rFonts w:ascii="Arial" w:hAnsi="Arial" w:cs="Arial"/>
          <w:bCs/>
          <w:color w:val="auto"/>
          <w:sz w:val="21"/>
          <w:szCs w:val="21"/>
          <w:highlight w:val="none"/>
        </w:rPr>
        <w:t>.1.1 安全目标：零事故、零火情，安全生产标准化</w:t>
      </w:r>
    </w:p>
    <w:p w14:paraId="72A1D63B">
      <w:pPr>
        <w:pStyle w:val="42"/>
        <w:adjustRightInd w:val="0"/>
        <w:snapToGrid w:val="0"/>
        <w:spacing w:line="360" w:lineRule="auto"/>
        <w:ind w:firstLine="420" w:firstLineChars="200"/>
        <w:rPr>
          <w:rFonts w:ascii="Arial" w:hAnsi="Arial" w:cs="Arial"/>
          <w:bCs/>
          <w:color w:val="auto"/>
          <w:sz w:val="21"/>
          <w:szCs w:val="21"/>
          <w:highlight w:val="none"/>
        </w:rPr>
      </w:pPr>
      <w:r>
        <w:rPr>
          <w:rFonts w:hint="eastAsia" w:ascii="Arial" w:hAnsi="Arial" w:cs="Arial"/>
          <w:bCs/>
          <w:color w:val="auto"/>
          <w:sz w:val="21"/>
          <w:szCs w:val="21"/>
          <w:highlight w:val="none"/>
          <w:lang w:val="en-US" w:eastAsia="zh-CN"/>
        </w:rPr>
        <w:t>4</w:t>
      </w:r>
      <w:r>
        <w:rPr>
          <w:rFonts w:ascii="Arial" w:hAnsi="Arial" w:cs="Arial"/>
          <w:bCs/>
          <w:color w:val="auto"/>
          <w:sz w:val="21"/>
          <w:szCs w:val="21"/>
          <w:highlight w:val="none"/>
        </w:rPr>
        <w:t>.1.</w:t>
      </w:r>
      <w:r>
        <w:rPr>
          <w:rFonts w:hint="eastAsia" w:ascii="Arial" w:hAnsi="Arial" w:cs="Arial"/>
          <w:bCs/>
          <w:color w:val="auto"/>
          <w:sz w:val="21"/>
          <w:szCs w:val="21"/>
          <w:highlight w:val="none"/>
        </w:rPr>
        <w:t>2</w:t>
      </w:r>
      <w:r>
        <w:rPr>
          <w:rFonts w:ascii="Arial" w:hAnsi="Arial" w:cs="Arial"/>
          <w:bCs/>
          <w:color w:val="auto"/>
          <w:sz w:val="21"/>
          <w:szCs w:val="21"/>
          <w:highlight w:val="none"/>
        </w:rPr>
        <w:t xml:space="preserve"> 其</w:t>
      </w:r>
      <w:r>
        <w:rPr>
          <w:rFonts w:hint="eastAsia" w:ascii="Arial" w:hAnsi="Arial" w:cs="Arial"/>
          <w:bCs/>
          <w:color w:val="auto"/>
          <w:sz w:val="21"/>
          <w:szCs w:val="21"/>
          <w:highlight w:val="none"/>
          <w:lang w:val="en-US" w:eastAsia="zh-CN"/>
        </w:rPr>
        <w:t>他</w:t>
      </w:r>
      <w:r>
        <w:rPr>
          <w:rFonts w:ascii="Arial" w:hAnsi="Arial" w:cs="Arial"/>
          <w:bCs/>
          <w:color w:val="auto"/>
          <w:sz w:val="21"/>
          <w:szCs w:val="21"/>
          <w:highlight w:val="none"/>
        </w:rPr>
        <w:t>安全管理要求：严格执行相关规定。</w:t>
      </w:r>
    </w:p>
    <w:p w14:paraId="1EAD516A">
      <w:pPr>
        <w:pStyle w:val="42"/>
        <w:adjustRightInd w:val="0"/>
        <w:snapToGrid w:val="0"/>
        <w:spacing w:line="360" w:lineRule="auto"/>
        <w:ind w:firstLine="420" w:firstLineChars="200"/>
        <w:rPr>
          <w:rFonts w:ascii="Arial" w:hAnsi="Arial" w:cs="Arial"/>
          <w:bCs/>
          <w:color w:val="auto"/>
          <w:sz w:val="21"/>
          <w:szCs w:val="21"/>
          <w:highlight w:val="none"/>
        </w:rPr>
      </w:pPr>
      <w:r>
        <w:rPr>
          <w:rFonts w:hint="eastAsia" w:ascii="Arial" w:hAnsi="Arial" w:cs="Arial"/>
          <w:bCs/>
          <w:color w:val="auto"/>
          <w:sz w:val="21"/>
          <w:szCs w:val="21"/>
          <w:highlight w:val="none"/>
          <w:lang w:val="en-US" w:eastAsia="zh-CN"/>
        </w:rPr>
        <w:t>4</w:t>
      </w:r>
      <w:r>
        <w:rPr>
          <w:rFonts w:ascii="Arial" w:hAnsi="Arial" w:cs="Arial"/>
          <w:bCs/>
          <w:color w:val="auto"/>
          <w:sz w:val="21"/>
          <w:szCs w:val="21"/>
          <w:highlight w:val="none"/>
        </w:rPr>
        <w:t>.2  安全防护</w:t>
      </w:r>
    </w:p>
    <w:p w14:paraId="06AE0B63">
      <w:pPr>
        <w:pStyle w:val="42"/>
        <w:adjustRightInd w:val="0"/>
        <w:snapToGrid w:val="0"/>
        <w:spacing w:line="360" w:lineRule="auto"/>
        <w:ind w:firstLine="420" w:firstLineChars="200"/>
        <w:rPr>
          <w:rFonts w:ascii="Arial" w:hAnsi="Arial" w:cs="Arial"/>
          <w:bCs/>
          <w:color w:val="auto"/>
          <w:sz w:val="21"/>
          <w:szCs w:val="21"/>
          <w:highlight w:val="none"/>
        </w:rPr>
      </w:pPr>
      <w:r>
        <w:rPr>
          <w:rFonts w:hint="eastAsia" w:ascii="Arial" w:hAnsi="Arial" w:cs="Arial"/>
          <w:bCs/>
          <w:color w:val="auto"/>
          <w:sz w:val="21"/>
          <w:szCs w:val="21"/>
          <w:highlight w:val="none"/>
          <w:lang w:val="en-US" w:eastAsia="zh-CN"/>
        </w:rPr>
        <w:t>4</w:t>
      </w:r>
      <w:r>
        <w:rPr>
          <w:rFonts w:ascii="Arial" w:hAnsi="Arial" w:cs="Arial"/>
          <w:bCs/>
          <w:color w:val="auto"/>
          <w:sz w:val="21"/>
          <w:szCs w:val="21"/>
          <w:highlight w:val="none"/>
        </w:rPr>
        <w:t>.2.1 在工程施工、竣工、交付及修补任何缺陷的过程中，承包人应当始终遵守国家和地方有关安全生产的法律、法规、规范、标准和规程等，按照通用合同条款第 7.6.2 款的约定履行其安全施工职责。</w:t>
      </w:r>
    </w:p>
    <w:p w14:paraId="6D7BAA18">
      <w:pPr>
        <w:pStyle w:val="42"/>
        <w:adjustRightInd w:val="0"/>
        <w:snapToGrid w:val="0"/>
        <w:spacing w:line="360" w:lineRule="auto"/>
        <w:ind w:firstLine="420" w:firstLineChars="200"/>
        <w:rPr>
          <w:rFonts w:ascii="Arial" w:hAnsi="Arial" w:cs="Arial"/>
          <w:bCs/>
          <w:color w:val="auto"/>
          <w:sz w:val="21"/>
          <w:szCs w:val="21"/>
          <w:highlight w:val="none"/>
        </w:rPr>
      </w:pPr>
      <w:r>
        <w:rPr>
          <w:rFonts w:hint="eastAsia" w:ascii="Arial" w:hAnsi="Arial" w:cs="Arial"/>
          <w:bCs/>
          <w:color w:val="auto"/>
          <w:sz w:val="21"/>
          <w:szCs w:val="21"/>
          <w:highlight w:val="none"/>
          <w:lang w:val="en-US" w:eastAsia="zh-CN"/>
        </w:rPr>
        <w:t>4</w:t>
      </w:r>
      <w:r>
        <w:rPr>
          <w:rFonts w:ascii="Arial" w:hAnsi="Arial" w:cs="Arial"/>
          <w:bCs/>
          <w:color w:val="auto"/>
          <w:sz w:val="21"/>
          <w:szCs w:val="21"/>
          <w:highlight w:val="none"/>
        </w:rPr>
        <w:t>.2.2 承包人应坚持“安全第一，预防为主”的方针，建立、健全安全生产责任制度和安全生产教育培训制度。在整个工程施工期间，承包人应在施工场地（现场）设立、提供和维护并在有关工作完成或竣工后撤除：</w:t>
      </w:r>
    </w:p>
    <w:p w14:paraId="01751D09">
      <w:pPr>
        <w:pStyle w:val="42"/>
        <w:adjustRightInd w:val="0"/>
        <w:snapToGrid w:val="0"/>
        <w:spacing w:line="360" w:lineRule="auto"/>
        <w:ind w:firstLine="420" w:firstLineChars="200"/>
        <w:rPr>
          <w:rFonts w:ascii="Arial" w:hAnsi="Arial" w:cs="Arial"/>
          <w:bCs/>
          <w:color w:val="auto"/>
          <w:sz w:val="21"/>
          <w:szCs w:val="21"/>
          <w:highlight w:val="none"/>
        </w:rPr>
      </w:pPr>
      <w:r>
        <w:rPr>
          <w:rFonts w:ascii="Arial" w:hAnsi="Arial" w:cs="Arial"/>
          <w:bCs/>
          <w:color w:val="auto"/>
          <w:sz w:val="21"/>
          <w:szCs w:val="21"/>
          <w:highlight w:val="none"/>
        </w:rPr>
        <w:t>（1）设立在现场入口显著位置的现场施工总平面图、总平面管理、安全生产、文明施工、环境保护、质量控制、材料管理等的规章制度和主要参建单位名称和工程概况等说明的图板；</w:t>
      </w:r>
    </w:p>
    <w:p w14:paraId="32061692">
      <w:pPr>
        <w:pStyle w:val="42"/>
        <w:adjustRightInd w:val="0"/>
        <w:snapToGrid w:val="0"/>
        <w:spacing w:line="360" w:lineRule="auto"/>
        <w:ind w:firstLine="420" w:firstLineChars="200"/>
        <w:rPr>
          <w:rFonts w:ascii="Arial" w:hAnsi="Arial" w:cs="Arial"/>
          <w:bCs/>
          <w:color w:val="auto"/>
          <w:sz w:val="21"/>
          <w:szCs w:val="21"/>
          <w:highlight w:val="none"/>
        </w:rPr>
      </w:pPr>
      <w:r>
        <w:rPr>
          <w:rFonts w:ascii="Arial" w:hAnsi="Arial" w:cs="Arial"/>
          <w:bCs/>
          <w:color w:val="auto"/>
          <w:sz w:val="21"/>
          <w:szCs w:val="21"/>
          <w:highlight w:val="none"/>
        </w:rPr>
        <w:t>（2）为确保工程安全施工须设立足够的标志、宣传画、标语、指示牌、警告牌、火警、匪警和急救电话提示牌等；</w:t>
      </w:r>
    </w:p>
    <w:p w14:paraId="54E9B859">
      <w:pPr>
        <w:pStyle w:val="42"/>
        <w:adjustRightInd w:val="0"/>
        <w:snapToGrid w:val="0"/>
        <w:spacing w:line="360" w:lineRule="auto"/>
        <w:ind w:firstLine="420" w:firstLineChars="200"/>
        <w:rPr>
          <w:rFonts w:ascii="Arial" w:hAnsi="Arial" w:cs="Arial"/>
          <w:bCs/>
          <w:color w:val="auto"/>
          <w:sz w:val="21"/>
          <w:szCs w:val="21"/>
          <w:highlight w:val="none"/>
        </w:rPr>
      </w:pPr>
      <w:r>
        <w:rPr>
          <w:rFonts w:ascii="Arial" w:hAnsi="Arial" w:cs="Arial"/>
          <w:bCs/>
          <w:color w:val="auto"/>
          <w:sz w:val="21"/>
          <w:szCs w:val="21"/>
          <w:highlight w:val="none"/>
        </w:rPr>
        <w:t>（3）洞口和临边位置的安全防护设施，包括护身栏杆、脚手架、洞口盖板和加筋、竖井防护栏杆、防护棚、防护网、坡道等等；</w:t>
      </w:r>
    </w:p>
    <w:p w14:paraId="73C6DCE4">
      <w:pPr>
        <w:pStyle w:val="42"/>
        <w:adjustRightInd w:val="0"/>
        <w:snapToGrid w:val="0"/>
        <w:spacing w:line="360" w:lineRule="auto"/>
        <w:ind w:firstLine="420" w:firstLineChars="200"/>
        <w:rPr>
          <w:rFonts w:ascii="Arial" w:hAnsi="Arial" w:cs="Arial"/>
          <w:bCs/>
          <w:color w:val="auto"/>
          <w:sz w:val="21"/>
          <w:szCs w:val="21"/>
          <w:highlight w:val="none"/>
        </w:rPr>
      </w:pPr>
      <w:r>
        <w:rPr>
          <w:rFonts w:ascii="Arial" w:hAnsi="Arial" w:cs="Arial"/>
          <w:bCs/>
          <w:color w:val="auto"/>
          <w:sz w:val="21"/>
          <w:szCs w:val="21"/>
          <w:highlight w:val="none"/>
        </w:rPr>
        <w:t>（4）安全带、安全绳、安全帽、安全网、绝缘鞋、绝缘手套、防护口罩和防护衣等安全生产用品；</w:t>
      </w:r>
    </w:p>
    <w:p w14:paraId="3E5EF870">
      <w:pPr>
        <w:pStyle w:val="42"/>
        <w:adjustRightInd w:val="0"/>
        <w:snapToGrid w:val="0"/>
        <w:spacing w:line="360" w:lineRule="auto"/>
        <w:ind w:firstLine="420" w:firstLineChars="200"/>
        <w:rPr>
          <w:rFonts w:ascii="Arial" w:hAnsi="Arial" w:cs="Arial"/>
          <w:bCs/>
          <w:color w:val="auto"/>
          <w:sz w:val="21"/>
          <w:szCs w:val="21"/>
          <w:highlight w:val="none"/>
        </w:rPr>
      </w:pPr>
      <w:r>
        <w:rPr>
          <w:rFonts w:ascii="Arial" w:hAnsi="Arial" w:cs="Arial"/>
          <w:bCs/>
          <w:color w:val="auto"/>
          <w:sz w:val="21"/>
          <w:szCs w:val="21"/>
          <w:highlight w:val="none"/>
        </w:rPr>
        <w:t>（5）所有机械设备包括各类电动工具的安全保护和接地装置和操作说明；</w:t>
      </w:r>
    </w:p>
    <w:p w14:paraId="04BDBA70">
      <w:pPr>
        <w:pStyle w:val="42"/>
        <w:adjustRightInd w:val="0"/>
        <w:snapToGrid w:val="0"/>
        <w:spacing w:line="360" w:lineRule="auto"/>
        <w:ind w:firstLine="420" w:firstLineChars="200"/>
        <w:rPr>
          <w:rFonts w:ascii="Arial" w:hAnsi="Arial" w:cs="Arial"/>
          <w:bCs/>
          <w:color w:val="auto"/>
          <w:sz w:val="21"/>
          <w:szCs w:val="21"/>
          <w:highlight w:val="none"/>
        </w:rPr>
      </w:pPr>
      <w:r>
        <w:rPr>
          <w:rFonts w:ascii="Arial" w:hAnsi="Arial" w:cs="Arial"/>
          <w:bCs/>
          <w:color w:val="auto"/>
          <w:sz w:val="21"/>
          <w:szCs w:val="21"/>
          <w:highlight w:val="none"/>
        </w:rPr>
        <w:t>（6）装备良好的临时急救站和配备称职的医护人员；</w:t>
      </w:r>
    </w:p>
    <w:p w14:paraId="415633FD">
      <w:pPr>
        <w:pStyle w:val="42"/>
        <w:adjustRightInd w:val="0"/>
        <w:snapToGrid w:val="0"/>
        <w:spacing w:line="360" w:lineRule="auto"/>
        <w:ind w:firstLine="420" w:firstLineChars="200"/>
        <w:rPr>
          <w:rFonts w:ascii="Arial" w:hAnsi="Arial" w:cs="Arial"/>
          <w:bCs/>
          <w:color w:val="auto"/>
          <w:sz w:val="21"/>
          <w:szCs w:val="21"/>
          <w:highlight w:val="none"/>
        </w:rPr>
      </w:pPr>
      <w:r>
        <w:rPr>
          <w:rFonts w:ascii="Arial" w:hAnsi="Arial" w:cs="Arial"/>
          <w:bCs/>
          <w:color w:val="auto"/>
          <w:sz w:val="21"/>
          <w:szCs w:val="21"/>
          <w:highlight w:val="none"/>
        </w:rPr>
        <w:t>（7）主要作业场所和临时安全疏散通道24小时36伏安全照明和必要的警示以防止各种可能的事故；</w:t>
      </w:r>
    </w:p>
    <w:p w14:paraId="663B3ABF">
      <w:pPr>
        <w:pStyle w:val="42"/>
        <w:adjustRightInd w:val="0"/>
        <w:snapToGrid w:val="0"/>
        <w:spacing w:line="360" w:lineRule="auto"/>
        <w:ind w:firstLine="420" w:firstLineChars="200"/>
        <w:rPr>
          <w:rFonts w:ascii="Arial" w:hAnsi="Arial" w:cs="Arial"/>
          <w:bCs/>
          <w:color w:val="auto"/>
          <w:sz w:val="21"/>
          <w:szCs w:val="21"/>
          <w:highlight w:val="none"/>
        </w:rPr>
      </w:pPr>
      <w:r>
        <w:rPr>
          <w:rFonts w:ascii="Arial" w:hAnsi="Arial" w:cs="Arial"/>
          <w:bCs/>
          <w:color w:val="auto"/>
          <w:sz w:val="21"/>
          <w:szCs w:val="21"/>
          <w:highlight w:val="none"/>
        </w:rPr>
        <w:t>（8）足够数量的和合格的手提灭火器；</w:t>
      </w:r>
    </w:p>
    <w:p w14:paraId="0D41F6F9">
      <w:pPr>
        <w:pStyle w:val="42"/>
        <w:adjustRightInd w:val="0"/>
        <w:snapToGrid w:val="0"/>
        <w:spacing w:line="360" w:lineRule="auto"/>
        <w:ind w:firstLine="420" w:firstLineChars="200"/>
        <w:rPr>
          <w:rFonts w:ascii="Arial" w:hAnsi="Arial" w:cs="Arial"/>
          <w:bCs/>
          <w:color w:val="auto"/>
          <w:sz w:val="21"/>
          <w:szCs w:val="21"/>
          <w:highlight w:val="none"/>
        </w:rPr>
      </w:pPr>
      <w:r>
        <w:rPr>
          <w:rFonts w:ascii="Arial" w:hAnsi="Arial" w:cs="Arial"/>
          <w:bCs/>
          <w:color w:val="auto"/>
          <w:sz w:val="21"/>
          <w:szCs w:val="21"/>
          <w:highlight w:val="none"/>
        </w:rPr>
        <w:t>（9）装备良好的易燃易爆物品仓库和相应的使用管理制度；</w:t>
      </w:r>
    </w:p>
    <w:p w14:paraId="66CD47EF">
      <w:pPr>
        <w:pStyle w:val="42"/>
        <w:adjustRightInd w:val="0"/>
        <w:snapToGrid w:val="0"/>
        <w:spacing w:line="360" w:lineRule="auto"/>
        <w:ind w:firstLine="420" w:firstLineChars="200"/>
        <w:rPr>
          <w:rFonts w:ascii="Arial" w:hAnsi="Arial" w:cs="Arial"/>
          <w:bCs/>
          <w:color w:val="auto"/>
          <w:sz w:val="21"/>
          <w:szCs w:val="21"/>
          <w:highlight w:val="none"/>
        </w:rPr>
      </w:pPr>
      <w:r>
        <w:rPr>
          <w:rFonts w:ascii="Arial" w:hAnsi="Arial" w:cs="Arial"/>
          <w:bCs/>
          <w:color w:val="auto"/>
          <w:sz w:val="21"/>
          <w:szCs w:val="21"/>
          <w:highlight w:val="none"/>
        </w:rPr>
        <w:t>（10）对涉及明火施工的工作制定诸如用火证等的管理制度；</w:t>
      </w:r>
    </w:p>
    <w:p w14:paraId="6EBE1497">
      <w:pPr>
        <w:pStyle w:val="42"/>
        <w:adjustRightInd w:val="0"/>
        <w:snapToGrid w:val="0"/>
        <w:spacing w:line="360" w:lineRule="auto"/>
        <w:ind w:firstLine="420" w:firstLineChars="200"/>
        <w:rPr>
          <w:rFonts w:ascii="Arial" w:hAnsi="Arial" w:cs="Arial"/>
          <w:bCs/>
          <w:color w:val="auto"/>
          <w:sz w:val="21"/>
          <w:szCs w:val="21"/>
          <w:highlight w:val="none"/>
        </w:rPr>
      </w:pPr>
      <w:r>
        <w:rPr>
          <w:rFonts w:ascii="Arial" w:hAnsi="Arial" w:cs="Arial"/>
          <w:bCs/>
          <w:color w:val="auto"/>
          <w:sz w:val="21"/>
          <w:szCs w:val="21"/>
          <w:highlight w:val="none"/>
        </w:rPr>
        <w:t>（11）其他：</w:t>
      </w:r>
      <w:r>
        <w:rPr>
          <w:rFonts w:ascii="Arial" w:hAnsi="Arial" w:cs="Arial"/>
          <w:bCs/>
          <w:color w:val="auto"/>
          <w:sz w:val="21"/>
          <w:szCs w:val="21"/>
          <w:highlight w:val="none"/>
          <w:u w:val="single"/>
        </w:rPr>
        <w:t xml:space="preserve">     /     </w:t>
      </w:r>
      <w:r>
        <w:rPr>
          <w:rFonts w:ascii="Arial" w:hAnsi="Arial" w:cs="Arial"/>
          <w:bCs/>
          <w:color w:val="auto"/>
          <w:sz w:val="21"/>
          <w:szCs w:val="21"/>
          <w:highlight w:val="none"/>
        </w:rPr>
        <w:t>。</w:t>
      </w:r>
    </w:p>
    <w:p w14:paraId="3AA67BD7">
      <w:pPr>
        <w:pStyle w:val="42"/>
        <w:adjustRightInd w:val="0"/>
        <w:snapToGrid w:val="0"/>
        <w:spacing w:line="360" w:lineRule="auto"/>
        <w:ind w:firstLine="420" w:firstLineChars="200"/>
        <w:rPr>
          <w:rFonts w:ascii="Arial" w:hAnsi="Arial" w:cs="Arial"/>
          <w:bCs/>
          <w:color w:val="auto"/>
          <w:sz w:val="21"/>
          <w:szCs w:val="21"/>
          <w:highlight w:val="none"/>
        </w:rPr>
      </w:pPr>
      <w:r>
        <w:rPr>
          <w:rFonts w:ascii="Arial" w:hAnsi="Arial" w:cs="Arial"/>
          <w:bCs/>
          <w:color w:val="auto"/>
          <w:sz w:val="21"/>
          <w:szCs w:val="21"/>
          <w:highlight w:val="none"/>
        </w:rPr>
        <w:t>5.2.3 安全文明施工费用必须专款专用，承包人应对其由于安全文明施工费用和施工安全措施不到位而发生的安全事故承担全部责任。</w:t>
      </w:r>
    </w:p>
    <w:p w14:paraId="7B4998C8">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 w:val="21"/>
          <w:szCs w:val="21"/>
          <w:highlight w:val="none"/>
          <w:lang w:val="en-US" w:eastAsia="zh-CN"/>
        </w:rPr>
        <w:t>4</w:t>
      </w:r>
      <w:r>
        <w:rPr>
          <w:rFonts w:ascii="Arial" w:hAnsi="Arial" w:cs="Arial"/>
          <w:bCs/>
          <w:color w:val="auto"/>
          <w:sz w:val="21"/>
          <w:szCs w:val="21"/>
          <w:highlight w:val="none"/>
        </w:rPr>
        <w:t>.2.4 承包人应建立专门的施工场地（现场）安全生产管理机构，配备足够数量和符合有关规定的专职安全生产管理人员，负责日常安全生产巡查和专项检查，召集和主持现场全体人员参加的安全生产例会（每周至少一次），负责安全技术交底和技术方案的安全把关，</w:t>
      </w:r>
      <w:r>
        <w:rPr>
          <w:rFonts w:ascii="Arial" w:hAnsi="Arial" w:cs="Arial"/>
          <w:bCs/>
          <w:color w:val="auto"/>
          <w:szCs w:val="21"/>
          <w:highlight w:val="none"/>
        </w:rPr>
        <w:t>负责制定或审核安全隐患的整改措施并监督落实，负责安全资料的整理和管理，及时消除安全隐患，做好安全检查记录，确保所有的安全设施都处于良好的运转状态。承包人项目经理和专职安全生产管理人员均应当具备有效的安全生产考核合格证书。</w:t>
      </w:r>
    </w:p>
    <w:p w14:paraId="5A2365DF">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2.5承包人应遵照有关法规要求，编印安全防护手册发给进场施工人员，做好进场施工人员上岗前的安全教育和培训工作，并建立考核制度，只有考核合格的人员才能进场施工作业。特种作业人员还应经过专门的安全作业培训，并取得特种作业操作资格证书后方可上岗。在任何分部分项工程开始施工前，承包人应当就有关安全施工的技术要求向施工作业班组和作业人员等进行安全交底，并由双方签字确认。</w:t>
      </w:r>
    </w:p>
    <w:p w14:paraId="492ABB73">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.2.6 承包人应为其进场施工人员配备必需的安全防护设施和设备，承包人还应为施工场地（现场）邻近地区的所有者和占有者、公众和其他人员，提供一切必要的临时道路、人行道、防护棚、围栏及警告等，以确保财产和人身安全以及最大程度地降低施工可能造成的不便。</w:t>
      </w:r>
    </w:p>
    <w:p w14:paraId="42AA6EBA">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.2.7 承包人应在施工场地（现场）入口处、施工起重机械、临时用电设施、脚手架、出入通道口、楼梯口、电梯井口、孔洞口、隧道口、基坑边沿、危险品存放处等危险部位设置一切必需的安全警示标志，包括但不限于标准道路标志、报警标志、危险标志、控制标志、安全标志、指示标志、警告标志等，并配备必要的照明、防护和看守。承包人应当按监理人的指示，经常补充或更换失效的警示和标志。</w:t>
      </w:r>
    </w:p>
    <w:p w14:paraId="54468B78">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.2.8 承包人应对施工场地（现场）内由其提供并安装的所有提升架、外用电梯和塔吊等垂直和水平运输机械进行安全围护，包括卸料平台门的安全开关、警示铃和警示灯，卸料平台的护身栏杆，脚手架和安全网等等；所有的机械设备应设置安全操作防护罩，并在醒目位置张挂详细的安全操作要点等。</w:t>
      </w:r>
    </w:p>
    <w:p w14:paraId="7786B2DD">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.2.9 承包人应对所有用于提升的挂钩、挂环、钢丝绳、铁扁担等进行定期检测、检查和标定；如果监理人认为，任何此类设施已经损坏或有使用不当之处，承包人应立即以合格的产品进行更换；所有垂直和水平运输机械的搭设、顶升、使用和拆除必须严格依照现行有关法规、规章、规范、标准和规程等的要求。</w:t>
      </w:r>
    </w:p>
    <w:p w14:paraId="45978516">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.2.10 所有机械和工器具应定期保养、校核和维护，以保证它们处于良好和安全的工作状态。保养、校核和维护工作应尽可能安排在非工作时间进行，并为上述机械和工器具准备足够的备用配件，以确保工程的施工能不间断地进行。</w:t>
      </w:r>
    </w:p>
    <w:p w14:paraId="5661A66B">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.2.11 在永久工程和施工边坡、基坑、地下洞室等的开挖过程中，应根据其施工安全的需要和（或）监理人指示，安装必要的施工安全监测仪器，及时进行必要的施工安全监测，并定期将安全监测成果提交监理人，以防止引起任何沉降、变形或其他影响正常施工进度的损害。</w:t>
      </w:r>
    </w:p>
    <w:p w14:paraId="07865EE2">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.2.12 承包人应对任何施工中的永久工程进行必要的支撑或临时加固。除非承包人已获得监理人书面许可并按要求进行了必要的加固或支撑，不允许承包人在任何已完成的永久性结构上堆放超过设计允许荷载的任何材料、物品或设备。在任何情况下，承包人均应对其任何上述超载行为引起的后果负责，并承担相应的修缮费用。</w:t>
      </w:r>
    </w:p>
    <w:p w14:paraId="7ED834D1">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.2.13 承包人应成立应急救援小组，配备必要的应急救援器材和设备，制定灾害和生产安全事故的应急救援预案，并将应急救援预案报送监理人。应急救援预案应能随时组织应</w:t>
      </w:r>
      <w:r>
        <w:rPr>
          <w:rFonts w:hint="eastAsia" w:ascii="Arial" w:hAnsi="Arial" w:cs="Arial"/>
          <w:bCs/>
          <w:color w:val="auto"/>
          <w:szCs w:val="21"/>
          <w:highlight w:val="none"/>
          <w:lang w:val="en-US" w:eastAsia="zh-CN"/>
        </w:rPr>
        <w:t>急</w:t>
      </w:r>
      <w:r>
        <w:rPr>
          <w:rFonts w:ascii="Arial" w:hAnsi="Arial" w:cs="Arial"/>
          <w:bCs/>
          <w:color w:val="auto"/>
          <w:szCs w:val="21"/>
          <w:highlight w:val="none"/>
        </w:rPr>
        <w:t>专职人员、并定期组织演练。</w:t>
      </w:r>
    </w:p>
    <w:p w14:paraId="0797E398">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.2.14 施工过程中需要使用爆破或带炸药的工具等危险性施工方法时，承包人应提前通知监理人。经监理人批准后，承包人应依照有关法律、法规、规章以及政府有关主管机构制定的规范性文件等的规定，向有关机构提出申请并获得相关许可。承包人应严格依照上述规定使用、储藏、管理爆破物品或带炸药的工具等，并负责由于这类物品的使用可能引起的任何损失或损害的赔偿。任何情况下，承包人不得在已完永久性工程中和空心砌体中使用爆破方法。</w:t>
      </w:r>
    </w:p>
    <w:p w14:paraId="5A3CD0C1">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.2.15 模板工程、起重吊装工程、脚手架工程、拆除工程和爆破工程等达到一定规模和危险性较大的分部分项工程，承包人应当编制专项施工方案，其中深基坑、地下暗挖和高大模板工程的专项施工方案，还应组织专家进行论证和审查。</w:t>
      </w:r>
    </w:p>
    <w:p w14:paraId="32A0192E">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.2.16 承包人应按约定处理本工程施工过程中发生的事故。发生施工安全事故后，承包人必须立即报告监理人和发包人，并在事故发生后一小时内向发包人提交事故情况书面报告，并根据《生产安全事故报告和调查处理条例》的规定，及时向工程所在地县级以上地方</w:t>
      </w:r>
      <w:r>
        <w:rPr>
          <w:rFonts w:hint="eastAsia" w:ascii="Arial" w:hAnsi="Arial" w:cs="Arial"/>
          <w:bCs/>
          <w:color w:val="auto"/>
          <w:szCs w:val="21"/>
          <w:highlight w:val="none"/>
          <w:lang w:val="en-US" w:eastAsia="zh-CN"/>
        </w:rPr>
        <w:t>相关部门</w:t>
      </w:r>
      <w:r>
        <w:rPr>
          <w:rFonts w:ascii="Arial" w:hAnsi="Arial" w:cs="Arial"/>
          <w:bCs/>
          <w:color w:val="auto"/>
          <w:szCs w:val="21"/>
          <w:highlight w:val="none"/>
        </w:rPr>
        <w:t>安全生产监督管理部门和建设行政主管部门报告。情况紧急时，事故现场有关人员可以直接向工程所在地县级以上地方</w:t>
      </w:r>
      <w:r>
        <w:rPr>
          <w:rFonts w:hint="eastAsia" w:ascii="Arial" w:hAnsi="Arial" w:cs="Arial"/>
          <w:bCs/>
          <w:color w:val="auto"/>
          <w:szCs w:val="21"/>
          <w:highlight w:val="none"/>
          <w:lang w:val="en-US" w:eastAsia="zh-CN"/>
        </w:rPr>
        <w:t>相关部门</w:t>
      </w:r>
      <w:r>
        <w:rPr>
          <w:rFonts w:ascii="Arial" w:hAnsi="Arial" w:cs="Arial"/>
          <w:bCs/>
          <w:color w:val="auto"/>
          <w:szCs w:val="21"/>
          <w:highlight w:val="none"/>
        </w:rPr>
        <w:t>安全生产监督管理部门和建设行政主管部门报告。</w:t>
      </w:r>
    </w:p>
    <w:p w14:paraId="565D1871">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.2.17 承包人还应根据有关法律、法规、规定和条例等的要求，制定一套安全生产应急措施和程序，保证一旦出现任何安全事故，能立即保护好现场，抢救伤员和财产，保证施工生产的正常进行，防止损失扩大。</w:t>
      </w:r>
    </w:p>
    <w:p w14:paraId="702AFFDA">
      <w:pPr>
        <w:pStyle w:val="42"/>
        <w:adjustRightInd w:val="0"/>
        <w:snapToGrid w:val="0"/>
        <w:spacing w:line="360" w:lineRule="auto"/>
        <w:ind w:firstLine="422" w:firstLineChars="200"/>
        <w:rPr>
          <w:rFonts w:ascii="Arial" w:hAnsi="Arial" w:cs="Arial"/>
          <w:b/>
          <w:color w:val="auto"/>
          <w:szCs w:val="21"/>
          <w:highlight w:val="none"/>
        </w:rPr>
      </w:pPr>
      <w:r>
        <w:rPr>
          <w:rFonts w:hint="eastAsia" w:ascii="Arial" w:hAnsi="Arial" w:cs="Arial"/>
          <w:b/>
          <w:color w:val="auto"/>
          <w:szCs w:val="21"/>
          <w:highlight w:val="none"/>
          <w:lang w:val="en-US" w:eastAsia="zh-CN"/>
        </w:rPr>
        <w:t>4</w:t>
      </w:r>
      <w:r>
        <w:rPr>
          <w:rFonts w:ascii="Arial" w:hAnsi="Arial" w:cs="Arial"/>
          <w:b/>
          <w:color w:val="auto"/>
          <w:szCs w:val="21"/>
          <w:highlight w:val="none"/>
        </w:rPr>
        <w:t>.3 临时消防</w:t>
      </w:r>
    </w:p>
    <w:p w14:paraId="480A2782">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.3.1 承包人应建立消防安全责任制度，制定用火、用电和使用易燃易爆等危险品的消防安全管理制度和操作规程。各项制度和规程等应满足相关法律法规和政府消防管理机构的要求。</w:t>
      </w:r>
    </w:p>
    <w:p w14:paraId="544C193C">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.3.2 承包人应根据相关法律法规和消防管理部门的要求，为施工中的永久工程和所有临时工程提供必要的临时消防和紧急疏散设施，包括提供并维持畅通的消防通道、临时消火栓、灭火器、水龙带、灭火桶、灭火铲、灭火斧、消防水管、阀门、检查井、临时消防水箱、泵房和紧随工作面的临时疏散楼梯或疏散设施，消防设施的设立和消防设备的型号和功率应满足消防任务的需要，始终保持能够随时投入正常使用的状态，并设立明显标志。承包人的临时消防系统和配置应分别经过监理人和消防管理部门的审批和验收；承包人还应自费获得消防管理部门的临时消防证书。所有的临时消防设施属于承包人所有，至工程实际竣工时且永久性消防系统投入使用后从现场拆除。</w:t>
      </w:r>
    </w:p>
    <w:p w14:paraId="4B13AECF">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.3.3 承包人应当成立由项目主要负责人担任组长的临时消防组或消防队，宣传消防基本知识和基本操作培训，组织消防演练，保证一旦发生火灾，能够组织有效的自救，保护生命和财产安全。</w:t>
      </w:r>
    </w:p>
    <w:p w14:paraId="2C27045F">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.3.4 施工场地（现场）内的易燃、易爆物品应单独和安全地存放，设专人进行存放和领用管理。施工场地（现场）储有或正在使用易燃、易爆或可燃材料时或有明火施工的工序，应当实行严格的“用火证”管理制度。</w:t>
      </w:r>
    </w:p>
    <w:p w14:paraId="6AAB471B">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.3.5 临时消防方面的其他要求如下：</w:t>
      </w:r>
      <w:r>
        <w:rPr>
          <w:rFonts w:ascii="Arial" w:hAnsi="Arial" w:cs="Arial"/>
          <w:bCs/>
          <w:color w:val="auto"/>
          <w:szCs w:val="21"/>
          <w:highlight w:val="none"/>
          <w:u w:val="single"/>
        </w:rPr>
        <w:t xml:space="preserve">     /     </w:t>
      </w:r>
      <w:r>
        <w:rPr>
          <w:rFonts w:ascii="Arial" w:hAnsi="Arial" w:cs="Arial"/>
          <w:bCs/>
          <w:color w:val="auto"/>
          <w:szCs w:val="21"/>
          <w:highlight w:val="none"/>
        </w:rPr>
        <w:t>。</w:t>
      </w:r>
    </w:p>
    <w:p w14:paraId="26535B46">
      <w:pPr>
        <w:pStyle w:val="42"/>
        <w:adjustRightInd w:val="0"/>
        <w:snapToGrid w:val="0"/>
        <w:spacing w:line="360" w:lineRule="auto"/>
        <w:ind w:firstLine="422" w:firstLineChars="200"/>
        <w:rPr>
          <w:rFonts w:ascii="Arial" w:hAnsi="Arial" w:cs="Arial"/>
          <w:b/>
          <w:color w:val="auto"/>
          <w:szCs w:val="21"/>
          <w:highlight w:val="none"/>
        </w:rPr>
      </w:pPr>
      <w:r>
        <w:rPr>
          <w:rFonts w:hint="eastAsia" w:ascii="Arial" w:hAnsi="Arial" w:cs="Arial"/>
          <w:b/>
          <w:color w:val="auto"/>
          <w:szCs w:val="21"/>
          <w:highlight w:val="none"/>
          <w:lang w:val="en-US" w:eastAsia="zh-CN"/>
        </w:rPr>
        <w:t>4</w:t>
      </w:r>
      <w:r>
        <w:rPr>
          <w:rFonts w:ascii="Arial" w:hAnsi="Arial" w:cs="Arial"/>
          <w:b/>
          <w:color w:val="auto"/>
          <w:szCs w:val="21"/>
          <w:highlight w:val="none"/>
        </w:rPr>
        <w:t>.4 临时供电</w:t>
      </w:r>
    </w:p>
    <w:p w14:paraId="7D8FA4CF">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.4.1 承包人应当根据《施工现场临时用电安全技术规范》及其适用的修订版本的规定和施工要求编制施工临时用电方案。临时用电方案及其变更必须履行“编制、审核、批准”程序。施工临时用电方案应当由电气工程技术人员组织编制，经企业技术负责人批准后实施，经编制、审核、批准部门和使用单位共同验收合格后方可投入使用。</w:t>
      </w:r>
    </w:p>
    <w:p w14:paraId="2C1B6165">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.4.2 承包人应为施工场地（现场），包括为工程楼层或者各区域，提供、设立和维护必要的临时电力供应系统，并保证电力供应系统始终处于满足供电管理部门要求和正常施工生产所要求的状态，并在工程实际竣工和相应永久系统投入使用后从现场拆除。</w:t>
      </w:r>
    </w:p>
    <w:p w14:paraId="412308FD">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.4.3 临时供电系统的电缆、电线、配电箱、控制柜、开关箱、漏电保护器等材料设备均应当具有生产（制造）许可证、产品合格证并经过检验合格的产品。临时用电采用三相五线制、三级配电和两极漏电保护供电，三相四线制配电的电缆线路必须采用五芯电缆，按规定设立零线和接地线。电缆和电线的铺设要符合安全用电标准要求，电缆线路应采用埋地或架空敷设，严禁地面明设，并应避免机械损伤和介质腐蚀。埋地电缆路径应设方位标志。各种配电设备均设有防止漏电和防雨防水设施。</w:t>
      </w:r>
    </w:p>
    <w:p w14:paraId="6FAB6B49">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.4.4 承包人应在施工作业区、施工道路、临时设施、办公区和生活区设置足够的照明，地下工程照明系统的电压不得高于 36V，在潮湿和易触及带电体场所的照明供电电压不应大于 24V。不便于使用电器照明的工作面应采用特殊照明设施。</w:t>
      </w:r>
    </w:p>
    <w:p w14:paraId="1BDECC8C">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.4.5 凡可能漏电伤人或易受雷击的电器及</w:t>
      </w:r>
      <w:r>
        <w:rPr>
          <w:rFonts w:hint="eastAsia" w:ascii="Arial" w:hAnsi="Arial" w:cs="Arial"/>
          <w:bCs/>
          <w:color w:val="auto"/>
          <w:szCs w:val="21"/>
          <w:highlight w:val="none"/>
        </w:rPr>
        <w:t>实体工程</w:t>
      </w:r>
      <w:r>
        <w:rPr>
          <w:rFonts w:ascii="Arial" w:hAnsi="Arial" w:cs="Arial"/>
          <w:bCs/>
          <w:color w:val="auto"/>
          <w:szCs w:val="21"/>
          <w:highlight w:val="none"/>
        </w:rPr>
        <w:t>均应设置接地和避雷装置。承包人应负责避雷装置的采购、安装、管理和维修，并建立定期检查制度。</w:t>
      </w:r>
    </w:p>
    <w:p w14:paraId="67C8E921">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.4.6 临时用电方面的其他要求如下：</w:t>
      </w:r>
      <w:r>
        <w:rPr>
          <w:rFonts w:ascii="Arial" w:hAnsi="Arial" w:cs="Arial"/>
          <w:bCs/>
          <w:color w:val="auto"/>
          <w:szCs w:val="21"/>
          <w:highlight w:val="none"/>
          <w:u w:val="single"/>
        </w:rPr>
        <w:t xml:space="preserve">     /     </w:t>
      </w:r>
      <w:r>
        <w:rPr>
          <w:rFonts w:ascii="Arial" w:hAnsi="Arial" w:cs="Arial"/>
          <w:bCs/>
          <w:color w:val="auto"/>
          <w:szCs w:val="21"/>
          <w:highlight w:val="none"/>
        </w:rPr>
        <w:t>。</w:t>
      </w:r>
    </w:p>
    <w:p w14:paraId="5D9AB907">
      <w:pPr>
        <w:pStyle w:val="42"/>
        <w:adjustRightInd w:val="0"/>
        <w:snapToGrid w:val="0"/>
        <w:spacing w:line="360" w:lineRule="auto"/>
        <w:ind w:firstLine="422" w:firstLineChars="200"/>
        <w:rPr>
          <w:rFonts w:ascii="Arial" w:hAnsi="Arial" w:cs="Arial"/>
          <w:b/>
          <w:color w:val="auto"/>
          <w:szCs w:val="21"/>
          <w:highlight w:val="none"/>
        </w:rPr>
      </w:pPr>
      <w:r>
        <w:rPr>
          <w:rFonts w:hint="eastAsia" w:ascii="Arial" w:hAnsi="Arial" w:cs="Arial"/>
          <w:b/>
          <w:color w:val="auto"/>
          <w:szCs w:val="21"/>
          <w:highlight w:val="none"/>
          <w:lang w:val="en-US" w:eastAsia="zh-CN"/>
        </w:rPr>
        <w:t>4</w:t>
      </w:r>
      <w:r>
        <w:rPr>
          <w:rFonts w:ascii="Arial" w:hAnsi="Arial" w:cs="Arial"/>
          <w:b/>
          <w:color w:val="auto"/>
          <w:szCs w:val="21"/>
          <w:highlight w:val="none"/>
        </w:rPr>
        <w:t>.5 劳动保护</w:t>
      </w:r>
    </w:p>
    <w:p w14:paraId="7F087D1F">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.5.1 承包人应遵守所有适用于本合同的劳动法规及其他有关法律、法规、规章和规定中关于工人工资标准、劳动时间和劳动条件的规定，合理安排现场作业人员的劳动和休息时间，保障劳动者必</w:t>
      </w:r>
      <w:r>
        <w:rPr>
          <w:rFonts w:hint="eastAsia" w:ascii="Arial" w:hAnsi="Arial" w:cs="Arial"/>
          <w:bCs/>
          <w:color w:val="auto"/>
          <w:szCs w:val="21"/>
          <w:highlight w:val="none"/>
          <w:lang w:val="en-US" w:eastAsia="zh-CN"/>
        </w:rPr>
        <w:t>需</w:t>
      </w:r>
      <w:r>
        <w:rPr>
          <w:rFonts w:ascii="Arial" w:hAnsi="Arial" w:cs="Arial"/>
          <w:bCs/>
          <w:color w:val="auto"/>
          <w:szCs w:val="21"/>
          <w:highlight w:val="none"/>
        </w:rPr>
        <w:t>的休息时间，支付合理的报酬和费用。承包人应按有关行政管理部门的规定为本合同下雇佣的职员和工人办理任何必要的证件、许可、保险和注册等，并保障发包人免于因承包人不能依照或完全依照上述所有法律、法规、规章和规定等可能给发包人带来的任何处罚、索赔、损失和损害等。</w:t>
      </w:r>
    </w:p>
    <w:p w14:paraId="230C4140">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.5.2 承包人应按照国家《劳动保护法》的规定，保障现场施工人员的劳动安全。承包人应为本合同下雇佣的职员和工人提供适当和充分的劳动保护，包括但不限于安全防护、防寒、防雨、防尘、绝缘保护、常用药品、急救设备、传染病预防等。</w:t>
      </w:r>
    </w:p>
    <w:p w14:paraId="1DEC2C0A">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.5.3 承包人应为其履行本合同所雇佣的职员和工人提供和维护任何必要的膳宿条件和生活环境，包括但不限于宿舍、围栏、供水（饮用及其他目的用水）、供电、卫生设备、食堂及炊具、防火及灭火设备、供热、家具及其他正常膳宿条件和生活环境所需的必需品，并应考虑宗教和民族习惯。</w:t>
      </w:r>
    </w:p>
    <w:p w14:paraId="156E6577">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.5.4 承包人应为现场工人提供符合政府卫生规定的生活条件并获得必要的许可，保证工人的健康和防止任何传染病，包括工人的食堂、厕所、工具房、宿舍等；承包人应聘请专业的卫生防疫部门定期对现场、工人生活基地和工程进行防疫和卫生的专业检查和处理，包括消灭白蚁、鼠害、蚊蝇和其</w:t>
      </w:r>
      <w:r>
        <w:rPr>
          <w:rFonts w:hint="eastAsia" w:ascii="Arial" w:hAnsi="Arial" w:cs="Arial"/>
          <w:bCs/>
          <w:color w:val="auto"/>
          <w:szCs w:val="21"/>
          <w:highlight w:val="none"/>
          <w:lang w:val="en-US" w:eastAsia="zh-CN"/>
        </w:rPr>
        <w:t>他</w:t>
      </w:r>
      <w:r>
        <w:rPr>
          <w:rFonts w:ascii="Arial" w:hAnsi="Arial" w:cs="Arial"/>
          <w:bCs/>
          <w:color w:val="auto"/>
          <w:szCs w:val="21"/>
          <w:highlight w:val="none"/>
        </w:rPr>
        <w:t>害虫，以防对施工人员、现场和永久工程造成任何危害。</w:t>
      </w:r>
    </w:p>
    <w:p w14:paraId="28846AC5">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.5.5 承包人应在现场设立专门的临时医疗站，配备足够的设施、药物和称职的医务人员，承包人还应准备急救担架，用于一旦发生安全事故时对受伤人员的急救。</w:t>
      </w:r>
    </w:p>
    <w:p w14:paraId="7968759A">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.5.6 劳动保护方面的其他要求如下：</w:t>
      </w:r>
      <w:r>
        <w:rPr>
          <w:rFonts w:ascii="Arial" w:hAnsi="Arial" w:cs="Arial"/>
          <w:bCs/>
          <w:color w:val="auto"/>
          <w:szCs w:val="21"/>
          <w:highlight w:val="none"/>
          <w:u w:val="single"/>
        </w:rPr>
        <w:t xml:space="preserve">     /     </w:t>
      </w:r>
      <w:r>
        <w:rPr>
          <w:rFonts w:ascii="Arial" w:hAnsi="Arial" w:cs="Arial"/>
          <w:bCs/>
          <w:color w:val="auto"/>
          <w:szCs w:val="21"/>
          <w:highlight w:val="none"/>
        </w:rPr>
        <w:t>。</w:t>
      </w:r>
    </w:p>
    <w:p w14:paraId="25976B85">
      <w:pPr>
        <w:pStyle w:val="42"/>
        <w:adjustRightInd w:val="0"/>
        <w:snapToGrid w:val="0"/>
        <w:spacing w:line="360" w:lineRule="auto"/>
        <w:ind w:firstLine="422" w:firstLineChars="200"/>
        <w:rPr>
          <w:rFonts w:ascii="Arial" w:hAnsi="Arial" w:cs="Arial"/>
          <w:b/>
          <w:color w:val="auto"/>
          <w:szCs w:val="21"/>
          <w:highlight w:val="none"/>
        </w:rPr>
      </w:pPr>
      <w:r>
        <w:rPr>
          <w:rFonts w:hint="eastAsia" w:ascii="Arial" w:hAnsi="Arial" w:cs="Arial"/>
          <w:b/>
          <w:color w:val="auto"/>
          <w:szCs w:val="21"/>
          <w:highlight w:val="none"/>
          <w:lang w:val="en-US" w:eastAsia="zh-CN"/>
        </w:rPr>
        <w:t>4</w:t>
      </w:r>
      <w:r>
        <w:rPr>
          <w:rFonts w:ascii="Arial" w:hAnsi="Arial" w:cs="Arial"/>
          <w:b/>
          <w:color w:val="auto"/>
          <w:szCs w:val="21"/>
          <w:highlight w:val="none"/>
        </w:rPr>
        <w:t>.6 脚手架</w:t>
      </w:r>
    </w:p>
    <w:p w14:paraId="48F57B37">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.6.1 承包人应搭设并维护一切必要的临时脚手架、挑平台并配以脚手板、安全网、护身栏杆、门架、马道、坡道、爬梯等。脚手架和挑平台的搭设应满足有关安全生产的法律、法规、规范、标准和规程等的要求。新搭设的脚手架投入使用前，承包人必须组织安全检查和验收，并对使用脚手架的作业人员进行安全交底。</w:t>
      </w:r>
    </w:p>
    <w:p w14:paraId="38C6C3D0">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.6.2 所有脚手架，尤其是大型、复杂、高耸和非常规脚手架，要编制专项施工方案，还应当经过安全验算，脚手架安全验算结果必须报送监理人核查后方可实施。</w:t>
      </w:r>
    </w:p>
    <w:p w14:paraId="089B67F1">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5.6.3 搭设爬架、挂架、超高脚手架等特种或新型脚手架时，承包人应确保此类脚手架的安全性和保证此类脚手架已经过有关行政管理部门允许使用的批准。</w:t>
      </w:r>
    </w:p>
    <w:p w14:paraId="49039D12">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.6.4 承包人应当加强脚手架的日常安全巡查，及时对其中的安全隐患进行整改，确保脚手架使用安全。雨、雪、雾、霜和大风等天气后，承包人必须对脚手架进行安全巡查，并及时消除安全隐患。</w:t>
      </w:r>
    </w:p>
    <w:p w14:paraId="79BFE252">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.6.5 承包人应允许发包人、监理人、专业分包人、独立承包人（如果有）和有关行政管理部门或者机构使用承包人在现场搭设的任何已有脚手架，并就其安全使用做必要交底说明。承包人在拆除任何脚手架前，应书面请示监理人他将要拆除的脚手架是否为发包人、监理人、专业分包人、独立承包人（如果有）和政府有关机构所需，只有在获得监理人书面批准后，承包人才能拆除相关脚手架，否则承包人应自费重新搭设。</w:t>
      </w:r>
    </w:p>
    <w:p w14:paraId="0E8E1D39">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.6.6 脚手架的其他要求如下：</w:t>
      </w:r>
      <w:r>
        <w:rPr>
          <w:rFonts w:ascii="Arial" w:hAnsi="Arial" w:cs="Arial"/>
          <w:bCs/>
          <w:color w:val="auto"/>
          <w:szCs w:val="21"/>
          <w:highlight w:val="none"/>
          <w:u w:val="single"/>
        </w:rPr>
        <w:t xml:space="preserve">     /     </w:t>
      </w:r>
      <w:r>
        <w:rPr>
          <w:rFonts w:ascii="Arial" w:hAnsi="Arial" w:cs="Arial"/>
          <w:bCs/>
          <w:color w:val="auto"/>
          <w:szCs w:val="21"/>
          <w:highlight w:val="none"/>
        </w:rPr>
        <w:t>。</w:t>
      </w:r>
    </w:p>
    <w:p w14:paraId="5D5580F3">
      <w:pPr>
        <w:pStyle w:val="42"/>
        <w:adjustRightInd w:val="0"/>
        <w:snapToGrid w:val="0"/>
        <w:spacing w:line="360" w:lineRule="auto"/>
        <w:ind w:firstLine="422" w:firstLineChars="200"/>
        <w:rPr>
          <w:rFonts w:ascii="Arial" w:hAnsi="Arial" w:cs="Arial"/>
          <w:b/>
          <w:color w:val="auto"/>
          <w:szCs w:val="21"/>
          <w:highlight w:val="none"/>
        </w:rPr>
      </w:pPr>
      <w:r>
        <w:rPr>
          <w:rFonts w:hint="eastAsia" w:ascii="Arial" w:hAnsi="Arial" w:cs="Arial"/>
          <w:b/>
          <w:color w:val="auto"/>
          <w:szCs w:val="21"/>
          <w:highlight w:val="none"/>
          <w:lang w:val="en-US" w:eastAsia="zh-CN"/>
        </w:rPr>
        <w:t>4</w:t>
      </w:r>
      <w:r>
        <w:rPr>
          <w:rFonts w:ascii="Arial" w:hAnsi="Arial" w:cs="Arial"/>
          <w:b/>
          <w:color w:val="auto"/>
          <w:szCs w:val="21"/>
          <w:highlight w:val="none"/>
        </w:rPr>
        <w:t>.7 安全生产保证措施</w:t>
      </w:r>
    </w:p>
    <w:p w14:paraId="49DD4E17">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.7.1 承包人应根据《中华人民共和国安全生产法》、《职业健康安全管理体系规范》、《中华人民共和国消防法》、《中华人民共和国道路交通安全法》、《中华人民共和国传染病防治法实施办法》和地方有关的法规等，</w:t>
      </w:r>
      <w:r>
        <w:rPr>
          <w:rFonts w:hint="eastAsia" w:ascii="Arial" w:hAnsi="Arial" w:cs="Arial"/>
          <w:bCs/>
          <w:strike w:val="0"/>
          <w:dstrike w:val="0"/>
          <w:color w:val="auto"/>
          <w:szCs w:val="21"/>
          <w:highlight w:val="none"/>
          <w:lang w:val="en-US" w:eastAsia="zh-CN"/>
        </w:rPr>
        <w:t>并按照合同约定</w:t>
      </w:r>
      <w:r>
        <w:rPr>
          <w:rFonts w:ascii="Arial" w:hAnsi="Arial" w:cs="Arial"/>
          <w:bCs/>
          <w:strike w:val="0"/>
          <w:dstrike w:val="0"/>
          <w:color w:val="auto"/>
          <w:szCs w:val="21"/>
          <w:highlight w:val="none"/>
        </w:rPr>
        <w:t>，编制</w:t>
      </w:r>
      <w:r>
        <w:rPr>
          <w:rFonts w:ascii="Arial" w:hAnsi="Arial" w:cs="Arial"/>
          <w:bCs/>
          <w:color w:val="auto"/>
          <w:szCs w:val="21"/>
          <w:highlight w:val="none"/>
        </w:rPr>
        <w:t>一份施工安全生产保证措施，报送监理人审批。</w:t>
      </w:r>
    </w:p>
    <w:p w14:paraId="26DCE3DD">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.7.2 安全生产保证措施是承包人阐明其安全管理方针、管理体系、安全制度和安全措施等的文件，其内容应当反映现行法律法规规定的和合同条款约定的以及本条上述约定的承包人安全职责，包括但不限于：</w:t>
      </w:r>
    </w:p>
    <w:p w14:paraId="5147793A">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（1）施工安全管理机构的设置；</w:t>
      </w:r>
    </w:p>
    <w:p w14:paraId="35B0C068">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（2）专职安全管理人员的配备；</w:t>
      </w:r>
    </w:p>
    <w:p w14:paraId="7F3FF35A">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（3）安全责任制度和管理措施；</w:t>
      </w:r>
    </w:p>
    <w:p w14:paraId="4354922C">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（4）安全教育和培训制度及管理措施；</w:t>
      </w:r>
    </w:p>
    <w:p w14:paraId="291B908D">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（5）各项安全生产规章制度和操作规程；</w:t>
      </w:r>
    </w:p>
    <w:p w14:paraId="655E858F">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（6）各项施工安全措施和防护措施；</w:t>
      </w:r>
    </w:p>
    <w:p w14:paraId="51753BBF">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（7）危险品管理和使用制度；</w:t>
      </w:r>
    </w:p>
    <w:p w14:paraId="28F2812A">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（8）安全设施、设备、器材和劳动保护用品的配置；</w:t>
      </w:r>
    </w:p>
    <w:p w14:paraId="6BC65D40">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（9）其他：</w:t>
      </w:r>
      <w:r>
        <w:rPr>
          <w:rFonts w:ascii="Arial" w:hAnsi="Arial" w:cs="Arial"/>
          <w:bCs/>
          <w:color w:val="auto"/>
          <w:szCs w:val="21"/>
          <w:highlight w:val="none"/>
          <w:u w:val="single"/>
        </w:rPr>
        <w:t xml:space="preserve">     /     </w:t>
      </w:r>
      <w:r>
        <w:rPr>
          <w:rFonts w:ascii="Arial" w:hAnsi="Arial" w:cs="Arial"/>
          <w:bCs/>
          <w:color w:val="auto"/>
          <w:szCs w:val="21"/>
          <w:highlight w:val="none"/>
        </w:rPr>
        <w:t>。</w:t>
      </w:r>
    </w:p>
    <w:p w14:paraId="0A0EA55B">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.7.3 施工安全措施的项目和范围，应符合国家颁发的《安全技术措施计划的项目总名称表》及其附录 H、I、J 的规定，即应采取以改善劳动条件，防止工伤事故，预防职业病和职业中毒为目的的一切施工安全措施，以及修建必要的安全设施、配备安全技术开发试验所需的器材、设备和技术资料，并对现场的施工管理及作业人员做好相应的安全宣传教育。</w:t>
      </w:r>
    </w:p>
    <w:p w14:paraId="7E661054">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.7.4安全生产保证措施应当在专用合同条款约定的期限内报送监理人审批。承包人应当严格执行经监理人批准的安全生产保证措施，并及时补充、修订和完善安全生产保证措施，确保安全生产。</w:t>
      </w:r>
    </w:p>
    <w:p w14:paraId="341CEDB7">
      <w:pPr>
        <w:pStyle w:val="42"/>
        <w:adjustRightInd w:val="0"/>
        <w:snapToGrid w:val="0"/>
        <w:spacing w:line="360" w:lineRule="auto"/>
        <w:ind w:firstLine="422" w:firstLineChars="200"/>
        <w:rPr>
          <w:rFonts w:ascii="Arial" w:hAnsi="Arial" w:cs="Arial"/>
          <w:b/>
          <w:color w:val="auto"/>
          <w:szCs w:val="21"/>
          <w:highlight w:val="none"/>
        </w:rPr>
      </w:pPr>
      <w:r>
        <w:rPr>
          <w:rFonts w:hint="eastAsia" w:ascii="Arial" w:hAnsi="Arial" w:cs="Arial"/>
          <w:b/>
          <w:color w:val="auto"/>
          <w:szCs w:val="21"/>
          <w:highlight w:val="none"/>
          <w:lang w:val="en-US" w:eastAsia="zh-CN"/>
        </w:rPr>
        <w:t>4</w:t>
      </w:r>
      <w:r>
        <w:rPr>
          <w:rFonts w:ascii="Arial" w:hAnsi="Arial" w:cs="Arial"/>
          <w:b/>
          <w:color w:val="auto"/>
          <w:szCs w:val="21"/>
          <w:highlight w:val="none"/>
        </w:rPr>
        <w:t>.8  文明施工</w:t>
      </w:r>
    </w:p>
    <w:p w14:paraId="497AB5FE">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.8.1 承包人应遵守国家和工程所在地有关法规、规范、规程和标准的规定， 履行文明施工义务，确保文明施工专项费用专款专用。</w:t>
      </w:r>
    </w:p>
    <w:p w14:paraId="451BD3EB">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.8.2 承包人应当规范现场施工秩序，实行标准化管理：</w:t>
      </w:r>
    </w:p>
    <w:p w14:paraId="71525141">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 承包人的施工场地（现场）必须干净整洁、做到无积水、无淤泥、无杂物，材料堆放整齐；</w:t>
      </w:r>
    </w:p>
    <w:p w14:paraId="5632CB4F">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（2） 施工现场土方应当集中堆放，裸露的场地和集中堆放的土方应当采取覆盖、固化或绿化等措施；</w:t>
      </w:r>
    </w:p>
    <w:p w14:paraId="23575297">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（3） 施工场地（现场）应进行硬化处理，定期定时洒水，做好防治扬尘和大气污染工作；</w:t>
      </w:r>
    </w:p>
    <w:p w14:paraId="5C9159D4">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（4） 严格遵守“工完、料尽、场地净”的原则，不留垃圾、不留剩余施工材料和施工机具，各种设备运转正常；</w:t>
      </w:r>
    </w:p>
    <w:p w14:paraId="0A3FF78E">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（5） 承包人修建的施工临时设施应符合监理人批准的施工规划要求，并应满足本节规定的各项安全要求；</w:t>
      </w:r>
    </w:p>
    <w:p w14:paraId="132DC781">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（6） 监理人可要求承包人在施工场地（现场）设置各级承包人的安全文明施工责任牌等文明施工警示牌；</w:t>
      </w:r>
    </w:p>
    <w:p w14:paraId="2B7EE10B">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（7） 材料进入现场应按指定位置堆放整齐，不得影响现场施工和堵塞施工、消防通道。材料堆放场地应有专职的管理人员；</w:t>
      </w:r>
    </w:p>
    <w:p w14:paraId="627F9C41">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（8） 施工和安装用的各种扣件、紧固件、绳索具、小型配件、</w:t>
      </w:r>
      <w:r>
        <w:rPr>
          <w:rFonts w:hint="eastAsia" w:ascii="Arial" w:hAnsi="Arial" w:cs="Arial"/>
          <w:bCs/>
          <w:color w:val="auto"/>
          <w:szCs w:val="21"/>
          <w:highlight w:val="none"/>
          <w:lang w:val="en-US" w:eastAsia="zh-CN"/>
        </w:rPr>
        <w:t>螺</w:t>
      </w:r>
      <w:r>
        <w:rPr>
          <w:rFonts w:ascii="Arial" w:hAnsi="Arial" w:cs="Arial"/>
          <w:bCs/>
          <w:color w:val="auto"/>
          <w:szCs w:val="21"/>
          <w:highlight w:val="none"/>
        </w:rPr>
        <w:t>钉等应在专设的仓库内装箱放置；</w:t>
      </w:r>
    </w:p>
    <w:p w14:paraId="7C713ED8">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（9） 现场风、水管及照明电线的布置应安全、合理、规范、有序，做到整齐美观。不得随意架设和造成隐患或影响施工；</w:t>
      </w:r>
    </w:p>
    <w:p w14:paraId="185C27C2">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（10）拆除工程施工时应采取有效的降尘措施。</w:t>
      </w:r>
    </w:p>
    <w:p w14:paraId="05B1CCE2">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.8.3 承包人应为其雇佣的施工工人建立并维护相应的生活宿舍、食堂、浴室、厕所和文化活动室等，其标准应满足政府有关机构的生活标准和卫生标准等的要求。</w:t>
      </w:r>
    </w:p>
    <w:p w14:paraId="3E402B64">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.8.4 承包人应为任何已完成的、正在施工的和将要进行的任何永久和临时工程、材料、物品、设备、以及因永久工程施工而暴露的任何毗邻财产提供必要的覆盖和保护措施，以避免恶劣天气影响工程施工和造成损失。保护措施包括必要的冬季供暖、雨季用阻燃防水油布覆盖、额外的临时仓库等等。因承包人措施不得力或不到位而给工程带来的任何损失或损害由承包人自己负责。</w:t>
      </w:r>
    </w:p>
    <w:p w14:paraId="40F15547">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.8.5 在工程施工期间，承包人应始终避免现场出现不必要的障碍物，妥当存放并处置施工设备和多余的材料，及时从现场清除运走任何废料、垃圾或不再需要的临时工程和设施。</w:t>
      </w:r>
    </w:p>
    <w:p w14:paraId="1EB3D954">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.8.6 承包人应为现场的工人和其他所有工作人员提供符合卫生要求的厕所，厕所应贴有</w:t>
      </w:r>
      <w:r>
        <w:rPr>
          <w:rFonts w:hint="eastAsia" w:ascii="Arial" w:hAnsi="Arial" w:cs="Arial"/>
          <w:bCs/>
          <w:color w:val="auto"/>
          <w:szCs w:val="21"/>
          <w:highlight w:val="none"/>
          <w:lang w:val="en-US" w:eastAsia="zh-CN"/>
        </w:rPr>
        <w:t>瓷</w:t>
      </w:r>
      <w:r>
        <w:rPr>
          <w:rFonts w:ascii="Arial" w:hAnsi="Arial" w:cs="Arial"/>
          <w:bCs/>
          <w:color w:val="auto"/>
          <w:szCs w:val="21"/>
          <w:highlight w:val="none"/>
        </w:rPr>
        <w:t>砖并带手动或自动冲刷设备和洗手盆；承包人负责支付与该厕所相关的所有费用，并在工程竣工时，从现场拆除。承包人应在工作区域设立必要的临时厕所，并安排专门人员负责看护和定时清理，以确保现场免于随地大小便的污染。</w:t>
      </w:r>
    </w:p>
    <w:p w14:paraId="03B4F464">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.8.7 承包人应在现场设立固定的垃圾临时存放点并在各区域设立必要的垃圾箱。</w:t>
      </w:r>
      <w:r>
        <w:rPr>
          <w:rFonts w:hint="eastAsia" w:ascii="Arial" w:hAnsi="Arial" w:cs="Arial"/>
          <w:bCs/>
          <w:color w:val="auto"/>
          <w:szCs w:val="21"/>
          <w:highlight w:val="none"/>
        </w:rPr>
        <w:t>施工现场</w:t>
      </w:r>
      <w:r>
        <w:rPr>
          <w:rFonts w:ascii="Arial" w:hAnsi="Arial" w:cs="Arial"/>
          <w:bCs/>
          <w:color w:val="auto"/>
          <w:szCs w:val="21"/>
          <w:highlight w:val="none"/>
        </w:rPr>
        <w:t>垃圾的清运，必须采用相应容器或管道运输，严禁</w:t>
      </w:r>
      <w:r>
        <w:rPr>
          <w:rFonts w:hint="eastAsia" w:ascii="Arial" w:hAnsi="Arial" w:cs="Arial"/>
          <w:bCs/>
          <w:color w:val="auto"/>
          <w:szCs w:val="21"/>
          <w:highlight w:val="none"/>
        </w:rPr>
        <w:t>随意</w:t>
      </w:r>
      <w:r>
        <w:rPr>
          <w:rFonts w:ascii="Arial" w:hAnsi="Arial" w:cs="Arial"/>
          <w:bCs/>
          <w:color w:val="auto"/>
          <w:szCs w:val="21"/>
          <w:highlight w:val="none"/>
        </w:rPr>
        <w:t>抛掷；所有垃圾必须在当天清除出现场，并按有关行政管理部门的规定，运送到指定的垃圾消纳场。</w:t>
      </w:r>
    </w:p>
    <w:p w14:paraId="2E224498">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.8.8 承包人应对离场垃圾和所有车辆进行防遗洒和防污染公共道路的处理。承包人在运输任何材料的过程中，应采取一切必要的措施，防止遗洒和污染公共道路；一旦出现上述遗洒或污染现象，承包人应立即采取措施进行清扫，并承担所有费用。承包人在混凝土浇</w:t>
      </w:r>
      <w:r>
        <w:rPr>
          <w:rFonts w:hint="eastAsia" w:ascii="Arial" w:hAnsi="Arial" w:cs="Arial"/>
          <w:bCs/>
          <w:color w:val="auto"/>
          <w:szCs w:val="21"/>
          <w:highlight w:val="none"/>
          <w:lang w:val="en-US" w:eastAsia="zh-CN"/>
        </w:rPr>
        <w:t>筑</w:t>
      </w:r>
      <w:r>
        <w:rPr>
          <w:rFonts w:ascii="Arial" w:hAnsi="Arial" w:cs="Arial"/>
          <w:bCs/>
          <w:color w:val="auto"/>
          <w:szCs w:val="21"/>
          <w:highlight w:val="none"/>
        </w:rPr>
        <w:t>、材料运输、材料装卸、现场清理等工作中应采取一切必要的措施防止影响公共交通。</w:t>
      </w:r>
    </w:p>
    <w:p w14:paraId="50136425">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.8.9 承包人应当制订成品保护措施计划，并提供必要的人员、材料和设备用于整个工程的成品保护，包括对已完成的所有分包人和独立承包人（如果有）的工程或工作的保护，防止已完工作遭受任何损坏或破坏。成品保护措施应当合理安排工序，并包括工作面移交制度和责任赔偿制度。成品保护措施计划最迟应当在任何专业分包人或独立承包人进场施工前不少于 28 天报监理人审批。</w:t>
      </w:r>
    </w:p>
    <w:p w14:paraId="491CEF57">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.8.10 文明施工方面的其他要求如下：</w:t>
      </w:r>
      <w:r>
        <w:rPr>
          <w:rFonts w:ascii="Arial" w:hAnsi="Arial" w:cs="Arial"/>
          <w:bCs/>
          <w:color w:val="auto"/>
          <w:szCs w:val="21"/>
          <w:highlight w:val="none"/>
          <w:u w:val="single"/>
        </w:rPr>
        <w:t xml:space="preserve">     /     </w:t>
      </w:r>
      <w:r>
        <w:rPr>
          <w:rFonts w:ascii="Arial" w:hAnsi="Arial" w:cs="Arial"/>
          <w:bCs/>
          <w:color w:val="auto"/>
          <w:szCs w:val="21"/>
          <w:highlight w:val="none"/>
        </w:rPr>
        <w:t>。</w:t>
      </w:r>
    </w:p>
    <w:p w14:paraId="5A40D892">
      <w:pPr>
        <w:pStyle w:val="42"/>
        <w:adjustRightInd w:val="0"/>
        <w:snapToGrid w:val="0"/>
        <w:spacing w:line="360" w:lineRule="auto"/>
        <w:ind w:firstLine="422" w:firstLineChars="200"/>
        <w:rPr>
          <w:rFonts w:ascii="Arial" w:hAnsi="Arial" w:cs="Arial"/>
          <w:b/>
          <w:color w:val="auto"/>
          <w:szCs w:val="21"/>
          <w:highlight w:val="none"/>
        </w:rPr>
      </w:pPr>
      <w:r>
        <w:rPr>
          <w:rFonts w:hint="eastAsia" w:ascii="Arial" w:hAnsi="Arial" w:cs="Arial"/>
          <w:b/>
          <w:color w:val="auto"/>
          <w:szCs w:val="21"/>
          <w:highlight w:val="none"/>
          <w:lang w:val="en-US" w:eastAsia="zh-CN"/>
        </w:rPr>
        <w:t>4</w:t>
      </w:r>
      <w:r>
        <w:rPr>
          <w:rFonts w:ascii="Arial" w:hAnsi="Arial" w:cs="Arial"/>
          <w:b/>
          <w:color w:val="auto"/>
          <w:szCs w:val="21"/>
          <w:highlight w:val="none"/>
        </w:rPr>
        <w:t>.9 环境保护</w:t>
      </w:r>
    </w:p>
    <w:p w14:paraId="02DCCCA1">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.9.1 在工程施工、完工及修补任何缺陷的过程中，承包人应当始终遵守国家和工程所在地有关环境保护、水土保护和污染防治的法律、法规、规章、规范、标准和规程等，按照合同约定履行其环境与生态保护职责。</w:t>
      </w:r>
    </w:p>
    <w:p w14:paraId="41E2ECCB">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.9.2 承包人应按合同约定和监理人指示，接受国家和地方环境保护行政主管部门的监督、监测和检查。承包人应对其违反现行法律、法规、规章、规范、标准和规程等以及本合同约定所造成的环境污染、水土流失、人员伤害和财产损失等承担赔偿责任。</w:t>
      </w:r>
    </w:p>
    <w:p w14:paraId="4B3405DF">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.9.3 承包人制订施工方案和组织措施时应当同步考虑环境和资源保护，包括水土资源保护、噪声、振动和照明污染防治、固体废弃物处理、污水和废气处理、粉尘和扬尘控制、道路污染防治、卫生防疫、禁止有害材料、节能减排以及不可再生资源的循环使用等因素。</w:t>
      </w:r>
    </w:p>
    <w:p w14:paraId="24A66012">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.9.4 承包人应当做好施工场地（现场）范围内各项工程的开挖支护、截水、降水、灌浆、衬砌、挡护结构及排水等工程防护措施。施工场地（现场）内所有边坡应当采取有效的水土流失防治和保持措施。承包人采用的降水方案应当充分考虑对地下水的保护和合理使用，如果国家和（或）地方</w:t>
      </w:r>
      <w:r>
        <w:rPr>
          <w:rFonts w:hint="eastAsia" w:ascii="Arial" w:hAnsi="Arial" w:cs="Arial"/>
          <w:bCs/>
          <w:color w:val="auto"/>
          <w:szCs w:val="21"/>
          <w:highlight w:val="none"/>
          <w:lang w:val="en-US" w:eastAsia="zh-CN"/>
        </w:rPr>
        <w:t>相关部门</w:t>
      </w:r>
      <w:r>
        <w:rPr>
          <w:rFonts w:ascii="Arial" w:hAnsi="Arial" w:cs="Arial"/>
          <w:bCs/>
          <w:color w:val="auto"/>
          <w:szCs w:val="21"/>
          <w:highlight w:val="none"/>
        </w:rPr>
        <w:t>有特别规定的，承包人应当遵守有关规定。承包人还应设置完善的排水系统，保持施工场地（现场）始终处于良好的排水状态，防止降雨径流对施工场地（现场）的冲刷。</w:t>
      </w:r>
    </w:p>
    <w:p w14:paraId="34D6B0EC">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.9.5 承包人应当确保其所提供的材料、工程设备、施工设备和其他材料都是绿色环保产品，列入国家强制认证产品名录的，还应当是通过国家强制认证的产品。承包人不得在任何临时和永久性工程中使用任何政府明令禁止使用的对人体有害的任何材料（如放射性材料、石棉制品等）和方法，同时也不得在永久性工程中使用政府虽未明令禁止但会给居住或使用人带来不适感觉或味觉的任何材料和添加剂等；承包人应在其施工环保措施计划中明确防止误用的保证措施；承包人违背此项约定的责任和后果全部由承包人承担。</w:t>
      </w:r>
    </w:p>
    <w:p w14:paraId="1F6B9C1E">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.9.6 承包人应为防止进出场的车辆的遗洒和轮胎夹带物等污染周边和公共道路等行为制定并落实必要的措施，这类措施应至少包括在现场出入口设立冲刷池、对现场道路做硬化处理和采用密闭车厢或者对车厢进行必要的覆盖等等。</w:t>
      </w:r>
    </w:p>
    <w:p w14:paraId="0214753B">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9.7承包人应当保证施工生产用水和生活用水符合国家有关标准的规定。承包人还应建设、运行和维护施工生产和生活污水收集和处理系统（包括排污口接入），建立符合排放标准的临时沉淀池和化粪池等，不得将未处理的污水直接或间接排放或造成地表水体、地下水体或生产和生活供水系统的污染。</w:t>
      </w:r>
    </w:p>
    <w:p w14:paraId="29A629A1">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.9.8 承包人应当采取有效措施，建立相应的过滤、分离、分解或沉淀等处理系统，不得让有害物质（如燃料、油料、化学品、酸等，以及超过剂量的有害气体和尘埃、污水、泥土或水、弃渣等）污染施工场地（现场）及其周边环境。承包人施工工序、工作时间安排和施工设备的配置应当充分考虑降低噪声和照明等对施工场地（现场）周边生产和生活的影响，并满足国家和地方政府有关规定的要求。</w:t>
      </w:r>
    </w:p>
    <w:p w14:paraId="0A5FD1B1">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.9.9 环境保护方面的其他要求如下：</w:t>
      </w:r>
      <w:r>
        <w:rPr>
          <w:rFonts w:ascii="Arial" w:hAnsi="Arial" w:cs="Arial"/>
          <w:bCs/>
          <w:color w:val="auto"/>
          <w:szCs w:val="21"/>
          <w:highlight w:val="none"/>
          <w:u w:val="single"/>
        </w:rPr>
        <w:t xml:space="preserve">     /     </w:t>
      </w:r>
      <w:r>
        <w:rPr>
          <w:rFonts w:ascii="Arial" w:hAnsi="Arial" w:cs="Arial"/>
          <w:bCs/>
          <w:color w:val="auto"/>
          <w:szCs w:val="21"/>
          <w:highlight w:val="none"/>
        </w:rPr>
        <w:t>。</w:t>
      </w:r>
    </w:p>
    <w:p w14:paraId="49855D04">
      <w:pPr>
        <w:pStyle w:val="42"/>
        <w:adjustRightInd w:val="0"/>
        <w:snapToGrid w:val="0"/>
        <w:spacing w:line="360" w:lineRule="auto"/>
        <w:ind w:firstLine="422" w:firstLineChars="200"/>
        <w:rPr>
          <w:rFonts w:ascii="Arial" w:hAnsi="Arial" w:cs="Arial"/>
          <w:b/>
          <w:color w:val="auto"/>
          <w:szCs w:val="21"/>
          <w:highlight w:val="none"/>
        </w:rPr>
      </w:pPr>
      <w:r>
        <w:rPr>
          <w:rFonts w:hint="eastAsia" w:ascii="Arial" w:hAnsi="Arial" w:cs="Arial"/>
          <w:b/>
          <w:color w:val="auto"/>
          <w:szCs w:val="21"/>
          <w:highlight w:val="none"/>
          <w:lang w:val="en-US" w:eastAsia="zh-CN"/>
        </w:rPr>
        <w:t>4</w:t>
      </w:r>
      <w:r>
        <w:rPr>
          <w:rFonts w:ascii="Arial" w:hAnsi="Arial" w:cs="Arial"/>
          <w:b/>
          <w:color w:val="auto"/>
          <w:szCs w:val="21"/>
          <w:highlight w:val="none"/>
        </w:rPr>
        <w:t>.10  施工环保措施计划</w:t>
      </w:r>
    </w:p>
    <w:p w14:paraId="146D02BF">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.10.1施工环保措施计划是承包人阐明环保方针和拟采用的环保措施及方法等的文件，其内容应包括但不限于：</w:t>
      </w:r>
    </w:p>
    <w:p w14:paraId="641803F3">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  承包人生活区（如果有）的生活用水和生活污水处理措施；</w:t>
      </w:r>
    </w:p>
    <w:p w14:paraId="6DEE7BE6">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（2）  施工生产废水处理措施；</w:t>
      </w:r>
    </w:p>
    <w:p w14:paraId="0F83F54F">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（3）  施工扬尘和废气的处理措施；</w:t>
      </w:r>
    </w:p>
    <w:p w14:paraId="4A7ACB02">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（4）  施工噪声和光污染控制措施；</w:t>
      </w:r>
    </w:p>
    <w:p w14:paraId="151E4985">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（5）  节能减排措施；</w:t>
      </w:r>
    </w:p>
    <w:p w14:paraId="73720086">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（6）  不可再生资源循环利用措施；</w:t>
      </w:r>
    </w:p>
    <w:p w14:paraId="01BF9409">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（7）  固体废弃物处理措施；</w:t>
      </w:r>
    </w:p>
    <w:p w14:paraId="5A6196A8">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（8）  人群健康保护和卫生防疫措施；</w:t>
      </w:r>
    </w:p>
    <w:p w14:paraId="64E0EC30">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（9）  防止误用有害材料的保证措施；</w:t>
      </w:r>
    </w:p>
    <w:p w14:paraId="6C8A9373">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（10） 施工边坡工程的水土流失保护措施；</w:t>
      </w:r>
    </w:p>
    <w:p w14:paraId="3D666521">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（11） 道路污染防治措施；</w:t>
      </w:r>
    </w:p>
    <w:p w14:paraId="6EC291C8">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（12） 完工后场地清理及其植被（如果有）恢复的规划和措施；</w:t>
      </w:r>
    </w:p>
    <w:p w14:paraId="087543C1">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（13） 其他：</w:t>
      </w:r>
      <w:r>
        <w:rPr>
          <w:rFonts w:ascii="Arial" w:hAnsi="Arial" w:cs="Arial"/>
          <w:bCs/>
          <w:color w:val="auto"/>
          <w:szCs w:val="21"/>
          <w:highlight w:val="none"/>
          <w:u w:val="single"/>
        </w:rPr>
        <w:t xml:space="preserve">     /     </w:t>
      </w:r>
      <w:r>
        <w:rPr>
          <w:rFonts w:ascii="Arial" w:hAnsi="Arial" w:cs="Arial"/>
          <w:bCs/>
          <w:color w:val="auto"/>
          <w:szCs w:val="21"/>
          <w:highlight w:val="none"/>
        </w:rPr>
        <w:t>。</w:t>
      </w:r>
    </w:p>
    <w:p w14:paraId="4918C6F1">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.10.2 施工环保措施计划应当报送监理人审批。承包人应当严格执行经监理人批准的施工环保措施计划，并及时补充、修订和完善施工环保措施计划。</w:t>
      </w:r>
    </w:p>
    <w:p w14:paraId="0FAD08E2">
      <w:pPr>
        <w:pStyle w:val="42"/>
        <w:adjustRightInd w:val="0"/>
        <w:snapToGrid w:val="0"/>
        <w:spacing w:line="360" w:lineRule="auto"/>
        <w:ind w:firstLine="422" w:firstLineChars="200"/>
        <w:rPr>
          <w:rFonts w:ascii="Arial" w:hAnsi="Arial" w:cs="Arial"/>
          <w:b/>
          <w:color w:val="auto"/>
          <w:szCs w:val="21"/>
          <w:highlight w:val="none"/>
        </w:rPr>
      </w:pPr>
      <w:r>
        <w:rPr>
          <w:rFonts w:hint="eastAsia" w:ascii="Arial" w:hAnsi="Arial" w:cs="Arial"/>
          <w:b/>
          <w:color w:val="auto"/>
          <w:szCs w:val="21"/>
          <w:highlight w:val="none"/>
          <w:lang w:val="en-US" w:eastAsia="zh-CN"/>
        </w:rPr>
        <w:t>4</w:t>
      </w:r>
      <w:r>
        <w:rPr>
          <w:rFonts w:ascii="Arial" w:hAnsi="Arial" w:cs="Arial"/>
          <w:b/>
          <w:color w:val="auto"/>
          <w:szCs w:val="21"/>
          <w:highlight w:val="none"/>
        </w:rPr>
        <w:t>.11  绿色施工管理方面</w:t>
      </w:r>
    </w:p>
    <w:p w14:paraId="75E231CC">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.11.1 承包人必须严格执行《建设工程安全生产</w:t>
      </w:r>
      <w:r>
        <w:rPr>
          <w:rFonts w:hint="eastAsia" w:ascii="Arial" w:hAnsi="Arial" w:cs="Arial"/>
          <w:bCs/>
          <w:color w:val="auto"/>
          <w:szCs w:val="21"/>
          <w:highlight w:val="none"/>
          <w:lang w:val="en-US" w:eastAsia="zh-CN"/>
        </w:rPr>
        <w:t>管理</w:t>
      </w:r>
      <w:r>
        <w:rPr>
          <w:rFonts w:ascii="Arial" w:hAnsi="Arial" w:cs="Arial"/>
          <w:bCs/>
          <w:color w:val="auto"/>
          <w:szCs w:val="21"/>
          <w:highlight w:val="none"/>
        </w:rPr>
        <w:t>条例》（国务院令 393 号）、《辽宁省大气污染防治条例》等法律法规</w:t>
      </w:r>
      <w:r>
        <w:rPr>
          <w:rFonts w:hint="eastAsia" w:ascii="Arial" w:hAnsi="Arial" w:cs="Arial"/>
          <w:bCs/>
          <w:color w:val="auto"/>
          <w:szCs w:val="21"/>
          <w:highlight w:val="none"/>
          <w:lang w:val="en-US" w:eastAsia="zh-CN"/>
        </w:rPr>
        <w:t>和当地</w:t>
      </w:r>
      <w:r>
        <w:rPr>
          <w:rFonts w:ascii="Arial" w:hAnsi="Arial" w:cs="Arial"/>
          <w:bCs/>
          <w:color w:val="auto"/>
          <w:szCs w:val="21"/>
          <w:highlight w:val="none"/>
        </w:rPr>
        <w:t>的相关要求。</w:t>
      </w:r>
    </w:p>
    <w:p w14:paraId="5DD2AC60">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.11.2 承包人认真落实环境保护、绿色施工、安全标准化的各项要求</w:t>
      </w:r>
      <w:r>
        <w:rPr>
          <w:rFonts w:hint="eastAsia" w:ascii="Arial" w:hAnsi="Arial" w:cs="Arial"/>
          <w:bCs/>
          <w:color w:val="auto"/>
          <w:szCs w:val="21"/>
          <w:highlight w:val="none"/>
        </w:rPr>
        <w:t>。</w:t>
      </w:r>
    </w:p>
    <w:p w14:paraId="23C2682B">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.11.3 承包人项目负责人为绿色施工第一责任人，应落实《辽宁省建设工程施工现场管理办法》《绿色施工管理规程》（DB11/513-2015）的相关要求；承包人编制的施工组织设计必须包括绿色施工现场管理措施，监理人应审核施工组织设计中的绿色施工技术措施。</w:t>
      </w:r>
    </w:p>
    <w:p w14:paraId="42FFC5A4">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.11.4 承包人应选择有资质的运输单位签订委托清运合同，选用符合要求的渣土运输车，并按要求办理渣土及建筑垃圾消纳手续。必须在施工现场出入口设置车辆冲洗设施，车辆出场时必须将车轮、车身清理干净；基坑土方施工阶段，必须安装高效洗轮机。场地道路硬化优先选用预制混凝土板材铺装。承包人日常应做好现场洒水降尘工作，严禁使用消防用水进行洒水降尘。</w:t>
      </w:r>
    </w:p>
    <w:p w14:paraId="79D91A12">
      <w:pPr>
        <w:pStyle w:val="42"/>
        <w:adjustRightInd w:val="0"/>
        <w:snapToGrid w:val="0"/>
        <w:spacing w:line="360" w:lineRule="auto"/>
        <w:ind w:firstLine="422" w:firstLineChars="200"/>
        <w:rPr>
          <w:rFonts w:ascii="Arial" w:hAnsi="Arial" w:cs="Arial"/>
          <w:b/>
          <w:color w:val="auto"/>
          <w:szCs w:val="21"/>
          <w:highlight w:val="none"/>
        </w:rPr>
      </w:pPr>
      <w:r>
        <w:rPr>
          <w:rFonts w:hint="eastAsia" w:ascii="Arial" w:hAnsi="Arial" w:cs="Arial"/>
          <w:b/>
          <w:color w:val="auto"/>
          <w:szCs w:val="21"/>
          <w:highlight w:val="none"/>
          <w:lang w:val="en-US" w:eastAsia="zh-CN"/>
        </w:rPr>
        <w:t>4</w:t>
      </w:r>
      <w:r>
        <w:rPr>
          <w:rFonts w:ascii="Arial" w:hAnsi="Arial" w:cs="Arial"/>
          <w:b/>
          <w:color w:val="auto"/>
          <w:szCs w:val="21"/>
          <w:highlight w:val="none"/>
        </w:rPr>
        <w:t>.12  “危大”工程安全管理</w:t>
      </w:r>
    </w:p>
    <w:p w14:paraId="0EE0A808">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.12.1 承包人必须严格执行《危险性较大的分部分项工程安全管理规定》（建设部令 37 号）等相关要求；必须严格执行《“危大”工程安全管理流程》。</w:t>
      </w:r>
    </w:p>
    <w:p w14:paraId="71932D32">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.12.2 承包人应对基坑实施监测和巡视。</w:t>
      </w:r>
    </w:p>
    <w:p w14:paraId="0B33AF47">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.12.3 “危大”工程方案必须经过承包人技术负责人审批；需要专家论证的，必须组织专家论证，承包人单位应当根据论证报告修改完善专项方案，并经承包人技术负责人、项目总监理工程师签字后，方可组织实施。“危大”工程专项方案经论证后需做重大修改的，承包人应当按照论证报告修改，并重新组织专家进行论证，不得擅自修改、调整专项方案。</w:t>
      </w:r>
    </w:p>
    <w:p w14:paraId="6DBEB502">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.12.4 承包人应制定“危大”工程施工关键环节控制点，“危大”工程施工过程中，项目经理必须在岗带班。安全负责人及技术负责人应在“危大”工程施工关键环节进行现场旁站管理；承包人应组织“危大”工程分部或分段验收，验收合格后方可进入下一道工序。</w:t>
      </w:r>
    </w:p>
    <w:p w14:paraId="77F998F0">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.12.5 模架、脚手架工程必须严格按照方案施工，且必须在基础验收完毕合格后方可搭设。模板支架应使用承插盘扣式脚手架，外脚手架应选择技术成熟的架体，承包人如使用新型架体，必须符合《“采用不符合工程建设强制性标准的新技术、新工艺、新材料核准”行政许可实施细则》（建标[2005]124号）的要求。</w:t>
      </w:r>
    </w:p>
    <w:p w14:paraId="30534542">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.12.6 施工现场采购或租用的钢管、扣件、U 托等构配件规格、尺寸必须符合规范要求。</w:t>
      </w:r>
    </w:p>
    <w:p w14:paraId="424CFAA6">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4</w:t>
      </w:r>
      <w:r>
        <w:rPr>
          <w:rFonts w:ascii="Arial" w:hAnsi="Arial" w:cs="Arial"/>
          <w:bCs/>
          <w:color w:val="auto"/>
          <w:szCs w:val="21"/>
          <w:highlight w:val="none"/>
        </w:rPr>
        <w:t>.12.7 承包人应将大体量钢筋绑扎等危险性较大、存在群死群伤风险的工程纳入“危大”工程管理，必须编制专项施工方案，必须加强过程安全管理，并严格履行验收程序，验收合格方可进行下一道工序施工。</w:t>
      </w:r>
    </w:p>
    <w:p w14:paraId="3990FE28">
      <w:pPr>
        <w:pStyle w:val="42"/>
        <w:adjustRightInd w:val="0"/>
        <w:snapToGrid w:val="0"/>
        <w:spacing w:line="360" w:lineRule="auto"/>
        <w:ind w:firstLine="422" w:firstLineChars="200"/>
        <w:rPr>
          <w:rFonts w:ascii="Arial" w:hAnsi="Arial" w:cs="Arial"/>
          <w:b/>
          <w:color w:val="auto"/>
          <w:szCs w:val="21"/>
          <w:highlight w:val="none"/>
        </w:rPr>
      </w:pPr>
      <w:r>
        <w:rPr>
          <w:rFonts w:hint="eastAsia" w:ascii="Arial" w:hAnsi="Arial" w:cs="Arial"/>
          <w:b/>
          <w:color w:val="auto"/>
          <w:szCs w:val="21"/>
          <w:highlight w:val="none"/>
          <w:lang w:val="en-US" w:eastAsia="zh-CN"/>
        </w:rPr>
        <w:t>5</w:t>
      </w:r>
      <w:r>
        <w:rPr>
          <w:rFonts w:ascii="Arial" w:hAnsi="Arial" w:cs="Arial"/>
          <w:b/>
          <w:color w:val="auto"/>
          <w:szCs w:val="21"/>
          <w:highlight w:val="none"/>
        </w:rPr>
        <w:t xml:space="preserve"> . 治安保卫</w:t>
      </w:r>
    </w:p>
    <w:p w14:paraId="633161F4">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5</w:t>
      </w:r>
      <w:r>
        <w:rPr>
          <w:rFonts w:ascii="Arial" w:hAnsi="Arial" w:cs="Arial"/>
          <w:bCs/>
          <w:color w:val="auto"/>
          <w:szCs w:val="21"/>
          <w:highlight w:val="none"/>
        </w:rPr>
        <w:t>.1 承包人应为施工场地（现场）提供 24 小时的保安保卫服务，配备足够的保安人员和保安设备，防止未经批准的任何人进入现场，控制人员、材料和设备等的进出场，防止现场材料、设备或其他任何物品的失窃，禁止任何现场内的打架斗殴事件。</w:t>
      </w:r>
    </w:p>
    <w:p w14:paraId="647B1DC9">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5</w:t>
      </w:r>
      <w:r>
        <w:rPr>
          <w:rFonts w:ascii="Arial" w:hAnsi="Arial" w:cs="Arial"/>
          <w:bCs/>
          <w:color w:val="auto"/>
          <w:szCs w:val="21"/>
          <w:highlight w:val="none"/>
        </w:rPr>
        <w:t>.2 承包人的保安人员应是训练有素的专业保安人员，承包人可以雇佣专业保安公司负责现场保安和保卫；保安保卫制度除规范现场出入大门控制外，还应规定定时和不定时的施工场地（现场）周边和全现场的保安巡逻。</w:t>
      </w:r>
    </w:p>
    <w:p w14:paraId="1FB327CA">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5</w:t>
      </w:r>
      <w:r>
        <w:rPr>
          <w:rFonts w:ascii="Arial" w:hAnsi="Arial" w:cs="Arial"/>
          <w:bCs/>
          <w:color w:val="auto"/>
          <w:szCs w:val="21"/>
          <w:highlight w:val="none"/>
        </w:rPr>
        <w:t>.3 承包人应制定并实施严格的施工场地（现场）出入制度并报监理人审批；车辆的出入须有出入审批制度，并有指定的专人负责管理；人员进出现场应有出入证，出入证须以经过监理人批准的格式印制。</w:t>
      </w:r>
    </w:p>
    <w:p w14:paraId="64DA194D">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5</w:t>
      </w:r>
      <w:r>
        <w:rPr>
          <w:rFonts w:ascii="Arial" w:hAnsi="Arial" w:cs="Arial"/>
          <w:bCs/>
          <w:color w:val="auto"/>
          <w:szCs w:val="21"/>
          <w:highlight w:val="none"/>
        </w:rPr>
        <w:t>.4 承包人应确保任何未经监理人同意的参观人员进入现场；承包人应准备足够数量的专门用于参观人员的安全帽并带明显标志，承包人同时应准备一个参观人员登记簿用于记录所有参观现场人员的姓名、参观目的和参观时间等内容；承包人应确保每个参观现场的人员了解和遵守现场的安全管理规章制度，佩</w:t>
      </w:r>
      <w:r>
        <w:rPr>
          <w:rFonts w:hint="eastAsia" w:ascii="Arial" w:hAnsi="Arial" w:cs="Arial"/>
          <w:bCs/>
          <w:color w:val="auto"/>
          <w:szCs w:val="21"/>
          <w:highlight w:val="none"/>
          <w:lang w:val="en-US" w:eastAsia="zh-CN"/>
        </w:rPr>
        <w:t>戴</w:t>
      </w:r>
      <w:r>
        <w:rPr>
          <w:rFonts w:ascii="Arial" w:hAnsi="Arial" w:cs="Arial"/>
          <w:bCs/>
          <w:color w:val="auto"/>
          <w:szCs w:val="21"/>
          <w:highlight w:val="none"/>
        </w:rPr>
        <w:t>安全帽，确保所有经发包人和监理人批准的参观人员的人身安全。</w:t>
      </w:r>
    </w:p>
    <w:p w14:paraId="7E6133AA">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5</w:t>
      </w:r>
      <w:r>
        <w:rPr>
          <w:rFonts w:ascii="Arial" w:hAnsi="Arial" w:cs="Arial"/>
          <w:bCs/>
          <w:color w:val="auto"/>
          <w:szCs w:val="21"/>
          <w:highlight w:val="none"/>
        </w:rPr>
        <w:t>.5 承包人应为施工场地（现场）提供和维护符合建设行政主管部门和市容管理部门规定的临时围墙和其他安全维护，并在工程进度需要时，进行必要的改造。围墙和大门的表面维护应考虑定期的修补和重新刷漆，并应保证所有的乱涂乱画或招贴广告随时被清理。临时围墙和出入大门考虑必要的照明，照明系统要满足现场安全保卫和美观的要求。</w:t>
      </w:r>
    </w:p>
    <w:p w14:paraId="0501CDE8">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5</w:t>
      </w:r>
      <w:r>
        <w:rPr>
          <w:rFonts w:ascii="Arial" w:hAnsi="Arial" w:cs="Arial"/>
          <w:bCs/>
          <w:color w:val="auto"/>
          <w:szCs w:val="21"/>
          <w:highlight w:val="none"/>
        </w:rPr>
        <w:t>.6 承包人应当保证发包人支付的工程款项仅用于本合同目的，及时和足额地向所雇佣的人员支付劳动报酬，并制定严格的工人工资支付保障措施，确保所有分包人及时支付所雇佣工人的工资，有效防止影响社会安定的群体事件发生，并保障发包人免于因承包人（包括其分包人）拖欠工人工资而可能遭受的任何处罚、索赔、损失和损害等。</w:t>
      </w:r>
    </w:p>
    <w:p w14:paraId="45D0CF8F">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5</w:t>
      </w:r>
      <w:r>
        <w:rPr>
          <w:rFonts w:ascii="Arial" w:hAnsi="Arial" w:cs="Arial"/>
          <w:bCs/>
          <w:color w:val="auto"/>
          <w:szCs w:val="21"/>
          <w:highlight w:val="none"/>
        </w:rPr>
        <w:t>.7 采取“智慧工地”建设，实行劳务用工实名制管理。</w:t>
      </w:r>
    </w:p>
    <w:p w14:paraId="1982D7EF">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5</w:t>
      </w:r>
      <w:r>
        <w:rPr>
          <w:rFonts w:ascii="Arial" w:hAnsi="Arial" w:cs="Arial"/>
          <w:bCs/>
          <w:color w:val="auto"/>
          <w:szCs w:val="21"/>
          <w:highlight w:val="none"/>
        </w:rPr>
        <w:t>.8 施工场地（现场）治安管理计划的要求：</w:t>
      </w:r>
      <w:r>
        <w:rPr>
          <w:rFonts w:ascii="Arial" w:hAnsi="Arial" w:cs="Arial"/>
          <w:bCs/>
          <w:color w:val="auto"/>
          <w:szCs w:val="21"/>
          <w:highlight w:val="none"/>
          <w:u w:val="single"/>
        </w:rPr>
        <w:t xml:space="preserve">     /     </w:t>
      </w:r>
      <w:r>
        <w:rPr>
          <w:rFonts w:ascii="Arial" w:hAnsi="Arial" w:cs="Arial"/>
          <w:bCs/>
          <w:color w:val="auto"/>
          <w:szCs w:val="21"/>
          <w:highlight w:val="none"/>
        </w:rPr>
        <w:t>。</w:t>
      </w:r>
    </w:p>
    <w:p w14:paraId="1F9C47C8">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5</w:t>
      </w:r>
      <w:r>
        <w:rPr>
          <w:rFonts w:ascii="Arial" w:hAnsi="Arial" w:cs="Arial"/>
          <w:bCs/>
          <w:color w:val="auto"/>
          <w:szCs w:val="21"/>
          <w:highlight w:val="none"/>
        </w:rPr>
        <w:t>.9 突发治安事件紧急预案的要求：</w:t>
      </w:r>
      <w:r>
        <w:rPr>
          <w:rFonts w:ascii="Arial" w:hAnsi="Arial" w:cs="Arial"/>
          <w:bCs/>
          <w:color w:val="auto"/>
          <w:szCs w:val="21"/>
          <w:highlight w:val="none"/>
          <w:u w:val="single"/>
        </w:rPr>
        <w:t xml:space="preserve">     /     </w:t>
      </w:r>
      <w:r>
        <w:rPr>
          <w:rFonts w:ascii="Arial" w:hAnsi="Arial" w:cs="Arial"/>
          <w:bCs/>
          <w:color w:val="auto"/>
          <w:szCs w:val="21"/>
          <w:highlight w:val="none"/>
        </w:rPr>
        <w:t>。</w:t>
      </w:r>
    </w:p>
    <w:p w14:paraId="58445263">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5</w:t>
      </w:r>
      <w:r>
        <w:rPr>
          <w:rFonts w:ascii="Arial" w:hAnsi="Arial" w:cs="Arial"/>
          <w:bCs/>
          <w:color w:val="auto"/>
          <w:szCs w:val="21"/>
          <w:highlight w:val="none"/>
        </w:rPr>
        <w:t>.10 治安保卫方面的其他要求如下：</w:t>
      </w:r>
      <w:r>
        <w:rPr>
          <w:rFonts w:ascii="Arial" w:hAnsi="Arial" w:cs="Arial"/>
          <w:bCs/>
          <w:color w:val="auto"/>
          <w:szCs w:val="21"/>
          <w:highlight w:val="none"/>
          <w:u w:val="single"/>
        </w:rPr>
        <w:t xml:space="preserve">     /     </w:t>
      </w:r>
      <w:r>
        <w:rPr>
          <w:rFonts w:ascii="Arial" w:hAnsi="Arial" w:cs="Arial"/>
          <w:bCs/>
          <w:color w:val="auto"/>
          <w:szCs w:val="21"/>
          <w:highlight w:val="none"/>
        </w:rPr>
        <w:t>。</w:t>
      </w:r>
    </w:p>
    <w:p w14:paraId="5AED5739">
      <w:pPr>
        <w:pStyle w:val="42"/>
        <w:adjustRightInd w:val="0"/>
        <w:snapToGrid w:val="0"/>
        <w:spacing w:line="360" w:lineRule="auto"/>
        <w:ind w:firstLine="422" w:firstLineChars="200"/>
        <w:rPr>
          <w:rFonts w:ascii="Arial" w:hAnsi="Arial" w:cs="Arial"/>
          <w:b/>
          <w:color w:val="auto"/>
          <w:szCs w:val="21"/>
          <w:highlight w:val="none"/>
        </w:rPr>
      </w:pPr>
      <w:r>
        <w:rPr>
          <w:rFonts w:hint="eastAsia" w:ascii="Arial" w:hAnsi="Arial" w:cs="Arial"/>
          <w:b/>
          <w:color w:val="auto"/>
          <w:szCs w:val="21"/>
          <w:highlight w:val="none"/>
          <w:lang w:val="en-US" w:eastAsia="zh-CN"/>
        </w:rPr>
        <w:t>6</w:t>
      </w:r>
      <w:r>
        <w:rPr>
          <w:rFonts w:ascii="Arial" w:hAnsi="Arial" w:cs="Arial"/>
          <w:b/>
          <w:color w:val="auto"/>
          <w:szCs w:val="21"/>
          <w:highlight w:val="none"/>
        </w:rPr>
        <w:t>. 地上、地下设施和周边建筑物的临时保护</w:t>
      </w:r>
    </w:p>
    <w:p w14:paraId="376FEA69">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6</w:t>
      </w:r>
      <w:r>
        <w:rPr>
          <w:rFonts w:ascii="Arial" w:hAnsi="Arial" w:cs="Arial"/>
          <w:bCs/>
          <w:color w:val="auto"/>
          <w:szCs w:val="21"/>
          <w:highlight w:val="none"/>
        </w:rPr>
        <w:t>.1 承包人应为施工场地及其周边现有的地上、地下设施和建筑物提供足够的临时保护设施，确保施工过程中这些设施和建筑物不会受到干扰和破坏。</w:t>
      </w:r>
    </w:p>
    <w:p w14:paraId="7B5E5A50">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6</w:t>
      </w:r>
      <w:r>
        <w:rPr>
          <w:rFonts w:ascii="Arial" w:hAnsi="Arial" w:cs="Arial"/>
          <w:bCs/>
          <w:color w:val="auto"/>
          <w:szCs w:val="21"/>
          <w:highlight w:val="none"/>
        </w:rPr>
        <w:t>.2 承包人应当制订现有设施临时保护方案和应急处理方案，并在本工程开工前至少提前 7 天报送监理人，监理人应在收到现有设施临时保护方案后的3 天内批复承包人。承包人应当严格执行经监理人批准的保护方案，并保证在任何可能影响周边现有的地上、地下设施或周边建筑物的施工作业开始前，相应的临时保护设施能够落实到位。</w:t>
      </w:r>
    </w:p>
    <w:p w14:paraId="15416376">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6</w:t>
      </w:r>
      <w:r>
        <w:rPr>
          <w:rFonts w:ascii="Arial" w:hAnsi="Arial" w:cs="Arial"/>
          <w:bCs/>
          <w:color w:val="auto"/>
          <w:szCs w:val="21"/>
          <w:highlight w:val="none"/>
        </w:rPr>
        <w:t>.3 发包人特别提醒承包人注意以下地上、地下设施和周边建筑物的保护：</w:t>
      </w:r>
      <w:r>
        <w:rPr>
          <w:rFonts w:ascii="Arial" w:hAnsi="Arial" w:cs="Arial"/>
          <w:bCs/>
          <w:color w:val="auto"/>
          <w:szCs w:val="21"/>
          <w:highlight w:val="none"/>
          <w:u w:val="single"/>
        </w:rPr>
        <w:t xml:space="preserve">     /     </w:t>
      </w:r>
      <w:r>
        <w:rPr>
          <w:rFonts w:ascii="Arial" w:hAnsi="Arial" w:cs="Arial"/>
          <w:bCs/>
          <w:color w:val="auto"/>
          <w:szCs w:val="21"/>
          <w:highlight w:val="none"/>
        </w:rPr>
        <w:t>。</w:t>
      </w:r>
    </w:p>
    <w:p w14:paraId="0B655D37">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6</w:t>
      </w:r>
      <w:r>
        <w:rPr>
          <w:rFonts w:ascii="Arial" w:hAnsi="Arial" w:cs="Arial"/>
          <w:bCs/>
          <w:color w:val="auto"/>
          <w:szCs w:val="21"/>
          <w:highlight w:val="none"/>
        </w:rPr>
        <w:t>.4 地上、地下设施和周边建筑物的临时保护的其他要求如下：</w:t>
      </w:r>
      <w:r>
        <w:rPr>
          <w:rFonts w:ascii="Arial" w:hAnsi="Arial" w:cs="Arial"/>
          <w:bCs/>
          <w:color w:val="auto"/>
          <w:szCs w:val="21"/>
          <w:highlight w:val="none"/>
          <w:u w:val="single"/>
        </w:rPr>
        <w:t xml:space="preserve">     /     </w:t>
      </w:r>
      <w:r>
        <w:rPr>
          <w:rFonts w:ascii="Arial" w:hAnsi="Arial" w:cs="Arial"/>
          <w:bCs/>
          <w:color w:val="auto"/>
          <w:szCs w:val="21"/>
          <w:highlight w:val="none"/>
        </w:rPr>
        <w:t>。</w:t>
      </w:r>
    </w:p>
    <w:p w14:paraId="690A5463">
      <w:pPr>
        <w:pStyle w:val="42"/>
        <w:adjustRightInd w:val="0"/>
        <w:snapToGrid w:val="0"/>
        <w:spacing w:line="360" w:lineRule="auto"/>
        <w:ind w:firstLine="422" w:firstLineChars="200"/>
        <w:rPr>
          <w:rFonts w:ascii="Arial" w:hAnsi="Arial" w:cs="Arial"/>
          <w:b/>
          <w:color w:val="auto"/>
          <w:szCs w:val="21"/>
          <w:highlight w:val="none"/>
        </w:rPr>
      </w:pPr>
      <w:r>
        <w:rPr>
          <w:rFonts w:hint="eastAsia" w:ascii="Arial" w:hAnsi="Arial" w:cs="Arial"/>
          <w:b/>
          <w:color w:val="auto"/>
          <w:szCs w:val="21"/>
          <w:highlight w:val="none"/>
          <w:lang w:val="en-US" w:eastAsia="zh-CN"/>
        </w:rPr>
        <w:t>7</w:t>
      </w:r>
      <w:r>
        <w:rPr>
          <w:rFonts w:ascii="Arial" w:hAnsi="Arial" w:cs="Arial"/>
          <w:b/>
          <w:color w:val="auto"/>
          <w:szCs w:val="21"/>
          <w:highlight w:val="none"/>
        </w:rPr>
        <w:t>. 样品和材料代换</w:t>
      </w:r>
    </w:p>
    <w:p w14:paraId="2395C5B7">
      <w:pPr>
        <w:pStyle w:val="42"/>
        <w:adjustRightInd w:val="0"/>
        <w:snapToGrid w:val="0"/>
        <w:spacing w:line="360" w:lineRule="auto"/>
        <w:ind w:firstLine="422" w:firstLineChars="200"/>
        <w:rPr>
          <w:rFonts w:ascii="Arial" w:hAnsi="Arial" w:cs="Arial"/>
          <w:b/>
          <w:color w:val="auto"/>
          <w:szCs w:val="21"/>
          <w:highlight w:val="none"/>
        </w:rPr>
      </w:pPr>
      <w:r>
        <w:rPr>
          <w:rFonts w:hint="eastAsia" w:ascii="Arial" w:hAnsi="Arial" w:cs="Arial"/>
          <w:b/>
          <w:color w:val="auto"/>
          <w:szCs w:val="21"/>
          <w:highlight w:val="none"/>
          <w:lang w:val="en-US" w:eastAsia="zh-CN"/>
        </w:rPr>
        <w:t>7</w:t>
      </w:r>
      <w:r>
        <w:rPr>
          <w:rFonts w:ascii="Arial" w:hAnsi="Arial" w:cs="Arial"/>
          <w:b/>
          <w:color w:val="auto"/>
          <w:szCs w:val="21"/>
          <w:highlight w:val="none"/>
        </w:rPr>
        <w:t>.1 样品</w:t>
      </w:r>
    </w:p>
    <w:p w14:paraId="03AD446F">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7</w:t>
      </w:r>
      <w:r>
        <w:rPr>
          <w:rFonts w:ascii="Arial" w:hAnsi="Arial" w:cs="Arial"/>
          <w:bCs/>
          <w:color w:val="auto"/>
          <w:szCs w:val="21"/>
          <w:highlight w:val="none"/>
        </w:rPr>
        <w:t>.1.1 本工程需要承包人提供样品的材料和工程设备如下：</w:t>
      </w:r>
      <w:r>
        <w:rPr>
          <w:rFonts w:ascii="Arial" w:hAnsi="Arial" w:cs="Arial"/>
          <w:bCs/>
          <w:color w:val="auto"/>
          <w:szCs w:val="21"/>
          <w:highlight w:val="none"/>
          <w:u w:val="single"/>
        </w:rPr>
        <w:t xml:space="preserve">     /     </w:t>
      </w:r>
      <w:r>
        <w:rPr>
          <w:rFonts w:ascii="Arial" w:hAnsi="Arial" w:cs="Arial"/>
          <w:bCs/>
          <w:color w:val="auto"/>
          <w:szCs w:val="21"/>
          <w:highlight w:val="none"/>
        </w:rPr>
        <w:t>。</w:t>
      </w:r>
    </w:p>
    <w:p w14:paraId="20688C1B">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7</w:t>
      </w:r>
      <w:r>
        <w:rPr>
          <w:rFonts w:ascii="Arial" w:hAnsi="Arial" w:cs="Arial"/>
          <w:bCs/>
          <w:color w:val="auto"/>
          <w:szCs w:val="21"/>
          <w:highlight w:val="none"/>
        </w:rPr>
        <w:t>.1.2 对于约定的材料和工程设备，承包人应按照约定的期限，向监理人提交样品并附上任何必要的说明书、生产（制造）许可证书、出厂合格证明或者证书、出厂检测报告、性能介绍、使用说明等相关资料，同时注明材料和工程设备的供货人及品种、规格、数量和供货时间等，以供检验和审批。样品送达的地点和样品的数量或尺寸应符合监理人和发包人的要求。除合同另有约定外，承包人在报送任何样品时应按监理人同意的格式填写并递交样品报送单。监理人应及时签收样品。</w:t>
      </w:r>
    </w:p>
    <w:p w14:paraId="733E77FD">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7</w:t>
      </w:r>
      <w:r>
        <w:rPr>
          <w:rFonts w:ascii="Arial" w:hAnsi="Arial" w:cs="Arial"/>
          <w:bCs/>
          <w:color w:val="auto"/>
          <w:szCs w:val="21"/>
          <w:highlight w:val="none"/>
        </w:rPr>
        <w:t>.1.3 依法不需要招标的、以暂估价形式包括在工程量清单中的材料和工程设备，所附资料除约定的内容外，还应附上价格资料，每一类材料设备，至少应准备符合合同要求的三个产品，价格分高、中、低三档，以便监理人及发包人选择和批准。</w:t>
      </w:r>
    </w:p>
    <w:p w14:paraId="62E39510">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7</w:t>
      </w:r>
      <w:r>
        <w:rPr>
          <w:rFonts w:ascii="Arial" w:hAnsi="Arial" w:cs="Arial"/>
          <w:bCs/>
          <w:color w:val="auto"/>
          <w:szCs w:val="21"/>
          <w:highlight w:val="none"/>
        </w:rPr>
        <w:t>.1.4 得到批准后的样品由监理人负责存放。但承包人应为保存样品提供适当和固定的场所并保持适当和良好的环境条件。</w:t>
      </w:r>
    </w:p>
    <w:p w14:paraId="04FC9C46">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7</w:t>
      </w:r>
      <w:r>
        <w:rPr>
          <w:rFonts w:ascii="Arial" w:hAnsi="Arial" w:cs="Arial"/>
          <w:bCs/>
          <w:color w:val="auto"/>
          <w:szCs w:val="21"/>
          <w:highlight w:val="none"/>
        </w:rPr>
        <w:t>.1.5 提供样品和提供存放样品场所的费用由承包人承担。</w:t>
      </w:r>
    </w:p>
    <w:p w14:paraId="7E05BA92">
      <w:pPr>
        <w:pStyle w:val="42"/>
        <w:adjustRightInd w:val="0"/>
        <w:snapToGrid w:val="0"/>
        <w:spacing w:line="360" w:lineRule="auto"/>
        <w:ind w:firstLine="422" w:firstLineChars="200"/>
        <w:rPr>
          <w:rFonts w:ascii="Arial" w:hAnsi="Arial" w:cs="Arial"/>
          <w:b/>
          <w:color w:val="auto"/>
          <w:szCs w:val="21"/>
          <w:highlight w:val="none"/>
        </w:rPr>
      </w:pPr>
      <w:r>
        <w:rPr>
          <w:rFonts w:hint="eastAsia" w:ascii="Arial" w:hAnsi="Arial" w:cs="Arial"/>
          <w:b/>
          <w:color w:val="auto"/>
          <w:szCs w:val="21"/>
          <w:highlight w:val="none"/>
          <w:lang w:val="en-US" w:eastAsia="zh-CN"/>
        </w:rPr>
        <w:t>7</w:t>
      </w:r>
      <w:r>
        <w:rPr>
          <w:rFonts w:ascii="Arial" w:hAnsi="Arial" w:cs="Arial"/>
          <w:b/>
          <w:color w:val="auto"/>
          <w:szCs w:val="21"/>
          <w:highlight w:val="none"/>
        </w:rPr>
        <w:t>.2 材料代换</w:t>
      </w:r>
    </w:p>
    <w:p w14:paraId="6E6AAA92">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7</w:t>
      </w:r>
      <w:r>
        <w:rPr>
          <w:rFonts w:ascii="Arial" w:hAnsi="Arial" w:cs="Arial"/>
          <w:bCs/>
          <w:color w:val="auto"/>
          <w:szCs w:val="21"/>
          <w:highlight w:val="none"/>
        </w:rPr>
        <w:t>.2.1 如果任何后继法律、法规、规章、规范、标准和规程等禁止使用合同中约定的材料和工程设备，承包人应当按本款约定的程序使用其他替代品来实施工程或修补缺陷。监理人对使用替代品的批准以及承包人据此使用替代品不应减免合同约定的承包人的任何责任和义务。</w:t>
      </w:r>
    </w:p>
    <w:p w14:paraId="19F7A308">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7</w:t>
      </w:r>
      <w:r>
        <w:rPr>
          <w:rFonts w:ascii="Arial" w:hAnsi="Arial" w:cs="Arial"/>
          <w:bCs/>
          <w:color w:val="auto"/>
          <w:szCs w:val="21"/>
          <w:highlight w:val="none"/>
        </w:rPr>
        <w:t>.2.2 如果使用替代品，承包人应至少在被替代品按批准的进度计划用于永久工程前 56 天以书面形式通知监理人并随此通知提交下列文件：</w:t>
      </w:r>
    </w:p>
    <w:p w14:paraId="11DB0E21">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 拟被替代的合同约定的材料和工程设备的名称、数量、规格、型号、品牌、性能、价格及其他任何详细资料；</w:t>
      </w:r>
    </w:p>
    <w:p w14:paraId="62EF6E12">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(2) 拟采用的替代品的名称、数量、规格、型号、品牌、性能、价格及其他任何必要的详细资料；</w:t>
      </w:r>
    </w:p>
    <w:p w14:paraId="4241D3D5">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(3) 替代品使用的工程部位；</w:t>
      </w:r>
    </w:p>
    <w:p w14:paraId="683426C3">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(4) 采用替代品的理由和原因说明；</w:t>
      </w:r>
    </w:p>
    <w:p w14:paraId="11373482">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(5) 替代品与合同中约定的产品之间的差异以及使用替代品后可能对工程产生的任何影响；</w:t>
      </w:r>
    </w:p>
    <w:p w14:paraId="7C743037">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(6) 价格上的差异；</w:t>
      </w:r>
    </w:p>
    <w:p w14:paraId="3433144A">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(7) 监理人为做出适当的决定而随时要求承包人提供的任何其他文件。监理人在收到此类通知及上述文件后，应在 28 天内向承包人给出书面指示。如果 28 天内监理人未给出书面指示，应视为监理人和发包人已经批准使用上述替代品，承包人可以据此使用替代品。</w:t>
      </w:r>
    </w:p>
    <w:p w14:paraId="516CD915">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7</w:t>
      </w:r>
      <w:r>
        <w:rPr>
          <w:rFonts w:ascii="Arial" w:hAnsi="Arial" w:cs="Arial"/>
          <w:bCs/>
          <w:color w:val="auto"/>
          <w:szCs w:val="21"/>
          <w:highlight w:val="none"/>
        </w:rPr>
        <w:t>.2.3 任何情况下，替代品都应遵守本合同中对相关材料和工程设备的要求。</w:t>
      </w:r>
    </w:p>
    <w:p w14:paraId="7585A30E">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7</w:t>
      </w:r>
      <w:r>
        <w:rPr>
          <w:rFonts w:ascii="Arial" w:hAnsi="Arial" w:cs="Arial"/>
          <w:bCs/>
          <w:color w:val="auto"/>
          <w:szCs w:val="21"/>
          <w:highlight w:val="none"/>
        </w:rPr>
        <w:t>.2.4 如果承包人根据本条约定使用了替代品，监理人应与承包人适当协商之后并在合理的期限内确定替代材料和工程设备与合同中约定的材料和工程设备之间的价值差值，并决定：</w:t>
      </w:r>
    </w:p>
    <w:p w14:paraId="0BF4273C">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（1）如果替代材料和工程设备的价值高于合同中约定的材料和工程设备的价值，则将高出部分的价值追加到合同价格中并相应地通知承包人；</w:t>
      </w:r>
    </w:p>
    <w:p w14:paraId="78E7DB53">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（2）如果替代材料和工程设备的价值低于合同中约定的材料和工程设备的价值，则将节余部分的价值从合同价格中扣除并相应地通知承包人。</w:t>
      </w:r>
    </w:p>
    <w:p w14:paraId="7ADCEEF1">
      <w:pPr>
        <w:pStyle w:val="42"/>
        <w:adjustRightInd w:val="0"/>
        <w:snapToGrid w:val="0"/>
        <w:spacing w:line="360" w:lineRule="auto"/>
        <w:ind w:firstLine="422" w:firstLineChars="200"/>
        <w:rPr>
          <w:rFonts w:ascii="Arial" w:hAnsi="Arial" w:cs="Arial"/>
          <w:b/>
          <w:color w:val="auto"/>
          <w:szCs w:val="21"/>
          <w:highlight w:val="none"/>
        </w:rPr>
      </w:pPr>
      <w:r>
        <w:rPr>
          <w:rFonts w:hint="eastAsia" w:ascii="Arial" w:hAnsi="Arial" w:cs="Arial"/>
          <w:b/>
          <w:color w:val="auto"/>
          <w:szCs w:val="21"/>
          <w:highlight w:val="none"/>
          <w:lang w:val="en-US" w:eastAsia="zh-CN"/>
        </w:rPr>
        <w:t>8</w:t>
      </w:r>
      <w:r>
        <w:rPr>
          <w:rFonts w:ascii="Arial" w:hAnsi="Arial" w:cs="Arial"/>
          <w:b/>
          <w:color w:val="auto"/>
          <w:szCs w:val="21"/>
          <w:highlight w:val="none"/>
        </w:rPr>
        <w:t>. 进度报告和进度例会</w:t>
      </w:r>
    </w:p>
    <w:p w14:paraId="0459C81F">
      <w:pPr>
        <w:pStyle w:val="42"/>
        <w:adjustRightInd w:val="0"/>
        <w:snapToGrid w:val="0"/>
        <w:spacing w:line="360" w:lineRule="auto"/>
        <w:ind w:firstLine="422" w:firstLineChars="200"/>
        <w:rPr>
          <w:rFonts w:ascii="Arial" w:hAnsi="Arial" w:cs="Arial"/>
          <w:b/>
          <w:color w:val="auto"/>
          <w:szCs w:val="21"/>
          <w:highlight w:val="none"/>
        </w:rPr>
      </w:pPr>
      <w:r>
        <w:rPr>
          <w:rFonts w:hint="eastAsia" w:ascii="Arial" w:hAnsi="Arial" w:cs="Arial"/>
          <w:b/>
          <w:color w:val="auto"/>
          <w:szCs w:val="21"/>
          <w:highlight w:val="none"/>
          <w:lang w:val="en-US" w:eastAsia="zh-CN"/>
        </w:rPr>
        <w:t>8</w:t>
      </w:r>
      <w:r>
        <w:rPr>
          <w:rFonts w:ascii="Arial" w:hAnsi="Arial" w:cs="Arial"/>
          <w:b/>
          <w:color w:val="auto"/>
          <w:szCs w:val="21"/>
          <w:highlight w:val="none"/>
        </w:rPr>
        <w:t>.1 进度报告</w:t>
      </w:r>
    </w:p>
    <w:p w14:paraId="194A3FFD">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8</w:t>
      </w:r>
      <w:r>
        <w:rPr>
          <w:rFonts w:ascii="Arial" w:hAnsi="Arial" w:cs="Arial"/>
          <w:bCs/>
          <w:color w:val="auto"/>
          <w:szCs w:val="21"/>
          <w:highlight w:val="none"/>
        </w:rPr>
        <w:t>.1.1 施工过程中，承包人应向监理人及发包人指定的代表呈递一份每日的日进度报表、每周的周进度报表和每月的月进度报表。除非监理人同意，日进度报表应在次日上午九点前递交，周进度报表应在次周的周一上午九时前递交，月进度报表应随约定的进度付款申请单一并递交。</w:t>
      </w:r>
    </w:p>
    <w:p w14:paraId="7A442619">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8</w:t>
      </w:r>
      <w:r>
        <w:rPr>
          <w:rFonts w:ascii="Arial" w:hAnsi="Arial" w:cs="Arial"/>
          <w:bCs/>
          <w:color w:val="auto"/>
          <w:szCs w:val="21"/>
          <w:highlight w:val="none"/>
        </w:rPr>
        <w:t>.1.2 日和周进度报表的内容应至少包括每日在现场工作的技术管理人员数量、各工种技术工人和非技术工人数量、后勤人员数量、参观现场的人员数量，包括分包人人员数量；还应包括所使用的各种主要机械设备和车辆的型号、数量和台班，工作的区段，以及工程进度情况、天气情况记录、停工、质量和安全事故等特别事项说明；此外，应附上每日进场材料、物品或设备的分类汇总表、用于次日或次周的工程进度计划等。</w:t>
      </w:r>
    </w:p>
    <w:p w14:paraId="32ED4872">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8</w:t>
      </w:r>
      <w:r>
        <w:rPr>
          <w:rFonts w:ascii="Arial" w:hAnsi="Arial" w:cs="Arial"/>
          <w:bCs/>
          <w:color w:val="auto"/>
          <w:szCs w:val="21"/>
          <w:highlight w:val="none"/>
        </w:rPr>
        <w:t>.1.3 月进度报表应当反映月完成工程量和累计完成工程量（包括永久工程和临时工程）、材料实际进货、消耗和库存量、现场施工设备的投运数量和运行状况、工程设备的到货情况、劳动力数量（本月及预计未来三个月劳动力的数量）、当前影响施工进度计划的因素和采取的改进措施、进度计划调整及其说明、质量事故和质量缺陷处理</w:t>
      </w:r>
      <w:r>
        <w:rPr>
          <w:rFonts w:hint="eastAsia" w:ascii="Arial" w:hAnsi="Arial" w:cs="Arial"/>
          <w:bCs/>
          <w:color w:val="auto"/>
          <w:szCs w:val="21"/>
          <w:highlight w:val="none"/>
          <w:lang w:val="en-US" w:eastAsia="zh-CN"/>
        </w:rPr>
        <w:t>记</w:t>
      </w:r>
      <w:r>
        <w:rPr>
          <w:rFonts w:ascii="Arial" w:hAnsi="Arial" w:cs="Arial"/>
          <w:bCs/>
          <w:color w:val="auto"/>
          <w:szCs w:val="21"/>
          <w:highlight w:val="none"/>
        </w:rPr>
        <w:t>录、质量状况评价、安全施工措施计划实施情况、安全事故以及人员伤亡和财产损失情况（如果有）、环境保护措施实施和文明施工措施实施情况。</w:t>
      </w:r>
    </w:p>
    <w:p w14:paraId="4639E874">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8</w:t>
      </w:r>
      <w:r>
        <w:rPr>
          <w:rFonts w:ascii="Arial" w:hAnsi="Arial" w:cs="Arial"/>
          <w:bCs/>
          <w:color w:val="auto"/>
          <w:szCs w:val="21"/>
          <w:highlight w:val="none"/>
        </w:rPr>
        <w:t>.1.4 月进度报告还应附有一组充分显示工程形象进度的定点摄影照片。照片应当在经监理人批准的不同位置定期拍摄，每张照片都应标上相应的拍摄日期和简要文字说明，且应用经发包人和监理人批准的标准或格式装裱后呈交。</w:t>
      </w:r>
    </w:p>
    <w:p w14:paraId="2D1770B4">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8</w:t>
      </w:r>
      <w:r>
        <w:rPr>
          <w:rFonts w:ascii="Arial" w:hAnsi="Arial" w:cs="Arial"/>
          <w:bCs/>
          <w:color w:val="auto"/>
          <w:szCs w:val="21"/>
          <w:highlight w:val="none"/>
        </w:rPr>
        <w:t>.1.5 各个进度报表的格式和内容应经过监理人的审批。进度报表应如实填写，由承包人授权代表签名，并报监理人的指定代表签名确认后再行分发。</w:t>
      </w:r>
    </w:p>
    <w:p w14:paraId="42A0ADEE">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8</w:t>
      </w:r>
      <w:r>
        <w:rPr>
          <w:rFonts w:ascii="Arial" w:hAnsi="Arial" w:cs="Arial"/>
          <w:bCs/>
          <w:color w:val="auto"/>
          <w:szCs w:val="21"/>
          <w:highlight w:val="none"/>
        </w:rPr>
        <w:t>.1.6 如果监理人认为必要，进度报告和进度照片应同时以存储在磁盘或光盘中的数据文件的形式递交给发包人和监理人。数据文件采用的应用软件及其版本应经过监理人的审批。</w:t>
      </w:r>
    </w:p>
    <w:p w14:paraId="7C31A3E0">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8</w:t>
      </w:r>
      <w:r>
        <w:rPr>
          <w:rFonts w:ascii="Arial" w:hAnsi="Arial" w:cs="Arial"/>
          <w:bCs/>
          <w:color w:val="auto"/>
          <w:szCs w:val="21"/>
          <w:highlight w:val="none"/>
        </w:rPr>
        <w:t>.1.7 有关进度报告的其他要求：</w:t>
      </w:r>
      <w:r>
        <w:rPr>
          <w:rFonts w:ascii="Arial" w:hAnsi="Arial" w:cs="Arial"/>
          <w:bCs/>
          <w:color w:val="auto"/>
          <w:szCs w:val="21"/>
          <w:highlight w:val="none"/>
          <w:u w:val="single"/>
        </w:rPr>
        <w:t xml:space="preserve">     /     </w:t>
      </w:r>
      <w:r>
        <w:rPr>
          <w:rFonts w:ascii="Arial" w:hAnsi="Arial" w:cs="Arial"/>
          <w:bCs/>
          <w:color w:val="auto"/>
          <w:szCs w:val="21"/>
          <w:highlight w:val="none"/>
        </w:rPr>
        <w:t>。</w:t>
      </w:r>
    </w:p>
    <w:p w14:paraId="33201F3B">
      <w:pPr>
        <w:pStyle w:val="42"/>
        <w:adjustRightInd w:val="0"/>
        <w:snapToGrid w:val="0"/>
        <w:spacing w:line="360" w:lineRule="auto"/>
        <w:ind w:firstLine="422" w:firstLineChars="200"/>
        <w:rPr>
          <w:rFonts w:ascii="Arial" w:hAnsi="Arial" w:cs="Arial"/>
          <w:b/>
          <w:color w:val="auto"/>
          <w:szCs w:val="21"/>
          <w:highlight w:val="none"/>
        </w:rPr>
      </w:pPr>
      <w:r>
        <w:rPr>
          <w:rFonts w:hint="eastAsia" w:ascii="Arial" w:hAnsi="Arial" w:cs="Arial"/>
          <w:b/>
          <w:color w:val="auto"/>
          <w:szCs w:val="21"/>
          <w:highlight w:val="none"/>
          <w:lang w:val="en-US" w:eastAsia="zh-CN"/>
        </w:rPr>
        <w:t>8</w:t>
      </w:r>
      <w:r>
        <w:rPr>
          <w:rFonts w:ascii="Arial" w:hAnsi="Arial" w:cs="Arial"/>
          <w:b/>
          <w:color w:val="auto"/>
          <w:szCs w:val="21"/>
          <w:highlight w:val="none"/>
        </w:rPr>
        <w:t>.2 进度例会</w:t>
      </w:r>
    </w:p>
    <w:p w14:paraId="7DDC4E82">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8</w:t>
      </w:r>
      <w:r>
        <w:rPr>
          <w:rFonts w:ascii="Arial" w:hAnsi="Arial" w:cs="Arial"/>
          <w:bCs/>
          <w:color w:val="auto"/>
          <w:szCs w:val="21"/>
          <w:highlight w:val="none"/>
        </w:rPr>
        <w:t>.2.1 监理人将主持召开</w:t>
      </w:r>
      <w:r>
        <w:rPr>
          <w:rFonts w:hint="eastAsia" w:ascii="Arial" w:hAnsi="Arial" w:cs="Arial"/>
          <w:bCs/>
          <w:color w:val="auto"/>
          <w:szCs w:val="21"/>
          <w:highlight w:val="none"/>
          <w:lang w:val="en-US" w:eastAsia="zh-CN"/>
        </w:rPr>
        <w:t>由</w:t>
      </w:r>
      <w:r>
        <w:rPr>
          <w:rFonts w:ascii="Arial" w:hAnsi="Arial" w:cs="Arial"/>
          <w:bCs/>
          <w:color w:val="auto"/>
          <w:szCs w:val="21"/>
          <w:highlight w:val="none"/>
        </w:rPr>
        <w:t>发包人、承包人、独立承包人和主要分包人等与本工程建设有关各方出席的每周一次的进度例会。必要时，发包人人员可随时召集所有上述各方或其中部分单位参加的会议。承包人应保证能代表其当场作出决定的高级管理人员出席会议。</w:t>
      </w:r>
    </w:p>
    <w:p w14:paraId="086E9BCB">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8</w:t>
      </w:r>
      <w:r>
        <w:rPr>
          <w:rFonts w:ascii="Arial" w:hAnsi="Arial" w:cs="Arial"/>
          <w:bCs/>
          <w:color w:val="auto"/>
          <w:szCs w:val="21"/>
          <w:highlight w:val="none"/>
        </w:rPr>
        <w:t>.2.2进度例会的内容将涉及合同管理、进度协调和工程管理的各个方面，由监理人准备的会议议题将随会议通知在会议召开前至少 24 小时发给各参会方。</w:t>
      </w:r>
    </w:p>
    <w:p w14:paraId="04CDC219">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8</w:t>
      </w:r>
      <w:r>
        <w:rPr>
          <w:rFonts w:ascii="Arial" w:hAnsi="Arial" w:cs="Arial"/>
          <w:bCs/>
          <w:color w:val="auto"/>
          <w:szCs w:val="21"/>
          <w:highlight w:val="none"/>
        </w:rPr>
        <w:t>.2.3 监理人应当做好会议记录，并在会议结束时由与会各方签字确认。监理人应根据会议记录整理出会议纪要，并在相应会议后 24 小时内分发给出席会议的各方。会议纪要应当如实反映会议记录的内容，包括任何决定、存在的问题、责任方、有关工作的时间目标等等。各方在收到会议纪要后 24 小时内给予签字确认，如有任何异议，应将有关异议以书面形式通知监理人，由监理人与有异议一方或各方共同核对会议记录，有异议的一方或者各方对与会议记录内容一致的会议纪要必须给予签字确认，否则监理人可以用会议记录作为会议纪要。经参会各方签字认可的会议纪要对各方有合同约束力。</w:t>
      </w:r>
    </w:p>
    <w:p w14:paraId="16772DAD">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8</w:t>
      </w:r>
      <w:r>
        <w:rPr>
          <w:rFonts w:ascii="Arial" w:hAnsi="Arial" w:cs="Arial"/>
          <w:bCs/>
          <w:color w:val="auto"/>
          <w:szCs w:val="21"/>
          <w:highlight w:val="none"/>
        </w:rPr>
        <w:t>.2.4 有关进度例会的其他要求：</w:t>
      </w:r>
      <w:r>
        <w:rPr>
          <w:rFonts w:ascii="Arial" w:hAnsi="Arial" w:cs="Arial"/>
          <w:bCs/>
          <w:color w:val="auto"/>
          <w:szCs w:val="21"/>
          <w:highlight w:val="none"/>
          <w:u w:val="single"/>
        </w:rPr>
        <w:t xml:space="preserve">     /     </w:t>
      </w:r>
      <w:r>
        <w:rPr>
          <w:rFonts w:ascii="Arial" w:hAnsi="Arial" w:cs="Arial"/>
          <w:bCs/>
          <w:color w:val="auto"/>
          <w:szCs w:val="21"/>
          <w:highlight w:val="none"/>
        </w:rPr>
        <w:t>。</w:t>
      </w:r>
    </w:p>
    <w:p w14:paraId="4F4297F7">
      <w:pPr>
        <w:pStyle w:val="42"/>
        <w:adjustRightInd w:val="0"/>
        <w:snapToGrid w:val="0"/>
        <w:spacing w:line="360" w:lineRule="auto"/>
        <w:ind w:firstLine="422" w:firstLineChars="200"/>
        <w:rPr>
          <w:rFonts w:ascii="Arial" w:hAnsi="Arial" w:cs="Arial"/>
          <w:b/>
          <w:color w:val="auto"/>
          <w:szCs w:val="21"/>
          <w:highlight w:val="none"/>
        </w:rPr>
      </w:pPr>
      <w:r>
        <w:rPr>
          <w:rFonts w:hint="eastAsia" w:ascii="Arial" w:hAnsi="Arial" w:cs="Arial"/>
          <w:b/>
          <w:color w:val="auto"/>
          <w:szCs w:val="21"/>
          <w:highlight w:val="none"/>
          <w:lang w:val="en-US" w:eastAsia="zh-CN"/>
        </w:rPr>
        <w:t>9</w:t>
      </w:r>
      <w:r>
        <w:rPr>
          <w:rFonts w:ascii="Arial" w:hAnsi="Arial" w:cs="Arial"/>
          <w:b/>
          <w:color w:val="auto"/>
          <w:szCs w:val="21"/>
          <w:highlight w:val="none"/>
        </w:rPr>
        <w:t>. 试验和检验</w:t>
      </w:r>
    </w:p>
    <w:p w14:paraId="50384045">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9</w:t>
      </w:r>
      <w:r>
        <w:rPr>
          <w:rFonts w:ascii="Arial" w:hAnsi="Arial" w:cs="Arial"/>
          <w:bCs/>
          <w:color w:val="auto"/>
          <w:szCs w:val="21"/>
          <w:highlight w:val="none"/>
        </w:rPr>
        <w:t>.1 承包人应当按照工程施工验收规范和标准的规定，对用于永久工程的主要材料、半成品、成品、工程设备等进行试验和检验。</w:t>
      </w:r>
    </w:p>
    <w:p w14:paraId="1544FE70">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9</w:t>
      </w:r>
      <w:r>
        <w:rPr>
          <w:rFonts w:ascii="Arial" w:hAnsi="Arial" w:cs="Arial"/>
          <w:bCs/>
          <w:color w:val="auto"/>
          <w:szCs w:val="21"/>
          <w:highlight w:val="none"/>
        </w:rPr>
        <w:t>.2 本工程需要承包人进行试验和检验的材料、工程设备和工艺如下：按工程需要进行。监理人可以根据工程需要，指示承包人进行其他现场材料和工艺的试验和检验。</w:t>
      </w:r>
    </w:p>
    <w:p w14:paraId="436C9C2B">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9</w:t>
      </w:r>
      <w:r>
        <w:rPr>
          <w:rFonts w:ascii="Arial" w:hAnsi="Arial" w:cs="Arial"/>
          <w:bCs/>
          <w:color w:val="auto"/>
          <w:szCs w:val="21"/>
          <w:highlight w:val="none"/>
        </w:rPr>
        <w:t>.3 本工程需要由监理人和承包人共同进行试验和检验的材料、工程设备和工艺如下：按工程需要进行。</w:t>
      </w:r>
    </w:p>
    <w:p w14:paraId="6AE61672">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9</w:t>
      </w:r>
      <w:r>
        <w:rPr>
          <w:rFonts w:ascii="Arial" w:hAnsi="Arial" w:cs="Arial"/>
          <w:bCs/>
          <w:color w:val="auto"/>
          <w:szCs w:val="21"/>
          <w:highlight w:val="none"/>
        </w:rPr>
        <w:t>.4 本条上述约定需要进行检验的材料、工程设备和工艺在经过检验并获得监理人批准以前，不得用于任何永久工程。</w:t>
      </w:r>
    </w:p>
    <w:p w14:paraId="4516C767">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9</w:t>
      </w:r>
      <w:r>
        <w:rPr>
          <w:rFonts w:ascii="Arial" w:hAnsi="Arial" w:cs="Arial"/>
          <w:bCs/>
          <w:color w:val="auto"/>
          <w:szCs w:val="21"/>
          <w:highlight w:val="none"/>
        </w:rPr>
        <w:t>.5承包人应为任何材料、工程设备和工艺的检查、检测和检验提供劳务、电力、燃料、备用品、设备和仪器以及必要的协助。监理人及其任何授权人员应能够在任何时候进入现场及正在为工程制造、装配、准备材料和（或）工程设备的车间和场所进行任何必要的检查。无论这些车间和场所是否属于承包人，承包人都应提供一切便利，并协助其取得相应的权力和（或）许可。</w:t>
      </w:r>
    </w:p>
    <w:p w14:paraId="2844B55F">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9</w:t>
      </w:r>
      <w:r>
        <w:rPr>
          <w:rFonts w:ascii="Arial" w:hAnsi="Arial" w:cs="Arial"/>
          <w:bCs/>
          <w:color w:val="auto"/>
          <w:szCs w:val="21"/>
          <w:highlight w:val="none"/>
        </w:rPr>
        <w:t>.6 如果检查、检测、检验或试验的结果表明，材料、工程设备和工艺有缺陷或不符合合同约定，监理人和发包人可拒收此类材料、工程设备和工艺，并应立即通知承包人同时说明理由。承包人应立即修复上述缺陷并保证其符合合同约定。若监理人或发包人要求对此类工程设备、材料、设计或工艺重新进行检验，则此类检验应按相同条款和条件重新进行。如果此类拒收和重新检验致使发包人产生了额外费用，则此类费用应由承包人支付给发包人，或从发包人应支付给承包人的款项中扣除。</w:t>
      </w:r>
    </w:p>
    <w:p w14:paraId="425825F7">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9</w:t>
      </w:r>
      <w:r>
        <w:rPr>
          <w:rFonts w:ascii="Arial" w:hAnsi="Arial" w:cs="Arial"/>
          <w:bCs/>
          <w:color w:val="auto"/>
          <w:szCs w:val="21"/>
          <w:highlight w:val="none"/>
        </w:rPr>
        <w:t>.7 承包人应在监理人的监督下，对涉及结构安全的试块、试件以及有关材料进行现场取样，并送 发包人选定 质量检测单位进行检测。</w:t>
      </w:r>
    </w:p>
    <w:p w14:paraId="7CBE38D5">
      <w:pPr>
        <w:pStyle w:val="42"/>
        <w:adjustRightInd w:val="0"/>
        <w:snapToGrid w:val="0"/>
        <w:spacing w:line="360" w:lineRule="auto"/>
        <w:ind w:firstLine="420" w:firstLineChars="200"/>
        <w:rPr>
          <w:rFonts w:ascii="Arial" w:hAnsi="Arial" w:cs="Arial"/>
          <w:bCs/>
          <w:color w:val="auto"/>
          <w:szCs w:val="21"/>
          <w:highlight w:val="none"/>
        </w:rPr>
      </w:pPr>
      <w:r>
        <w:rPr>
          <w:rFonts w:hint="eastAsia" w:ascii="Arial" w:hAnsi="Arial" w:cs="Arial"/>
          <w:bCs/>
          <w:color w:val="auto"/>
          <w:szCs w:val="21"/>
          <w:highlight w:val="none"/>
          <w:lang w:val="en-US" w:eastAsia="zh-CN"/>
        </w:rPr>
        <w:t>9</w:t>
      </w:r>
      <w:r>
        <w:rPr>
          <w:rFonts w:ascii="Arial" w:hAnsi="Arial" w:cs="Arial"/>
          <w:bCs/>
          <w:color w:val="auto"/>
          <w:szCs w:val="21"/>
          <w:highlight w:val="none"/>
        </w:rPr>
        <w:t>.8 除合同另有约定外，承包人应负担承包范围的所有材料、工程设备和工艺检验的费用。</w:t>
      </w:r>
    </w:p>
    <w:p w14:paraId="3E025CB5">
      <w:pPr>
        <w:pStyle w:val="42"/>
        <w:adjustRightInd w:val="0"/>
        <w:snapToGrid w:val="0"/>
        <w:spacing w:line="360" w:lineRule="auto"/>
        <w:ind w:firstLine="422" w:firstLineChars="200"/>
        <w:rPr>
          <w:rFonts w:ascii="Arial" w:hAnsi="Arial" w:cs="Arial"/>
          <w:b/>
          <w:color w:val="auto"/>
          <w:szCs w:val="21"/>
          <w:highlight w:val="none"/>
        </w:rPr>
      </w:pPr>
      <w:r>
        <w:rPr>
          <w:rFonts w:ascii="Arial" w:hAnsi="Arial" w:cs="Arial"/>
          <w:b/>
          <w:color w:val="auto"/>
          <w:szCs w:val="21"/>
          <w:highlight w:val="none"/>
        </w:rPr>
        <w:t>1</w:t>
      </w:r>
      <w:r>
        <w:rPr>
          <w:rFonts w:hint="eastAsia" w:ascii="Arial" w:hAnsi="Arial" w:cs="Arial"/>
          <w:b/>
          <w:color w:val="auto"/>
          <w:szCs w:val="21"/>
          <w:highlight w:val="none"/>
          <w:lang w:val="en-US" w:eastAsia="zh-CN"/>
        </w:rPr>
        <w:t>0</w:t>
      </w:r>
      <w:r>
        <w:rPr>
          <w:rFonts w:ascii="Arial" w:hAnsi="Arial" w:cs="Arial"/>
          <w:b/>
          <w:color w:val="auto"/>
          <w:szCs w:val="21"/>
          <w:highlight w:val="none"/>
        </w:rPr>
        <w:t>. 竣工验收和工程移交</w:t>
      </w:r>
    </w:p>
    <w:p w14:paraId="5ABB07A0">
      <w:pPr>
        <w:pStyle w:val="42"/>
        <w:adjustRightInd w:val="0"/>
        <w:snapToGrid w:val="0"/>
        <w:spacing w:line="360" w:lineRule="auto"/>
        <w:ind w:firstLine="422" w:firstLineChars="200"/>
        <w:rPr>
          <w:rFonts w:ascii="Arial" w:hAnsi="Arial" w:cs="Arial"/>
          <w:b/>
          <w:color w:val="auto"/>
          <w:szCs w:val="21"/>
          <w:highlight w:val="none"/>
        </w:rPr>
      </w:pPr>
      <w:r>
        <w:rPr>
          <w:rFonts w:ascii="Arial" w:hAnsi="Arial" w:cs="Arial"/>
          <w:b/>
          <w:color w:val="auto"/>
          <w:szCs w:val="21"/>
          <w:highlight w:val="none"/>
        </w:rPr>
        <w:t>1</w:t>
      </w:r>
      <w:r>
        <w:rPr>
          <w:rFonts w:hint="eastAsia" w:ascii="Arial" w:hAnsi="Arial" w:cs="Arial"/>
          <w:b/>
          <w:color w:val="auto"/>
          <w:szCs w:val="21"/>
          <w:highlight w:val="none"/>
          <w:lang w:val="en-US" w:eastAsia="zh-CN"/>
        </w:rPr>
        <w:t>0</w:t>
      </w:r>
      <w:r>
        <w:rPr>
          <w:rFonts w:ascii="Arial" w:hAnsi="Arial" w:cs="Arial"/>
          <w:b/>
          <w:color w:val="auto"/>
          <w:szCs w:val="21"/>
          <w:highlight w:val="none"/>
        </w:rPr>
        <w:t>.1  竣工验收前的清理</w:t>
      </w:r>
    </w:p>
    <w:p w14:paraId="298EF49B">
      <w:pPr>
        <w:pStyle w:val="42"/>
        <w:adjustRightInd w:val="0"/>
        <w:snapToGrid w:val="0"/>
        <w:spacing w:line="360" w:lineRule="auto"/>
        <w:ind w:right="-475" w:rightChars="-226" w:firstLine="420" w:firstLineChars="200"/>
        <w:rPr>
          <w:rFonts w:ascii="Arial" w:hAnsi="Arial" w:cs="Arial"/>
          <w:bCs/>
          <w:color w:val="auto"/>
          <w:szCs w:val="21"/>
          <w:highlight w:val="none"/>
        </w:rPr>
      </w:pPr>
      <w:r>
        <w:rPr>
          <w:rFonts w:ascii="Arial" w:hAnsi="Arial" w:cs="Arial"/>
          <w:bCs/>
          <w:color w:val="auto"/>
          <w:szCs w:val="21"/>
          <w:highlight w:val="none"/>
        </w:rPr>
        <w:t>1</w:t>
      </w:r>
      <w:r>
        <w:rPr>
          <w:rFonts w:hint="eastAsia" w:ascii="Arial" w:hAnsi="Arial" w:cs="Arial"/>
          <w:bCs/>
          <w:color w:val="auto"/>
          <w:szCs w:val="21"/>
          <w:highlight w:val="none"/>
          <w:lang w:val="en-US" w:eastAsia="zh-CN"/>
        </w:rPr>
        <w:t>0</w:t>
      </w:r>
      <w:r>
        <w:rPr>
          <w:rFonts w:ascii="Arial" w:hAnsi="Arial" w:cs="Arial"/>
          <w:bCs/>
          <w:color w:val="auto"/>
          <w:szCs w:val="21"/>
          <w:highlight w:val="none"/>
        </w:rPr>
        <w:t>.1在向监理人提交竣工验收申请报告前，承包人应当完成竣工验收前的清理工作，包括但不限于：</w:t>
      </w:r>
    </w:p>
    <w:p w14:paraId="3658ED56">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（1）从</w:t>
      </w:r>
      <w:r>
        <w:rPr>
          <w:rFonts w:hint="eastAsia" w:ascii="Arial" w:hAnsi="Arial" w:cs="Arial"/>
          <w:bCs/>
          <w:color w:val="auto"/>
          <w:szCs w:val="21"/>
          <w:highlight w:val="none"/>
        </w:rPr>
        <w:t>管道、水井及泵站等永久工程内</w:t>
      </w:r>
      <w:r>
        <w:rPr>
          <w:rFonts w:ascii="Arial" w:hAnsi="Arial" w:cs="Arial"/>
          <w:bCs/>
          <w:color w:val="auto"/>
          <w:szCs w:val="21"/>
          <w:highlight w:val="none"/>
        </w:rPr>
        <w:t>清除所有剩余材料、杂物、垃圾等；</w:t>
      </w:r>
    </w:p>
    <w:p w14:paraId="7E96E2C0">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（2）清洗工程的所有</w:t>
      </w:r>
      <w:r>
        <w:rPr>
          <w:rFonts w:hint="eastAsia" w:ascii="Arial" w:hAnsi="Arial" w:cs="Arial"/>
          <w:bCs/>
          <w:color w:val="auto"/>
          <w:szCs w:val="21"/>
          <w:highlight w:val="none"/>
        </w:rPr>
        <w:t>桥</w:t>
      </w:r>
      <w:r>
        <w:rPr>
          <w:rFonts w:ascii="Arial" w:hAnsi="Arial" w:cs="Arial"/>
          <w:bCs/>
          <w:color w:val="auto"/>
          <w:szCs w:val="21"/>
          <w:highlight w:val="none"/>
        </w:rPr>
        <w:t>面、墙面、路面</w:t>
      </w:r>
      <w:r>
        <w:rPr>
          <w:rFonts w:hint="eastAsia" w:ascii="Arial" w:hAnsi="Arial" w:cs="Arial"/>
          <w:bCs/>
          <w:color w:val="auto"/>
          <w:szCs w:val="21"/>
          <w:highlight w:val="none"/>
        </w:rPr>
        <w:t>、人行道</w:t>
      </w:r>
      <w:r>
        <w:rPr>
          <w:rFonts w:ascii="Arial" w:hAnsi="Arial" w:cs="Arial"/>
          <w:bCs/>
          <w:color w:val="auto"/>
          <w:szCs w:val="21"/>
          <w:highlight w:val="none"/>
        </w:rPr>
        <w:t>等表面；</w:t>
      </w:r>
    </w:p>
    <w:p w14:paraId="21BA5372">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（3）修缮所有损坏、清除所有污迹、替换所有需更换的</w:t>
      </w:r>
      <w:r>
        <w:rPr>
          <w:rFonts w:hint="eastAsia" w:ascii="Arial" w:hAnsi="Arial" w:cs="Arial"/>
          <w:bCs/>
          <w:color w:val="auto"/>
          <w:szCs w:val="21"/>
          <w:highlight w:val="none"/>
        </w:rPr>
        <w:t>现场配套机电设备</w:t>
      </w:r>
      <w:r>
        <w:rPr>
          <w:rFonts w:ascii="Arial" w:hAnsi="Arial" w:cs="Arial"/>
          <w:bCs/>
          <w:color w:val="auto"/>
          <w:szCs w:val="21"/>
          <w:highlight w:val="none"/>
        </w:rPr>
        <w:t>；</w:t>
      </w:r>
    </w:p>
    <w:p w14:paraId="143CF8D9">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（4）检查和调试所有</w:t>
      </w:r>
      <w:r>
        <w:rPr>
          <w:rFonts w:hint="eastAsia" w:ascii="Arial" w:hAnsi="Arial" w:cs="Arial"/>
          <w:bCs/>
          <w:color w:val="auto"/>
          <w:szCs w:val="21"/>
          <w:highlight w:val="none"/>
        </w:rPr>
        <w:t>运行设备</w:t>
      </w:r>
      <w:r>
        <w:rPr>
          <w:rFonts w:ascii="Arial" w:hAnsi="Arial" w:cs="Arial"/>
          <w:bCs/>
          <w:color w:val="auto"/>
          <w:szCs w:val="21"/>
          <w:highlight w:val="none"/>
        </w:rPr>
        <w:t>；</w:t>
      </w:r>
    </w:p>
    <w:p w14:paraId="06FE5154">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w:t>
      </w:r>
      <w:r>
        <w:rPr>
          <w:rFonts w:hint="eastAsia" w:ascii="Arial" w:hAnsi="Arial" w:cs="Arial"/>
          <w:bCs/>
          <w:color w:val="auto"/>
          <w:szCs w:val="21"/>
          <w:highlight w:val="none"/>
          <w:lang w:val="en-US" w:eastAsia="zh-CN"/>
        </w:rPr>
        <w:t>0</w:t>
      </w:r>
      <w:r>
        <w:rPr>
          <w:rFonts w:ascii="Arial" w:hAnsi="Arial" w:cs="Arial"/>
          <w:bCs/>
          <w:color w:val="auto"/>
          <w:szCs w:val="21"/>
          <w:highlight w:val="none"/>
        </w:rPr>
        <w:t>.1.2 清理工作所需费用由承包人承担，甲方不再额外支付。</w:t>
      </w:r>
    </w:p>
    <w:p w14:paraId="1B36E9E0">
      <w:pPr>
        <w:pStyle w:val="42"/>
        <w:adjustRightInd w:val="0"/>
        <w:snapToGrid w:val="0"/>
        <w:spacing w:line="360" w:lineRule="auto"/>
        <w:ind w:firstLine="422" w:firstLineChars="200"/>
        <w:rPr>
          <w:rFonts w:ascii="Arial" w:hAnsi="Arial" w:cs="Arial"/>
          <w:b/>
          <w:color w:val="auto"/>
          <w:szCs w:val="21"/>
          <w:highlight w:val="none"/>
        </w:rPr>
      </w:pPr>
      <w:r>
        <w:rPr>
          <w:rFonts w:ascii="Arial" w:hAnsi="Arial" w:cs="Arial"/>
          <w:b/>
          <w:color w:val="auto"/>
          <w:szCs w:val="21"/>
          <w:highlight w:val="none"/>
        </w:rPr>
        <w:t>1</w:t>
      </w:r>
      <w:r>
        <w:rPr>
          <w:rFonts w:hint="eastAsia" w:ascii="Arial" w:hAnsi="Arial" w:cs="Arial"/>
          <w:b/>
          <w:color w:val="auto"/>
          <w:szCs w:val="21"/>
          <w:highlight w:val="none"/>
          <w:lang w:val="en-US" w:eastAsia="zh-CN"/>
        </w:rPr>
        <w:t>0</w:t>
      </w:r>
      <w:r>
        <w:rPr>
          <w:rFonts w:ascii="Arial" w:hAnsi="Arial" w:cs="Arial"/>
          <w:b/>
          <w:color w:val="auto"/>
          <w:szCs w:val="21"/>
          <w:highlight w:val="none"/>
        </w:rPr>
        <w:t>.2  竣工验收申请报告</w:t>
      </w:r>
    </w:p>
    <w:p w14:paraId="011D6700">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w:t>
      </w:r>
      <w:r>
        <w:rPr>
          <w:rFonts w:hint="eastAsia" w:ascii="Arial" w:hAnsi="Arial" w:cs="Arial"/>
          <w:bCs/>
          <w:color w:val="auto"/>
          <w:szCs w:val="21"/>
          <w:highlight w:val="none"/>
          <w:lang w:val="en-US" w:eastAsia="zh-CN"/>
        </w:rPr>
        <w:t>0</w:t>
      </w:r>
      <w:r>
        <w:rPr>
          <w:rFonts w:ascii="Arial" w:hAnsi="Arial" w:cs="Arial"/>
          <w:bCs/>
          <w:color w:val="auto"/>
          <w:szCs w:val="21"/>
          <w:highlight w:val="none"/>
        </w:rPr>
        <w:t>.2.1 竣工验收申请报告，也称竣工验收报告，是承包人完成合同约定的工作内容后，按照国家有关施工质量验收标准的规定，经其自行检查，证明已经完成合同工作内容并符合合同约定，达到竣工验收标准，而向监理人或发包人提交的请求发包人组织进行合同工程竣工验收的一份书面申请函，合同约定的竣工验收资料和其他文件一般作为竣工验收申请报告的附件，是竣工验收申请报告的组成部分。</w:t>
      </w:r>
    </w:p>
    <w:p w14:paraId="2C8A38C0">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w:t>
      </w:r>
      <w:r>
        <w:rPr>
          <w:rFonts w:hint="eastAsia" w:ascii="Arial" w:hAnsi="Arial" w:cs="Arial"/>
          <w:bCs/>
          <w:color w:val="auto"/>
          <w:szCs w:val="21"/>
          <w:highlight w:val="none"/>
          <w:lang w:val="en-US" w:eastAsia="zh-CN"/>
        </w:rPr>
        <w:t>0</w:t>
      </w:r>
      <w:r>
        <w:rPr>
          <w:rFonts w:ascii="Arial" w:hAnsi="Arial" w:cs="Arial"/>
          <w:bCs/>
          <w:color w:val="auto"/>
          <w:szCs w:val="21"/>
          <w:highlight w:val="none"/>
        </w:rPr>
        <w:t>.2.2 竣工验收申请报告一般应当包括工程概况说明，承包范围，分包工程情况，主要材料、设备供应情况，采用的主要施工方法，新材料、新技术和新工艺采用情况，自检质量情况等的说明。竣工验收申请报告的格式和应当包括的内容应事先经过监理人的审批。</w:t>
      </w:r>
    </w:p>
    <w:p w14:paraId="1D22CC35">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w:t>
      </w:r>
      <w:r>
        <w:rPr>
          <w:rFonts w:hint="eastAsia" w:ascii="Arial" w:hAnsi="Arial" w:cs="Arial"/>
          <w:bCs/>
          <w:color w:val="auto"/>
          <w:szCs w:val="21"/>
          <w:highlight w:val="none"/>
          <w:lang w:val="en-US" w:eastAsia="zh-CN"/>
        </w:rPr>
        <w:t>0</w:t>
      </w:r>
      <w:r>
        <w:rPr>
          <w:rFonts w:ascii="Arial" w:hAnsi="Arial" w:cs="Arial"/>
          <w:bCs/>
          <w:color w:val="auto"/>
          <w:szCs w:val="21"/>
          <w:highlight w:val="none"/>
        </w:rPr>
        <w:t>.2.3 竣工验收申请报告应当按通用合同条款附上下列内容：</w:t>
      </w:r>
    </w:p>
    <w:p w14:paraId="089DB7C4">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 承包人的自行检查和评定记录文件，即除监理人同意列入缺陷责任期内完成的尾工（甩项）工程和缺陷修补工作外，合同范围内的全部单位工程以及有关工作，包括合同要求的试验、试运行以及检验和验收均已完成，并符合合同要求；</w:t>
      </w:r>
    </w:p>
    <w:p w14:paraId="660E880F">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（2） 按合同约定的内容和份数整理的符合要求的竣工资料；</w:t>
      </w:r>
    </w:p>
    <w:p w14:paraId="3BA936E9">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（3） 按监理人的要求编制了在缺陷责任期内完成的尾工（甩项）工程和缺陷修补工作清单以及相应施工计划；</w:t>
      </w:r>
    </w:p>
    <w:p w14:paraId="4E30FC78">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（4） 监理人要求在竣工验收前应完成的其他工作的证明材料；</w:t>
      </w:r>
    </w:p>
    <w:p w14:paraId="5A780052">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（5） 监理人要求提交的竣工验收资料清单；</w:t>
      </w:r>
    </w:p>
    <w:p w14:paraId="162D198B">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（6） 单位工程竣工验收成果和结论文件；</w:t>
      </w:r>
    </w:p>
    <w:p w14:paraId="455CC983">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（7） 质量保修书；</w:t>
      </w:r>
    </w:p>
    <w:p w14:paraId="6C0A6F73">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（8） 其他：</w:t>
      </w:r>
      <w:r>
        <w:rPr>
          <w:rFonts w:ascii="Arial" w:hAnsi="Arial" w:cs="Arial"/>
          <w:bCs/>
          <w:color w:val="auto"/>
          <w:szCs w:val="21"/>
          <w:highlight w:val="none"/>
          <w:u w:val="single"/>
        </w:rPr>
        <w:t xml:space="preserve">     /     </w:t>
      </w:r>
      <w:r>
        <w:rPr>
          <w:rFonts w:ascii="Arial" w:hAnsi="Arial" w:cs="Arial"/>
          <w:bCs/>
          <w:color w:val="auto"/>
          <w:szCs w:val="21"/>
          <w:highlight w:val="none"/>
        </w:rPr>
        <w:t>。</w:t>
      </w:r>
    </w:p>
    <w:p w14:paraId="6D12E12B">
      <w:pPr>
        <w:pStyle w:val="42"/>
        <w:adjustRightInd w:val="0"/>
        <w:snapToGrid w:val="0"/>
        <w:spacing w:line="360" w:lineRule="auto"/>
        <w:ind w:firstLine="422" w:firstLineChars="200"/>
        <w:rPr>
          <w:rFonts w:ascii="Arial" w:hAnsi="Arial" w:cs="Arial"/>
          <w:b/>
          <w:color w:val="auto"/>
          <w:szCs w:val="21"/>
          <w:highlight w:val="none"/>
        </w:rPr>
      </w:pPr>
      <w:r>
        <w:rPr>
          <w:rFonts w:ascii="Arial" w:hAnsi="Arial" w:cs="Arial"/>
          <w:b/>
          <w:color w:val="auto"/>
          <w:szCs w:val="21"/>
          <w:highlight w:val="none"/>
        </w:rPr>
        <w:t>1</w:t>
      </w:r>
      <w:r>
        <w:rPr>
          <w:rFonts w:hint="eastAsia" w:ascii="Arial" w:hAnsi="Arial" w:cs="Arial"/>
          <w:b/>
          <w:color w:val="auto"/>
          <w:szCs w:val="21"/>
          <w:highlight w:val="none"/>
          <w:lang w:val="en-US" w:eastAsia="zh-CN"/>
        </w:rPr>
        <w:t>0</w:t>
      </w:r>
      <w:r>
        <w:rPr>
          <w:rFonts w:ascii="Arial" w:hAnsi="Arial" w:cs="Arial"/>
          <w:b/>
          <w:color w:val="auto"/>
          <w:szCs w:val="21"/>
          <w:highlight w:val="none"/>
        </w:rPr>
        <w:t xml:space="preserve">.3 竣工清场 </w:t>
      </w:r>
    </w:p>
    <w:p w14:paraId="4C2C00C1">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w:t>
      </w:r>
      <w:r>
        <w:rPr>
          <w:rFonts w:hint="eastAsia" w:ascii="Arial" w:hAnsi="Arial" w:cs="Arial"/>
          <w:bCs/>
          <w:color w:val="auto"/>
          <w:szCs w:val="21"/>
          <w:highlight w:val="none"/>
          <w:lang w:val="en-US" w:eastAsia="zh-CN"/>
        </w:rPr>
        <w:t>0</w:t>
      </w:r>
      <w:r>
        <w:rPr>
          <w:rFonts w:ascii="Arial" w:hAnsi="Arial" w:cs="Arial"/>
          <w:bCs/>
          <w:color w:val="auto"/>
          <w:szCs w:val="21"/>
          <w:highlight w:val="none"/>
        </w:rPr>
        <w:t xml:space="preserve">.3.1 监理人颁发（出具）工程接收证书后，承包人应在 </w:t>
      </w:r>
      <w:r>
        <w:rPr>
          <w:rFonts w:hint="eastAsia" w:ascii="Arial" w:hAnsi="Arial" w:cs="Arial"/>
          <w:bCs/>
          <w:color w:val="auto"/>
          <w:szCs w:val="21"/>
          <w:highlight w:val="none"/>
        </w:rPr>
        <w:t>30</w:t>
      </w:r>
      <w:r>
        <w:rPr>
          <w:rFonts w:ascii="Arial" w:hAnsi="Arial" w:cs="Arial"/>
          <w:bCs/>
          <w:color w:val="auto"/>
          <w:szCs w:val="21"/>
          <w:highlight w:val="none"/>
        </w:rPr>
        <w:t>天内按以下要求对施工场地（现场）进行清理：</w:t>
      </w:r>
    </w:p>
    <w:p w14:paraId="666BAE4E">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 从施工场地（现场）清除所有杂物和垃圾等；</w:t>
      </w:r>
    </w:p>
    <w:p w14:paraId="0B4B2F5B">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（2） 从施工场地现场拆除所有的临时工程和临时设施并恢复地面原状，但经监理人批准的护坡桩、锚杆、塔吊基础和无法拆除的埋入式模板等无法拆除的临时设施除外；</w:t>
      </w:r>
    </w:p>
    <w:p w14:paraId="0E82BDCE">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（3） 撤离所有承包人施工设备和剩余材料（经监理人同意需在缺陷责任期内继续使用的除外）；</w:t>
      </w:r>
    </w:p>
    <w:p w14:paraId="43DAE72B">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（4） 监理人指示的其他清场工作。</w:t>
      </w:r>
    </w:p>
    <w:p w14:paraId="27378EC0">
      <w:pPr>
        <w:pStyle w:val="42"/>
        <w:adjustRightInd w:val="0"/>
        <w:snapToGrid w:val="0"/>
        <w:spacing w:line="360" w:lineRule="auto"/>
        <w:ind w:firstLine="422" w:firstLineChars="200"/>
        <w:rPr>
          <w:rFonts w:ascii="Arial" w:hAnsi="Arial" w:cs="Arial"/>
          <w:b/>
          <w:color w:val="auto"/>
          <w:szCs w:val="21"/>
          <w:highlight w:val="none"/>
        </w:rPr>
      </w:pPr>
      <w:r>
        <w:rPr>
          <w:rFonts w:ascii="Arial" w:hAnsi="Arial" w:cs="Arial"/>
          <w:b/>
          <w:color w:val="auto"/>
          <w:szCs w:val="21"/>
          <w:highlight w:val="none"/>
        </w:rPr>
        <w:t>1</w:t>
      </w:r>
      <w:r>
        <w:rPr>
          <w:rFonts w:hint="eastAsia" w:ascii="Arial" w:hAnsi="Arial" w:cs="Arial"/>
          <w:b/>
          <w:color w:val="auto"/>
          <w:szCs w:val="21"/>
          <w:highlight w:val="none"/>
          <w:lang w:val="en-US" w:eastAsia="zh-CN"/>
        </w:rPr>
        <w:t>1</w:t>
      </w:r>
      <w:r>
        <w:rPr>
          <w:rFonts w:ascii="Arial" w:hAnsi="Arial" w:cs="Arial"/>
          <w:b/>
          <w:color w:val="auto"/>
          <w:szCs w:val="21"/>
          <w:highlight w:val="none"/>
        </w:rPr>
        <w:t>. 特殊技术要求</w:t>
      </w:r>
    </w:p>
    <w:p w14:paraId="1F393E5C">
      <w:pPr>
        <w:pStyle w:val="42"/>
        <w:adjustRightInd w:val="0"/>
        <w:snapToGrid w:val="0"/>
        <w:spacing w:line="360" w:lineRule="auto"/>
        <w:ind w:firstLine="422" w:firstLineChars="200"/>
        <w:rPr>
          <w:rFonts w:ascii="Arial" w:hAnsi="Arial" w:cs="Arial"/>
          <w:b/>
          <w:color w:val="auto"/>
          <w:szCs w:val="21"/>
          <w:highlight w:val="none"/>
        </w:rPr>
      </w:pPr>
      <w:r>
        <w:rPr>
          <w:rFonts w:ascii="Arial" w:hAnsi="Arial" w:cs="Arial"/>
          <w:b/>
          <w:color w:val="auto"/>
          <w:szCs w:val="21"/>
          <w:highlight w:val="none"/>
        </w:rPr>
        <w:t>1</w:t>
      </w:r>
      <w:r>
        <w:rPr>
          <w:rFonts w:hint="eastAsia" w:ascii="Arial" w:hAnsi="Arial" w:cs="Arial"/>
          <w:b/>
          <w:color w:val="auto"/>
          <w:szCs w:val="21"/>
          <w:highlight w:val="none"/>
          <w:lang w:val="en-US" w:eastAsia="zh-CN"/>
        </w:rPr>
        <w:t>1</w:t>
      </w:r>
      <w:r>
        <w:rPr>
          <w:rFonts w:ascii="Arial" w:hAnsi="Arial" w:cs="Arial"/>
          <w:b/>
          <w:color w:val="auto"/>
          <w:szCs w:val="21"/>
          <w:highlight w:val="none"/>
        </w:rPr>
        <w:t>.1  新技术、新工艺和新材料</w:t>
      </w:r>
    </w:p>
    <w:p w14:paraId="4B745E67">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w:t>
      </w:r>
      <w:r>
        <w:rPr>
          <w:rFonts w:hint="eastAsia" w:ascii="Arial" w:hAnsi="Arial" w:cs="Arial"/>
          <w:bCs/>
          <w:color w:val="auto"/>
          <w:szCs w:val="21"/>
          <w:highlight w:val="none"/>
          <w:lang w:val="en-US" w:eastAsia="zh-CN"/>
        </w:rPr>
        <w:t>1</w:t>
      </w:r>
      <w:r>
        <w:rPr>
          <w:rFonts w:ascii="Arial" w:hAnsi="Arial" w:cs="Arial"/>
          <w:bCs/>
          <w:color w:val="auto"/>
          <w:szCs w:val="21"/>
          <w:highlight w:val="none"/>
        </w:rPr>
        <w:t>.1.1本工程涉及的新技术、新工艺和新材料及相应使用和操作说明如下：鼓励采用有利于环境保护、绿色施工的新型</w:t>
      </w:r>
      <w:r>
        <w:rPr>
          <w:rFonts w:hint="eastAsia" w:ascii="Arial" w:hAnsi="Arial" w:cs="Arial"/>
          <w:bCs/>
          <w:color w:val="auto"/>
          <w:szCs w:val="21"/>
          <w:highlight w:val="none"/>
        </w:rPr>
        <w:t>施工</w:t>
      </w:r>
      <w:r>
        <w:rPr>
          <w:rFonts w:ascii="Arial" w:hAnsi="Arial" w:cs="Arial"/>
          <w:bCs/>
          <w:color w:val="auto"/>
          <w:szCs w:val="21"/>
          <w:highlight w:val="none"/>
        </w:rPr>
        <w:t>材料及成品综合管道支架等技术。</w:t>
      </w:r>
    </w:p>
    <w:p w14:paraId="24D1CC9D">
      <w:pPr>
        <w:pStyle w:val="42"/>
        <w:adjustRightInd w:val="0"/>
        <w:snapToGrid w:val="0"/>
        <w:spacing w:line="360" w:lineRule="auto"/>
        <w:ind w:firstLine="422" w:firstLineChars="200"/>
        <w:rPr>
          <w:rFonts w:ascii="Arial" w:hAnsi="Arial" w:cs="Arial"/>
          <w:b/>
          <w:color w:val="auto"/>
          <w:szCs w:val="21"/>
          <w:highlight w:val="none"/>
        </w:rPr>
      </w:pPr>
      <w:r>
        <w:rPr>
          <w:rFonts w:ascii="Arial" w:hAnsi="Arial" w:cs="Arial"/>
          <w:b/>
          <w:color w:val="auto"/>
          <w:szCs w:val="21"/>
          <w:highlight w:val="none"/>
        </w:rPr>
        <w:t>1</w:t>
      </w:r>
      <w:r>
        <w:rPr>
          <w:rFonts w:hint="eastAsia" w:ascii="Arial" w:hAnsi="Arial" w:cs="Arial"/>
          <w:b/>
          <w:color w:val="auto"/>
          <w:szCs w:val="21"/>
          <w:highlight w:val="none"/>
          <w:lang w:val="en-US" w:eastAsia="zh-CN"/>
        </w:rPr>
        <w:t>1</w:t>
      </w:r>
      <w:r>
        <w:rPr>
          <w:rFonts w:ascii="Arial" w:hAnsi="Arial" w:cs="Arial"/>
          <w:b/>
          <w:color w:val="auto"/>
          <w:szCs w:val="21"/>
          <w:highlight w:val="none"/>
        </w:rPr>
        <w:t>.2  安全生产信息化技术运用要求</w:t>
      </w:r>
    </w:p>
    <w:p w14:paraId="42CE7960">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w:t>
      </w:r>
      <w:r>
        <w:rPr>
          <w:rFonts w:hint="eastAsia" w:ascii="Arial" w:hAnsi="Arial" w:cs="Arial"/>
          <w:bCs/>
          <w:color w:val="auto"/>
          <w:szCs w:val="21"/>
          <w:highlight w:val="none"/>
          <w:lang w:val="en-US" w:eastAsia="zh-CN"/>
        </w:rPr>
        <w:t>1</w:t>
      </w:r>
      <w:r>
        <w:rPr>
          <w:rFonts w:ascii="Arial" w:hAnsi="Arial" w:cs="Arial"/>
          <w:bCs/>
          <w:color w:val="auto"/>
          <w:szCs w:val="21"/>
          <w:highlight w:val="none"/>
        </w:rPr>
        <w:t>.2.1 采用信息化、智能化手段进行</w:t>
      </w:r>
      <w:r>
        <w:rPr>
          <w:rFonts w:hint="eastAsia" w:ascii="Arial" w:hAnsi="Arial" w:cs="Arial"/>
          <w:bCs/>
          <w:color w:val="auto"/>
          <w:szCs w:val="21"/>
          <w:highlight w:val="none"/>
        </w:rPr>
        <w:t>现场</w:t>
      </w:r>
      <w:r>
        <w:rPr>
          <w:rFonts w:ascii="Arial" w:hAnsi="Arial" w:cs="Arial"/>
          <w:bCs/>
          <w:color w:val="auto"/>
          <w:szCs w:val="21"/>
          <w:highlight w:val="none"/>
        </w:rPr>
        <w:t>安全施工管理，包括以施工现场安全生产管理业务为核心，集成地理信息系统、移动应用系统、图像监控系统为基础，准确、快速收集、处理、存储项目情况、隐患排查、作业监查、危险源预警、应急处置、安全制度普及教育、人员、设备、物料、环境定位和检测、材料质量检测监测等。最终通过图表、仪表等形式呈现为用户终端，包括 PC 端、移动应用端等。</w:t>
      </w:r>
    </w:p>
    <w:p w14:paraId="35E441A5">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w:t>
      </w:r>
      <w:r>
        <w:rPr>
          <w:rFonts w:hint="eastAsia" w:ascii="Arial" w:hAnsi="Arial" w:cs="Arial"/>
          <w:bCs/>
          <w:color w:val="auto"/>
          <w:szCs w:val="21"/>
          <w:highlight w:val="none"/>
          <w:lang w:val="en-US" w:eastAsia="zh-CN"/>
        </w:rPr>
        <w:t>1</w:t>
      </w:r>
      <w:r>
        <w:rPr>
          <w:rFonts w:ascii="Arial" w:hAnsi="Arial" w:cs="Arial"/>
          <w:bCs/>
          <w:color w:val="auto"/>
          <w:szCs w:val="21"/>
          <w:highlight w:val="none"/>
        </w:rPr>
        <w:t>.2.2 投标文件中，投标单位需提交相应文件，反映安全生产信息化实施、应用和管理的方案和内容。</w:t>
      </w:r>
    </w:p>
    <w:p w14:paraId="2AAE60CC">
      <w:pPr>
        <w:pStyle w:val="42"/>
        <w:adjustRightInd w:val="0"/>
        <w:snapToGrid w:val="0"/>
        <w:spacing w:line="360" w:lineRule="auto"/>
        <w:ind w:firstLine="420" w:firstLineChars="200"/>
        <w:rPr>
          <w:rFonts w:ascii="Arial" w:hAnsi="Arial" w:cs="Arial"/>
          <w:bCs/>
          <w:color w:val="auto"/>
          <w:szCs w:val="21"/>
          <w:highlight w:val="none"/>
        </w:rPr>
      </w:pPr>
      <w:r>
        <w:rPr>
          <w:rFonts w:ascii="Arial" w:hAnsi="Arial" w:cs="Arial"/>
          <w:bCs/>
          <w:color w:val="auto"/>
          <w:szCs w:val="21"/>
          <w:highlight w:val="none"/>
        </w:rPr>
        <w:t>1</w:t>
      </w:r>
      <w:r>
        <w:rPr>
          <w:rFonts w:hint="eastAsia" w:ascii="Arial" w:hAnsi="Arial" w:cs="Arial"/>
          <w:bCs/>
          <w:color w:val="auto"/>
          <w:szCs w:val="21"/>
          <w:highlight w:val="none"/>
          <w:lang w:val="en-US" w:eastAsia="zh-CN"/>
        </w:rPr>
        <w:t>2</w:t>
      </w:r>
      <w:r>
        <w:rPr>
          <w:rFonts w:ascii="Arial" w:hAnsi="Arial" w:cs="Arial"/>
          <w:bCs/>
          <w:color w:val="auto"/>
          <w:szCs w:val="21"/>
          <w:highlight w:val="none"/>
        </w:rPr>
        <w:t>. 其他要求：</w:t>
      </w:r>
      <w:r>
        <w:rPr>
          <w:rFonts w:ascii="Arial" w:hAnsi="Arial" w:cs="Arial"/>
          <w:bCs/>
          <w:color w:val="auto"/>
          <w:szCs w:val="21"/>
          <w:highlight w:val="none"/>
          <w:u w:val="single"/>
        </w:rPr>
        <w:t xml:space="preserve">     /     </w:t>
      </w:r>
      <w:r>
        <w:rPr>
          <w:rFonts w:ascii="Arial" w:hAnsi="Arial" w:cs="Arial"/>
          <w:bCs/>
          <w:color w:val="auto"/>
          <w:szCs w:val="21"/>
          <w:highlight w:val="none"/>
        </w:rPr>
        <w:t>。</w:t>
      </w:r>
    </w:p>
    <w:p w14:paraId="04664F58">
      <w:pPr>
        <w:pStyle w:val="49"/>
        <w:spacing w:line="360" w:lineRule="auto"/>
        <w:rPr>
          <w:rFonts w:hint="eastAsia" w:ascii="宋体" w:hAnsi="宋体" w:cs="宋体"/>
          <w:b/>
          <w:color w:val="auto"/>
          <w:sz w:val="28"/>
          <w:szCs w:val="28"/>
          <w:highlight w:val="none"/>
        </w:rPr>
      </w:pPr>
      <w:r>
        <w:rPr>
          <w:rFonts w:hint="eastAsia" w:ascii="宋体" w:hAnsi="宋体" w:cs="宋体"/>
          <w:b/>
          <w:color w:val="auto"/>
          <w:sz w:val="28"/>
          <w:szCs w:val="28"/>
          <w:highlight w:val="none"/>
        </w:rPr>
        <w:t>五、工程管理相关要求</w:t>
      </w:r>
    </w:p>
    <w:p w14:paraId="072829B0">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1.需要进行土方外运的工程项目，中标的施工企业须在合同签订前向招标人提供渣土消纳的有效合同。中标人不能及时提供的，视作无正当理由拒绝签订合同。</w:t>
      </w:r>
    </w:p>
    <w:p w14:paraId="12A2C52E">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2.依据</w:t>
      </w:r>
      <w:r>
        <w:rPr>
          <w:rFonts w:hint="eastAsia" w:ascii="宋体" w:hAnsi="宋体" w:cs="宋体"/>
          <w:color w:val="auto"/>
          <w:highlight w:val="none"/>
          <w:lang w:val="en-US" w:eastAsia="zh-CN"/>
        </w:rPr>
        <w:t>当地</w:t>
      </w:r>
      <w:r>
        <w:rPr>
          <w:rFonts w:hint="eastAsia" w:ascii="宋体" w:hAnsi="宋体" w:cs="宋体"/>
          <w:color w:val="auto"/>
          <w:highlight w:val="none"/>
        </w:rPr>
        <w:t>相关文件要求，施工现场必须安装在线监测系统（必须包括扬尘实时监控设备）。</w:t>
      </w:r>
    </w:p>
    <w:p w14:paraId="036825DB">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4.现场施工项目部设置必须配备：1）现场人脸识别系统；2）标准会议室、招标人、监理、造价咨询机构办公室；3）工人进出健康码检查点及常备防疫物资；4）其余按省、市要求进行布置。</w:t>
      </w:r>
    </w:p>
    <w:p w14:paraId="26E02542">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5.现场临时用房需进行复试验收，规范燃气瓶使用，禁用大功率电器，设置电瓶车集中充电设施。对公共区域内的烟感、宿舍内的USB接口进行安装。定时实施消防演练。</w:t>
      </w:r>
    </w:p>
    <w:p w14:paraId="6D75DD86">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6.现场食堂应有组织的排放污水，食堂应取得餐饮服务许可证，食堂工作人员应持健康证上岗。</w:t>
      </w:r>
    </w:p>
    <w:p w14:paraId="0D55DCCF">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7.施工现场施工段内全封闭施工，并设置渣土冲洗点；余土不得堆置在红线外；裸土要进行覆盖；现场布置增加2幅4×6米效果图，并设置相关警示、告示牌、公示牌，并按招标人要求制作用于工程介绍和展示的展板、效果图等。工地现场门口道闸、联网监控、8米高杆照明灯、减速带、出入口专人管理出入口设置交通维管员，现场应配备保洁人员。</w:t>
      </w:r>
    </w:p>
    <w:p w14:paraId="05AD5202">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8.投标时须在施工方案中编制防汛应急方案及排水方案，备足应急物资，开工前需到相关部门备案，相关费用在投标报价时综合考虑，不另计取。承包人进场前，向发包人递交防汛应急预案。张贴应急场所的指示牌，确保充足的应急物资。</w:t>
      </w:r>
    </w:p>
    <w:p w14:paraId="7E53A84F">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9.桩基施工过程中，临时用电按照最高标准执行，所有桩机必须做好接地线，临时用电缆必须架空；支撑梁必须低噪音拆除，现场塔吊机等机械设备的数量必须满足现场施工要求。</w:t>
      </w:r>
    </w:p>
    <w:p w14:paraId="0B36BAA4">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10.中标人施工过程中应与电力电信管线、绿化迁移等专业施工单</w:t>
      </w:r>
      <w:r>
        <w:rPr>
          <w:rFonts w:hint="eastAsia" w:ascii="宋体" w:hAnsi="宋体" w:cs="宋体"/>
          <w:color w:val="auto"/>
          <w:highlight w:val="none"/>
          <w:lang w:eastAsia="zh-CN"/>
        </w:rPr>
        <w:t>位和</w:t>
      </w:r>
      <w:r>
        <w:rPr>
          <w:rFonts w:hint="eastAsia" w:ascii="宋体" w:hAnsi="宋体" w:cs="宋体"/>
          <w:color w:val="auto"/>
          <w:highlight w:val="none"/>
        </w:rPr>
        <w:t>交叉施工单位等密切配合，无偿提供场地条件和施工通道，确保总体项目的施工进度，各投标人充分考虑由此产生的相关配合费用，在投标报价时综合考虑，不另计取。</w:t>
      </w:r>
    </w:p>
    <w:p w14:paraId="6F789DA5">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11.中标人负责施工现场内的临时排水设施，并确保排水畅通，由于本工程施工原因而影响其</w:t>
      </w:r>
      <w:r>
        <w:rPr>
          <w:rFonts w:hint="eastAsia" w:ascii="宋体" w:hAnsi="宋体" w:cs="宋体"/>
          <w:color w:val="auto"/>
          <w:highlight w:val="none"/>
          <w:lang w:val="en-US" w:eastAsia="zh-CN"/>
        </w:rPr>
        <w:t>他</w:t>
      </w:r>
      <w:r>
        <w:rPr>
          <w:rFonts w:hint="eastAsia" w:ascii="宋体" w:hAnsi="宋体" w:cs="宋体"/>
          <w:color w:val="auto"/>
          <w:highlight w:val="none"/>
        </w:rPr>
        <w:t>单位、居民正常排水，应由本工程中标人负责。相关费用在投标报价时综合考虑，不另计取。</w:t>
      </w:r>
    </w:p>
    <w:p w14:paraId="70B99759">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12.安全文明施工：按照《营口市建筑工程施工现场文明标准》等有关规定执行，保证施工现场清洁符合环保和文明施工的有关规定。</w:t>
      </w:r>
    </w:p>
    <w:p w14:paraId="42369C14">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13.本工程</w:t>
      </w:r>
      <w:r>
        <w:rPr>
          <w:rFonts w:hint="eastAsia" w:ascii="宋体" w:hAnsi="宋体" w:cs="宋体"/>
          <w:color w:val="auto"/>
          <w:highlight w:val="none"/>
          <w:lang w:val="en-US" w:eastAsia="zh-CN"/>
        </w:rPr>
        <w:t>围挡按当地要求实施</w:t>
      </w:r>
      <w:r>
        <w:rPr>
          <w:rFonts w:hint="eastAsia" w:ascii="宋体" w:hAnsi="宋体" w:cs="宋体"/>
          <w:color w:val="auto"/>
          <w:highlight w:val="none"/>
        </w:rPr>
        <w:t>，围护的材质须固定、新的，现场围护符合围</w:t>
      </w:r>
      <w:r>
        <w:rPr>
          <w:rFonts w:hint="eastAsia" w:ascii="宋体" w:hAnsi="宋体" w:cs="宋体"/>
          <w:color w:val="auto"/>
          <w:highlight w:val="none"/>
          <w:lang w:val="en-US" w:eastAsia="zh-CN"/>
        </w:rPr>
        <w:t>挡</w:t>
      </w:r>
      <w:r>
        <w:rPr>
          <w:rFonts w:hint="eastAsia" w:ascii="宋体" w:hAnsi="宋体" w:cs="宋体"/>
          <w:color w:val="auto"/>
          <w:highlight w:val="none"/>
        </w:rPr>
        <w:t xml:space="preserve">美化的相关要求，相关费用在工程费用投标费率中考虑，已包含在合同总价内，不另行计取。 </w:t>
      </w:r>
    </w:p>
    <w:p w14:paraId="4AD2247E">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14.本项目各专业设计负责人及设计人员投标人员与实际设计人员相符，并根据招标人要求参加工地例会等相关会议。</w:t>
      </w:r>
    </w:p>
    <w:p w14:paraId="3AE62ACD">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15.本项目所有材料采购的品牌都必须经招标人同意认可后方可使用，所选材料必须达到国家规定的环保、绿色、无味要求(板材一律使用EO级、油漆涂料使用绿色环保产品)，如竣工进行室内环境检测达不到要求的，一切责任和费用由承包人承担。</w:t>
      </w:r>
    </w:p>
    <w:p w14:paraId="68A3611C">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16.中标单位及其项目负责人应符合《房屋建筑和市政基础设施项目工程总承包管理办法》（建市规【2019】12号）的相关规定，不符合的，招标人有权取消中标人资格。</w:t>
      </w:r>
    </w:p>
    <w:p w14:paraId="78BE0BD8">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17.各工种每道工序施工前必须进行各种技术交底，包括单位工程技术负责人对工长的技术交底，工长对班组长的技术交底，并有交底记录。监理、项目部将不定期对工长和班组长进行技术交底检查。</w:t>
      </w:r>
    </w:p>
    <w:p w14:paraId="444D26A7">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18.现场检查（抽查）如发现有不合格材料或不符合合同要求的材料，已用于工程的全部拆除，还未使用的作退场处理，如发现应进行二次送检的材料而未进行送检直接用于工程上，应立即停止施工，待送检合格后才可使用。</w:t>
      </w:r>
    </w:p>
    <w:p w14:paraId="498A4F3A">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19.监理、项目部检查认定不合格的分项分部工程必须返工，并追究施工单位有关人员责任及承担由此而产生的经济损失。</w:t>
      </w:r>
    </w:p>
    <w:p w14:paraId="7E12D1BC">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20.施工单位主要的分项工程在施工前必须在监理、项目部指定区域做出样板。经监理、项目部等认可并书面出具《工程施工样板确认单》后方能进行大面积施工。</w:t>
      </w:r>
    </w:p>
    <w:p w14:paraId="4833D343">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21.本着谁施工谁负责产品保护，谁损坏产品谁负责赔偿的原则，但各施工单位对成品及</w:t>
      </w:r>
      <w:r>
        <w:rPr>
          <w:rFonts w:hint="eastAsia" w:ascii="宋体" w:hAnsi="宋体" w:cs="宋体"/>
          <w:color w:val="auto"/>
          <w:highlight w:val="none"/>
          <w:lang w:eastAsia="zh-CN"/>
        </w:rPr>
        <w:t>半成品</w:t>
      </w:r>
      <w:r>
        <w:rPr>
          <w:rFonts w:hint="eastAsia" w:ascii="宋体" w:hAnsi="宋体" w:cs="宋体"/>
          <w:color w:val="auto"/>
          <w:highlight w:val="none"/>
        </w:rPr>
        <w:t>进行看管和保护有不可推卸的责任。施工单位施工完的分部、分项工程移交另一施工单位，其成品保护便由另一施工单位负责，同时移交单位负有监管的义务。涉及两家及两家以上单位时，发包方有权利进行责任界定，各承包方必须服从。</w:t>
      </w:r>
    </w:p>
    <w:p w14:paraId="656C5ACF">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22.施工作业人员进入现场必须要戴好安全帽，凡发现在施工现场不戴安全帽者，每人每次罚款人民币500元，该罚金由违规者所在单位支付。</w:t>
      </w:r>
    </w:p>
    <w:p w14:paraId="075E60C5">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23.建立健全门卫、外来人员出入登记、货物出入登记制度。本工地施工人员在现场必须佩戴证明其身份的胸卡。施工现场未经监理、项目部批准的人员一律不准住宿。</w:t>
      </w:r>
    </w:p>
    <w:p w14:paraId="60EC1FD3">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24.施工单位报送施工技术资料文件，统一采用国标标准A4号纸张，特殊情况除外（如文件附图等，但不小于A4号纸张），文件资料格式除特定外，必须按有关规定要求执行。</w:t>
      </w:r>
    </w:p>
    <w:p w14:paraId="79993BF7">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25.在工程最终验收合格之前的整个施工期内，施工单位必须制订并实施一切必要的措施，保证工程现场施工安全（包括施工单位和非施工单位的人员安全）。维护工地正常生产、生活秩序。施工单位在收到中标通知书后7天内，必须将制订的有关安全措施的书面报告项目部和监理批准。安全措施包括（但不仅限于）防洪、防火、防雷、防漏电、救护、警报、治安等。施工单位必须遵守国家颁布的有关安全规程，对于不符合我国法律、法令、安全规程</w:t>
      </w:r>
      <w:r>
        <w:rPr>
          <w:rFonts w:hint="eastAsia" w:ascii="宋体" w:hAnsi="宋体" w:cs="宋体"/>
          <w:color w:val="auto"/>
          <w:highlight w:val="none"/>
          <w:lang w:val="en-US" w:eastAsia="zh-CN"/>
        </w:rPr>
        <w:t>及</w:t>
      </w:r>
      <w:r>
        <w:rPr>
          <w:rFonts w:hint="eastAsia" w:ascii="宋体" w:hAnsi="宋体" w:cs="宋体"/>
          <w:color w:val="auto"/>
          <w:highlight w:val="none"/>
        </w:rPr>
        <w:t>本合同规定的事故隐患，项目部和监理有权进行干涉，若发生重大安全事故施工单位必须在事故发生24小时内向项目部和监理递交事故报告并对事故承担全部责任；</w:t>
      </w:r>
    </w:p>
    <w:p w14:paraId="4CFDDEF2">
      <w:pPr>
        <w:pStyle w:val="49"/>
        <w:spacing w:line="400" w:lineRule="atLeast"/>
        <w:ind w:firstLine="420" w:firstLineChars="200"/>
        <w:rPr>
          <w:rFonts w:hint="eastAsia" w:ascii="宋体" w:hAnsi="宋体" w:cs="宋体"/>
          <w:color w:val="auto"/>
          <w:highlight w:val="none"/>
        </w:rPr>
      </w:pPr>
      <w:r>
        <w:rPr>
          <w:rFonts w:hint="eastAsia" w:ascii="宋体" w:hAnsi="宋体" w:cs="宋体"/>
          <w:color w:val="auto"/>
          <w:highlight w:val="none"/>
        </w:rPr>
        <w:t>26.施工质量必须符合设计图纸和国家及当地相应的技术标准的要求，工程竣工验收必须达到相关验收规范要求；同时必须符合我司相关具体规定和要求；</w:t>
      </w:r>
    </w:p>
    <w:p w14:paraId="5049627D">
      <w:pPr>
        <w:pStyle w:val="49"/>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27.承包人不得拖欠农民工工资。承包人应严格按照政府及</w:t>
      </w:r>
      <w:r>
        <w:rPr>
          <w:rFonts w:hint="eastAsia" w:ascii="宋体" w:hAnsi="宋体" w:cs="宋体"/>
          <w:color w:val="auto"/>
          <w:highlight w:val="none"/>
          <w:lang w:val="en-US" w:eastAsia="zh-CN"/>
        </w:rPr>
        <w:t>营口</w:t>
      </w:r>
      <w:r>
        <w:rPr>
          <w:rFonts w:hint="eastAsia" w:ascii="宋体" w:hAnsi="宋体" w:cs="宋体"/>
          <w:color w:val="auto"/>
          <w:highlight w:val="none"/>
        </w:rPr>
        <w:t>市有关管理机构的关于农民工工资管理的规定进行管理。同时提交相应的农民工工资支付管理措施方案，并应组织将劳务支付凭证提交监理及发包人。如果确因承包人的原因导致农民工工资支付不及时，发包人有权要求承包人立即支付相应工资，如承包人仍未及时支付，且由于未及时处理，农民工群体上访并给发包人造成不良影响的情形，一切后果由承包人承担。</w:t>
      </w:r>
    </w:p>
    <w:p w14:paraId="0281631D">
      <w:pPr>
        <w:pStyle w:val="49"/>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28.承包人收取工程进度款的银行账户为指定银行账户，需按发包人要求。</w:t>
      </w:r>
    </w:p>
    <w:p w14:paraId="41D5005F">
      <w:pPr>
        <w:pStyle w:val="49"/>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29.所有进场材料需监理、发包人验收合格后使用。</w:t>
      </w:r>
    </w:p>
    <w:p w14:paraId="3B8FDBA7">
      <w:pPr>
        <w:pStyle w:val="49"/>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30.承包人进行分包单笔金额超过400万需上报发包人内部招标手续。</w:t>
      </w:r>
    </w:p>
    <w:p w14:paraId="2A6E1D13">
      <w:pPr>
        <w:pStyle w:val="46"/>
        <w:widowControl/>
        <w:spacing w:line="360" w:lineRule="auto"/>
        <w:ind w:firstLine="420" w:firstLineChars="200"/>
        <w:jc w:val="left"/>
        <w:rPr>
          <w:color w:val="auto"/>
          <w:highlight w:val="none"/>
        </w:rPr>
      </w:pPr>
      <w:r>
        <w:rPr>
          <w:rFonts w:hint="eastAsia" w:ascii="宋体" w:hAnsi="宋体" w:eastAsia="宋体" w:cs="宋体"/>
          <w:color w:val="auto"/>
          <w:kern w:val="2"/>
          <w:sz w:val="21"/>
          <w:szCs w:val="22"/>
          <w:highlight w:val="none"/>
          <w:lang w:val="en-US" w:eastAsia="zh-CN" w:bidi="ar-SA"/>
        </w:rPr>
        <w:t>31.未经图纸会审的图纸不允许使用。</w:t>
      </w:r>
    </w:p>
    <w:p w14:paraId="28440086">
      <w:pPr>
        <w:rPr>
          <w:rFonts w:hint="eastAsia"/>
          <w:b/>
          <w:color w:val="auto"/>
          <w:sz w:val="30"/>
          <w:szCs w:val="30"/>
          <w:highlight w:val="none"/>
        </w:rPr>
      </w:pPr>
      <w:r>
        <w:rPr>
          <w:rFonts w:hint="eastAsia"/>
          <w:b/>
          <w:color w:val="auto"/>
          <w:sz w:val="30"/>
          <w:szCs w:val="30"/>
          <w:highlight w:val="none"/>
        </w:rPr>
        <w:br w:type="page"/>
      </w:r>
    </w:p>
    <w:p w14:paraId="418CCDD0">
      <w:pPr>
        <w:rPr>
          <w:rFonts w:hint="eastAsia"/>
          <w:color w:val="auto"/>
          <w:highlight w:val="none"/>
        </w:rPr>
      </w:pPr>
      <w:bookmarkStart w:id="2262" w:name="_Toc152264764"/>
      <w:bookmarkStart w:id="2263" w:name="_Toc256000198"/>
    </w:p>
    <w:p w14:paraId="0E0D97EC">
      <w:pPr>
        <w:rPr>
          <w:rFonts w:hint="eastAsia"/>
          <w:color w:val="auto"/>
          <w:highlight w:val="none"/>
        </w:rPr>
      </w:pPr>
    </w:p>
    <w:p w14:paraId="2E97E953">
      <w:pPr>
        <w:rPr>
          <w:rFonts w:hint="eastAsia"/>
          <w:color w:val="auto"/>
          <w:highlight w:val="none"/>
        </w:rPr>
      </w:pPr>
    </w:p>
    <w:p w14:paraId="1294F55B">
      <w:pPr>
        <w:rPr>
          <w:rFonts w:hint="eastAsia"/>
          <w:color w:val="auto"/>
          <w:highlight w:val="none"/>
        </w:rPr>
      </w:pPr>
    </w:p>
    <w:p w14:paraId="5568B022">
      <w:pPr>
        <w:rPr>
          <w:rFonts w:hint="eastAsia"/>
          <w:color w:val="auto"/>
          <w:highlight w:val="none"/>
        </w:rPr>
      </w:pPr>
    </w:p>
    <w:p w14:paraId="466ACA0F">
      <w:pPr>
        <w:rPr>
          <w:rFonts w:hint="eastAsia"/>
          <w:color w:val="auto"/>
          <w:highlight w:val="none"/>
        </w:rPr>
      </w:pPr>
    </w:p>
    <w:p w14:paraId="013B2743">
      <w:pPr>
        <w:rPr>
          <w:rFonts w:hint="eastAsia"/>
          <w:color w:val="auto"/>
          <w:highlight w:val="none"/>
        </w:rPr>
      </w:pPr>
    </w:p>
    <w:p w14:paraId="7BFDF4F8">
      <w:pPr>
        <w:rPr>
          <w:rFonts w:hint="eastAsia"/>
          <w:color w:val="auto"/>
          <w:highlight w:val="none"/>
        </w:rPr>
      </w:pPr>
    </w:p>
    <w:p w14:paraId="7F00F223">
      <w:pPr>
        <w:rPr>
          <w:rFonts w:hint="eastAsia"/>
          <w:color w:val="auto"/>
          <w:highlight w:val="none"/>
        </w:rPr>
      </w:pPr>
    </w:p>
    <w:p w14:paraId="48BBF16F">
      <w:pPr>
        <w:rPr>
          <w:rFonts w:hint="eastAsia"/>
          <w:color w:val="auto"/>
          <w:highlight w:val="none"/>
        </w:rPr>
      </w:pPr>
    </w:p>
    <w:p w14:paraId="36A7EC29">
      <w:pPr>
        <w:rPr>
          <w:rFonts w:hint="eastAsia"/>
          <w:color w:val="auto"/>
          <w:highlight w:val="none"/>
        </w:rPr>
      </w:pPr>
    </w:p>
    <w:p w14:paraId="4F87C2A8">
      <w:pPr>
        <w:rPr>
          <w:rFonts w:hint="eastAsia"/>
          <w:color w:val="auto"/>
          <w:highlight w:val="none"/>
        </w:rPr>
      </w:pPr>
    </w:p>
    <w:p w14:paraId="6092AD11">
      <w:pPr>
        <w:rPr>
          <w:rFonts w:hint="eastAsia"/>
          <w:color w:val="auto"/>
          <w:highlight w:val="none"/>
        </w:rPr>
      </w:pPr>
    </w:p>
    <w:p w14:paraId="666C3D49">
      <w:pPr>
        <w:rPr>
          <w:rFonts w:hint="eastAsia"/>
          <w:color w:val="auto"/>
          <w:highlight w:val="none"/>
        </w:rPr>
      </w:pPr>
    </w:p>
    <w:p w14:paraId="21417E5A">
      <w:pPr>
        <w:rPr>
          <w:rFonts w:hint="eastAsia"/>
          <w:color w:val="auto"/>
          <w:highlight w:val="none"/>
        </w:rPr>
      </w:pPr>
    </w:p>
    <w:p w14:paraId="69DBD90D">
      <w:pPr>
        <w:pStyle w:val="2"/>
        <w:spacing w:before="120" w:after="120" w:line="400" w:lineRule="exact"/>
        <w:jc w:val="center"/>
        <w:rPr>
          <w:rFonts w:hint="default" w:ascii="黑体" w:hAnsi="黑体" w:eastAsia="黑体"/>
          <w:b w:val="0"/>
          <w:bCs w:val="0"/>
          <w:color w:val="auto"/>
          <w:sz w:val="32"/>
          <w:highlight w:val="none"/>
          <w:lang w:val="en-US" w:eastAsia="zh-CN"/>
        </w:rPr>
      </w:pPr>
      <w:bookmarkStart w:id="2264" w:name="_Toc579"/>
      <w:r>
        <w:rPr>
          <w:rFonts w:hint="eastAsia" w:ascii="黑体" w:hAnsi="黑体" w:eastAsia="黑体"/>
          <w:b w:val="0"/>
          <w:bCs w:val="0"/>
          <w:color w:val="auto"/>
          <w:sz w:val="32"/>
          <w:highlight w:val="none"/>
        </w:rPr>
        <w:t>第</w:t>
      </w:r>
      <w:r>
        <w:rPr>
          <w:rFonts w:hint="eastAsia" w:ascii="黑体" w:hAnsi="黑体" w:eastAsia="黑体"/>
          <w:b w:val="0"/>
          <w:bCs w:val="0"/>
          <w:color w:val="auto"/>
          <w:sz w:val="32"/>
          <w:highlight w:val="none"/>
          <w:lang w:val="en-US" w:eastAsia="zh-CN"/>
        </w:rPr>
        <w:t>六</w:t>
      </w:r>
      <w:r>
        <w:rPr>
          <w:rFonts w:hint="eastAsia" w:ascii="黑体" w:hAnsi="黑体" w:eastAsia="黑体"/>
          <w:b w:val="0"/>
          <w:bCs w:val="0"/>
          <w:color w:val="auto"/>
          <w:sz w:val="32"/>
          <w:highlight w:val="none"/>
        </w:rPr>
        <w:t xml:space="preserve">章  </w:t>
      </w:r>
      <w:bookmarkEnd w:id="2262"/>
      <w:r>
        <w:rPr>
          <w:rFonts w:hint="eastAsia" w:ascii="黑体" w:hAnsi="黑体" w:eastAsia="黑体"/>
          <w:b w:val="0"/>
          <w:bCs w:val="0"/>
          <w:color w:val="auto"/>
          <w:sz w:val="32"/>
          <w:highlight w:val="none"/>
          <w:lang w:val="en-US" w:eastAsia="zh-CN"/>
        </w:rPr>
        <w:t>发包人提供的材料</w:t>
      </w:r>
      <w:bookmarkEnd w:id="2263"/>
      <w:bookmarkEnd w:id="2264"/>
    </w:p>
    <w:p w14:paraId="460871FA">
      <w:pPr>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0310C6B">
      <w:pPr>
        <w:keepNext w:val="0"/>
        <w:keepLines w:val="0"/>
        <w:pageBreakBefore w:val="0"/>
        <w:kinsoku/>
        <w:wordWrap/>
        <w:overflowPunct/>
        <w:topLinePunct w:val="0"/>
        <w:bidi w:val="0"/>
        <w:spacing w:line="360" w:lineRule="auto"/>
        <w:jc w:val="center"/>
        <w:textAlignment w:val="auto"/>
        <w:rPr>
          <w:rFonts w:hint="eastAsia"/>
          <w:b/>
          <w:bCs/>
          <w:color w:val="auto"/>
          <w:sz w:val="30"/>
          <w:szCs w:val="30"/>
          <w:highlight w:val="none"/>
          <w:u w:val="none"/>
        </w:rPr>
      </w:pPr>
      <w:r>
        <w:rPr>
          <w:rFonts w:hint="eastAsia"/>
          <w:b/>
          <w:bCs/>
          <w:color w:val="auto"/>
          <w:sz w:val="30"/>
          <w:szCs w:val="30"/>
          <w:highlight w:val="none"/>
          <w:u w:val="none"/>
          <w:lang w:val="en-US" w:eastAsia="zh-CN"/>
        </w:rPr>
        <w:t>发包人提供的资料</w:t>
      </w:r>
    </w:p>
    <w:p w14:paraId="407E660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b/>
          <w:bCs/>
          <w:color w:val="auto"/>
          <w:sz w:val="21"/>
          <w:szCs w:val="21"/>
          <w:highlight w:val="none"/>
        </w:rPr>
      </w:pPr>
      <w:r>
        <w:rPr>
          <w:rFonts w:hint="eastAsia"/>
          <w:color w:val="auto"/>
          <w:highlight w:val="none"/>
        </w:rPr>
        <w:t>投标人下载招标文件后，法定代表人或授权委托人应持</w:t>
      </w:r>
      <w:r>
        <w:rPr>
          <w:rFonts w:hint="eastAsia"/>
          <w:color w:val="auto"/>
          <w:highlight w:val="none"/>
          <w:lang w:val="en-US" w:eastAsia="zh-CN"/>
        </w:rPr>
        <w:t>下载招标文件证明资料</w:t>
      </w:r>
      <w:r>
        <w:rPr>
          <w:rFonts w:hint="eastAsia"/>
          <w:color w:val="auto"/>
          <w:highlight w:val="none"/>
        </w:rPr>
        <w:t>到招标</w:t>
      </w:r>
      <w:r>
        <w:rPr>
          <w:rFonts w:hint="eastAsia"/>
          <w:color w:val="auto"/>
          <w:highlight w:val="none"/>
          <w:lang w:val="en-US" w:eastAsia="zh-CN"/>
        </w:rPr>
        <w:t>代理</w:t>
      </w:r>
      <w:r>
        <w:rPr>
          <w:rFonts w:hint="eastAsia"/>
          <w:color w:val="auto"/>
          <w:highlight w:val="none"/>
        </w:rPr>
        <w:t>人单位处借阅《</w:t>
      </w:r>
      <w:r>
        <w:rPr>
          <w:rFonts w:hint="eastAsia"/>
          <w:color w:val="auto"/>
          <w:highlight w:val="none"/>
          <w:lang w:eastAsia="zh-CN"/>
        </w:rPr>
        <w:t>中济智造产业基础设施配套项目一期可行性研究报告</w:t>
      </w:r>
      <w:r>
        <w:rPr>
          <w:rFonts w:hint="eastAsia"/>
          <w:color w:val="auto"/>
          <w:highlight w:val="none"/>
        </w:rPr>
        <w:t>》等资料，押金 500元/套，因本项目涉及商业秘密</w:t>
      </w:r>
      <w:r>
        <w:rPr>
          <w:rFonts w:hint="eastAsia"/>
          <w:color w:val="auto"/>
          <w:highlight w:val="none"/>
          <w:lang w:eastAsia="zh-CN"/>
        </w:rPr>
        <w:t>，</w:t>
      </w:r>
      <w:r>
        <w:rPr>
          <w:rFonts w:hint="eastAsia"/>
          <w:color w:val="auto"/>
          <w:highlight w:val="none"/>
        </w:rPr>
        <w:t>同时现场签订保密协议。如投标人因未借阅《</w:t>
      </w:r>
      <w:r>
        <w:rPr>
          <w:rFonts w:hint="eastAsia"/>
          <w:color w:val="auto"/>
          <w:highlight w:val="none"/>
          <w:lang w:eastAsia="zh-CN"/>
        </w:rPr>
        <w:t>中济智造产业基础设施配套项目一期可行性研究报告</w:t>
      </w:r>
      <w:r>
        <w:rPr>
          <w:rFonts w:hint="eastAsia"/>
          <w:color w:val="auto"/>
          <w:highlight w:val="none"/>
        </w:rPr>
        <w:t>》等资料，而造成的承包人建议书未通过评审的后果由投标人自行承担</w:t>
      </w:r>
      <w:r>
        <w:rPr>
          <w:rFonts w:hint="eastAsia"/>
          <w:color w:val="auto"/>
          <w:highlight w:val="none"/>
          <w:lang w:eastAsia="zh-CN"/>
        </w:rPr>
        <w:t>。</w:t>
      </w:r>
      <w:r>
        <w:rPr>
          <w:rFonts w:hint="eastAsia"/>
          <w:color w:val="auto"/>
          <w:highlight w:val="none"/>
          <w:lang w:val="en-US" w:eastAsia="zh-CN"/>
        </w:rPr>
        <w:t>准备领取相关资料的投标人应于2025年*月*日14时前通知招标代理人，以便招标代理人准备相关资料，并于次日16时前到招标代理人处领取。</w:t>
      </w:r>
    </w:p>
    <w:p w14:paraId="77101837">
      <w:pPr>
        <w:rPr>
          <w:rFonts w:hint="eastAsia"/>
          <w:color w:val="auto"/>
          <w:highlight w:val="none"/>
        </w:rPr>
      </w:pPr>
      <w:bookmarkStart w:id="2265" w:name="_Toc256000199"/>
      <w:bookmarkStart w:id="2266" w:name="_Toc122603041"/>
    </w:p>
    <w:p w14:paraId="707D7680">
      <w:pPr>
        <w:rPr>
          <w:rFonts w:hint="eastAsia"/>
          <w:color w:val="auto"/>
          <w:highlight w:val="none"/>
        </w:rPr>
      </w:pPr>
    </w:p>
    <w:p w14:paraId="5C82DC10">
      <w:pPr>
        <w:rPr>
          <w:rFonts w:hint="eastAsia"/>
          <w:color w:val="auto"/>
          <w:highlight w:val="none"/>
        </w:rPr>
      </w:pPr>
    </w:p>
    <w:p w14:paraId="0EF242AC">
      <w:pPr>
        <w:rPr>
          <w:rFonts w:hint="eastAsia"/>
          <w:color w:val="auto"/>
          <w:highlight w:val="none"/>
        </w:rPr>
      </w:pPr>
    </w:p>
    <w:p w14:paraId="09CB7B96">
      <w:pPr>
        <w:rPr>
          <w:rFonts w:hint="eastAsia"/>
          <w:color w:val="auto"/>
          <w:highlight w:val="none"/>
        </w:rPr>
      </w:pPr>
    </w:p>
    <w:p w14:paraId="43546179">
      <w:pPr>
        <w:rPr>
          <w:rFonts w:hint="eastAsia"/>
          <w:color w:val="auto"/>
          <w:highlight w:val="none"/>
        </w:rPr>
      </w:pPr>
    </w:p>
    <w:p w14:paraId="00D9CBFD">
      <w:pPr>
        <w:rPr>
          <w:rFonts w:hint="eastAsia"/>
          <w:color w:val="auto"/>
          <w:highlight w:val="none"/>
        </w:rPr>
      </w:pPr>
    </w:p>
    <w:p w14:paraId="75D18609">
      <w:pPr>
        <w:rPr>
          <w:rFonts w:hint="eastAsia"/>
          <w:color w:val="auto"/>
          <w:highlight w:val="none"/>
        </w:rPr>
      </w:pPr>
    </w:p>
    <w:p w14:paraId="29649B09">
      <w:pPr>
        <w:rPr>
          <w:rFonts w:hint="eastAsia"/>
          <w:color w:val="auto"/>
          <w:highlight w:val="none"/>
        </w:rPr>
      </w:pPr>
    </w:p>
    <w:p w14:paraId="5804B6F2">
      <w:pPr>
        <w:rPr>
          <w:rFonts w:hint="eastAsia"/>
          <w:color w:val="auto"/>
          <w:highlight w:val="none"/>
        </w:rPr>
      </w:pPr>
    </w:p>
    <w:p w14:paraId="2B472A7F">
      <w:pPr>
        <w:rPr>
          <w:rFonts w:hint="eastAsia"/>
          <w:color w:val="auto"/>
          <w:highlight w:val="none"/>
        </w:rPr>
      </w:pPr>
    </w:p>
    <w:p w14:paraId="0FBC089A">
      <w:pPr>
        <w:rPr>
          <w:rFonts w:hint="eastAsia"/>
          <w:color w:val="auto"/>
          <w:highlight w:val="none"/>
        </w:rPr>
      </w:pPr>
    </w:p>
    <w:p w14:paraId="6B0237CD">
      <w:pPr>
        <w:rPr>
          <w:rFonts w:hint="eastAsia"/>
          <w:color w:val="auto"/>
          <w:highlight w:val="none"/>
        </w:rPr>
      </w:pPr>
    </w:p>
    <w:p w14:paraId="3627873A">
      <w:pPr>
        <w:rPr>
          <w:rFonts w:hint="eastAsia"/>
          <w:color w:val="auto"/>
          <w:highlight w:val="none"/>
        </w:rPr>
      </w:pPr>
    </w:p>
    <w:p w14:paraId="28DA7706">
      <w:pPr>
        <w:rPr>
          <w:rFonts w:hint="eastAsia"/>
          <w:color w:val="auto"/>
          <w:highlight w:val="none"/>
        </w:rPr>
      </w:pPr>
    </w:p>
    <w:p w14:paraId="30E01D32">
      <w:pPr>
        <w:rPr>
          <w:rFonts w:hint="eastAsia" w:ascii="黑体" w:hAnsi="黑体" w:eastAsia="黑体"/>
          <w:b w:val="0"/>
          <w:bCs w:val="0"/>
          <w:color w:val="auto"/>
          <w:sz w:val="48"/>
          <w:szCs w:val="48"/>
          <w:highlight w:val="none"/>
        </w:rPr>
      </w:pPr>
      <w:r>
        <w:rPr>
          <w:rFonts w:hint="eastAsia" w:ascii="黑体" w:hAnsi="黑体" w:eastAsia="黑体"/>
          <w:b w:val="0"/>
          <w:bCs w:val="0"/>
          <w:color w:val="auto"/>
          <w:sz w:val="48"/>
          <w:szCs w:val="48"/>
          <w:highlight w:val="none"/>
        </w:rPr>
        <w:br w:type="page"/>
      </w:r>
    </w:p>
    <w:p w14:paraId="5E3BB22A">
      <w:pPr>
        <w:pStyle w:val="2"/>
        <w:spacing w:before="120" w:after="120" w:line="400" w:lineRule="exact"/>
        <w:jc w:val="center"/>
        <w:rPr>
          <w:rFonts w:hint="eastAsia" w:ascii="黑体" w:hAnsi="黑体" w:eastAsia="黑体"/>
          <w:b w:val="0"/>
          <w:bCs w:val="0"/>
          <w:color w:val="auto"/>
          <w:sz w:val="48"/>
          <w:szCs w:val="48"/>
          <w:highlight w:val="none"/>
        </w:rPr>
      </w:pPr>
    </w:p>
    <w:p w14:paraId="044BA4E7">
      <w:pPr>
        <w:pStyle w:val="2"/>
        <w:spacing w:before="120" w:after="120" w:line="400" w:lineRule="exact"/>
        <w:jc w:val="center"/>
        <w:rPr>
          <w:rFonts w:hint="eastAsia" w:ascii="黑体" w:hAnsi="黑体" w:eastAsia="黑体"/>
          <w:b w:val="0"/>
          <w:bCs w:val="0"/>
          <w:color w:val="auto"/>
          <w:sz w:val="48"/>
          <w:szCs w:val="48"/>
          <w:highlight w:val="none"/>
        </w:rPr>
      </w:pPr>
    </w:p>
    <w:p w14:paraId="361B4D5E">
      <w:pPr>
        <w:pStyle w:val="2"/>
        <w:spacing w:before="120" w:after="120" w:line="400" w:lineRule="exact"/>
        <w:jc w:val="center"/>
        <w:rPr>
          <w:rFonts w:hint="eastAsia" w:ascii="黑体" w:hAnsi="黑体" w:eastAsia="黑体"/>
          <w:b w:val="0"/>
          <w:bCs w:val="0"/>
          <w:color w:val="auto"/>
          <w:sz w:val="48"/>
          <w:szCs w:val="48"/>
          <w:highlight w:val="none"/>
        </w:rPr>
      </w:pPr>
    </w:p>
    <w:p w14:paraId="2E98EB3F">
      <w:pPr>
        <w:pStyle w:val="2"/>
        <w:keepNext/>
        <w:keepLines/>
        <w:pageBreakBefore w:val="0"/>
        <w:widowControl w:val="0"/>
        <w:kinsoku/>
        <w:wordWrap/>
        <w:overflowPunct/>
        <w:topLinePunct w:val="0"/>
        <w:autoSpaceDE/>
        <w:autoSpaceDN/>
        <w:bidi w:val="0"/>
        <w:adjustRightInd/>
        <w:snapToGrid/>
        <w:spacing w:before="120" w:after="120" w:line="600" w:lineRule="exact"/>
        <w:jc w:val="center"/>
        <w:textAlignment w:val="auto"/>
        <w:rPr>
          <w:rFonts w:hint="eastAsia" w:ascii="黑体" w:hAnsi="黑体" w:eastAsia="黑体"/>
          <w:b w:val="0"/>
          <w:bCs w:val="0"/>
          <w:color w:val="auto"/>
          <w:sz w:val="48"/>
          <w:szCs w:val="48"/>
          <w:highlight w:val="none"/>
        </w:rPr>
      </w:pPr>
      <w:bookmarkStart w:id="2267" w:name="_Toc6079"/>
      <w:r>
        <w:rPr>
          <w:rFonts w:hint="eastAsia" w:ascii="黑体" w:hAnsi="黑体" w:eastAsia="黑体"/>
          <w:b w:val="0"/>
          <w:bCs w:val="0"/>
          <w:color w:val="auto"/>
          <w:sz w:val="48"/>
          <w:szCs w:val="48"/>
          <w:highlight w:val="none"/>
        </w:rPr>
        <w:t>第三卷</w:t>
      </w:r>
      <w:bookmarkEnd w:id="2265"/>
      <w:bookmarkEnd w:id="2266"/>
      <w:bookmarkEnd w:id="2267"/>
    </w:p>
    <w:p w14:paraId="35F89576">
      <w:pPr>
        <w:jc w:val="center"/>
        <w:rPr>
          <w:rFonts w:hint="eastAsia" w:ascii="黑体" w:eastAsia="黑体"/>
          <w:color w:val="auto"/>
          <w:sz w:val="32"/>
          <w:szCs w:val="32"/>
          <w:highlight w:val="none"/>
        </w:rPr>
      </w:pPr>
    </w:p>
    <w:p w14:paraId="7F3A39C5">
      <w:pPr>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6E49162">
      <w:pPr>
        <w:rPr>
          <w:rFonts w:hint="eastAsia"/>
          <w:color w:val="auto"/>
          <w:highlight w:val="none"/>
        </w:rPr>
      </w:pPr>
      <w:bookmarkStart w:id="2268" w:name="_Toc256000200"/>
    </w:p>
    <w:p w14:paraId="4FE13545">
      <w:pPr>
        <w:rPr>
          <w:rFonts w:hint="eastAsia"/>
          <w:color w:val="auto"/>
          <w:highlight w:val="none"/>
        </w:rPr>
      </w:pPr>
    </w:p>
    <w:p w14:paraId="536DF79D">
      <w:pPr>
        <w:rPr>
          <w:rFonts w:hint="eastAsia"/>
          <w:color w:val="auto"/>
          <w:highlight w:val="none"/>
        </w:rPr>
      </w:pPr>
    </w:p>
    <w:p w14:paraId="25E6F3D6">
      <w:pPr>
        <w:rPr>
          <w:rFonts w:hint="eastAsia"/>
          <w:color w:val="auto"/>
          <w:highlight w:val="none"/>
        </w:rPr>
      </w:pPr>
    </w:p>
    <w:p w14:paraId="565D6BEA">
      <w:pPr>
        <w:rPr>
          <w:rFonts w:hint="eastAsia"/>
          <w:color w:val="auto"/>
          <w:highlight w:val="none"/>
        </w:rPr>
      </w:pPr>
    </w:p>
    <w:p w14:paraId="0D5F9D2F">
      <w:pPr>
        <w:rPr>
          <w:rFonts w:hint="eastAsia"/>
          <w:color w:val="auto"/>
          <w:highlight w:val="none"/>
        </w:rPr>
      </w:pPr>
    </w:p>
    <w:p w14:paraId="3C2F85B9">
      <w:pPr>
        <w:rPr>
          <w:rFonts w:hint="eastAsia"/>
          <w:color w:val="auto"/>
          <w:highlight w:val="none"/>
        </w:rPr>
      </w:pPr>
    </w:p>
    <w:p w14:paraId="4809678B">
      <w:pPr>
        <w:rPr>
          <w:rFonts w:hint="eastAsia"/>
          <w:color w:val="auto"/>
          <w:highlight w:val="none"/>
        </w:rPr>
      </w:pPr>
    </w:p>
    <w:p w14:paraId="127B8A22">
      <w:pPr>
        <w:rPr>
          <w:rFonts w:hint="eastAsia"/>
          <w:color w:val="auto"/>
          <w:highlight w:val="none"/>
        </w:rPr>
      </w:pPr>
    </w:p>
    <w:p w14:paraId="15C1E648">
      <w:pPr>
        <w:rPr>
          <w:rFonts w:hint="eastAsia"/>
          <w:color w:val="auto"/>
          <w:highlight w:val="none"/>
        </w:rPr>
      </w:pPr>
    </w:p>
    <w:p w14:paraId="0230FB57">
      <w:pPr>
        <w:rPr>
          <w:rFonts w:hint="eastAsia"/>
          <w:color w:val="auto"/>
          <w:highlight w:val="none"/>
        </w:rPr>
      </w:pPr>
    </w:p>
    <w:p w14:paraId="177D476B">
      <w:pPr>
        <w:rPr>
          <w:rFonts w:hint="eastAsia"/>
          <w:color w:val="auto"/>
          <w:highlight w:val="none"/>
        </w:rPr>
      </w:pPr>
    </w:p>
    <w:p w14:paraId="31834E05">
      <w:pPr>
        <w:rPr>
          <w:rFonts w:hint="eastAsia"/>
          <w:color w:val="auto"/>
          <w:highlight w:val="none"/>
        </w:rPr>
      </w:pPr>
    </w:p>
    <w:p w14:paraId="7C9E8F5A">
      <w:pPr>
        <w:rPr>
          <w:rFonts w:hint="eastAsia"/>
          <w:color w:val="auto"/>
          <w:highlight w:val="none"/>
        </w:rPr>
      </w:pPr>
    </w:p>
    <w:p w14:paraId="61E3B410">
      <w:pPr>
        <w:rPr>
          <w:rFonts w:hint="eastAsia"/>
          <w:color w:val="auto"/>
          <w:highlight w:val="none"/>
        </w:rPr>
      </w:pPr>
    </w:p>
    <w:p w14:paraId="1F298DAD">
      <w:pPr>
        <w:rPr>
          <w:rFonts w:hint="eastAsia"/>
          <w:color w:val="auto"/>
          <w:highlight w:val="none"/>
        </w:rPr>
      </w:pPr>
    </w:p>
    <w:p w14:paraId="0A43C502">
      <w:pPr>
        <w:rPr>
          <w:rFonts w:hint="eastAsia"/>
          <w:color w:val="auto"/>
          <w:highlight w:val="none"/>
        </w:rPr>
      </w:pPr>
    </w:p>
    <w:p w14:paraId="2A5C4247">
      <w:pPr>
        <w:pStyle w:val="2"/>
        <w:widowControl/>
        <w:spacing w:before="120" w:beforeAutospacing="0" w:after="120" w:afterAutospacing="0" w:line="400" w:lineRule="exact"/>
        <w:jc w:val="center"/>
        <w:rPr>
          <w:color w:val="auto"/>
          <w:highlight w:val="none"/>
        </w:rPr>
        <w:sectPr>
          <w:footerReference r:id="rId5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269" w:name="_Toc11152"/>
      <w:r>
        <w:rPr>
          <w:rFonts w:hint="default" w:ascii="黑体" w:hAnsi="宋体" w:eastAsia="黑体" w:cs="黑体"/>
          <w:b w:val="0"/>
          <w:bCs w:val="0"/>
          <w:color w:val="auto"/>
          <w:kern w:val="44"/>
          <w:sz w:val="32"/>
          <w:szCs w:val="32"/>
          <w:highlight w:val="none"/>
        </w:rPr>
        <w:t>第</w:t>
      </w:r>
      <w:r>
        <w:rPr>
          <w:rFonts w:hint="eastAsia" w:ascii="黑体" w:hAnsi="宋体" w:eastAsia="黑体" w:cs="黑体"/>
          <w:b w:val="0"/>
          <w:bCs w:val="0"/>
          <w:color w:val="auto"/>
          <w:kern w:val="44"/>
          <w:sz w:val="32"/>
          <w:szCs w:val="32"/>
          <w:highlight w:val="none"/>
          <w:lang w:val="en-US" w:eastAsia="zh-CN"/>
        </w:rPr>
        <w:t>七</w:t>
      </w:r>
      <w:r>
        <w:rPr>
          <w:rFonts w:hint="default" w:ascii="黑体" w:hAnsi="宋体" w:eastAsia="黑体" w:cs="黑体"/>
          <w:b w:val="0"/>
          <w:bCs w:val="0"/>
          <w:color w:val="auto"/>
          <w:kern w:val="44"/>
          <w:sz w:val="32"/>
          <w:szCs w:val="32"/>
          <w:highlight w:val="none"/>
        </w:rPr>
        <w:t>章  投标文件格式</w:t>
      </w:r>
      <w:bookmarkEnd w:id="2268"/>
      <w:bookmarkEnd w:id="2269"/>
    </w:p>
    <w:p w14:paraId="36EF4094">
      <w:pPr>
        <w:rPr>
          <w:rFonts w:hint="eastAsia" w:ascii="黑体" w:eastAsia="黑体"/>
          <w:color w:val="auto"/>
          <w:sz w:val="32"/>
          <w:szCs w:val="32"/>
          <w:highlight w:val="none"/>
        </w:rPr>
      </w:pPr>
    </w:p>
    <w:p w14:paraId="35DD0FF2">
      <w:pPr>
        <w:rPr>
          <w:rFonts w:hint="eastAsia" w:ascii="黑体" w:eastAsia="黑体"/>
          <w:color w:val="auto"/>
          <w:sz w:val="32"/>
          <w:szCs w:val="32"/>
          <w:highlight w:val="none"/>
        </w:rPr>
      </w:pPr>
    </w:p>
    <w:p w14:paraId="5E45AD73">
      <w:pPr>
        <w:jc w:val="center"/>
        <w:rPr>
          <w:rFonts w:hint="eastAsia" w:ascii="黑体" w:eastAsia="黑体"/>
          <w:color w:val="auto"/>
          <w:sz w:val="28"/>
          <w:szCs w:val="28"/>
          <w:highlight w:val="none"/>
        </w:rPr>
      </w:pPr>
      <w:r>
        <w:rPr>
          <w:rFonts w:hint="eastAsia" w:ascii="黑体" w:eastAsia="黑体"/>
          <w:color w:val="auto"/>
          <w:sz w:val="32"/>
          <w:szCs w:val="32"/>
          <w:highlight w:val="none"/>
          <w:u w:val="single"/>
        </w:rPr>
        <w:t xml:space="preserve">        </w:t>
      </w:r>
      <w:r>
        <w:rPr>
          <w:rFonts w:hint="eastAsia" w:ascii="宋体" w:hAnsi="宋体"/>
          <w:color w:val="auto"/>
          <w:sz w:val="28"/>
          <w:szCs w:val="28"/>
          <w:highlight w:val="none"/>
          <w:u w:val="single"/>
        </w:rPr>
        <w:t xml:space="preserve"> </w:t>
      </w:r>
      <w:r>
        <w:rPr>
          <w:rFonts w:ascii="宋体" w:hAnsi="宋体"/>
          <w:color w:val="auto"/>
          <w:sz w:val="28"/>
          <w:szCs w:val="28"/>
          <w:highlight w:val="none"/>
          <w:u w:val="single"/>
        </w:rPr>
        <w:t xml:space="preserve">     </w:t>
      </w:r>
      <w:r>
        <w:rPr>
          <w:rFonts w:hint="eastAsia" w:ascii="黑体" w:eastAsia="黑体"/>
          <w:color w:val="auto"/>
          <w:sz w:val="28"/>
          <w:szCs w:val="28"/>
          <w:highlight w:val="none"/>
          <w:u w:val="single"/>
        </w:rPr>
        <w:t xml:space="preserve">   </w:t>
      </w:r>
      <w:r>
        <w:rPr>
          <w:rFonts w:hint="eastAsia" w:ascii="宋体" w:hAnsi="宋体"/>
          <w:color w:val="auto"/>
          <w:sz w:val="28"/>
          <w:szCs w:val="28"/>
          <w:highlight w:val="none"/>
        </w:rPr>
        <w:t>（标段名称）</w:t>
      </w:r>
      <w:r>
        <w:rPr>
          <w:rFonts w:hint="eastAsia" w:ascii="黑体" w:eastAsia="黑体"/>
          <w:color w:val="auto"/>
          <w:sz w:val="28"/>
          <w:szCs w:val="28"/>
          <w:highlight w:val="none"/>
        </w:rPr>
        <w:t>项目招标</w:t>
      </w:r>
    </w:p>
    <w:p w14:paraId="05CC0979">
      <w:pPr>
        <w:spacing w:before="312" w:beforeLines="100"/>
        <w:jc w:val="center"/>
        <w:rPr>
          <w:rFonts w:hint="eastAsia" w:ascii="黑体" w:eastAsia="黑体"/>
          <w:color w:val="auto"/>
          <w:sz w:val="44"/>
          <w:szCs w:val="44"/>
          <w:highlight w:val="none"/>
        </w:rPr>
      </w:pPr>
      <w:r>
        <w:rPr>
          <w:rFonts w:hint="eastAsia" w:ascii="黑体" w:eastAsia="黑体"/>
          <w:color w:val="auto"/>
          <w:sz w:val="44"/>
          <w:szCs w:val="44"/>
          <w:highlight w:val="none"/>
        </w:rPr>
        <w:t>投  标  文  件</w:t>
      </w:r>
    </w:p>
    <w:p w14:paraId="47CAC6BB">
      <w:pPr>
        <w:jc w:val="center"/>
        <w:rPr>
          <w:rFonts w:hint="eastAsia" w:ascii="黑体" w:eastAsia="黑体"/>
          <w:color w:val="auto"/>
          <w:sz w:val="32"/>
          <w:szCs w:val="32"/>
          <w:highlight w:val="none"/>
        </w:rPr>
      </w:pPr>
    </w:p>
    <w:p w14:paraId="3C0166B7">
      <w:pPr>
        <w:jc w:val="center"/>
        <w:rPr>
          <w:rFonts w:hint="eastAsia" w:ascii="黑体" w:eastAsia="黑体"/>
          <w:color w:val="auto"/>
          <w:sz w:val="32"/>
          <w:szCs w:val="32"/>
          <w:highlight w:val="none"/>
        </w:rPr>
      </w:pPr>
    </w:p>
    <w:p w14:paraId="41FF4CB5">
      <w:pPr>
        <w:jc w:val="center"/>
        <w:rPr>
          <w:rFonts w:hint="eastAsia" w:ascii="楷体_GB2312" w:eastAsia="楷体_GB2312"/>
          <w:color w:val="auto"/>
          <w:sz w:val="28"/>
          <w:szCs w:val="28"/>
          <w:highlight w:val="none"/>
        </w:rPr>
      </w:pPr>
      <w:r>
        <w:rPr>
          <w:rFonts w:hint="eastAsia" w:ascii="楷体_GB2312" w:eastAsia="楷体_GB2312"/>
          <w:color w:val="auto"/>
          <w:sz w:val="28"/>
          <w:szCs w:val="28"/>
          <w:highlight w:val="none"/>
        </w:rPr>
        <w:t>（标段唯一标识码：</w:t>
      </w:r>
      <w:r>
        <w:rPr>
          <w:rFonts w:hint="eastAsia" w:ascii="楷体_GB2312" w:eastAsia="楷体_GB2312"/>
          <w:color w:val="auto"/>
          <w:sz w:val="28"/>
          <w:szCs w:val="28"/>
          <w:highlight w:val="none"/>
          <w:u w:val="single"/>
        </w:rPr>
        <w:t xml:space="preserve"> </w:t>
      </w:r>
      <w:r>
        <w:rPr>
          <w:rFonts w:ascii="楷体_GB2312" w:eastAsia="楷体_GB2312"/>
          <w:color w:val="auto"/>
          <w:sz w:val="28"/>
          <w:szCs w:val="28"/>
          <w:highlight w:val="none"/>
          <w:u w:val="single"/>
        </w:rPr>
        <w:t xml:space="preserve">                 </w:t>
      </w:r>
      <w:r>
        <w:rPr>
          <w:rFonts w:hint="eastAsia" w:ascii="楷体_GB2312" w:eastAsia="楷体_GB2312"/>
          <w:color w:val="auto"/>
          <w:sz w:val="28"/>
          <w:szCs w:val="28"/>
          <w:highlight w:val="none"/>
        </w:rPr>
        <w:t>）</w:t>
      </w:r>
    </w:p>
    <w:p w14:paraId="7295B6E5">
      <w:pPr>
        <w:jc w:val="center"/>
        <w:rPr>
          <w:rFonts w:hint="eastAsia" w:ascii="黑体" w:eastAsia="黑体"/>
          <w:color w:val="auto"/>
          <w:sz w:val="32"/>
          <w:szCs w:val="32"/>
          <w:highlight w:val="none"/>
        </w:rPr>
      </w:pPr>
      <w:r>
        <w:rPr>
          <w:rFonts w:hint="eastAsia" w:ascii="楷体_GB2312" w:eastAsia="楷体_GB2312"/>
          <w:color w:val="auto"/>
          <w:sz w:val="28"/>
          <w:szCs w:val="28"/>
          <w:highlight w:val="none"/>
        </w:rPr>
        <w:t>（标段编号:</w:t>
      </w:r>
      <w:r>
        <w:rPr>
          <w:rFonts w:hint="eastAsia" w:ascii="楷体_GB2312" w:eastAsia="楷体_GB2312"/>
          <w:color w:val="auto"/>
          <w:sz w:val="28"/>
          <w:szCs w:val="28"/>
          <w:highlight w:val="none"/>
          <w:u w:val="single"/>
        </w:rPr>
        <w:t xml:space="preserve"> </w:t>
      </w:r>
      <w:r>
        <w:rPr>
          <w:rFonts w:ascii="楷体_GB2312" w:eastAsia="楷体_GB2312"/>
          <w:color w:val="auto"/>
          <w:sz w:val="28"/>
          <w:szCs w:val="28"/>
          <w:highlight w:val="none"/>
          <w:u w:val="single"/>
        </w:rPr>
        <w:t xml:space="preserve">  </w:t>
      </w:r>
      <w:r>
        <w:rPr>
          <w:rFonts w:hint="eastAsia" w:ascii="楷体_GB2312" w:eastAsia="楷体_GB2312"/>
          <w:color w:val="auto"/>
          <w:sz w:val="28"/>
          <w:szCs w:val="28"/>
          <w:highlight w:val="none"/>
          <w:u w:val="single"/>
        </w:rPr>
        <w:t xml:space="preserve">       </w:t>
      </w:r>
      <w:r>
        <w:rPr>
          <w:rFonts w:ascii="楷体_GB2312" w:eastAsia="楷体_GB2312"/>
          <w:color w:val="auto"/>
          <w:sz w:val="28"/>
          <w:szCs w:val="28"/>
          <w:highlight w:val="none"/>
          <w:u w:val="single"/>
        </w:rPr>
        <w:t xml:space="preserve">               </w:t>
      </w:r>
      <w:r>
        <w:rPr>
          <w:rFonts w:hint="eastAsia" w:ascii="楷体_GB2312" w:eastAsia="楷体_GB2312"/>
          <w:color w:val="auto"/>
          <w:sz w:val="28"/>
          <w:szCs w:val="28"/>
          <w:highlight w:val="none"/>
        </w:rPr>
        <w:t>）</w:t>
      </w:r>
    </w:p>
    <w:p w14:paraId="34A00AA9">
      <w:pPr>
        <w:jc w:val="center"/>
        <w:rPr>
          <w:rFonts w:hint="eastAsia" w:ascii="黑体" w:eastAsia="黑体"/>
          <w:color w:val="auto"/>
          <w:sz w:val="32"/>
          <w:szCs w:val="32"/>
          <w:highlight w:val="none"/>
        </w:rPr>
      </w:pPr>
    </w:p>
    <w:p w14:paraId="70F5F011">
      <w:pPr>
        <w:jc w:val="center"/>
        <w:rPr>
          <w:rFonts w:hint="eastAsia" w:ascii="黑体" w:eastAsia="黑体"/>
          <w:color w:val="auto"/>
          <w:sz w:val="32"/>
          <w:szCs w:val="32"/>
          <w:highlight w:val="none"/>
        </w:rPr>
      </w:pPr>
    </w:p>
    <w:p w14:paraId="467FDB77">
      <w:pPr>
        <w:jc w:val="both"/>
        <w:rPr>
          <w:rFonts w:hint="eastAsia" w:ascii="黑体" w:eastAsia="黑体"/>
          <w:color w:val="auto"/>
          <w:sz w:val="32"/>
          <w:szCs w:val="32"/>
          <w:highlight w:val="none"/>
        </w:rPr>
      </w:pPr>
    </w:p>
    <w:p w14:paraId="538A53AC">
      <w:pPr>
        <w:jc w:val="center"/>
        <w:rPr>
          <w:rFonts w:hint="eastAsia" w:ascii="黑体" w:eastAsia="黑体"/>
          <w:color w:val="auto"/>
          <w:sz w:val="32"/>
          <w:szCs w:val="32"/>
          <w:highlight w:val="none"/>
        </w:rPr>
      </w:pPr>
    </w:p>
    <w:p w14:paraId="4F35D7C1">
      <w:pPr>
        <w:jc w:val="both"/>
        <w:rPr>
          <w:rFonts w:hint="eastAsia" w:ascii="黑体" w:eastAsia="黑体"/>
          <w:color w:val="auto"/>
          <w:sz w:val="32"/>
          <w:szCs w:val="32"/>
          <w:highlight w:val="none"/>
        </w:rPr>
      </w:pPr>
    </w:p>
    <w:p w14:paraId="0526DE86">
      <w:pPr>
        <w:jc w:val="center"/>
        <w:rPr>
          <w:rFonts w:hint="eastAsia" w:ascii="黑体" w:eastAsia="黑体"/>
          <w:color w:val="auto"/>
          <w:sz w:val="32"/>
          <w:szCs w:val="32"/>
          <w:highlight w:val="none"/>
        </w:rPr>
      </w:pPr>
    </w:p>
    <w:p w14:paraId="3261F805">
      <w:pPr>
        <w:spacing w:line="360" w:lineRule="auto"/>
        <w:jc w:val="center"/>
        <w:rPr>
          <w:rFonts w:hint="eastAsia" w:ascii="黑体" w:eastAsia="黑体"/>
          <w:color w:val="auto"/>
          <w:sz w:val="28"/>
          <w:szCs w:val="28"/>
          <w:highlight w:val="none"/>
        </w:rPr>
      </w:pPr>
      <w:r>
        <w:rPr>
          <w:rFonts w:hint="eastAsia" w:ascii="黑体" w:eastAsia="黑体"/>
          <w:color w:val="auto"/>
          <w:sz w:val="28"/>
          <w:szCs w:val="28"/>
          <w:highlight w:val="none"/>
        </w:rPr>
        <w:t>投标人：</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（盖单位章）</w:t>
      </w:r>
    </w:p>
    <w:p w14:paraId="34647955">
      <w:pPr>
        <w:spacing w:line="360" w:lineRule="auto"/>
        <w:jc w:val="center"/>
        <w:rPr>
          <w:rFonts w:hint="eastAsia" w:ascii="黑体" w:eastAsia="黑体"/>
          <w:color w:val="auto"/>
          <w:sz w:val="28"/>
          <w:szCs w:val="28"/>
          <w:highlight w:val="none"/>
        </w:rPr>
      </w:pPr>
      <w:r>
        <w:rPr>
          <w:rFonts w:hint="eastAsia" w:ascii="黑体" w:eastAsia="黑体"/>
          <w:color w:val="auto"/>
          <w:sz w:val="28"/>
          <w:szCs w:val="28"/>
          <w:highlight w:val="none"/>
        </w:rPr>
        <w:t>法定代表人或授权委托人：</w:t>
      </w: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（签章）</w:t>
      </w:r>
    </w:p>
    <w:p w14:paraId="11B8E129">
      <w:pPr>
        <w:jc w:val="center"/>
        <w:rPr>
          <w:rFonts w:hint="eastAsia" w:ascii="黑体" w:eastAsia="黑体"/>
          <w:color w:val="auto"/>
          <w:sz w:val="28"/>
          <w:szCs w:val="28"/>
          <w:highlight w:val="none"/>
        </w:rPr>
      </w:pPr>
    </w:p>
    <w:p w14:paraId="380422E9">
      <w:pPr>
        <w:jc w:val="center"/>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年</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月</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日</w:t>
      </w:r>
    </w:p>
    <w:p w14:paraId="10C54446">
      <w:pPr>
        <w:pStyle w:val="35"/>
        <w:jc w:val="center"/>
        <w:rPr>
          <w:rFonts w:hint="eastAsia" w:ascii="黑体"/>
          <w:color w:val="auto"/>
          <w:szCs w:val="28"/>
          <w:highlight w:val="none"/>
        </w:rPr>
      </w:pPr>
      <w:bookmarkStart w:id="2270" w:name="_Toc8195"/>
      <w:bookmarkStart w:id="2271" w:name="_Toc122603068"/>
      <w:bookmarkStart w:id="2272" w:name="_Toc256000201"/>
      <w:r>
        <w:rPr>
          <w:rFonts w:hint="eastAsia"/>
          <w:color w:val="auto"/>
          <w:highlight w:val="none"/>
        </w:rPr>
        <w:t>目    录</w:t>
      </w:r>
      <w:bookmarkEnd w:id="2270"/>
      <w:bookmarkEnd w:id="2271"/>
      <w:bookmarkEnd w:id="2272"/>
    </w:p>
    <w:p w14:paraId="4A372D90">
      <w:pPr>
        <w:spacing w:line="600" w:lineRule="exact"/>
        <w:rPr>
          <w:rFonts w:ascii="宋体" w:hAnsi="宋体"/>
          <w:color w:val="auto"/>
          <w:szCs w:val="21"/>
          <w:highlight w:val="none"/>
        </w:rPr>
      </w:pPr>
    </w:p>
    <w:p w14:paraId="0DC8C4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一、投标函及投标函附录等</w:t>
      </w:r>
    </w:p>
    <w:p w14:paraId="6F89B9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二、法定代表人身份证明或授权委托书</w:t>
      </w:r>
    </w:p>
    <w:p w14:paraId="1060E3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三、投标保证金</w:t>
      </w:r>
    </w:p>
    <w:p w14:paraId="4B86E9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四、联合体协议书</w:t>
      </w:r>
    </w:p>
    <w:p w14:paraId="0BE261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五、价格清单</w:t>
      </w:r>
    </w:p>
    <w:p w14:paraId="7954F4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六、承包人建议书</w:t>
      </w:r>
    </w:p>
    <w:p w14:paraId="6B2F87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七、承包人实施方案</w:t>
      </w:r>
    </w:p>
    <w:p w14:paraId="6F6B62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八、资格审查资料</w:t>
      </w:r>
    </w:p>
    <w:p w14:paraId="24BB16D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color w:val="auto"/>
          <w:highlight w:val="none"/>
        </w:rPr>
        <w:t>九、其他材料</w:t>
      </w:r>
    </w:p>
    <w:p w14:paraId="292A8FDE">
      <w:pPr>
        <w:bidi w:val="0"/>
        <w:rPr>
          <w:rFonts w:hint="default"/>
          <w:color w:val="auto"/>
          <w:highlight w:val="none"/>
        </w:rPr>
      </w:pPr>
    </w:p>
    <w:p w14:paraId="253331B6">
      <w:pPr>
        <w:bidi w:val="0"/>
        <w:rPr>
          <w:rFonts w:hint="default"/>
          <w:color w:val="auto"/>
          <w:highlight w:val="none"/>
        </w:rPr>
      </w:pPr>
    </w:p>
    <w:p w14:paraId="30D52D92">
      <w:pPr>
        <w:bidi w:val="0"/>
        <w:rPr>
          <w:rFonts w:hint="default"/>
          <w:color w:val="auto"/>
          <w:highlight w:val="none"/>
        </w:rPr>
      </w:pPr>
    </w:p>
    <w:p w14:paraId="28F9E44D">
      <w:pPr>
        <w:bidi w:val="0"/>
        <w:rPr>
          <w:rFonts w:hint="default"/>
          <w:color w:val="auto"/>
          <w:highlight w:val="none"/>
        </w:rPr>
      </w:pPr>
    </w:p>
    <w:p w14:paraId="0C0F4BB2">
      <w:pPr>
        <w:bidi w:val="0"/>
        <w:rPr>
          <w:rFonts w:hint="default"/>
          <w:color w:val="auto"/>
          <w:highlight w:val="none"/>
        </w:rPr>
      </w:pPr>
    </w:p>
    <w:p w14:paraId="3FA04828">
      <w:pPr>
        <w:bidi w:val="0"/>
        <w:rPr>
          <w:rFonts w:hint="default"/>
          <w:color w:val="auto"/>
          <w:highlight w:val="none"/>
        </w:rPr>
      </w:pPr>
    </w:p>
    <w:p w14:paraId="79597558">
      <w:pPr>
        <w:bidi w:val="0"/>
        <w:rPr>
          <w:rFonts w:hint="default"/>
          <w:color w:val="auto"/>
          <w:highlight w:val="none"/>
        </w:rPr>
      </w:pPr>
    </w:p>
    <w:p w14:paraId="5EFB4F31">
      <w:pPr>
        <w:bidi w:val="0"/>
        <w:rPr>
          <w:rFonts w:hint="default"/>
          <w:color w:val="auto"/>
          <w:highlight w:val="none"/>
        </w:rPr>
      </w:pPr>
    </w:p>
    <w:p w14:paraId="63393426">
      <w:pPr>
        <w:bidi w:val="0"/>
        <w:rPr>
          <w:rFonts w:hint="default"/>
          <w:color w:val="auto"/>
          <w:highlight w:val="none"/>
        </w:rPr>
      </w:pPr>
    </w:p>
    <w:p w14:paraId="3E9FBD13">
      <w:pPr>
        <w:bidi w:val="0"/>
        <w:rPr>
          <w:rFonts w:hint="default"/>
          <w:color w:val="auto"/>
          <w:highlight w:val="none"/>
        </w:rPr>
      </w:pPr>
    </w:p>
    <w:p w14:paraId="54CF1543">
      <w:pPr>
        <w:bidi w:val="0"/>
        <w:rPr>
          <w:rFonts w:hint="default"/>
          <w:color w:val="auto"/>
          <w:highlight w:val="none"/>
        </w:rPr>
      </w:pPr>
    </w:p>
    <w:p w14:paraId="41B95485">
      <w:pPr>
        <w:bidi w:val="0"/>
        <w:rPr>
          <w:rFonts w:hint="default"/>
          <w:color w:val="auto"/>
          <w:highlight w:val="none"/>
        </w:rPr>
      </w:pPr>
    </w:p>
    <w:p w14:paraId="16CF07D2">
      <w:pPr>
        <w:bidi w:val="0"/>
        <w:rPr>
          <w:rFonts w:hint="default"/>
          <w:color w:val="auto"/>
          <w:highlight w:val="none"/>
        </w:rPr>
      </w:pPr>
    </w:p>
    <w:p w14:paraId="52C4FE6E">
      <w:pPr>
        <w:bidi w:val="0"/>
        <w:rPr>
          <w:rFonts w:hint="default"/>
          <w:color w:val="auto"/>
          <w:highlight w:val="none"/>
        </w:rPr>
      </w:pPr>
    </w:p>
    <w:p w14:paraId="185ECDDF">
      <w:pPr>
        <w:pStyle w:val="35"/>
        <w:widowControl/>
        <w:ind w:left="0" w:right="0"/>
        <w:jc w:val="center"/>
        <w:rPr>
          <w:b w:val="0"/>
          <w:bCs w:val="0"/>
          <w:color w:val="auto"/>
          <w:highlight w:val="none"/>
        </w:rPr>
        <w:sectPr>
          <w:footerReference r:id="rId5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273" w:name="_Toc256000202"/>
      <w:bookmarkStart w:id="2274" w:name="_Toc27880"/>
      <w:r>
        <w:rPr>
          <w:rFonts w:hint="default" w:ascii="黑体" w:hAnsi="宋体" w:cs="黑体"/>
          <w:b w:val="0"/>
          <w:bCs w:val="0"/>
          <w:color w:val="auto"/>
          <w:kern w:val="2"/>
          <w:sz w:val="28"/>
          <w:szCs w:val="28"/>
          <w:highlight w:val="none"/>
        </w:rPr>
        <w:t>一</w:t>
      </w:r>
      <w:r>
        <w:rPr>
          <w:rFonts w:hint="eastAsia" w:ascii="黑体" w:hAnsi="宋体" w:eastAsia="黑体" w:cs="黑体"/>
          <w:b w:val="0"/>
          <w:bCs w:val="0"/>
          <w:color w:val="auto"/>
          <w:kern w:val="2"/>
          <w:sz w:val="28"/>
          <w:szCs w:val="28"/>
          <w:highlight w:val="none"/>
        </w:rPr>
        <w:t>、投标函及投标函附录等</w:t>
      </w:r>
      <w:bookmarkEnd w:id="2273"/>
      <w:bookmarkEnd w:id="2274"/>
    </w:p>
    <w:p w14:paraId="64E2F4D3">
      <w:pPr>
        <w:pStyle w:val="37"/>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color w:val="auto"/>
          <w:sz w:val="28"/>
          <w:szCs w:val="28"/>
          <w:highlight w:val="none"/>
        </w:rPr>
      </w:pPr>
      <w:bookmarkStart w:id="2275" w:name="_Toc122603070"/>
      <w:bookmarkStart w:id="2276" w:name="_Toc6571"/>
      <w:bookmarkStart w:id="2277" w:name="_Toc256000203"/>
      <w:r>
        <w:rPr>
          <w:rFonts w:hint="eastAsia"/>
          <w:color w:val="auto"/>
          <w:sz w:val="28"/>
          <w:szCs w:val="28"/>
          <w:highlight w:val="none"/>
          <w:lang w:eastAsia="zh-CN"/>
        </w:rPr>
        <w:t>（</w:t>
      </w:r>
      <w:r>
        <w:rPr>
          <w:rFonts w:hint="default"/>
          <w:color w:val="auto"/>
          <w:sz w:val="28"/>
          <w:szCs w:val="28"/>
          <w:highlight w:val="none"/>
        </w:rPr>
        <w:t>一</w:t>
      </w:r>
      <w:r>
        <w:rPr>
          <w:rFonts w:hint="eastAsia"/>
          <w:color w:val="auto"/>
          <w:sz w:val="28"/>
          <w:szCs w:val="28"/>
          <w:highlight w:val="none"/>
          <w:lang w:eastAsia="zh-CN"/>
        </w:rPr>
        <w:t>）</w:t>
      </w:r>
      <w:r>
        <w:rPr>
          <w:rFonts w:hint="eastAsia"/>
          <w:color w:val="auto"/>
          <w:sz w:val="28"/>
          <w:szCs w:val="28"/>
          <w:highlight w:val="none"/>
        </w:rPr>
        <w:t>投标函</w:t>
      </w:r>
      <w:bookmarkEnd w:id="2275"/>
      <w:bookmarkEnd w:id="2276"/>
      <w:bookmarkEnd w:id="2277"/>
    </w:p>
    <w:p w14:paraId="008DA9AF">
      <w:pPr>
        <w:keepNext w:val="0"/>
        <w:keepLines w:val="0"/>
        <w:widowControl w:val="0"/>
        <w:suppressLineNumbers w:val="0"/>
        <w:spacing w:before="0" w:beforeAutospacing="0" w:after="0" w:afterAutospacing="0" w:line="440" w:lineRule="exact"/>
        <w:ind w:left="0" w:right="0"/>
        <w:jc w:val="left"/>
        <w:rPr>
          <w:rFonts w:hint="default"/>
          <w:color w:val="auto"/>
          <w:szCs w:val="21"/>
          <w:highlight w:val="none"/>
        </w:rPr>
      </w:pPr>
      <w:r>
        <w:rPr>
          <w:rFonts w:hint="default" w:ascii="Times New Roman" w:hAnsi="Times New Roman" w:eastAsia="宋体" w:cs="Times New Roman"/>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（招标人名称）：</w:t>
      </w:r>
    </w:p>
    <w:p w14:paraId="5B6452DA">
      <w:pPr>
        <w:spacing w:line="440" w:lineRule="exact"/>
        <w:ind w:firstLine="420" w:firstLineChars="200"/>
        <w:rPr>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1.</w:t>
      </w:r>
      <w:r>
        <w:rPr>
          <w:color w:val="auto"/>
          <w:szCs w:val="21"/>
          <w:highlight w:val="none"/>
        </w:rPr>
        <w:t>我方已仔细研究了</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r>
        <w:rPr>
          <w:rFonts w:hint="eastAsia"/>
          <w:color w:val="auto"/>
          <w:szCs w:val="21"/>
          <w:highlight w:val="none"/>
        </w:rPr>
        <w:t>标段</w:t>
      </w:r>
      <w:r>
        <w:rPr>
          <w:color w:val="auto"/>
          <w:szCs w:val="21"/>
          <w:highlight w:val="none"/>
        </w:rPr>
        <w:t>名称）</w:t>
      </w:r>
      <w:r>
        <w:rPr>
          <w:rFonts w:hint="eastAsia"/>
          <w:color w:val="auto"/>
          <w:szCs w:val="21"/>
          <w:highlight w:val="none"/>
        </w:rPr>
        <w:t>项目</w:t>
      </w:r>
      <w:r>
        <w:rPr>
          <w:color w:val="auto"/>
          <w:szCs w:val="21"/>
          <w:highlight w:val="none"/>
        </w:rPr>
        <w:t>招标文件的全部内容，愿意以</w:t>
      </w:r>
      <w:r>
        <w:rPr>
          <w:rFonts w:hint="eastAsia"/>
          <w:color w:val="auto"/>
          <w:szCs w:val="21"/>
          <w:highlight w:val="none"/>
        </w:rPr>
        <w:t>【</w:t>
      </w:r>
      <w:r>
        <w:rPr>
          <w:color w:val="auto"/>
          <w:szCs w:val="21"/>
          <w:highlight w:val="none"/>
        </w:rPr>
        <w:t>人民币（大写）</w:t>
      </w:r>
      <w:r>
        <w:rPr>
          <w:color w:val="auto"/>
          <w:szCs w:val="21"/>
          <w:highlight w:val="none"/>
          <w:u w:val="single"/>
        </w:rPr>
        <w:t xml:space="preserve">        </w:t>
      </w:r>
      <w:r>
        <w:rPr>
          <w:color w:val="auto"/>
          <w:szCs w:val="21"/>
          <w:highlight w:val="none"/>
        </w:rPr>
        <w:t>元（¥</w:t>
      </w:r>
      <w:r>
        <w:rPr>
          <w:color w:val="auto"/>
          <w:szCs w:val="21"/>
          <w:highlight w:val="none"/>
          <w:u w:val="single"/>
        </w:rPr>
        <w:t xml:space="preserve">      </w:t>
      </w:r>
      <w:r>
        <w:rPr>
          <w:color w:val="auto"/>
          <w:szCs w:val="21"/>
          <w:highlight w:val="none"/>
        </w:rPr>
        <w:t>元）</w:t>
      </w:r>
      <w:r>
        <w:rPr>
          <w:rFonts w:hint="eastAsia"/>
          <w:color w:val="auto"/>
          <w:szCs w:val="21"/>
          <w:highlight w:val="none"/>
        </w:rPr>
        <w:t>】</w:t>
      </w:r>
      <w:r>
        <w:rPr>
          <w:color w:val="auto"/>
          <w:szCs w:val="21"/>
          <w:highlight w:val="none"/>
        </w:rPr>
        <w:t>的投标</w:t>
      </w:r>
      <w:r>
        <w:rPr>
          <w:rFonts w:hint="eastAsia"/>
          <w:color w:val="auto"/>
          <w:szCs w:val="21"/>
          <w:highlight w:val="none"/>
        </w:rPr>
        <w:t>总</w:t>
      </w:r>
      <w:r>
        <w:rPr>
          <w:color w:val="auto"/>
          <w:szCs w:val="21"/>
          <w:highlight w:val="none"/>
        </w:rPr>
        <w:t>报价，</w:t>
      </w:r>
      <w:r>
        <w:rPr>
          <w:rFonts w:hint="eastAsia"/>
          <w:color w:val="auto"/>
          <w:szCs w:val="21"/>
          <w:highlight w:val="none"/>
        </w:rPr>
        <w:t>工期</w:t>
      </w:r>
      <w:r>
        <w:rPr>
          <w:rFonts w:hint="eastAsia"/>
          <w:color w:val="auto"/>
          <w:szCs w:val="21"/>
          <w:highlight w:val="none"/>
          <w:u w:val="single"/>
        </w:rPr>
        <w:t xml:space="preserve">      </w:t>
      </w:r>
      <w:r>
        <w:rPr>
          <w:rFonts w:hint="eastAsia"/>
          <w:color w:val="auto"/>
          <w:szCs w:val="21"/>
          <w:highlight w:val="none"/>
        </w:rPr>
        <w:t>日历天，</w:t>
      </w:r>
      <w:r>
        <w:rPr>
          <w:color w:val="auto"/>
          <w:szCs w:val="21"/>
          <w:highlight w:val="none"/>
        </w:rPr>
        <w:t>按合同约定</w:t>
      </w:r>
      <w:r>
        <w:rPr>
          <w:rFonts w:hint="eastAsia"/>
          <w:color w:val="auto"/>
          <w:szCs w:val="21"/>
          <w:highlight w:val="none"/>
        </w:rPr>
        <w:t>进行设计、</w:t>
      </w:r>
      <w:r>
        <w:rPr>
          <w:color w:val="auto"/>
          <w:szCs w:val="21"/>
          <w:highlight w:val="none"/>
        </w:rPr>
        <w:t>实施和</w:t>
      </w:r>
      <w:r>
        <w:rPr>
          <w:rFonts w:hint="eastAsia"/>
          <w:color w:val="auto"/>
          <w:szCs w:val="21"/>
          <w:highlight w:val="none"/>
        </w:rPr>
        <w:t>竣工</w:t>
      </w:r>
      <w:r>
        <w:rPr>
          <w:color w:val="auto"/>
          <w:szCs w:val="21"/>
          <w:highlight w:val="none"/>
        </w:rPr>
        <w:t>承包工程，修补工程中的任何缺陷，</w:t>
      </w:r>
      <w:r>
        <w:rPr>
          <w:rFonts w:hint="eastAsia"/>
          <w:color w:val="auto"/>
          <w:szCs w:val="21"/>
          <w:highlight w:val="none"/>
        </w:rPr>
        <w:t>实现工程目的，工程质量（设计）达到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w:t>
      </w:r>
      <w:r>
        <w:rPr>
          <w:rFonts w:hint="eastAsia"/>
          <w:color w:val="auto"/>
          <w:szCs w:val="21"/>
          <w:highlight w:val="none"/>
        </w:rPr>
        <w:t>工程质量（施工）达到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31AE247B">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在我方的上述投标</w:t>
      </w:r>
      <w:r>
        <w:rPr>
          <w:color w:val="auto"/>
          <w:szCs w:val="21"/>
          <w:highlight w:val="none"/>
        </w:rPr>
        <w:t>总</w:t>
      </w:r>
      <w:r>
        <w:rPr>
          <w:rFonts w:hint="eastAsia" w:ascii="宋体" w:hAnsi="宋体"/>
          <w:color w:val="auto"/>
          <w:szCs w:val="21"/>
          <w:highlight w:val="none"/>
        </w:rPr>
        <w:t>报价中，包括：</w:t>
      </w:r>
    </w:p>
    <w:p w14:paraId="29B3B7CC">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（1）设计费（如有）：</w:t>
      </w:r>
    </w:p>
    <w:p w14:paraId="387D3C0D">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投标设计费报价</w:t>
      </w:r>
      <w:r>
        <w:rPr>
          <w:color w:val="auto"/>
          <w:szCs w:val="21"/>
          <w:highlight w:val="none"/>
        </w:rPr>
        <w:t>（大写）</w:t>
      </w:r>
      <w:r>
        <w:rPr>
          <w:color w:val="auto"/>
          <w:szCs w:val="21"/>
          <w:highlight w:val="none"/>
          <w:u w:val="single"/>
        </w:rPr>
        <w:t xml:space="preserve">       </w:t>
      </w:r>
      <w:r>
        <w:rPr>
          <w:color w:val="auto"/>
          <w:szCs w:val="21"/>
          <w:highlight w:val="none"/>
        </w:rPr>
        <w:t>（</w:t>
      </w:r>
      <w:r>
        <w:rPr>
          <w:rFonts w:hint="eastAsia"/>
          <w:color w:val="auto"/>
          <w:szCs w:val="21"/>
          <w:highlight w:val="none"/>
        </w:rPr>
        <w:t>小写）</w:t>
      </w:r>
      <w:r>
        <w:rPr>
          <w:color w:val="auto"/>
          <w:szCs w:val="21"/>
          <w:highlight w:val="none"/>
          <w:u w:val="single"/>
        </w:rPr>
        <w:t xml:space="preserve">        </w:t>
      </w:r>
      <w:r>
        <w:rPr>
          <w:rFonts w:hint="eastAsia" w:ascii="宋体" w:hAnsi="宋体"/>
          <w:color w:val="auto"/>
          <w:szCs w:val="21"/>
          <w:highlight w:val="none"/>
        </w:rPr>
        <w:t>；</w:t>
      </w:r>
    </w:p>
    <w:p w14:paraId="419CD17E">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）专业设备材料费（如有）：</w:t>
      </w:r>
    </w:p>
    <w:p w14:paraId="350B3B56">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投标专业设备材料费报价</w:t>
      </w:r>
      <w:r>
        <w:rPr>
          <w:color w:val="auto"/>
          <w:szCs w:val="21"/>
          <w:highlight w:val="none"/>
        </w:rPr>
        <w:t>（大写）</w:t>
      </w:r>
      <w:r>
        <w:rPr>
          <w:color w:val="auto"/>
          <w:szCs w:val="21"/>
          <w:highlight w:val="none"/>
          <w:u w:val="single"/>
        </w:rPr>
        <w:t xml:space="preserve">       </w:t>
      </w:r>
      <w:r>
        <w:rPr>
          <w:color w:val="auto"/>
          <w:szCs w:val="21"/>
          <w:highlight w:val="none"/>
        </w:rPr>
        <w:t>（</w:t>
      </w:r>
      <w:r>
        <w:rPr>
          <w:rFonts w:hint="eastAsia"/>
          <w:color w:val="auto"/>
          <w:szCs w:val="21"/>
          <w:highlight w:val="none"/>
        </w:rPr>
        <w:t>小写）</w:t>
      </w:r>
      <w:r>
        <w:rPr>
          <w:color w:val="auto"/>
          <w:szCs w:val="21"/>
          <w:highlight w:val="none"/>
          <w:u w:val="single"/>
        </w:rPr>
        <w:t xml:space="preserve">        </w:t>
      </w:r>
      <w:r>
        <w:rPr>
          <w:rFonts w:hint="eastAsia" w:ascii="宋体" w:hAnsi="宋体"/>
          <w:color w:val="auto"/>
          <w:szCs w:val="21"/>
          <w:highlight w:val="none"/>
        </w:rPr>
        <w:t>；</w:t>
      </w:r>
    </w:p>
    <w:p w14:paraId="20DAF51C">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（3）建筑安装工程费（如有）：</w:t>
      </w:r>
    </w:p>
    <w:p w14:paraId="73E15670">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投标建筑安装工程费报价</w:t>
      </w:r>
      <w:r>
        <w:rPr>
          <w:color w:val="auto"/>
          <w:szCs w:val="21"/>
          <w:highlight w:val="none"/>
        </w:rPr>
        <w:t>（大写）</w:t>
      </w:r>
      <w:r>
        <w:rPr>
          <w:color w:val="auto"/>
          <w:szCs w:val="21"/>
          <w:highlight w:val="none"/>
          <w:u w:val="single"/>
        </w:rPr>
        <w:t xml:space="preserve">       </w:t>
      </w:r>
      <w:r>
        <w:rPr>
          <w:color w:val="auto"/>
          <w:szCs w:val="21"/>
          <w:highlight w:val="none"/>
        </w:rPr>
        <w:t>（</w:t>
      </w:r>
      <w:r>
        <w:rPr>
          <w:rFonts w:hint="eastAsia"/>
          <w:color w:val="auto"/>
          <w:szCs w:val="21"/>
          <w:highlight w:val="none"/>
        </w:rPr>
        <w:t>小写）</w:t>
      </w:r>
      <w:r>
        <w:rPr>
          <w:color w:val="auto"/>
          <w:szCs w:val="21"/>
          <w:highlight w:val="none"/>
          <w:u w:val="single"/>
        </w:rPr>
        <w:t xml:space="preserve">        </w:t>
      </w:r>
      <w:r>
        <w:rPr>
          <w:rFonts w:hint="eastAsia" w:ascii="宋体" w:hAnsi="宋体"/>
          <w:color w:val="auto"/>
          <w:szCs w:val="21"/>
          <w:highlight w:val="none"/>
        </w:rPr>
        <w:t>；</w:t>
      </w:r>
    </w:p>
    <w:p w14:paraId="23972D6A">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（4）其他费用（如有）：</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63690C8F">
      <w:pPr>
        <w:spacing w:line="360" w:lineRule="exact"/>
        <w:ind w:firstLine="420" w:firstLineChars="200"/>
        <w:rPr>
          <w:rFonts w:hint="eastAsia"/>
          <w:color w:val="auto"/>
          <w:szCs w:val="21"/>
          <w:highlight w:val="none"/>
        </w:rPr>
      </w:pPr>
      <w:r>
        <w:rPr>
          <w:rFonts w:hint="eastAsia"/>
          <w:color w:val="auto"/>
          <w:szCs w:val="21"/>
          <w:highlight w:val="none"/>
        </w:rPr>
        <w:t>2</w:t>
      </w:r>
      <w:r>
        <w:rPr>
          <w:color w:val="auto"/>
          <w:szCs w:val="21"/>
          <w:highlight w:val="none"/>
        </w:rPr>
        <w:t>.</w:t>
      </w:r>
      <w:r>
        <w:rPr>
          <w:rFonts w:hint="eastAsia"/>
          <w:color w:val="auto"/>
          <w:szCs w:val="21"/>
          <w:highlight w:val="none"/>
        </w:rPr>
        <w:t>我方拟派</w:t>
      </w:r>
      <w:r>
        <w:rPr>
          <w:rFonts w:hint="eastAsia"/>
          <w:color w:val="auto"/>
          <w:szCs w:val="21"/>
          <w:highlight w:val="none"/>
          <w:lang w:eastAsia="zh-CN"/>
        </w:rPr>
        <w:t>：</w:t>
      </w:r>
    </w:p>
    <w:p w14:paraId="1A0264E7">
      <w:pPr>
        <w:spacing w:line="360" w:lineRule="exact"/>
        <w:ind w:firstLine="420" w:firstLineChars="200"/>
        <w:rPr>
          <w:rFonts w:hint="eastAsia"/>
          <w:color w:val="auto"/>
          <w:szCs w:val="21"/>
          <w:highlight w:val="none"/>
        </w:rPr>
      </w:pPr>
      <w:r>
        <w:rPr>
          <w:rFonts w:hint="eastAsia"/>
          <w:color w:val="auto"/>
          <w:szCs w:val="21"/>
          <w:highlight w:val="none"/>
        </w:rPr>
        <w:t>项目经理</w:t>
      </w:r>
      <w:r>
        <w:rPr>
          <w:color w:val="auto"/>
          <w:szCs w:val="21"/>
          <w:highlight w:val="none"/>
        </w:rPr>
        <w:t>：</w:t>
      </w:r>
      <w:r>
        <w:rPr>
          <w:rFonts w:hint="eastAsia"/>
          <w:color w:val="auto"/>
          <w:szCs w:val="21"/>
          <w:highlight w:val="none"/>
          <w:u w:val="single"/>
        </w:rPr>
        <w:t xml:space="preserve">   </w:t>
      </w:r>
      <w:r>
        <w:rPr>
          <w:rFonts w:hint="eastAsia"/>
          <w:color w:val="auto"/>
          <w:szCs w:val="21"/>
          <w:highlight w:val="none"/>
          <w:u w:val="single"/>
          <w:lang w:val="en-US" w:eastAsia="zh-CN"/>
        </w:rPr>
        <w:t xml:space="preserve"> </w:t>
      </w:r>
      <w:r>
        <w:rPr>
          <w:rFonts w:hint="eastAsia"/>
          <w:color w:val="auto"/>
          <w:szCs w:val="21"/>
          <w:highlight w:val="none"/>
          <w:u w:val="single"/>
        </w:rPr>
        <w:t xml:space="preserve">  </w:t>
      </w:r>
      <w:r>
        <w:rPr>
          <w:rFonts w:hint="eastAsia"/>
          <w:color w:val="auto"/>
          <w:szCs w:val="21"/>
          <w:highlight w:val="none"/>
        </w:rPr>
        <w:t>（姓名），证书名称：</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rPr>
        <w:t>，证书编号：</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lang w:val="en-US" w:eastAsia="zh-CN"/>
        </w:rPr>
        <w:t xml:space="preserve"> </w:t>
      </w:r>
      <w:r>
        <w:rPr>
          <w:color w:val="auto"/>
          <w:szCs w:val="21"/>
          <w:highlight w:val="none"/>
          <w:u w:val="single"/>
        </w:rPr>
        <w:t xml:space="preserve"> </w:t>
      </w:r>
      <w:r>
        <w:rPr>
          <w:rFonts w:hint="eastAsia"/>
          <w:color w:val="auto"/>
          <w:szCs w:val="21"/>
          <w:highlight w:val="none"/>
          <w:u w:val="single"/>
          <w:lang w:val="en-US" w:eastAsia="zh-CN"/>
        </w:rPr>
        <w:t xml:space="preserve"> </w:t>
      </w:r>
      <w:r>
        <w:rPr>
          <w:rFonts w:hint="eastAsia"/>
          <w:color w:val="auto"/>
          <w:szCs w:val="21"/>
          <w:highlight w:val="none"/>
          <w:u w:val="none"/>
          <w:lang w:eastAsia="zh-CN"/>
        </w:rPr>
        <w:t>；</w:t>
      </w:r>
    </w:p>
    <w:p w14:paraId="3C4CCCB9">
      <w:pPr>
        <w:spacing w:line="360" w:lineRule="exact"/>
        <w:ind w:firstLine="420" w:firstLineChars="200"/>
        <w:rPr>
          <w:rFonts w:hint="eastAsia"/>
          <w:color w:val="auto"/>
          <w:szCs w:val="21"/>
          <w:highlight w:val="none"/>
        </w:rPr>
      </w:pPr>
      <w:r>
        <w:rPr>
          <w:rFonts w:hint="eastAsia"/>
          <w:color w:val="auto"/>
          <w:szCs w:val="21"/>
          <w:highlight w:val="none"/>
          <w:lang w:val="en-US" w:eastAsia="zh-CN"/>
        </w:rPr>
        <w:t>施工负责人</w:t>
      </w:r>
      <w:r>
        <w:rPr>
          <w:color w:val="auto"/>
          <w:szCs w:val="21"/>
          <w:highlight w:val="none"/>
        </w:rPr>
        <w:t>：</w:t>
      </w:r>
      <w:r>
        <w:rPr>
          <w:rFonts w:hint="eastAsia"/>
          <w:color w:val="auto"/>
          <w:szCs w:val="21"/>
          <w:highlight w:val="none"/>
          <w:u w:val="single"/>
        </w:rPr>
        <w:t xml:space="preserve">  </w:t>
      </w:r>
      <w:r>
        <w:rPr>
          <w:rFonts w:hint="eastAsia"/>
          <w:color w:val="auto"/>
          <w:szCs w:val="21"/>
          <w:highlight w:val="none"/>
          <w:u w:val="single"/>
          <w:lang w:val="en-US" w:eastAsia="zh-CN"/>
        </w:rPr>
        <w:t xml:space="preserve">  </w:t>
      </w:r>
      <w:r>
        <w:rPr>
          <w:rFonts w:hint="eastAsia"/>
          <w:color w:val="auto"/>
          <w:szCs w:val="21"/>
          <w:highlight w:val="none"/>
          <w:u w:val="single"/>
        </w:rPr>
        <w:t xml:space="preserve">  </w:t>
      </w:r>
      <w:r>
        <w:rPr>
          <w:rFonts w:hint="eastAsia"/>
          <w:color w:val="auto"/>
          <w:szCs w:val="21"/>
          <w:highlight w:val="none"/>
        </w:rPr>
        <w:t>（姓名），证书名称：</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rPr>
        <w:t>，证书编号：</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lang w:val="en-US" w:eastAsia="zh-CN"/>
        </w:rPr>
        <w:t xml:space="preserve">  </w:t>
      </w:r>
      <w:r>
        <w:rPr>
          <w:color w:val="auto"/>
          <w:szCs w:val="21"/>
          <w:highlight w:val="none"/>
          <w:u w:val="single"/>
        </w:rPr>
        <w:t xml:space="preserve"> </w:t>
      </w:r>
      <w:r>
        <w:rPr>
          <w:rFonts w:hint="eastAsia"/>
          <w:color w:val="auto"/>
          <w:szCs w:val="21"/>
          <w:highlight w:val="none"/>
          <w:u w:val="none"/>
          <w:lang w:eastAsia="zh-CN"/>
        </w:rPr>
        <w:t>；</w:t>
      </w:r>
    </w:p>
    <w:p w14:paraId="77D7A5C4">
      <w:pPr>
        <w:spacing w:line="360" w:lineRule="exact"/>
        <w:ind w:firstLine="420" w:firstLineChars="200"/>
        <w:rPr>
          <w:rFonts w:hint="eastAsia"/>
          <w:color w:val="auto"/>
          <w:szCs w:val="21"/>
          <w:highlight w:val="none"/>
        </w:rPr>
      </w:pPr>
      <w:r>
        <w:rPr>
          <w:rFonts w:hint="eastAsia"/>
          <w:color w:val="auto"/>
          <w:szCs w:val="21"/>
          <w:highlight w:val="none"/>
          <w:lang w:val="en-US" w:eastAsia="zh-CN"/>
        </w:rPr>
        <w:t>设计负责人</w:t>
      </w:r>
      <w:r>
        <w:rPr>
          <w:color w:val="auto"/>
          <w:szCs w:val="21"/>
          <w:highlight w:val="none"/>
        </w:rPr>
        <w:t>：</w:t>
      </w:r>
      <w:r>
        <w:rPr>
          <w:rFonts w:hint="eastAsia"/>
          <w:color w:val="auto"/>
          <w:szCs w:val="21"/>
          <w:highlight w:val="none"/>
          <w:u w:val="single"/>
        </w:rPr>
        <w:t xml:space="preserve">   </w:t>
      </w:r>
      <w:r>
        <w:rPr>
          <w:rFonts w:hint="eastAsia"/>
          <w:color w:val="auto"/>
          <w:szCs w:val="21"/>
          <w:highlight w:val="none"/>
          <w:u w:val="single"/>
          <w:lang w:val="en-US" w:eastAsia="zh-CN"/>
        </w:rPr>
        <w:t xml:space="preserve"> </w:t>
      </w:r>
      <w:r>
        <w:rPr>
          <w:rFonts w:hint="eastAsia"/>
          <w:color w:val="auto"/>
          <w:szCs w:val="21"/>
          <w:highlight w:val="none"/>
          <w:u w:val="single"/>
        </w:rPr>
        <w:t xml:space="preserve"> </w:t>
      </w:r>
      <w:r>
        <w:rPr>
          <w:rFonts w:hint="eastAsia"/>
          <w:color w:val="auto"/>
          <w:szCs w:val="21"/>
          <w:highlight w:val="none"/>
          <w:u w:val="single"/>
          <w:lang w:val="en-US" w:eastAsia="zh-CN"/>
        </w:rPr>
        <w:t xml:space="preserve"> </w:t>
      </w:r>
      <w:r>
        <w:rPr>
          <w:rFonts w:hint="eastAsia"/>
          <w:color w:val="auto"/>
          <w:szCs w:val="21"/>
          <w:highlight w:val="none"/>
        </w:rPr>
        <w:t>（姓名），证书名称：</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rFonts w:hint="eastAsia"/>
          <w:color w:val="auto"/>
          <w:szCs w:val="21"/>
          <w:highlight w:val="none"/>
        </w:rPr>
        <w:t>，证书编号：</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rFonts w:hint="eastAsia"/>
          <w:color w:val="auto"/>
          <w:szCs w:val="21"/>
          <w:highlight w:val="none"/>
        </w:rPr>
        <w:t>。</w:t>
      </w:r>
    </w:p>
    <w:p w14:paraId="3FE8CC50">
      <w:pPr>
        <w:spacing w:line="360" w:lineRule="exact"/>
        <w:ind w:firstLine="420" w:firstLineChars="200"/>
        <w:rPr>
          <w:color w:val="auto"/>
          <w:szCs w:val="21"/>
          <w:highlight w:val="none"/>
        </w:rPr>
      </w:pPr>
      <w:r>
        <w:rPr>
          <w:color w:val="auto"/>
          <w:szCs w:val="21"/>
          <w:highlight w:val="none"/>
        </w:rPr>
        <w:t>3</w:t>
      </w:r>
      <w:r>
        <w:rPr>
          <w:rFonts w:hint="eastAsia"/>
          <w:color w:val="auto"/>
          <w:szCs w:val="21"/>
          <w:highlight w:val="none"/>
        </w:rPr>
        <w:t>.</w:t>
      </w:r>
      <w:r>
        <w:rPr>
          <w:color w:val="auto"/>
          <w:szCs w:val="21"/>
          <w:highlight w:val="none"/>
        </w:rPr>
        <w:t>我方承诺在投标有效期</w:t>
      </w:r>
      <w:r>
        <w:rPr>
          <w:rFonts w:hint="eastAsia"/>
          <w:color w:val="auto"/>
          <w:szCs w:val="21"/>
          <w:highlight w:val="none"/>
          <w:u w:val="single"/>
        </w:rPr>
        <w:t xml:space="preserve">     </w:t>
      </w:r>
      <w:r>
        <w:rPr>
          <w:rFonts w:hint="eastAsia"/>
          <w:color w:val="auto"/>
          <w:szCs w:val="21"/>
          <w:highlight w:val="none"/>
        </w:rPr>
        <w:t>天</w:t>
      </w:r>
      <w:r>
        <w:rPr>
          <w:color w:val="auto"/>
          <w:szCs w:val="21"/>
          <w:highlight w:val="none"/>
        </w:rPr>
        <w:t>内不修改、撤销投标文件</w:t>
      </w:r>
      <w:r>
        <w:rPr>
          <w:rFonts w:hint="eastAsia"/>
          <w:color w:val="auto"/>
          <w:szCs w:val="21"/>
          <w:highlight w:val="none"/>
        </w:rPr>
        <w:t>。</w:t>
      </w:r>
    </w:p>
    <w:p w14:paraId="4337B6D8">
      <w:pPr>
        <w:spacing w:line="360" w:lineRule="exact"/>
        <w:ind w:firstLine="420" w:firstLineChars="200"/>
        <w:rPr>
          <w:color w:val="auto"/>
          <w:szCs w:val="21"/>
          <w:highlight w:val="none"/>
        </w:rPr>
      </w:pPr>
      <w:r>
        <w:rPr>
          <w:color w:val="auto"/>
          <w:szCs w:val="21"/>
          <w:highlight w:val="none"/>
        </w:rPr>
        <w:t>4</w:t>
      </w:r>
      <w:r>
        <w:rPr>
          <w:rFonts w:hint="eastAsia"/>
          <w:color w:val="auto"/>
          <w:szCs w:val="21"/>
          <w:highlight w:val="none"/>
        </w:rPr>
        <w:t>.</w:t>
      </w:r>
      <w:r>
        <w:rPr>
          <w:color w:val="auto"/>
          <w:szCs w:val="21"/>
          <w:highlight w:val="none"/>
        </w:rPr>
        <w:t>随同本投标函提交投标保证金一份，金额为人民币（大写）</w:t>
      </w:r>
      <w:r>
        <w:rPr>
          <w:color w:val="auto"/>
          <w:szCs w:val="21"/>
          <w:highlight w:val="none"/>
          <w:u w:val="single"/>
        </w:rPr>
        <w:t xml:space="preserve">        </w:t>
      </w:r>
      <w:r>
        <w:rPr>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 xml:space="preserve"> ）。</w:t>
      </w:r>
    </w:p>
    <w:p w14:paraId="3865AD03">
      <w:pPr>
        <w:spacing w:line="360" w:lineRule="exact"/>
        <w:ind w:firstLine="420" w:firstLineChars="200"/>
        <w:rPr>
          <w:color w:val="auto"/>
          <w:szCs w:val="21"/>
          <w:highlight w:val="none"/>
        </w:rPr>
      </w:pPr>
      <w:r>
        <w:rPr>
          <w:color w:val="auto"/>
          <w:szCs w:val="21"/>
          <w:highlight w:val="none"/>
        </w:rPr>
        <w:t>5</w:t>
      </w:r>
      <w:r>
        <w:rPr>
          <w:rFonts w:hint="eastAsia"/>
          <w:color w:val="auto"/>
          <w:szCs w:val="21"/>
          <w:highlight w:val="none"/>
        </w:rPr>
        <w:t>.</w:t>
      </w:r>
      <w:r>
        <w:rPr>
          <w:color w:val="auto"/>
          <w:szCs w:val="21"/>
          <w:highlight w:val="none"/>
        </w:rPr>
        <w:t>如我方中标：</w:t>
      </w:r>
    </w:p>
    <w:p w14:paraId="4298CFAB">
      <w:pPr>
        <w:spacing w:line="360" w:lineRule="exact"/>
        <w:ind w:firstLine="718" w:firstLineChars="342"/>
        <w:rPr>
          <w:color w:val="auto"/>
          <w:szCs w:val="21"/>
          <w:highlight w:val="none"/>
        </w:rPr>
      </w:pPr>
      <w:r>
        <w:rPr>
          <w:color w:val="auto"/>
          <w:szCs w:val="21"/>
          <w:highlight w:val="none"/>
        </w:rPr>
        <w:t>（1）我方承诺在收到中标通知书后，在中标通知书规定的期限内与你方签订合同。</w:t>
      </w:r>
    </w:p>
    <w:p w14:paraId="705F6AFF">
      <w:pPr>
        <w:spacing w:line="360" w:lineRule="exact"/>
        <w:ind w:firstLine="718" w:firstLineChars="342"/>
        <w:rPr>
          <w:color w:val="auto"/>
          <w:szCs w:val="21"/>
          <w:highlight w:val="none"/>
        </w:rPr>
      </w:pPr>
      <w:r>
        <w:rPr>
          <w:color w:val="auto"/>
          <w:szCs w:val="21"/>
          <w:highlight w:val="none"/>
        </w:rPr>
        <w:t>（2）随同本投标函递交的投标函附录属于合同文件的组成部分。</w:t>
      </w:r>
    </w:p>
    <w:p w14:paraId="2A9BE1D7">
      <w:pPr>
        <w:spacing w:line="360" w:lineRule="exact"/>
        <w:ind w:firstLine="718" w:firstLineChars="342"/>
        <w:rPr>
          <w:color w:val="auto"/>
          <w:szCs w:val="21"/>
          <w:highlight w:val="none"/>
        </w:rPr>
      </w:pPr>
      <w:r>
        <w:rPr>
          <w:color w:val="auto"/>
          <w:szCs w:val="21"/>
          <w:highlight w:val="none"/>
        </w:rPr>
        <w:t>（3）我方承诺按照招标文件规定向你方递交履约担保。</w:t>
      </w:r>
    </w:p>
    <w:p w14:paraId="6B491480">
      <w:pPr>
        <w:spacing w:line="360" w:lineRule="exact"/>
        <w:ind w:firstLine="718" w:firstLineChars="342"/>
        <w:rPr>
          <w:color w:val="auto"/>
          <w:szCs w:val="21"/>
          <w:highlight w:val="none"/>
        </w:rPr>
      </w:pPr>
      <w:r>
        <w:rPr>
          <w:color w:val="auto"/>
          <w:szCs w:val="21"/>
          <w:highlight w:val="none"/>
        </w:rPr>
        <w:t>（4）我方承诺在合同约定的期限内完成并移交全部合同工程。</w:t>
      </w:r>
      <w:bookmarkStart w:id="2278" w:name="_Hlk152146515"/>
    </w:p>
    <w:p w14:paraId="22E0840F">
      <w:pPr>
        <w:spacing w:line="360" w:lineRule="exact"/>
        <w:ind w:firstLine="718" w:firstLineChars="342"/>
        <w:rPr>
          <w:color w:val="auto"/>
          <w:szCs w:val="21"/>
          <w:highlight w:val="none"/>
        </w:rPr>
      </w:pPr>
      <w:r>
        <w:rPr>
          <w:rFonts w:hint="eastAsia"/>
          <w:color w:val="auto"/>
          <w:szCs w:val="21"/>
          <w:highlight w:val="none"/>
        </w:rPr>
        <w:t>（5）</w:t>
      </w:r>
      <w:r>
        <w:rPr>
          <w:rFonts w:hint="eastAsia"/>
          <w:color w:val="auto"/>
          <w:szCs w:val="21"/>
          <w:highlight w:val="none"/>
          <w:u w:val="single"/>
          <w:lang w:val="en-US" w:eastAsia="zh-CN"/>
        </w:rPr>
        <w:t xml:space="preserve">  /  </w:t>
      </w:r>
      <w:r>
        <w:rPr>
          <w:rFonts w:hint="eastAsia"/>
          <w:color w:val="auto"/>
          <w:szCs w:val="21"/>
          <w:highlight w:val="none"/>
        </w:rPr>
        <w:t>。</w:t>
      </w:r>
    </w:p>
    <w:bookmarkEnd w:id="2278"/>
    <w:p w14:paraId="3E57C565">
      <w:pPr>
        <w:spacing w:line="360" w:lineRule="exact"/>
        <w:ind w:firstLine="420" w:firstLineChars="200"/>
        <w:rPr>
          <w:color w:val="auto"/>
          <w:szCs w:val="21"/>
          <w:highlight w:val="none"/>
        </w:rPr>
      </w:pPr>
      <w:r>
        <w:rPr>
          <w:color w:val="auto"/>
          <w:szCs w:val="21"/>
          <w:highlight w:val="none"/>
        </w:rPr>
        <w:t>6</w:t>
      </w:r>
      <w:r>
        <w:rPr>
          <w:rFonts w:hint="eastAsia"/>
          <w:color w:val="auto"/>
          <w:szCs w:val="21"/>
          <w:highlight w:val="none"/>
        </w:rPr>
        <w:t>.</w:t>
      </w:r>
      <w:r>
        <w:rPr>
          <w:rFonts w:hint="eastAsia"/>
          <w:color w:val="auto"/>
          <w:highlight w:val="none"/>
        </w:rPr>
        <w:t>我方在此声明，所递交的投标文件及有关资料内容完整、真实和准确，且不存在第二章“投标人须知”第1.4.3项规定的任何一种情形。</w:t>
      </w:r>
    </w:p>
    <w:p w14:paraId="329DBC67">
      <w:pPr>
        <w:spacing w:line="380" w:lineRule="exact"/>
        <w:ind w:firstLine="420" w:firstLineChars="200"/>
        <w:jc w:val="left"/>
        <w:rPr>
          <w:color w:val="auto"/>
          <w:szCs w:val="21"/>
          <w:highlight w:val="none"/>
        </w:rPr>
      </w:pPr>
      <w:r>
        <w:rPr>
          <w:color w:val="auto"/>
          <w:szCs w:val="21"/>
          <w:highlight w:val="none"/>
        </w:rPr>
        <w:t>7</w:t>
      </w:r>
      <w:r>
        <w:rPr>
          <w:rFonts w:hint="eastAsia"/>
          <w:color w:val="auto"/>
          <w:szCs w:val="21"/>
          <w:highlight w:val="none"/>
        </w:rPr>
        <w:t>.</w:t>
      </w:r>
      <w:r>
        <w:rPr>
          <w:color w:val="auto"/>
          <w:szCs w:val="21"/>
          <w:highlight w:val="none"/>
          <w:u w:val="single"/>
        </w:rPr>
        <w:t xml:space="preserve">                                       </w:t>
      </w:r>
      <w:r>
        <w:rPr>
          <w:color w:val="auto"/>
          <w:szCs w:val="21"/>
          <w:highlight w:val="none"/>
        </w:rPr>
        <w:t>（</w:t>
      </w:r>
      <w:r>
        <w:rPr>
          <w:rFonts w:hint="eastAsia"/>
          <w:color w:val="auto"/>
          <w:szCs w:val="21"/>
          <w:highlight w:val="none"/>
        </w:rPr>
        <w:t>其他</w:t>
      </w:r>
      <w:r>
        <w:rPr>
          <w:color w:val="auto"/>
          <w:szCs w:val="21"/>
          <w:highlight w:val="none"/>
        </w:rPr>
        <w:t>补充说明）。</w:t>
      </w:r>
    </w:p>
    <w:p w14:paraId="2F3DAFB5">
      <w:pPr>
        <w:keepNext w:val="0"/>
        <w:keepLines w:val="0"/>
        <w:widowControl w:val="0"/>
        <w:suppressLineNumbers w:val="0"/>
        <w:spacing w:before="0" w:beforeAutospacing="0" w:after="0" w:afterAutospacing="0" w:line="440" w:lineRule="exact"/>
        <w:ind w:left="0" w:right="0" w:firstLine="420" w:firstLineChars="200"/>
        <w:jc w:val="both"/>
        <w:rPr>
          <w:rFonts w:hint="default"/>
          <w:color w:val="auto"/>
          <w:szCs w:val="21"/>
          <w:highlight w:val="none"/>
        </w:rPr>
      </w:pPr>
    </w:p>
    <w:p w14:paraId="2B0954B6">
      <w:pPr>
        <w:keepNext w:val="0"/>
        <w:keepLines w:val="0"/>
        <w:widowControl w:val="0"/>
        <w:suppressLineNumbers w:val="0"/>
        <w:spacing w:before="0" w:beforeAutospacing="0" w:after="0" w:afterAutospacing="0" w:line="440" w:lineRule="exact"/>
        <w:ind w:left="0" w:right="0" w:firstLine="3675" w:firstLineChars="1750"/>
        <w:jc w:val="both"/>
        <w:rPr>
          <w:rFonts w:hint="default"/>
          <w:color w:val="auto"/>
          <w:szCs w:val="21"/>
          <w:highlight w:val="none"/>
        </w:rPr>
      </w:pPr>
      <w:r>
        <w:rPr>
          <w:rFonts w:hint="eastAsia" w:ascii="宋体" w:hAnsi="宋体" w:eastAsia="宋体" w:cs="宋体"/>
          <w:color w:val="auto"/>
          <w:kern w:val="2"/>
          <w:sz w:val="21"/>
          <w:szCs w:val="21"/>
          <w:highlight w:val="none"/>
          <w:lang w:val="en-US" w:eastAsia="zh-CN" w:bidi="ar"/>
        </w:rPr>
        <w:t>投</w:t>
      </w:r>
      <w:r>
        <w:rPr>
          <w:rFonts w:hint="default" w:ascii="Times New Roman" w:hAnsi="Times New Roman"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标</w:t>
      </w:r>
      <w:r>
        <w:rPr>
          <w:rFonts w:hint="default" w:ascii="Times New Roman" w:hAnsi="Times New Roman"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人：</w:t>
      </w:r>
      <w:r>
        <w:rPr>
          <w:rFonts w:hint="default" w:ascii="Times New Roman" w:hAnsi="Times New Roman" w:eastAsia="宋体" w:cs="Times New Roman"/>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（盖单位章）</w:t>
      </w:r>
    </w:p>
    <w:p w14:paraId="522010BE">
      <w:pPr>
        <w:keepNext w:val="0"/>
        <w:keepLines w:val="0"/>
        <w:widowControl w:val="0"/>
        <w:suppressLineNumbers w:val="0"/>
        <w:spacing w:before="0" w:beforeAutospacing="0" w:after="0" w:afterAutospacing="0" w:line="440" w:lineRule="exact"/>
        <w:ind w:left="0" w:right="0" w:firstLine="3675" w:firstLineChars="1750"/>
        <w:jc w:val="both"/>
        <w:rPr>
          <w:rFonts w:hint="default"/>
          <w:color w:val="auto"/>
          <w:szCs w:val="21"/>
          <w:highlight w:val="none"/>
        </w:rPr>
      </w:pPr>
      <w:r>
        <w:rPr>
          <w:rFonts w:hint="eastAsia" w:ascii="宋体" w:hAnsi="宋体" w:eastAsia="宋体" w:cs="宋体"/>
          <w:color w:val="auto"/>
          <w:kern w:val="2"/>
          <w:sz w:val="21"/>
          <w:szCs w:val="21"/>
          <w:highlight w:val="none"/>
          <w:lang w:val="en-US" w:eastAsia="zh-CN" w:bidi="ar"/>
        </w:rPr>
        <w:t>法定代表人或授权委托人：</w:t>
      </w:r>
      <w:r>
        <w:rPr>
          <w:rFonts w:hint="default" w:ascii="Times New Roman" w:hAnsi="Times New Roman" w:eastAsia="宋体" w:cs="Times New Roman"/>
          <w:color w:val="auto"/>
          <w:kern w:val="2"/>
          <w:sz w:val="21"/>
          <w:szCs w:val="21"/>
          <w:highlight w:val="none"/>
          <w:u w:val="single"/>
          <w:lang w:val="en-US" w:eastAsia="zh-CN" w:bidi="ar"/>
        </w:rPr>
        <w:t xml:space="preserve">      </w:t>
      </w:r>
      <w:r>
        <w:rPr>
          <w:rFonts w:hint="eastAsia" w:ascii="Times New Roman" w:hAnsi="Times New Roman" w:eastAsia="宋体" w:cs="Times New Roman"/>
          <w:color w:val="auto"/>
          <w:kern w:val="2"/>
          <w:sz w:val="21"/>
          <w:szCs w:val="21"/>
          <w:highlight w:val="none"/>
          <w:u w:val="single"/>
          <w:lang w:val="en-US" w:eastAsia="zh-CN" w:bidi="ar"/>
        </w:rPr>
        <w:t xml:space="preserve">   </w:t>
      </w:r>
      <w:r>
        <w:rPr>
          <w:rFonts w:hint="default" w:cs="Times New Roman"/>
          <w:color w:val="auto"/>
          <w:kern w:val="2"/>
          <w:sz w:val="21"/>
          <w:szCs w:val="21"/>
          <w:highlight w:val="none"/>
          <w:u w:val="single"/>
          <w:lang w:eastAsia="zh-CN" w:bidi="ar"/>
        </w:rPr>
        <w:t xml:space="preserve"> </w:t>
      </w:r>
      <w:r>
        <w:rPr>
          <w:rFonts w:hint="eastAsia" w:ascii="宋体" w:hAnsi="宋体" w:eastAsia="宋体" w:cs="宋体"/>
          <w:color w:val="auto"/>
          <w:kern w:val="2"/>
          <w:sz w:val="21"/>
          <w:szCs w:val="21"/>
          <w:highlight w:val="none"/>
          <w:lang w:val="en-US" w:eastAsia="zh-CN" w:bidi="ar"/>
        </w:rPr>
        <w:t>（签章）</w:t>
      </w:r>
    </w:p>
    <w:p w14:paraId="1F23B441">
      <w:pPr>
        <w:keepNext w:val="0"/>
        <w:keepLines w:val="0"/>
        <w:widowControl w:val="0"/>
        <w:suppressLineNumbers w:val="0"/>
        <w:spacing w:before="0" w:beforeAutospacing="0" w:after="0" w:afterAutospacing="0" w:line="440" w:lineRule="exact"/>
        <w:ind w:left="0" w:right="0" w:firstLine="3675" w:firstLineChars="1750"/>
        <w:jc w:val="both"/>
        <w:rPr>
          <w:rFonts w:hint="default"/>
          <w:color w:val="auto"/>
          <w:szCs w:val="21"/>
          <w:highlight w:val="none"/>
        </w:rPr>
      </w:pPr>
      <w:r>
        <w:rPr>
          <w:rFonts w:hint="eastAsia" w:ascii="宋体" w:hAnsi="宋体" w:eastAsia="宋体" w:cs="宋体"/>
          <w:color w:val="auto"/>
          <w:kern w:val="2"/>
          <w:sz w:val="21"/>
          <w:szCs w:val="21"/>
          <w:highlight w:val="none"/>
          <w:lang w:val="en-US" w:eastAsia="zh-CN" w:bidi="ar"/>
        </w:rPr>
        <w:t>地址：</w:t>
      </w:r>
      <w:r>
        <w:rPr>
          <w:rFonts w:hint="default" w:ascii="Times New Roman" w:hAnsi="Times New Roman" w:eastAsia="宋体" w:cs="Times New Roman"/>
          <w:color w:val="auto"/>
          <w:kern w:val="2"/>
          <w:sz w:val="21"/>
          <w:szCs w:val="21"/>
          <w:highlight w:val="none"/>
          <w:u w:val="single"/>
          <w:lang w:val="en-US" w:eastAsia="zh-CN" w:bidi="ar"/>
        </w:rPr>
        <w:t xml:space="preserve">                                   </w:t>
      </w:r>
    </w:p>
    <w:p w14:paraId="029EF1E6">
      <w:pPr>
        <w:keepNext w:val="0"/>
        <w:keepLines w:val="0"/>
        <w:widowControl w:val="0"/>
        <w:suppressLineNumbers w:val="0"/>
        <w:spacing w:before="0" w:beforeAutospacing="0" w:after="0" w:afterAutospacing="0" w:line="440" w:lineRule="exact"/>
        <w:ind w:left="0" w:right="0" w:firstLine="3675" w:firstLineChars="1750"/>
        <w:jc w:val="both"/>
        <w:rPr>
          <w:rFonts w:hint="default"/>
          <w:color w:val="auto"/>
          <w:szCs w:val="21"/>
          <w:highlight w:val="none"/>
        </w:rPr>
      </w:pPr>
      <w:r>
        <w:rPr>
          <w:rFonts w:hint="eastAsia" w:ascii="宋体" w:hAnsi="宋体" w:eastAsia="宋体" w:cs="宋体"/>
          <w:color w:val="auto"/>
          <w:kern w:val="2"/>
          <w:sz w:val="21"/>
          <w:szCs w:val="21"/>
          <w:highlight w:val="none"/>
          <w:lang w:val="en-US" w:eastAsia="zh-CN" w:bidi="ar"/>
        </w:rPr>
        <w:t>网址：</w:t>
      </w:r>
      <w:r>
        <w:rPr>
          <w:rFonts w:hint="default" w:ascii="Times New Roman" w:hAnsi="Times New Roman" w:eastAsia="宋体" w:cs="Times New Roman"/>
          <w:color w:val="auto"/>
          <w:kern w:val="2"/>
          <w:sz w:val="21"/>
          <w:szCs w:val="21"/>
          <w:highlight w:val="none"/>
          <w:u w:val="single"/>
          <w:lang w:val="en-US" w:eastAsia="zh-CN" w:bidi="ar"/>
        </w:rPr>
        <w:t xml:space="preserve">                                   </w:t>
      </w:r>
    </w:p>
    <w:p w14:paraId="529AC3A3">
      <w:pPr>
        <w:keepNext w:val="0"/>
        <w:keepLines w:val="0"/>
        <w:widowControl w:val="0"/>
        <w:suppressLineNumbers w:val="0"/>
        <w:spacing w:before="0" w:beforeAutospacing="0" w:after="0" w:afterAutospacing="0" w:line="440" w:lineRule="exact"/>
        <w:ind w:left="0" w:right="0" w:firstLine="3675" w:firstLineChars="1750"/>
        <w:jc w:val="both"/>
        <w:rPr>
          <w:rFonts w:hint="default"/>
          <w:color w:val="auto"/>
          <w:szCs w:val="21"/>
          <w:highlight w:val="none"/>
        </w:rPr>
      </w:pPr>
      <w:r>
        <w:rPr>
          <w:rFonts w:hint="eastAsia" w:ascii="宋体" w:hAnsi="宋体" w:eastAsia="宋体" w:cs="宋体"/>
          <w:color w:val="auto"/>
          <w:kern w:val="2"/>
          <w:sz w:val="21"/>
          <w:szCs w:val="21"/>
          <w:highlight w:val="none"/>
          <w:lang w:val="en-US" w:eastAsia="zh-CN" w:bidi="ar"/>
        </w:rPr>
        <w:t>电话：</w:t>
      </w:r>
      <w:r>
        <w:rPr>
          <w:rFonts w:hint="default" w:ascii="Times New Roman" w:hAnsi="Times New Roman" w:eastAsia="宋体" w:cs="Times New Roman"/>
          <w:color w:val="auto"/>
          <w:kern w:val="2"/>
          <w:sz w:val="21"/>
          <w:szCs w:val="21"/>
          <w:highlight w:val="none"/>
          <w:u w:val="single"/>
          <w:lang w:val="en-US" w:eastAsia="zh-CN" w:bidi="ar"/>
        </w:rPr>
        <w:t xml:space="preserve">                                   </w:t>
      </w:r>
    </w:p>
    <w:p w14:paraId="286EA25E">
      <w:pPr>
        <w:keepNext w:val="0"/>
        <w:keepLines w:val="0"/>
        <w:widowControl w:val="0"/>
        <w:suppressLineNumbers w:val="0"/>
        <w:spacing w:before="0" w:beforeAutospacing="0" w:after="0" w:afterAutospacing="0" w:line="440" w:lineRule="exact"/>
        <w:ind w:left="0" w:right="0" w:firstLine="3675" w:firstLineChars="1750"/>
        <w:jc w:val="both"/>
        <w:rPr>
          <w:rFonts w:hint="default"/>
          <w:color w:val="auto"/>
          <w:szCs w:val="21"/>
          <w:highlight w:val="none"/>
        </w:rPr>
      </w:pPr>
      <w:r>
        <w:rPr>
          <w:rFonts w:hint="eastAsia" w:ascii="宋体" w:hAnsi="宋体" w:eastAsia="宋体" w:cs="宋体"/>
          <w:color w:val="auto"/>
          <w:kern w:val="2"/>
          <w:sz w:val="21"/>
          <w:szCs w:val="21"/>
          <w:highlight w:val="none"/>
          <w:lang w:val="en-US" w:eastAsia="zh-CN" w:bidi="ar"/>
        </w:rPr>
        <w:t>传真：</w:t>
      </w:r>
      <w:r>
        <w:rPr>
          <w:rFonts w:hint="default" w:ascii="Times New Roman" w:hAnsi="Times New Roman" w:eastAsia="宋体" w:cs="Times New Roman"/>
          <w:color w:val="auto"/>
          <w:kern w:val="2"/>
          <w:sz w:val="21"/>
          <w:szCs w:val="21"/>
          <w:highlight w:val="none"/>
          <w:u w:val="single"/>
          <w:lang w:val="en-US" w:eastAsia="zh-CN" w:bidi="ar"/>
        </w:rPr>
        <w:t xml:space="preserve">                                   </w:t>
      </w:r>
    </w:p>
    <w:p w14:paraId="67730C07">
      <w:pPr>
        <w:keepNext w:val="0"/>
        <w:keepLines w:val="0"/>
        <w:widowControl w:val="0"/>
        <w:suppressLineNumbers w:val="0"/>
        <w:spacing w:before="0" w:beforeAutospacing="0" w:after="0" w:afterAutospacing="0" w:line="440" w:lineRule="exact"/>
        <w:ind w:left="0" w:right="0" w:firstLine="3675" w:firstLineChars="1750"/>
        <w:jc w:val="both"/>
        <w:rPr>
          <w:rFonts w:hint="default"/>
          <w:color w:val="auto"/>
          <w:szCs w:val="21"/>
          <w:highlight w:val="none"/>
        </w:rPr>
      </w:pPr>
      <w:r>
        <w:rPr>
          <w:rFonts w:hint="eastAsia" w:ascii="宋体" w:hAnsi="宋体" w:eastAsia="宋体" w:cs="宋体"/>
          <w:color w:val="auto"/>
          <w:kern w:val="2"/>
          <w:sz w:val="21"/>
          <w:szCs w:val="21"/>
          <w:highlight w:val="none"/>
          <w:lang w:val="en-US" w:eastAsia="zh-CN" w:bidi="ar"/>
        </w:rPr>
        <w:t>邮政编码：</w:t>
      </w:r>
      <w:r>
        <w:rPr>
          <w:rFonts w:hint="default" w:ascii="Times New Roman" w:hAnsi="Times New Roman" w:eastAsia="宋体" w:cs="Times New Roman"/>
          <w:color w:val="auto"/>
          <w:kern w:val="2"/>
          <w:sz w:val="21"/>
          <w:szCs w:val="21"/>
          <w:highlight w:val="none"/>
          <w:u w:val="single"/>
          <w:lang w:val="en-US" w:eastAsia="zh-CN" w:bidi="ar"/>
        </w:rPr>
        <w:t xml:space="preserve">                               </w:t>
      </w:r>
    </w:p>
    <w:p w14:paraId="748B7D14">
      <w:pPr>
        <w:keepNext w:val="0"/>
        <w:keepLines w:val="0"/>
        <w:widowControl w:val="0"/>
        <w:suppressLineNumbers w:val="0"/>
        <w:spacing w:before="0" w:beforeAutospacing="0" w:after="0" w:afterAutospacing="0"/>
        <w:ind w:left="5040" w:leftChars="0" w:right="0" w:firstLine="420" w:firstLineChars="0"/>
        <w:jc w:val="both"/>
        <w:rPr>
          <w:color w:val="auto"/>
          <w:highlight w:val="none"/>
        </w:rPr>
        <w:sectPr>
          <w:footerReference r:id="rId5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年</w:t>
      </w:r>
      <w:r>
        <w:rPr>
          <w:rFonts w:hint="default" w:ascii="Times New Roman" w:hAnsi="Times New Roman" w:eastAsia="宋体" w:cs="Times New Roman"/>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月</w:t>
      </w:r>
      <w:r>
        <w:rPr>
          <w:rFonts w:hint="default" w:ascii="Times New Roman" w:hAnsi="Times New Roman" w:eastAsia="宋体" w:cs="Times New Roman"/>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日</w:t>
      </w:r>
    </w:p>
    <w:p w14:paraId="583D7774">
      <w:pPr>
        <w:pStyle w:val="37"/>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color w:val="auto"/>
          <w:sz w:val="28"/>
          <w:szCs w:val="28"/>
          <w:highlight w:val="none"/>
        </w:rPr>
      </w:pPr>
      <w:bookmarkStart w:id="2279" w:name="_Toc256000204"/>
      <w:bookmarkStart w:id="2280" w:name="_Toc25209"/>
      <w:bookmarkStart w:id="2281" w:name="_Toc122603071"/>
      <w:r>
        <w:rPr>
          <w:rFonts w:hint="eastAsia" w:cs="宋体"/>
          <w:color w:val="auto"/>
          <w:sz w:val="28"/>
          <w:szCs w:val="28"/>
          <w:highlight w:val="none"/>
          <w:lang w:eastAsia="zh-CN"/>
        </w:rPr>
        <w:t>（</w:t>
      </w:r>
      <w:r>
        <w:rPr>
          <w:rFonts w:hint="default" w:cs="宋体"/>
          <w:color w:val="auto"/>
          <w:sz w:val="28"/>
          <w:szCs w:val="28"/>
          <w:highlight w:val="none"/>
        </w:rPr>
        <w:t>二</w:t>
      </w:r>
      <w:r>
        <w:rPr>
          <w:rFonts w:hint="eastAsia" w:cs="宋体"/>
          <w:color w:val="auto"/>
          <w:sz w:val="28"/>
          <w:szCs w:val="28"/>
          <w:highlight w:val="none"/>
          <w:lang w:eastAsia="zh-CN"/>
        </w:rPr>
        <w:t>）</w:t>
      </w:r>
      <w:r>
        <w:rPr>
          <w:rFonts w:hint="eastAsia" w:cs="宋体"/>
          <w:color w:val="auto"/>
          <w:sz w:val="28"/>
          <w:szCs w:val="28"/>
          <w:highlight w:val="none"/>
        </w:rPr>
        <w:t>投标函附录</w:t>
      </w:r>
      <w:bookmarkEnd w:id="2279"/>
      <w:bookmarkEnd w:id="2280"/>
      <w:bookmarkEnd w:id="2281"/>
    </w:p>
    <w:p w14:paraId="04C0BE04">
      <w:pPr>
        <w:rPr>
          <w:rFonts w:hint="eastAsia" w:ascii="宋体" w:hAnsi="宋体"/>
          <w:b/>
          <w:color w:val="auto"/>
          <w:szCs w:val="21"/>
          <w:highlight w:val="none"/>
        </w:rPr>
      </w:pPr>
    </w:p>
    <w:p w14:paraId="1BB4826E">
      <w:pPr>
        <w:rPr>
          <w:rFonts w:hint="eastAsia" w:ascii="宋体" w:hAnsi="宋体"/>
          <w:color w:val="auto"/>
          <w:szCs w:val="21"/>
          <w:highlight w:val="none"/>
        </w:rPr>
      </w:pPr>
      <w:r>
        <w:rPr>
          <w:rFonts w:hint="eastAsia" w:ascii="宋体" w:hAnsi="宋体"/>
          <w:b/>
          <w:color w:val="auto"/>
          <w:szCs w:val="21"/>
          <w:highlight w:val="none"/>
        </w:rPr>
        <w:t>标段名称：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548095B8">
      <w:pPr>
        <w:rPr>
          <w:rFonts w:hint="eastAsia" w:ascii="宋体" w:hAnsi="宋体"/>
          <w:color w:val="auto"/>
          <w:szCs w:val="21"/>
          <w:highlight w:val="none"/>
        </w:rPr>
      </w:pPr>
    </w:p>
    <w:tbl>
      <w:tblPr>
        <w:tblStyle w:val="25"/>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399"/>
        <w:gridCol w:w="1314"/>
        <w:gridCol w:w="3784"/>
        <w:gridCol w:w="709"/>
      </w:tblGrid>
      <w:tr w14:paraId="2F95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7A28B6AF">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2399" w:type="dxa"/>
            <w:vAlign w:val="center"/>
          </w:tcPr>
          <w:p w14:paraId="68F18BA5">
            <w:pPr>
              <w:jc w:val="center"/>
              <w:rPr>
                <w:rFonts w:hint="eastAsia" w:ascii="宋体" w:hAnsi="宋体"/>
                <w:color w:val="auto"/>
                <w:szCs w:val="21"/>
                <w:highlight w:val="none"/>
              </w:rPr>
            </w:pPr>
            <w:r>
              <w:rPr>
                <w:rFonts w:hint="eastAsia" w:ascii="宋体" w:hAnsi="宋体"/>
                <w:color w:val="auto"/>
                <w:szCs w:val="21"/>
                <w:highlight w:val="none"/>
              </w:rPr>
              <w:t>条款内容</w:t>
            </w:r>
          </w:p>
        </w:tc>
        <w:tc>
          <w:tcPr>
            <w:tcW w:w="1314" w:type="dxa"/>
            <w:vAlign w:val="center"/>
          </w:tcPr>
          <w:p w14:paraId="6D4904C5">
            <w:pPr>
              <w:jc w:val="center"/>
              <w:rPr>
                <w:rFonts w:hint="eastAsia" w:ascii="宋体" w:hAnsi="宋体"/>
                <w:color w:val="auto"/>
                <w:szCs w:val="21"/>
                <w:highlight w:val="none"/>
              </w:rPr>
            </w:pPr>
          </w:p>
        </w:tc>
        <w:tc>
          <w:tcPr>
            <w:tcW w:w="3784" w:type="dxa"/>
            <w:vAlign w:val="center"/>
          </w:tcPr>
          <w:p w14:paraId="3C5676DD">
            <w:pPr>
              <w:jc w:val="center"/>
              <w:rPr>
                <w:rFonts w:hint="eastAsia" w:ascii="宋体" w:hAnsi="宋体"/>
                <w:color w:val="auto"/>
                <w:szCs w:val="21"/>
                <w:highlight w:val="none"/>
              </w:rPr>
            </w:pPr>
            <w:r>
              <w:rPr>
                <w:rFonts w:hint="eastAsia" w:ascii="宋体" w:hAnsi="宋体"/>
                <w:color w:val="auto"/>
                <w:szCs w:val="21"/>
                <w:highlight w:val="none"/>
              </w:rPr>
              <w:t>约定内容</w:t>
            </w:r>
          </w:p>
        </w:tc>
        <w:tc>
          <w:tcPr>
            <w:tcW w:w="709" w:type="dxa"/>
            <w:vAlign w:val="center"/>
          </w:tcPr>
          <w:p w14:paraId="318F555B">
            <w:pPr>
              <w:jc w:val="center"/>
              <w:rPr>
                <w:rFonts w:hint="eastAsia" w:ascii="宋体" w:hAnsi="宋体"/>
                <w:color w:val="auto"/>
                <w:szCs w:val="21"/>
                <w:highlight w:val="none"/>
              </w:rPr>
            </w:pPr>
            <w:r>
              <w:rPr>
                <w:rFonts w:hint="eastAsia" w:ascii="宋体" w:hAnsi="宋体"/>
                <w:color w:val="auto"/>
                <w:szCs w:val="21"/>
                <w:highlight w:val="none"/>
              </w:rPr>
              <w:t>备注</w:t>
            </w:r>
          </w:p>
        </w:tc>
      </w:tr>
      <w:tr w14:paraId="75E1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20" w:type="dxa"/>
            <w:vAlign w:val="center"/>
          </w:tcPr>
          <w:p w14:paraId="5D143DF4">
            <w:pPr>
              <w:autoSpaceDE w:val="0"/>
              <w:autoSpaceDN w:val="0"/>
              <w:adjustRightInd w:val="0"/>
              <w:spacing w:before="94" w:beforeLines="30"/>
              <w:jc w:val="center"/>
              <w:rPr>
                <w:rFonts w:hint="eastAsia" w:ascii="宋体" w:hAnsi="宋体" w:cs="Arial"/>
                <w:color w:val="auto"/>
                <w:kern w:val="0"/>
                <w:szCs w:val="21"/>
                <w:highlight w:val="none"/>
              </w:rPr>
            </w:pPr>
            <w:r>
              <w:rPr>
                <w:rFonts w:hint="eastAsia" w:ascii="宋体" w:hAnsi="宋体" w:cs="Arial"/>
                <w:color w:val="auto"/>
                <w:kern w:val="0"/>
                <w:szCs w:val="21"/>
                <w:highlight w:val="none"/>
              </w:rPr>
              <w:t>1</w:t>
            </w:r>
          </w:p>
        </w:tc>
        <w:tc>
          <w:tcPr>
            <w:tcW w:w="2399" w:type="dxa"/>
            <w:vAlign w:val="center"/>
          </w:tcPr>
          <w:p w14:paraId="7861C3F1">
            <w:pPr>
              <w:rPr>
                <w:rFonts w:hint="eastAsia" w:ascii="宋体" w:hAnsi="宋体"/>
                <w:color w:val="auto"/>
                <w:szCs w:val="21"/>
                <w:highlight w:val="none"/>
              </w:rPr>
            </w:pPr>
            <w:r>
              <w:rPr>
                <w:rFonts w:ascii="宋体" w:hAnsi="宋体"/>
                <w:color w:val="auto"/>
                <w:szCs w:val="21"/>
                <w:highlight w:val="none"/>
              </w:rPr>
              <w:t>项目经理</w:t>
            </w:r>
          </w:p>
        </w:tc>
        <w:tc>
          <w:tcPr>
            <w:tcW w:w="1314" w:type="dxa"/>
            <w:vAlign w:val="center"/>
          </w:tcPr>
          <w:p w14:paraId="79F2D8D9">
            <w:pPr>
              <w:autoSpaceDE w:val="0"/>
              <w:autoSpaceDN w:val="0"/>
              <w:adjustRightInd w:val="0"/>
              <w:spacing w:before="50"/>
              <w:jc w:val="center"/>
              <w:rPr>
                <w:rFonts w:hint="eastAsia" w:ascii="宋体" w:hAnsi="宋体"/>
                <w:color w:val="auto"/>
                <w:szCs w:val="21"/>
                <w:highlight w:val="none"/>
              </w:rPr>
            </w:pPr>
          </w:p>
        </w:tc>
        <w:tc>
          <w:tcPr>
            <w:tcW w:w="3784" w:type="dxa"/>
            <w:vAlign w:val="center"/>
          </w:tcPr>
          <w:p w14:paraId="3B2047D9">
            <w:pPr>
              <w:rPr>
                <w:rFonts w:hint="eastAsia" w:ascii="宋体" w:hAnsi="宋体"/>
                <w:color w:val="auto"/>
                <w:szCs w:val="21"/>
                <w:highlight w:val="none"/>
              </w:rPr>
            </w:pPr>
            <w:r>
              <w:rPr>
                <w:rFonts w:hint="eastAsia" w:ascii="宋体" w:hAnsi="宋体"/>
                <w:color w:val="auto"/>
                <w:szCs w:val="21"/>
                <w:highlight w:val="none"/>
              </w:rPr>
              <w:t>（见投标函）</w:t>
            </w:r>
          </w:p>
        </w:tc>
        <w:tc>
          <w:tcPr>
            <w:tcW w:w="709" w:type="dxa"/>
            <w:vAlign w:val="center"/>
          </w:tcPr>
          <w:p w14:paraId="74702220">
            <w:pPr>
              <w:jc w:val="center"/>
              <w:rPr>
                <w:rFonts w:hint="eastAsia" w:ascii="宋体" w:hAnsi="宋体"/>
                <w:color w:val="auto"/>
                <w:szCs w:val="21"/>
                <w:highlight w:val="none"/>
              </w:rPr>
            </w:pPr>
          </w:p>
        </w:tc>
      </w:tr>
      <w:tr w14:paraId="6900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20" w:type="dxa"/>
            <w:vAlign w:val="center"/>
          </w:tcPr>
          <w:p w14:paraId="2137328A">
            <w:pPr>
              <w:autoSpaceDE w:val="0"/>
              <w:autoSpaceDN w:val="0"/>
              <w:adjustRightInd w:val="0"/>
              <w:spacing w:before="94" w:beforeLines="30"/>
              <w:jc w:val="center"/>
              <w:rPr>
                <w:rFonts w:hint="eastAsia" w:ascii="宋体" w:hAnsi="宋体" w:cs="Arial"/>
                <w:color w:val="auto"/>
                <w:kern w:val="0"/>
                <w:szCs w:val="21"/>
                <w:highlight w:val="none"/>
              </w:rPr>
            </w:pPr>
            <w:r>
              <w:rPr>
                <w:rFonts w:hint="eastAsia" w:ascii="宋体" w:hAnsi="宋体" w:cs="Arial"/>
                <w:color w:val="auto"/>
                <w:kern w:val="0"/>
                <w:szCs w:val="21"/>
                <w:highlight w:val="none"/>
              </w:rPr>
              <w:t>2</w:t>
            </w:r>
          </w:p>
        </w:tc>
        <w:tc>
          <w:tcPr>
            <w:tcW w:w="2399" w:type="dxa"/>
            <w:vAlign w:val="center"/>
          </w:tcPr>
          <w:p w14:paraId="2238EB15">
            <w:pPr>
              <w:rPr>
                <w:rFonts w:hint="eastAsia" w:ascii="宋体" w:hAnsi="宋体"/>
                <w:color w:val="auto"/>
                <w:szCs w:val="21"/>
                <w:highlight w:val="none"/>
              </w:rPr>
            </w:pPr>
            <w:r>
              <w:rPr>
                <w:rFonts w:hint="eastAsia" w:ascii="宋体" w:hAnsi="宋体" w:cs="Arial"/>
                <w:color w:val="auto"/>
                <w:kern w:val="0"/>
                <w:szCs w:val="21"/>
                <w:highlight w:val="none"/>
              </w:rPr>
              <w:t>工期</w:t>
            </w:r>
          </w:p>
        </w:tc>
        <w:tc>
          <w:tcPr>
            <w:tcW w:w="1314" w:type="dxa"/>
            <w:vAlign w:val="center"/>
          </w:tcPr>
          <w:p w14:paraId="459F6535">
            <w:pPr>
              <w:autoSpaceDE w:val="0"/>
              <w:autoSpaceDN w:val="0"/>
              <w:adjustRightInd w:val="0"/>
              <w:spacing w:before="50"/>
              <w:jc w:val="center"/>
              <w:rPr>
                <w:rFonts w:hint="eastAsia" w:ascii="宋体" w:hAnsi="宋体"/>
                <w:color w:val="auto"/>
                <w:szCs w:val="21"/>
                <w:highlight w:val="none"/>
              </w:rPr>
            </w:pPr>
          </w:p>
        </w:tc>
        <w:tc>
          <w:tcPr>
            <w:tcW w:w="3784" w:type="dxa"/>
            <w:vAlign w:val="center"/>
          </w:tcPr>
          <w:p w14:paraId="79F3E441">
            <w:pPr>
              <w:rPr>
                <w:rFonts w:hint="eastAsia" w:ascii="宋体" w:hAnsi="宋体"/>
                <w:color w:val="auto"/>
                <w:szCs w:val="21"/>
                <w:highlight w:val="none"/>
              </w:rPr>
            </w:pPr>
            <w:r>
              <w:rPr>
                <w:rFonts w:hint="eastAsia" w:ascii="宋体" w:hAnsi="宋体"/>
                <w:color w:val="auto"/>
                <w:szCs w:val="21"/>
                <w:highlight w:val="none"/>
              </w:rPr>
              <w:t>（见投标函）</w:t>
            </w:r>
          </w:p>
        </w:tc>
        <w:tc>
          <w:tcPr>
            <w:tcW w:w="709" w:type="dxa"/>
            <w:vAlign w:val="center"/>
          </w:tcPr>
          <w:p w14:paraId="242AAC47">
            <w:pPr>
              <w:jc w:val="center"/>
              <w:rPr>
                <w:rFonts w:hint="eastAsia" w:ascii="宋体" w:hAnsi="宋体"/>
                <w:color w:val="auto"/>
                <w:szCs w:val="21"/>
                <w:highlight w:val="none"/>
              </w:rPr>
            </w:pPr>
          </w:p>
        </w:tc>
      </w:tr>
      <w:tr w14:paraId="7917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20" w:type="dxa"/>
            <w:vAlign w:val="center"/>
          </w:tcPr>
          <w:p w14:paraId="69A142E1">
            <w:pPr>
              <w:autoSpaceDE w:val="0"/>
              <w:autoSpaceDN w:val="0"/>
              <w:adjustRightInd w:val="0"/>
              <w:spacing w:before="94" w:beforeLines="30"/>
              <w:jc w:val="center"/>
              <w:rPr>
                <w:rFonts w:hint="eastAsia" w:ascii="宋体" w:hAnsi="宋体" w:cs="Arial"/>
                <w:color w:val="auto"/>
                <w:kern w:val="0"/>
                <w:szCs w:val="21"/>
                <w:highlight w:val="none"/>
              </w:rPr>
            </w:pPr>
            <w:r>
              <w:rPr>
                <w:rFonts w:hint="eastAsia" w:ascii="宋体" w:hAnsi="宋体" w:cs="Arial"/>
                <w:color w:val="auto"/>
                <w:kern w:val="0"/>
                <w:szCs w:val="21"/>
                <w:highlight w:val="none"/>
              </w:rPr>
              <w:t>3</w:t>
            </w:r>
          </w:p>
        </w:tc>
        <w:tc>
          <w:tcPr>
            <w:tcW w:w="2399" w:type="dxa"/>
            <w:vAlign w:val="center"/>
          </w:tcPr>
          <w:p w14:paraId="0444B69C">
            <w:pPr>
              <w:rPr>
                <w:rFonts w:hint="eastAsia" w:ascii="宋体" w:hAnsi="宋体"/>
                <w:color w:val="auto"/>
                <w:szCs w:val="21"/>
                <w:highlight w:val="none"/>
              </w:rPr>
            </w:pPr>
            <w:r>
              <w:rPr>
                <w:rFonts w:hint="eastAsia" w:ascii="宋体" w:hAnsi="宋体"/>
                <w:color w:val="auto"/>
                <w:szCs w:val="21"/>
                <w:highlight w:val="none"/>
              </w:rPr>
              <w:t>缺陷责任期</w:t>
            </w:r>
          </w:p>
        </w:tc>
        <w:tc>
          <w:tcPr>
            <w:tcW w:w="1314" w:type="dxa"/>
            <w:tcMar>
              <w:left w:w="170" w:type="dxa"/>
            </w:tcMar>
            <w:vAlign w:val="center"/>
          </w:tcPr>
          <w:p w14:paraId="6513A18F">
            <w:pPr>
              <w:autoSpaceDE w:val="0"/>
              <w:autoSpaceDN w:val="0"/>
              <w:adjustRightInd w:val="0"/>
              <w:spacing w:before="50"/>
              <w:jc w:val="center"/>
              <w:rPr>
                <w:rFonts w:hint="eastAsia" w:ascii="宋体" w:hAnsi="宋体"/>
                <w:color w:val="auto"/>
                <w:szCs w:val="21"/>
                <w:highlight w:val="none"/>
              </w:rPr>
            </w:pPr>
          </w:p>
        </w:tc>
        <w:tc>
          <w:tcPr>
            <w:tcW w:w="3784" w:type="dxa"/>
            <w:vAlign w:val="center"/>
          </w:tcPr>
          <w:p w14:paraId="6CB80A0E">
            <w:pPr>
              <w:rPr>
                <w:rFonts w:hint="eastAsia" w:ascii="宋体" w:hAnsi="宋体"/>
                <w:color w:val="auto"/>
                <w:szCs w:val="21"/>
                <w:highlight w:val="none"/>
              </w:rPr>
            </w:pPr>
            <w:r>
              <w:rPr>
                <w:rFonts w:hint="eastAsia" w:ascii="宋体" w:hAnsi="宋体" w:cs="宋体"/>
                <w:color w:val="auto"/>
                <w:sz w:val="21"/>
                <w:szCs w:val="21"/>
                <w:highlight w:val="none"/>
                <w:u w:val="single"/>
              </w:rPr>
              <w:t xml:space="preserve">  12个月（竣工验收合格之日起）</w:t>
            </w:r>
          </w:p>
        </w:tc>
        <w:tc>
          <w:tcPr>
            <w:tcW w:w="709" w:type="dxa"/>
            <w:vAlign w:val="center"/>
          </w:tcPr>
          <w:p w14:paraId="335CD113">
            <w:pPr>
              <w:jc w:val="center"/>
              <w:rPr>
                <w:rFonts w:hint="eastAsia" w:ascii="宋体" w:hAnsi="宋体"/>
                <w:color w:val="auto"/>
                <w:szCs w:val="21"/>
                <w:highlight w:val="none"/>
              </w:rPr>
            </w:pPr>
          </w:p>
        </w:tc>
      </w:tr>
      <w:tr w14:paraId="5C20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7667015A">
            <w:pPr>
              <w:autoSpaceDE w:val="0"/>
              <w:autoSpaceDN w:val="0"/>
              <w:adjustRightInd w:val="0"/>
              <w:spacing w:before="94" w:beforeLines="30"/>
              <w:jc w:val="center"/>
              <w:rPr>
                <w:rFonts w:hint="eastAsia" w:ascii="宋体" w:hAnsi="宋体" w:cs="Arial"/>
                <w:color w:val="auto"/>
                <w:kern w:val="0"/>
                <w:szCs w:val="21"/>
                <w:highlight w:val="none"/>
              </w:rPr>
            </w:pPr>
          </w:p>
        </w:tc>
        <w:tc>
          <w:tcPr>
            <w:tcW w:w="2399" w:type="dxa"/>
            <w:vAlign w:val="center"/>
          </w:tcPr>
          <w:p w14:paraId="655A4B0B">
            <w:pPr>
              <w:rPr>
                <w:rFonts w:hint="eastAsia" w:ascii="宋体" w:hAnsi="宋体"/>
                <w:color w:val="auto"/>
                <w:szCs w:val="21"/>
                <w:highlight w:val="none"/>
              </w:rPr>
            </w:pPr>
          </w:p>
        </w:tc>
        <w:tc>
          <w:tcPr>
            <w:tcW w:w="1314" w:type="dxa"/>
            <w:tcMar>
              <w:left w:w="170" w:type="dxa"/>
            </w:tcMar>
            <w:vAlign w:val="center"/>
          </w:tcPr>
          <w:p w14:paraId="0D0E6C06">
            <w:pPr>
              <w:autoSpaceDE w:val="0"/>
              <w:autoSpaceDN w:val="0"/>
              <w:adjustRightInd w:val="0"/>
              <w:spacing w:before="50"/>
              <w:jc w:val="center"/>
              <w:rPr>
                <w:rFonts w:hint="eastAsia" w:ascii="宋体" w:hAnsi="宋体"/>
                <w:color w:val="auto"/>
                <w:szCs w:val="21"/>
                <w:highlight w:val="none"/>
              </w:rPr>
            </w:pPr>
          </w:p>
        </w:tc>
        <w:tc>
          <w:tcPr>
            <w:tcW w:w="3784" w:type="dxa"/>
            <w:vAlign w:val="center"/>
          </w:tcPr>
          <w:p w14:paraId="7F2F8D9A">
            <w:pPr>
              <w:rPr>
                <w:rFonts w:hint="eastAsia" w:ascii="宋体" w:hAnsi="宋体"/>
                <w:color w:val="auto"/>
                <w:szCs w:val="21"/>
                <w:highlight w:val="none"/>
              </w:rPr>
            </w:pPr>
          </w:p>
        </w:tc>
        <w:tc>
          <w:tcPr>
            <w:tcW w:w="709" w:type="dxa"/>
            <w:vAlign w:val="center"/>
          </w:tcPr>
          <w:p w14:paraId="743BB68A">
            <w:pPr>
              <w:jc w:val="center"/>
              <w:rPr>
                <w:rFonts w:hint="eastAsia" w:ascii="宋体" w:hAnsi="宋体"/>
                <w:color w:val="auto"/>
                <w:szCs w:val="21"/>
                <w:highlight w:val="none"/>
              </w:rPr>
            </w:pPr>
          </w:p>
        </w:tc>
      </w:tr>
      <w:tr w14:paraId="76C2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25C2CB40">
            <w:pPr>
              <w:autoSpaceDE w:val="0"/>
              <w:autoSpaceDN w:val="0"/>
              <w:adjustRightInd w:val="0"/>
              <w:spacing w:before="94" w:beforeLines="30"/>
              <w:jc w:val="center"/>
              <w:rPr>
                <w:rFonts w:hint="eastAsia" w:ascii="宋体" w:hAnsi="宋体" w:cs="Arial"/>
                <w:color w:val="auto"/>
                <w:kern w:val="0"/>
                <w:szCs w:val="21"/>
                <w:highlight w:val="none"/>
              </w:rPr>
            </w:pPr>
          </w:p>
        </w:tc>
        <w:tc>
          <w:tcPr>
            <w:tcW w:w="2399" w:type="dxa"/>
            <w:vAlign w:val="center"/>
          </w:tcPr>
          <w:p w14:paraId="04734BF5">
            <w:pPr>
              <w:rPr>
                <w:color w:val="auto"/>
                <w:highlight w:val="none"/>
              </w:rPr>
            </w:pPr>
          </w:p>
        </w:tc>
        <w:tc>
          <w:tcPr>
            <w:tcW w:w="1314" w:type="dxa"/>
            <w:tcMar>
              <w:left w:w="170" w:type="dxa"/>
            </w:tcMar>
            <w:vAlign w:val="center"/>
          </w:tcPr>
          <w:p w14:paraId="51D23469">
            <w:pPr>
              <w:autoSpaceDE w:val="0"/>
              <w:autoSpaceDN w:val="0"/>
              <w:adjustRightInd w:val="0"/>
              <w:spacing w:before="50"/>
              <w:jc w:val="center"/>
              <w:rPr>
                <w:rFonts w:hint="eastAsia" w:ascii="宋体" w:hAnsi="宋体"/>
                <w:color w:val="auto"/>
                <w:szCs w:val="21"/>
                <w:highlight w:val="none"/>
              </w:rPr>
            </w:pPr>
          </w:p>
        </w:tc>
        <w:tc>
          <w:tcPr>
            <w:tcW w:w="3784" w:type="dxa"/>
            <w:vAlign w:val="center"/>
          </w:tcPr>
          <w:p w14:paraId="7578F988">
            <w:pPr>
              <w:rPr>
                <w:rFonts w:hint="eastAsia" w:ascii="宋体" w:hAnsi="宋体"/>
                <w:color w:val="auto"/>
                <w:szCs w:val="21"/>
                <w:highlight w:val="none"/>
              </w:rPr>
            </w:pPr>
          </w:p>
        </w:tc>
        <w:tc>
          <w:tcPr>
            <w:tcW w:w="709" w:type="dxa"/>
            <w:vAlign w:val="center"/>
          </w:tcPr>
          <w:p w14:paraId="0F4E93EF">
            <w:pPr>
              <w:jc w:val="center"/>
              <w:rPr>
                <w:rFonts w:hint="eastAsia" w:ascii="宋体" w:hAnsi="宋体"/>
                <w:color w:val="auto"/>
                <w:szCs w:val="21"/>
                <w:highlight w:val="none"/>
              </w:rPr>
            </w:pPr>
          </w:p>
        </w:tc>
      </w:tr>
      <w:tr w14:paraId="627D1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0D3AAFC7">
            <w:pPr>
              <w:autoSpaceDE w:val="0"/>
              <w:autoSpaceDN w:val="0"/>
              <w:adjustRightInd w:val="0"/>
              <w:spacing w:before="94" w:beforeLines="30"/>
              <w:jc w:val="center"/>
              <w:rPr>
                <w:rFonts w:hint="eastAsia" w:ascii="宋体" w:hAnsi="宋体" w:cs="Arial"/>
                <w:color w:val="auto"/>
                <w:kern w:val="0"/>
                <w:szCs w:val="21"/>
                <w:highlight w:val="none"/>
              </w:rPr>
            </w:pPr>
          </w:p>
        </w:tc>
        <w:tc>
          <w:tcPr>
            <w:tcW w:w="2399" w:type="dxa"/>
            <w:vAlign w:val="center"/>
          </w:tcPr>
          <w:p w14:paraId="0CFE43C5">
            <w:pPr>
              <w:rPr>
                <w:color w:val="auto"/>
                <w:highlight w:val="none"/>
              </w:rPr>
            </w:pPr>
          </w:p>
        </w:tc>
        <w:tc>
          <w:tcPr>
            <w:tcW w:w="1314" w:type="dxa"/>
            <w:tcMar>
              <w:left w:w="170" w:type="dxa"/>
            </w:tcMar>
            <w:vAlign w:val="center"/>
          </w:tcPr>
          <w:p w14:paraId="2D40A5E9">
            <w:pPr>
              <w:autoSpaceDE w:val="0"/>
              <w:autoSpaceDN w:val="0"/>
              <w:adjustRightInd w:val="0"/>
              <w:spacing w:before="50"/>
              <w:jc w:val="center"/>
              <w:rPr>
                <w:rFonts w:hint="eastAsia" w:ascii="宋体" w:hAnsi="宋体"/>
                <w:color w:val="auto"/>
                <w:szCs w:val="21"/>
                <w:highlight w:val="none"/>
              </w:rPr>
            </w:pPr>
          </w:p>
        </w:tc>
        <w:tc>
          <w:tcPr>
            <w:tcW w:w="3784" w:type="dxa"/>
            <w:vAlign w:val="center"/>
          </w:tcPr>
          <w:p w14:paraId="16BAD7D9">
            <w:pPr>
              <w:rPr>
                <w:rFonts w:hint="eastAsia" w:ascii="宋体" w:hAnsi="宋体"/>
                <w:color w:val="auto"/>
                <w:szCs w:val="21"/>
                <w:highlight w:val="none"/>
              </w:rPr>
            </w:pPr>
          </w:p>
        </w:tc>
        <w:tc>
          <w:tcPr>
            <w:tcW w:w="709" w:type="dxa"/>
            <w:vAlign w:val="center"/>
          </w:tcPr>
          <w:p w14:paraId="5E3EE609">
            <w:pPr>
              <w:jc w:val="center"/>
              <w:rPr>
                <w:rFonts w:hint="eastAsia" w:ascii="宋体" w:hAnsi="宋体"/>
                <w:color w:val="auto"/>
                <w:szCs w:val="21"/>
                <w:highlight w:val="none"/>
              </w:rPr>
            </w:pPr>
          </w:p>
        </w:tc>
      </w:tr>
      <w:tr w14:paraId="3703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3E485EFE">
            <w:pPr>
              <w:autoSpaceDE w:val="0"/>
              <w:autoSpaceDN w:val="0"/>
              <w:adjustRightInd w:val="0"/>
              <w:spacing w:before="94" w:beforeLines="30"/>
              <w:jc w:val="center"/>
              <w:rPr>
                <w:rFonts w:hint="eastAsia" w:ascii="宋体" w:hAnsi="宋体" w:cs="Arial"/>
                <w:color w:val="auto"/>
                <w:kern w:val="0"/>
                <w:szCs w:val="21"/>
                <w:highlight w:val="none"/>
              </w:rPr>
            </w:pPr>
          </w:p>
        </w:tc>
        <w:tc>
          <w:tcPr>
            <w:tcW w:w="2399" w:type="dxa"/>
            <w:vAlign w:val="center"/>
          </w:tcPr>
          <w:p w14:paraId="3C5CAF53">
            <w:pPr>
              <w:rPr>
                <w:color w:val="auto"/>
                <w:highlight w:val="none"/>
              </w:rPr>
            </w:pPr>
          </w:p>
        </w:tc>
        <w:tc>
          <w:tcPr>
            <w:tcW w:w="1314" w:type="dxa"/>
            <w:tcMar>
              <w:left w:w="170" w:type="dxa"/>
            </w:tcMar>
            <w:vAlign w:val="center"/>
          </w:tcPr>
          <w:p w14:paraId="7BC01031">
            <w:pPr>
              <w:autoSpaceDE w:val="0"/>
              <w:autoSpaceDN w:val="0"/>
              <w:adjustRightInd w:val="0"/>
              <w:spacing w:before="50"/>
              <w:jc w:val="center"/>
              <w:rPr>
                <w:rFonts w:hint="eastAsia" w:ascii="宋体" w:hAnsi="宋体"/>
                <w:color w:val="auto"/>
                <w:szCs w:val="21"/>
                <w:highlight w:val="none"/>
              </w:rPr>
            </w:pPr>
          </w:p>
        </w:tc>
        <w:tc>
          <w:tcPr>
            <w:tcW w:w="3784" w:type="dxa"/>
            <w:vAlign w:val="center"/>
          </w:tcPr>
          <w:p w14:paraId="5863A96D">
            <w:pPr>
              <w:rPr>
                <w:rFonts w:hint="eastAsia" w:ascii="宋体" w:hAnsi="宋体"/>
                <w:color w:val="auto"/>
                <w:szCs w:val="21"/>
                <w:highlight w:val="none"/>
              </w:rPr>
            </w:pPr>
          </w:p>
        </w:tc>
        <w:tc>
          <w:tcPr>
            <w:tcW w:w="709" w:type="dxa"/>
            <w:vAlign w:val="center"/>
          </w:tcPr>
          <w:p w14:paraId="7236B2C1">
            <w:pPr>
              <w:jc w:val="center"/>
              <w:rPr>
                <w:rFonts w:hint="eastAsia" w:ascii="宋体" w:hAnsi="宋体"/>
                <w:color w:val="auto"/>
                <w:szCs w:val="21"/>
                <w:highlight w:val="none"/>
              </w:rPr>
            </w:pPr>
          </w:p>
        </w:tc>
      </w:tr>
      <w:tr w14:paraId="4C37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20" w:type="dxa"/>
            <w:vAlign w:val="center"/>
          </w:tcPr>
          <w:p w14:paraId="5B753FEC">
            <w:pPr>
              <w:autoSpaceDE w:val="0"/>
              <w:autoSpaceDN w:val="0"/>
              <w:adjustRightInd w:val="0"/>
              <w:spacing w:before="94" w:beforeLines="30"/>
              <w:jc w:val="center"/>
              <w:rPr>
                <w:rFonts w:hint="eastAsia" w:ascii="宋体" w:hAnsi="宋体" w:cs="Arial"/>
                <w:color w:val="auto"/>
                <w:kern w:val="0"/>
                <w:szCs w:val="21"/>
                <w:highlight w:val="none"/>
              </w:rPr>
            </w:pPr>
          </w:p>
        </w:tc>
        <w:tc>
          <w:tcPr>
            <w:tcW w:w="2399" w:type="dxa"/>
            <w:vAlign w:val="center"/>
          </w:tcPr>
          <w:p w14:paraId="2017D4D3">
            <w:pPr>
              <w:rPr>
                <w:rFonts w:hint="eastAsia" w:ascii="宋体" w:hAnsi="宋体"/>
                <w:color w:val="auto"/>
                <w:szCs w:val="21"/>
                <w:highlight w:val="none"/>
              </w:rPr>
            </w:pPr>
          </w:p>
        </w:tc>
        <w:tc>
          <w:tcPr>
            <w:tcW w:w="1314" w:type="dxa"/>
            <w:tcMar>
              <w:left w:w="170" w:type="dxa"/>
            </w:tcMar>
            <w:vAlign w:val="center"/>
          </w:tcPr>
          <w:p w14:paraId="1708E042">
            <w:pPr>
              <w:jc w:val="center"/>
              <w:rPr>
                <w:rFonts w:hint="eastAsia" w:ascii="宋体" w:hAnsi="宋体"/>
                <w:color w:val="auto"/>
                <w:szCs w:val="21"/>
                <w:highlight w:val="none"/>
              </w:rPr>
            </w:pPr>
          </w:p>
        </w:tc>
        <w:tc>
          <w:tcPr>
            <w:tcW w:w="3784" w:type="dxa"/>
            <w:vAlign w:val="center"/>
          </w:tcPr>
          <w:p w14:paraId="3DF4FEC1">
            <w:pPr>
              <w:rPr>
                <w:rFonts w:hint="eastAsia" w:ascii="宋体" w:hAnsi="宋体"/>
                <w:color w:val="auto"/>
                <w:szCs w:val="21"/>
                <w:highlight w:val="none"/>
              </w:rPr>
            </w:pPr>
          </w:p>
        </w:tc>
        <w:tc>
          <w:tcPr>
            <w:tcW w:w="709" w:type="dxa"/>
            <w:vAlign w:val="center"/>
          </w:tcPr>
          <w:p w14:paraId="64695FE2">
            <w:pPr>
              <w:jc w:val="center"/>
              <w:rPr>
                <w:rFonts w:hint="eastAsia" w:ascii="宋体" w:hAnsi="宋体"/>
                <w:color w:val="auto"/>
                <w:szCs w:val="21"/>
                <w:highlight w:val="none"/>
              </w:rPr>
            </w:pPr>
          </w:p>
        </w:tc>
      </w:tr>
      <w:tr w14:paraId="65A8A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20" w:type="dxa"/>
            <w:vAlign w:val="center"/>
          </w:tcPr>
          <w:p w14:paraId="0C1013DD">
            <w:pPr>
              <w:autoSpaceDE w:val="0"/>
              <w:autoSpaceDN w:val="0"/>
              <w:adjustRightInd w:val="0"/>
              <w:spacing w:before="94" w:beforeLines="30"/>
              <w:jc w:val="center"/>
              <w:rPr>
                <w:rFonts w:hint="eastAsia" w:ascii="宋体" w:hAnsi="宋体" w:cs="Arial"/>
                <w:color w:val="auto"/>
                <w:kern w:val="0"/>
                <w:szCs w:val="21"/>
                <w:highlight w:val="none"/>
              </w:rPr>
            </w:pPr>
          </w:p>
        </w:tc>
        <w:tc>
          <w:tcPr>
            <w:tcW w:w="2399" w:type="dxa"/>
            <w:vAlign w:val="center"/>
          </w:tcPr>
          <w:p w14:paraId="26102C84">
            <w:pPr>
              <w:rPr>
                <w:rFonts w:hint="eastAsia" w:ascii="宋体" w:hAnsi="宋体"/>
                <w:color w:val="auto"/>
                <w:szCs w:val="21"/>
                <w:highlight w:val="none"/>
              </w:rPr>
            </w:pPr>
          </w:p>
        </w:tc>
        <w:tc>
          <w:tcPr>
            <w:tcW w:w="1314" w:type="dxa"/>
            <w:tcMar>
              <w:left w:w="170" w:type="dxa"/>
            </w:tcMar>
            <w:vAlign w:val="center"/>
          </w:tcPr>
          <w:p w14:paraId="3C4B32E3">
            <w:pPr>
              <w:jc w:val="center"/>
              <w:rPr>
                <w:rFonts w:hint="eastAsia" w:ascii="宋体" w:hAnsi="宋体"/>
                <w:color w:val="auto"/>
                <w:szCs w:val="21"/>
                <w:highlight w:val="none"/>
              </w:rPr>
            </w:pPr>
          </w:p>
        </w:tc>
        <w:tc>
          <w:tcPr>
            <w:tcW w:w="3784" w:type="dxa"/>
            <w:vAlign w:val="center"/>
          </w:tcPr>
          <w:p w14:paraId="232A1550">
            <w:pPr>
              <w:rPr>
                <w:rFonts w:hint="eastAsia" w:ascii="宋体" w:hAnsi="宋体"/>
                <w:color w:val="auto"/>
                <w:szCs w:val="21"/>
                <w:highlight w:val="none"/>
              </w:rPr>
            </w:pPr>
          </w:p>
        </w:tc>
        <w:tc>
          <w:tcPr>
            <w:tcW w:w="709" w:type="dxa"/>
            <w:vAlign w:val="center"/>
          </w:tcPr>
          <w:p w14:paraId="31B9CA9E">
            <w:pPr>
              <w:jc w:val="center"/>
              <w:rPr>
                <w:rFonts w:hint="eastAsia" w:ascii="宋体" w:hAnsi="宋体"/>
                <w:color w:val="auto"/>
                <w:szCs w:val="21"/>
                <w:highlight w:val="none"/>
              </w:rPr>
            </w:pPr>
          </w:p>
        </w:tc>
      </w:tr>
      <w:tr w14:paraId="5C0F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Align w:val="center"/>
          </w:tcPr>
          <w:p w14:paraId="648DAA1F">
            <w:pPr>
              <w:autoSpaceDE w:val="0"/>
              <w:autoSpaceDN w:val="0"/>
              <w:adjustRightInd w:val="0"/>
              <w:spacing w:before="94" w:beforeLines="30"/>
              <w:jc w:val="center"/>
              <w:rPr>
                <w:rFonts w:hint="eastAsia" w:ascii="宋体" w:hAnsi="宋体" w:cs="Arial"/>
                <w:color w:val="auto"/>
                <w:kern w:val="0"/>
                <w:szCs w:val="21"/>
                <w:highlight w:val="none"/>
              </w:rPr>
            </w:pPr>
          </w:p>
        </w:tc>
        <w:tc>
          <w:tcPr>
            <w:tcW w:w="2399" w:type="dxa"/>
            <w:vAlign w:val="center"/>
          </w:tcPr>
          <w:p w14:paraId="31F34BA4">
            <w:pPr>
              <w:rPr>
                <w:rFonts w:hint="eastAsia" w:ascii="宋体" w:hAnsi="宋体"/>
                <w:color w:val="auto"/>
                <w:szCs w:val="21"/>
                <w:highlight w:val="none"/>
              </w:rPr>
            </w:pPr>
          </w:p>
        </w:tc>
        <w:tc>
          <w:tcPr>
            <w:tcW w:w="1314" w:type="dxa"/>
            <w:tcMar>
              <w:left w:w="170" w:type="dxa"/>
            </w:tcMar>
            <w:vAlign w:val="center"/>
          </w:tcPr>
          <w:p w14:paraId="4BF7D8CB">
            <w:pPr>
              <w:jc w:val="center"/>
              <w:rPr>
                <w:rFonts w:hint="eastAsia" w:ascii="宋体" w:hAnsi="宋体"/>
                <w:color w:val="auto"/>
                <w:szCs w:val="21"/>
                <w:highlight w:val="none"/>
              </w:rPr>
            </w:pPr>
          </w:p>
        </w:tc>
        <w:tc>
          <w:tcPr>
            <w:tcW w:w="3784" w:type="dxa"/>
            <w:vAlign w:val="center"/>
          </w:tcPr>
          <w:p w14:paraId="4F9E1BCE">
            <w:pPr>
              <w:rPr>
                <w:rFonts w:hint="eastAsia" w:ascii="宋体" w:hAnsi="宋体"/>
                <w:color w:val="auto"/>
                <w:szCs w:val="21"/>
                <w:highlight w:val="none"/>
              </w:rPr>
            </w:pPr>
          </w:p>
        </w:tc>
        <w:tc>
          <w:tcPr>
            <w:tcW w:w="709" w:type="dxa"/>
            <w:vAlign w:val="center"/>
          </w:tcPr>
          <w:p w14:paraId="1E08ECD5">
            <w:pPr>
              <w:jc w:val="center"/>
              <w:rPr>
                <w:rFonts w:hint="eastAsia" w:ascii="宋体" w:hAnsi="宋体"/>
                <w:color w:val="auto"/>
                <w:szCs w:val="21"/>
                <w:highlight w:val="none"/>
              </w:rPr>
            </w:pPr>
          </w:p>
        </w:tc>
      </w:tr>
      <w:tr w14:paraId="5CB0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720" w:type="dxa"/>
            <w:vAlign w:val="center"/>
          </w:tcPr>
          <w:p w14:paraId="215B6ABB">
            <w:pPr>
              <w:autoSpaceDE w:val="0"/>
              <w:autoSpaceDN w:val="0"/>
              <w:adjustRightInd w:val="0"/>
              <w:spacing w:before="94" w:beforeLines="30"/>
              <w:jc w:val="center"/>
              <w:rPr>
                <w:rFonts w:hint="eastAsia" w:ascii="宋体" w:hAnsi="宋体" w:cs="Arial"/>
                <w:color w:val="auto"/>
                <w:kern w:val="0"/>
                <w:szCs w:val="21"/>
                <w:highlight w:val="none"/>
              </w:rPr>
            </w:pPr>
          </w:p>
        </w:tc>
        <w:tc>
          <w:tcPr>
            <w:tcW w:w="2399" w:type="dxa"/>
            <w:vAlign w:val="center"/>
          </w:tcPr>
          <w:p w14:paraId="54943B0B">
            <w:pPr>
              <w:rPr>
                <w:rFonts w:hint="eastAsia" w:ascii="宋体" w:hAnsi="宋体"/>
                <w:color w:val="auto"/>
                <w:szCs w:val="21"/>
                <w:highlight w:val="none"/>
              </w:rPr>
            </w:pPr>
          </w:p>
        </w:tc>
        <w:tc>
          <w:tcPr>
            <w:tcW w:w="1314" w:type="dxa"/>
            <w:tcMar>
              <w:left w:w="170" w:type="dxa"/>
            </w:tcMar>
            <w:vAlign w:val="center"/>
          </w:tcPr>
          <w:p w14:paraId="3BF5FE43">
            <w:pPr>
              <w:jc w:val="center"/>
              <w:rPr>
                <w:rFonts w:hint="eastAsia" w:ascii="宋体" w:hAnsi="宋体"/>
                <w:color w:val="auto"/>
                <w:szCs w:val="21"/>
                <w:highlight w:val="none"/>
              </w:rPr>
            </w:pPr>
          </w:p>
        </w:tc>
        <w:tc>
          <w:tcPr>
            <w:tcW w:w="3784" w:type="dxa"/>
            <w:vAlign w:val="center"/>
          </w:tcPr>
          <w:p w14:paraId="61F8692C">
            <w:pPr>
              <w:rPr>
                <w:rFonts w:hint="eastAsia" w:ascii="宋体" w:hAnsi="宋体"/>
                <w:color w:val="auto"/>
                <w:szCs w:val="21"/>
                <w:highlight w:val="none"/>
              </w:rPr>
            </w:pPr>
          </w:p>
        </w:tc>
        <w:tc>
          <w:tcPr>
            <w:tcW w:w="709" w:type="dxa"/>
            <w:vAlign w:val="center"/>
          </w:tcPr>
          <w:p w14:paraId="3DEB5B88">
            <w:pPr>
              <w:jc w:val="center"/>
              <w:rPr>
                <w:rFonts w:hint="eastAsia" w:ascii="宋体" w:hAnsi="宋体"/>
                <w:color w:val="auto"/>
                <w:szCs w:val="21"/>
                <w:highlight w:val="none"/>
              </w:rPr>
            </w:pPr>
          </w:p>
        </w:tc>
      </w:tr>
      <w:tr w14:paraId="47D8F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1D3A9886">
            <w:pPr>
              <w:autoSpaceDE w:val="0"/>
              <w:autoSpaceDN w:val="0"/>
              <w:adjustRightInd w:val="0"/>
              <w:spacing w:before="94" w:beforeLines="30"/>
              <w:jc w:val="center"/>
              <w:rPr>
                <w:rFonts w:hint="eastAsia" w:ascii="宋体" w:hAnsi="宋体" w:cs="Arial"/>
                <w:color w:val="auto"/>
                <w:kern w:val="0"/>
                <w:szCs w:val="21"/>
                <w:highlight w:val="none"/>
              </w:rPr>
            </w:pPr>
          </w:p>
        </w:tc>
        <w:tc>
          <w:tcPr>
            <w:tcW w:w="2399" w:type="dxa"/>
            <w:vAlign w:val="center"/>
          </w:tcPr>
          <w:p w14:paraId="4FFA3F33">
            <w:pPr>
              <w:rPr>
                <w:rFonts w:hint="eastAsia" w:ascii="宋体" w:hAnsi="宋体"/>
                <w:color w:val="auto"/>
                <w:szCs w:val="21"/>
                <w:highlight w:val="none"/>
              </w:rPr>
            </w:pPr>
          </w:p>
        </w:tc>
        <w:tc>
          <w:tcPr>
            <w:tcW w:w="1314" w:type="dxa"/>
            <w:tcMar>
              <w:left w:w="170" w:type="dxa"/>
            </w:tcMar>
            <w:vAlign w:val="center"/>
          </w:tcPr>
          <w:p w14:paraId="6B08F7BD">
            <w:pPr>
              <w:jc w:val="center"/>
              <w:rPr>
                <w:rFonts w:hint="eastAsia" w:ascii="宋体" w:hAnsi="宋体"/>
                <w:color w:val="auto"/>
                <w:szCs w:val="21"/>
                <w:highlight w:val="none"/>
              </w:rPr>
            </w:pPr>
          </w:p>
        </w:tc>
        <w:tc>
          <w:tcPr>
            <w:tcW w:w="3784" w:type="dxa"/>
            <w:vAlign w:val="center"/>
          </w:tcPr>
          <w:p w14:paraId="61C29E92">
            <w:pPr>
              <w:rPr>
                <w:rFonts w:hint="eastAsia" w:ascii="宋体" w:hAnsi="宋体"/>
                <w:color w:val="auto"/>
                <w:szCs w:val="21"/>
                <w:highlight w:val="none"/>
              </w:rPr>
            </w:pPr>
          </w:p>
        </w:tc>
        <w:tc>
          <w:tcPr>
            <w:tcW w:w="709" w:type="dxa"/>
            <w:vAlign w:val="center"/>
          </w:tcPr>
          <w:p w14:paraId="62D8631F">
            <w:pPr>
              <w:jc w:val="center"/>
              <w:rPr>
                <w:rFonts w:hint="eastAsia" w:ascii="宋体" w:hAnsi="宋体"/>
                <w:color w:val="auto"/>
                <w:szCs w:val="21"/>
                <w:highlight w:val="none"/>
              </w:rPr>
            </w:pPr>
          </w:p>
        </w:tc>
      </w:tr>
      <w:tr w14:paraId="0591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20" w:type="dxa"/>
            <w:vAlign w:val="center"/>
          </w:tcPr>
          <w:p w14:paraId="51AB57DC">
            <w:pPr>
              <w:autoSpaceDE w:val="0"/>
              <w:autoSpaceDN w:val="0"/>
              <w:adjustRightInd w:val="0"/>
              <w:spacing w:before="94" w:beforeLines="30"/>
              <w:jc w:val="center"/>
              <w:rPr>
                <w:rFonts w:hint="eastAsia" w:ascii="宋体" w:hAnsi="宋体" w:cs="Arial"/>
                <w:color w:val="auto"/>
                <w:kern w:val="0"/>
                <w:szCs w:val="21"/>
                <w:highlight w:val="none"/>
              </w:rPr>
            </w:pPr>
          </w:p>
        </w:tc>
        <w:tc>
          <w:tcPr>
            <w:tcW w:w="2399" w:type="dxa"/>
            <w:vAlign w:val="center"/>
          </w:tcPr>
          <w:p w14:paraId="6978D79C">
            <w:pPr>
              <w:rPr>
                <w:rFonts w:hint="eastAsia" w:ascii="宋体" w:hAnsi="宋体"/>
                <w:color w:val="auto"/>
                <w:szCs w:val="21"/>
                <w:highlight w:val="none"/>
              </w:rPr>
            </w:pPr>
          </w:p>
        </w:tc>
        <w:tc>
          <w:tcPr>
            <w:tcW w:w="1314" w:type="dxa"/>
            <w:tcMar>
              <w:left w:w="170" w:type="dxa"/>
            </w:tcMar>
            <w:vAlign w:val="center"/>
          </w:tcPr>
          <w:p w14:paraId="5652BBE7">
            <w:pPr>
              <w:jc w:val="center"/>
              <w:rPr>
                <w:rFonts w:hint="eastAsia" w:ascii="宋体" w:hAnsi="宋体"/>
                <w:color w:val="auto"/>
                <w:szCs w:val="21"/>
                <w:highlight w:val="none"/>
              </w:rPr>
            </w:pPr>
          </w:p>
        </w:tc>
        <w:tc>
          <w:tcPr>
            <w:tcW w:w="3784" w:type="dxa"/>
            <w:vAlign w:val="center"/>
          </w:tcPr>
          <w:p w14:paraId="5080D78C">
            <w:pPr>
              <w:rPr>
                <w:rFonts w:hint="eastAsia" w:ascii="宋体" w:hAnsi="宋体"/>
                <w:color w:val="auto"/>
                <w:szCs w:val="21"/>
                <w:highlight w:val="none"/>
              </w:rPr>
            </w:pPr>
          </w:p>
        </w:tc>
        <w:tc>
          <w:tcPr>
            <w:tcW w:w="709" w:type="dxa"/>
            <w:vAlign w:val="center"/>
          </w:tcPr>
          <w:p w14:paraId="7DF41F72">
            <w:pPr>
              <w:jc w:val="center"/>
              <w:rPr>
                <w:rFonts w:hint="eastAsia" w:ascii="宋体" w:hAnsi="宋体"/>
                <w:color w:val="auto"/>
                <w:szCs w:val="21"/>
                <w:highlight w:val="none"/>
              </w:rPr>
            </w:pPr>
          </w:p>
        </w:tc>
      </w:tr>
      <w:tr w14:paraId="1B6D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20" w:type="dxa"/>
            <w:vAlign w:val="center"/>
          </w:tcPr>
          <w:p w14:paraId="57EB66F0">
            <w:pPr>
              <w:autoSpaceDE w:val="0"/>
              <w:autoSpaceDN w:val="0"/>
              <w:adjustRightInd w:val="0"/>
              <w:spacing w:before="94" w:beforeLines="30"/>
              <w:jc w:val="center"/>
              <w:rPr>
                <w:rFonts w:hint="eastAsia" w:ascii="宋体" w:hAnsi="宋体" w:cs="Arial"/>
                <w:color w:val="auto"/>
                <w:kern w:val="0"/>
                <w:szCs w:val="21"/>
                <w:highlight w:val="none"/>
              </w:rPr>
            </w:pPr>
          </w:p>
        </w:tc>
        <w:tc>
          <w:tcPr>
            <w:tcW w:w="2399" w:type="dxa"/>
            <w:vAlign w:val="center"/>
          </w:tcPr>
          <w:p w14:paraId="50459D95">
            <w:pPr>
              <w:rPr>
                <w:rFonts w:hint="eastAsia" w:ascii="宋体" w:hAnsi="宋体"/>
                <w:color w:val="auto"/>
                <w:szCs w:val="21"/>
                <w:highlight w:val="none"/>
              </w:rPr>
            </w:pPr>
          </w:p>
        </w:tc>
        <w:tc>
          <w:tcPr>
            <w:tcW w:w="1314" w:type="dxa"/>
            <w:tcMar>
              <w:left w:w="170" w:type="dxa"/>
            </w:tcMar>
            <w:vAlign w:val="center"/>
          </w:tcPr>
          <w:p w14:paraId="32BC7BA3">
            <w:pPr>
              <w:jc w:val="center"/>
              <w:rPr>
                <w:rFonts w:hint="eastAsia" w:ascii="宋体" w:hAnsi="宋体"/>
                <w:color w:val="auto"/>
                <w:szCs w:val="21"/>
                <w:highlight w:val="none"/>
              </w:rPr>
            </w:pPr>
          </w:p>
        </w:tc>
        <w:tc>
          <w:tcPr>
            <w:tcW w:w="3784" w:type="dxa"/>
            <w:vAlign w:val="center"/>
          </w:tcPr>
          <w:p w14:paraId="3DAB9377">
            <w:pPr>
              <w:rPr>
                <w:rFonts w:hint="eastAsia" w:ascii="宋体" w:hAnsi="宋体"/>
                <w:color w:val="auto"/>
                <w:szCs w:val="21"/>
                <w:highlight w:val="none"/>
              </w:rPr>
            </w:pPr>
          </w:p>
        </w:tc>
        <w:tc>
          <w:tcPr>
            <w:tcW w:w="709" w:type="dxa"/>
            <w:vAlign w:val="center"/>
          </w:tcPr>
          <w:p w14:paraId="1B9FCEB1">
            <w:pPr>
              <w:jc w:val="center"/>
              <w:rPr>
                <w:rFonts w:hint="eastAsia" w:ascii="宋体" w:hAnsi="宋体"/>
                <w:color w:val="auto"/>
                <w:szCs w:val="21"/>
                <w:highlight w:val="none"/>
              </w:rPr>
            </w:pPr>
          </w:p>
        </w:tc>
      </w:tr>
      <w:tr w14:paraId="1815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20" w:type="dxa"/>
            <w:vAlign w:val="center"/>
          </w:tcPr>
          <w:p w14:paraId="50D760CB">
            <w:pPr>
              <w:autoSpaceDE w:val="0"/>
              <w:autoSpaceDN w:val="0"/>
              <w:adjustRightInd w:val="0"/>
              <w:spacing w:before="94" w:beforeLines="30"/>
              <w:jc w:val="center"/>
              <w:rPr>
                <w:rFonts w:hint="eastAsia" w:ascii="宋体" w:hAnsi="宋体" w:cs="Arial"/>
                <w:color w:val="auto"/>
                <w:kern w:val="0"/>
                <w:szCs w:val="21"/>
                <w:highlight w:val="none"/>
              </w:rPr>
            </w:pPr>
          </w:p>
        </w:tc>
        <w:tc>
          <w:tcPr>
            <w:tcW w:w="2399" w:type="dxa"/>
            <w:vAlign w:val="center"/>
          </w:tcPr>
          <w:p w14:paraId="07CCDD4A">
            <w:pPr>
              <w:rPr>
                <w:rFonts w:hint="eastAsia" w:ascii="宋体" w:hAnsi="宋体"/>
                <w:color w:val="auto"/>
                <w:szCs w:val="21"/>
                <w:highlight w:val="none"/>
              </w:rPr>
            </w:pPr>
          </w:p>
        </w:tc>
        <w:tc>
          <w:tcPr>
            <w:tcW w:w="1314" w:type="dxa"/>
            <w:tcMar>
              <w:left w:w="170" w:type="dxa"/>
            </w:tcMar>
            <w:vAlign w:val="center"/>
          </w:tcPr>
          <w:p w14:paraId="24633189">
            <w:pPr>
              <w:jc w:val="center"/>
              <w:rPr>
                <w:rFonts w:hint="eastAsia" w:ascii="宋体" w:hAnsi="宋体"/>
                <w:color w:val="auto"/>
                <w:szCs w:val="21"/>
                <w:highlight w:val="none"/>
              </w:rPr>
            </w:pPr>
          </w:p>
        </w:tc>
        <w:tc>
          <w:tcPr>
            <w:tcW w:w="3784" w:type="dxa"/>
            <w:vAlign w:val="center"/>
          </w:tcPr>
          <w:p w14:paraId="57612F11">
            <w:pPr>
              <w:rPr>
                <w:rFonts w:hint="eastAsia" w:ascii="宋体" w:hAnsi="宋体"/>
                <w:color w:val="auto"/>
                <w:szCs w:val="21"/>
                <w:highlight w:val="none"/>
              </w:rPr>
            </w:pPr>
          </w:p>
        </w:tc>
        <w:tc>
          <w:tcPr>
            <w:tcW w:w="709" w:type="dxa"/>
            <w:vAlign w:val="center"/>
          </w:tcPr>
          <w:p w14:paraId="60EB9455">
            <w:pPr>
              <w:jc w:val="center"/>
              <w:rPr>
                <w:rFonts w:hint="eastAsia" w:ascii="宋体" w:hAnsi="宋体"/>
                <w:color w:val="auto"/>
                <w:szCs w:val="21"/>
                <w:highlight w:val="none"/>
              </w:rPr>
            </w:pPr>
          </w:p>
        </w:tc>
      </w:tr>
      <w:tr w14:paraId="77B6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20" w:type="dxa"/>
            <w:vAlign w:val="center"/>
          </w:tcPr>
          <w:p w14:paraId="34E2260B">
            <w:pPr>
              <w:autoSpaceDE w:val="0"/>
              <w:autoSpaceDN w:val="0"/>
              <w:adjustRightInd w:val="0"/>
              <w:spacing w:before="94" w:beforeLines="30"/>
              <w:jc w:val="center"/>
              <w:rPr>
                <w:rFonts w:hint="eastAsia" w:ascii="宋体" w:hAnsi="宋体" w:cs="Arial"/>
                <w:color w:val="auto"/>
                <w:kern w:val="0"/>
                <w:szCs w:val="21"/>
                <w:highlight w:val="none"/>
              </w:rPr>
            </w:pPr>
          </w:p>
        </w:tc>
        <w:tc>
          <w:tcPr>
            <w:tcW w:w="2399" w:type="dxa"/>
            <w:vAlign w:val="center"/>
          </w:tcPr>
          <w:p w14:paraId="7D1F4CE0">
            <w:pPr>
              <w:autoSpaceDE w:val="0"/>
              <w:autoSpaceDN w:val="0"/>
              <w:adjustRightInd w:val="0"/>
              <w:spacing w:before="94" w:beforeLines="30"/>
              <w:rPr>
                <w:rFonts w:hint="eastAsia" w:ascii="宋体" w:hAnsi="宋体" w:cs="Arial"/>
                <w:color w:val="auto"/>
                <w:kern w:val="0"/>
                <w:szCs w:val="21"/>
                <w:highlight w:val="none"/>
              </w:rPr>
            </w:pPr>
          </w:p>
        </w:tc>
        <w:tc>
          <w:tcPr>
            <w:tcW w:w="1314" w:type="dxa"/>
            <w:tcMar>
              <w:left w:w="170" w:type="dxa"/>
            </w:tcMar>
            <w:vAlign w:val="center"/>
          </w:tcPr>
          <w:p w14:paraId="1B2EAC48">
            <w:pPr>
              <w:autoSpaceDE w:val="0"/>
              <w:autoSpaceDN w:val="0"/>
              <w:adjustRightInd w:val="0"/>
              <w:spacing w:before="94" w:beforeLines="30"/>
              <w:rPr>
                <w:rFonts w:hint="eastAsia" w:ascii="宋体" w:hAnsi="宋体" w:cs="Arial"/>
                <w:bCs/>
                <w:color w:val="auto"/>
                <w:kern w:val="0"/>
                <w:szCs w:val="21"/>
                <w:highlight w:val="none"/>
              </w:rPr>
            </w:pPr>
          </w:p>
        </w:tc>
        <w:tc>
          <w:tcPr>
            <w:tcW w:w="3784" w:type="dxa"/>
            <w:vAlign w:val="center"/>
          </w:tcPr>
          <w:p w14:paraId="2C9FB962">
            <w:pPr>
              <w:autoSpaceDE w:val="0"/>
              <w:autoSpaceDN w:val="0"/>
              <w:adjustRightInd w:val="0"/>
              <w:spacing w:before="94" w:beforeLines="30"/>
              <w:rPr>
                <w:rFonts w:hint="eastAsia" w:ascii="宋体" w:hAnsi="宋体" w:cs="Arial"/>
                <w:color w:val="auto"/>
                <w:kern w:val="0"/>
                <w:szCs w:val="21"/>
                <w:highlight w:val="none"/>
              </w:rPr>
            </w:pPr>
          </w:p>
        </w:tc>
        <w:tc>
          <w:tcPr>
            <w:tcW w:w="709" w:type="dxa"/>
            <w:vAlign w:val="center"/>
          </w:tcPr>
          <w:p w14:paraId="0977CF7F">
            <w:pPr>
              <w:jc w:val="center"/>
              <w:rPr>
                <w:rFonts w:hint="eastAsia" w:ascii="宋体" w:hAnsi="宋体"/>
                <w:color w:val="auto"/>
                <w:szCs w:val="21"/>
                <w:highlight w:val="none"/>
              </w:rPr>
            </w:pPr>
          </w:p>
        </w:tc>
      </w:tr>
      <w:tr w14:paraId="288E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8926" w:type="dxa"/>
            <w:gridSpan w:val="5"/>
            <w:vAlign w:val="center"/>
          </w:tcPr>
          <w:p w14:paraId="1C8BB11F">
            <w:pPr>
              <w:rPr>
                <w:rFonts w:hint="eastAsia" w:ascii="宋体" w:hAnsi="宋体"/>
                <w:color w:val="auto"/>
                <w:szCs w:val="21"/>
                <w:highlight w:val="none"/>
              </w:rPr>
            </w:pPr>
            <w:r>
              <w:rPr>
                <w:rFonts w:hint="eastAsia" w:ascii="黑体" w:hAnsi="宋体" w:eastAsia="黑体"/>
                <w:color w:val="auto"/>
                <w:szCs w:val="21"/>
                <w:highlight w:val="none"/>
              </w:rPr>
              <w:t>备注：</w:t>
            </w:r>
            <w:r>
              <w:rPr>
                <w:rFonts w:hint="eastAsia" w:ascii="宋体" w:hAnsi="宋体"/>
                <w:color w:val="auto"/>
                <w:szCs w:val="21"/>
                <w:highlight w:val="none"/>
              </w:rPr>
              <w:t>投标人在响应招标文件中规定的实质性要求和条件的基础上，可做出其他有利于招标人的承诺。此类承诺可在本表中予以补充填写。</w:t>
            </w:r>
          </w:p>
        </w:tc>
      </w:tr>
    </w:tbl>
    <w:p w14:paraId="15E05697">
      <w:pPr>
        <w:spacing w:line="440" w:lineRule="exact"/>
        <w:rPr>
          <w:rFonts w:hint="eastAsia"/>
          <w:color w:val="auto"/>
          <w:szCs w:val="21"/>
          <w:highlight w:val="none"/>
        </w:rPr>
      </w:pPr>
    </w:p>
    <w:p w14:paraId="439AFC3F">
      <w:pPr>
        <w:spacing w:line="440" w:lineRule="exact"/>
        <w:ind w:firstLine="3675" w:firstLineChars="1750"/>
        <w:rPr>
          <w:color w:val="auto"/>
          <w:szCs w:val="21"/>
          <w:highlight w:val="none"/>
        </w:rPr>
      </w:pPr>
      <w:r>
        <w:rPr>
          <w:color w:val="auto"/>
          <w:szCs w:val="21"/>
          <w:highlight w:val="none"/>
        </w:rPr>
        <w:t>投 标 人：</w:t>
      </w:r>
      <w:r>
        <w:rPr>
          <w:color w:val="auto"/>
          <w:szCs w:val="21"/>
          <w:highlight w:val="none"/>
          <w:u w:val="single"/>
        </w:rPr>
        <w:t xml:space="preserve">                      </w:t>
      </w:r>
      <w:r>
        <w:rPr>
          <w:color w:val="auto"/>
          <w:szCs w:val="21"/>
          <w:highlight w:val="none"/>
        </w:rPr>
        <w:t>（盖单位章）</w:t>
      </w:r>
    </w:p>
    <w:p w14:paraId="61292CAA">
      <w:pPr>
        <w:spacing w:line="440" w:lineRule="exact"/>
        <w:ind w:firstLine="2415" w:firstLineChars="1150"/>
        <w:rPr>
          <w:color w:val="auto"/>
          <w:szCs w:val="21"/>
          <w:highlight w:val="none"/>
        </w:rPr>
      </w:pPr>
      <w:r>
        <w:rPr>
          <w:color w:val="auto"/>
          <w:szCs w:val="21"/>
          <w:highlight w:val="none"/>
        </w:rPr>
        <w:t>法定代表人</w:t>
      </w:r>
      <w:r>
        <w:rPr>
          <w:rFonts w:hint="eastAsia"/>
          <w:color w:val="auto"/>
          <w:szCs w:val="21"/>
          <w:highlight w:val="none"/>
        </w:rPr>
        <w:t>或授权委托人</w:t>
      </w:r>
      <w:r>
        <w:rPr>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（签章）</w:t>
      </w:r>
    </w:p>
    <w:p w14:paraId="659E0F1A">
      <w:pPr>
        <w:spacing w:line="440" w:lineRule="exact"/>
        <w:ind w:firstLine="5040" w:firstLineChars="2400"/>
        <w:rPr>
          <w:rFonts w:hint="eastAsia"/>
          <w:color w:val="auto"/>
          <w:szCs w:val="21"/>
          <w:highlight w:val="none"/>
        </w:rPr>
      </w:pP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年</w:t>
      </w:r>
      <w:r>
        <w:rPr>
          <w:rFonts w:hint="eastAsia"/>
          <w:color w:val="auto"/>
          <w:szCs w:val="21"/>
          <w:highlight w:val="none"/>
          <w:u w:val="single"/>
        </w:rPr>
        <w:t xml:space="preserve">        </w:t>
      </w:r>
      <w:r>
        <w:rPr>
          <w:color w:val="auto"/>
          <w:szCs w:val="21"/>
          <w:highlight w:val="none"/>
        </w:rPr>
        <w:t>月</w:t>
      </w:r>
      <w:r>
        <w:rPr>
          <w:rFonts w:hint="eastAsia"/>
          <w:color w:val="auto"/>
          <w:szCs w:val="21"/>
          <w:highlight w:val="none"/>
          <w:u w:val="single"/>
        </w:rPr>
        <w:t xml:space="preserve">        </w:t>
      </w:r>
      <w:r>
        <w:rPr>
          <w:color w:val="auto"/>
          <w:szCs w:val="21"/>
          <w:highlight w:val="none"/>
        </w:rPr>
        <w:t>日</w:t>
      </w:r>
    </w:p>
    <w:p w14:paraId="449D4AF2">
      <w:pPr>
        <w:rPr>
          <w:color w:val="auto"/>
          <w:highlight w:val="none"/>
        </w:rPr>
        <w:sectPr>
          <w:footerReference r:id="rId5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DAC7711">
      <w:pPr>
        <w:pStyle w:val="37"/>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color w:val="auto"/>
          <w:sz w:val="28"/>
          <w:szCs w:val="28"/>
          <w:highlight w:val="none"/>
        </w:rPr>
      </w:pPr>
      <w:bookmarkStart w:id="2282" w:name="_Toc16000"/>
      <w:bookmarkStart w:id="2283" w:name="_Toc256000205"/>
      <w:bookmarkStart w:id="2284" w:name="_Toc122603072"/>
      <w:r>
        <w:rPr>
          <w:rFonts w:hint="eastAsia" w:cs="宋体"/>
          <w:color w:val="auto"/>
          <w:sz w:val="28"/>
          <w:szCs w:val="28"/>
          <w:highlight w:val="none"/>
          <w:lang w:eastAsia="zh-CN"/>
        </w:rPr>
        <w:t>（</w:t>
      </w:r>
      <w:r>
        <w:rPr>
          <w:rFonts w:hint="default" w:cs="宋体"/>
          <w:color w:val="auto"/>
          <w:sz w:val="28"/>
          <w:szCs w:val="28"/>
          <w:highlight w:val="none"/>
        </w:rPr>
        <w:t>三</w:t>
      </w:r>
      <w:r>
        <w:rPr>
          <w:rFonts w:hint="eastAsia" w:cs="宋体"/>
          <w:color w:val="auto"/>
          <w:sz w:val="28"/>
          <w:szCs w:val="28"/>
          <w:highlight w:val="none"/>
          <w:lang w:eastAsia="zh-CN"/>
        </w:rPr>
        <w:t>）</w:t>
      </w:r>
      <w:r>
        <w:rPr>
          <w:rFonts w:hint="eastAsia" w:cs="宋体"/>
          <w:color w:val="auto"/>
          <w:sz w:val="28"/>
          <w:szCs w:val="28"/>
          <w:highlight w:val="none"/>
        </w:rPr>
        <w:t>告知承诺函</w:t>
      </w:r>
      <w:bookmarkEnd w:id="2282"/>
      <w:bookmarkEnd w:id="2283"/>
      <w:bookmarkEnd w:id="2284"/>
    </w:p>
    <w:p w14:paraId="2B574ADC">
      <w:pPr>
        <w:spacing w:line="440" w:lineRule="exact"/>
        <w:ind w:firstLine="420" w:firstLineChars="200"/>
        <w:rPr>
          <w:color w:val="auto"/>
          <w:highlight w:val="none"/>
        </w:rPr>
      </w:pPr>
      <w:r>
        <w:rPr>
          <w:rFonts w:hint="eastAsia"/>
          <w:color w:val="auto"/>
          <w:highlight w:val="none"/>
        </w:rPr>
        <w:t>我单位参与</w:t>
      </w:r>
      <w:r>
        <w:rPr>
          <w:rFonts w:hint="eastAsia"/>
          <w:color w:val="auto"/>
          <w:highlight w:val="none"/>
          <w:u w:val="single"/>
        </w:rPr>
        <w:t xml:space="preserve">    （标段名称 ）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14:paraId="679BC1EE">
      <w:pPr>
        <w:spacing w:line="440" w:lineRule="exact"/>
        <w:ind w:firstLine="420" w:firstLineChars="200"/>
        <w:rPr>
          <w:color w:val="auto"/>
          <w:highlight w:val="none"/>
        </w:rPr>
      </w:pPr>
      <w:r>
        <w:rPr>
          <w:rFonts w:hint="eastAsia"/>
          <w:color w:val="auto"/>
          <w:highlight w:val="none"/>
        </w:rPr>
        <w:t>一、我单位和我本人遵循公开、公平、公正、诚实守信的原则，依法依规参与本项目投标。</w:t>
      </w:r>
    </w:p>
    <w:p w14:paraId="66FECA48">
      <w:pPr>
        <w:spacing w:line="440" w:lineRule="exact"/>
        <w:ind w:firstLine="420" w:firstLineChars="200"/>
        <w:rPr>
          <w:color w:val="auto"/>
          <w:highlight w:val="none"/>
        </w:rPr>
      </w:pPr>
      <w:r>
        <w:rPr>
          <w:rFonts w:hint="eastAsia"/>
          <w:color w:val="auto"/>
          <w:highlight w:val="none"/>
        </w:rPr>
        <w:t>二、我单位具有参与本次投标的资质和能力，公司运营状况良好，不存在挂靠投标、不受让、租借、出租、出借资格或资质证书，无处罚期内的不良行为。</w:t>
      </w:r>
    </w:p>
    <w:p w14:paraId="777B360D">
      <w:pPr>
        <w:spacing w:line="440" w:lineRule="exact"/>
        <w:ind w:firstLine="420" w:firstLineChars="200"/>
        <w:rPr>
          <w:color w:val="auto"/>
          <w:highlight w:val="none"/>
        </w:rPr>
      </w:pPr>
      <w:r>
        <w:rPr>
          <w:rFonts w:hint="eastAsia"/>
          <w:color w:val="auto"/>
          <w:highlight w:val="none"/>
        </w:rPr>
        <w:t>三、我单位在本项目投标过程中从招标公告/投标邀请书列明的渠道获取招标文件，没有通过其他不正当渠道获取招标文件。</w:t>
      </w:r>
    </w:p>
    <w:p w14:paraId="73DA1085">
      <w:pPr>
        <w:spacing w:line="440" w:lineRule="exact"/>
        <w:ind w:firstLine="420" w:firstLineChars="200"/>
        <w:rPr>
          <w:color w:val="auto"/>
          <w:highlight w:val="none"/>
        </w:rPr>
      </w:pPr>
      <w:r>
        <w:rPr>
          <w:rFonts w:hint="eastAsia"/>
          <w:color w:val="auto"/>
          <w:highlight w:val="none"/>
        </w:rPr>
        <w:t>四、我单位承诺投标文件由本单位员工独立编制，严格遵守保密义务。所提供的一切投标相关材料都是真实、有效、合法的。</w:t>
      </w:r>
    </w:p>
    <w:p w14:paraId="16339622">
      <w:pPr>
        <w:spacing w:line="440" w:lineRule="exact"/>
        <w:ind w:firstLine="420" w:firstLineChars="200"/>
        <w:rPr>
          <w:color w:val="auto"/>
          <w:highlight w:val="none"/>
        </w:rPr>
      </w:pPr>
      <w:r>
        <w:rPr>
          <w:rFonts w:hint="eastAsia"/>
          <w:color w:val="auto"/>
          <w:highlight w:val="none"/>
        </w:rPr>
        <w:t>五、我单位不与其他投标人相互串通投标报价，不恶意压低或抬高投标报价，不排挤其他投标人的公平竞争，不损害招标人或其他投标人的合法权益。</w:t>
      </w:r>
    </w:p>
    <w:p w14:paraId="2C9985C6">
      <w:pPr>
        <w:spacing w:line="440" w:lineRule="exact"/>
        <w:ind w:firstLine="420" w:firstLineChars="200"/>
        <w:rPr>
          <w:color w:val="auto"/>
          <w:highlight w:val="none"/>
        </w:rPr>
      </w:pPr>
      <w:r>
        <w:rPr>
          <w:rFonts w:hint="eastAsia"/>
          <w:color w:val="auto"/>
          <w:highlight w:val="none"/>
        </w:rPr>
        <w:t>六、我单位不与招标人或招标代理机构串通投标，损害国家利益、社会公共利益或者他人的合法权益。</w:t>
      </w:r>
    </w:p>
    <w:p w14:paraId="1BEF66E5">
      <w:pPr>
        <w:spacing w:line="440" w:lineRule="exact"/>
        <w:ind w:firstLine="420" w:firstLineChars="200"/>
        <w:rPr>
          <w:color w:val="auto"/>
          <w:highlight w:val="none"/>
        </w:rPr>
      </w:pPr>
      <w:r>
        <w:rPr>
          <w:rFonts w:hint="eastAsia"/>
          <w:color w:val="auto"/>
          <w:highlight w:val="none"/>
        </w:rPr>
        <w:t>七、我单位不向招标人或者评标委员会成员行贿以牟取中标，不在开标后进行虚假恶意投诉。</w:t>
      </w:r>
    </w:p>
    <w:p w14:paraId="6FF77C7D">
      <w:pPr>
        <w:spacing w:line="440" w:lineRule="exact"/>
        <w:ind w:firstLine="420" w:firstLineChars="200"/>
        <w:rPr>
          <w:color w:val="auto"/>
          <w:highlight w:val="none"/>
        </w:rPr>
      </w:pPr>
      <w:r>
        <w:rPr>
          <w:rFonts w:hint="eastAsia"/>
          <w:color w:val="auto"/>
          <w:highlight w:val="none"/>
        </w:rPr>
        <w:t>八、我单位和我个人清楚并知晓《中华人民共和国刑法》第二百二十三条“投标人相互串通投标报价，损害招标人或者其他投标人利益，情节严重的，处三年以下有期徒刑或者拘役，并处或者单处罚金。投标人与招标人串通投标，损害国家、集体、公民的合法利益的，依照前款的规定处罚”的规定。</w:t>
      </w:r>
    </w:p>
    <w:p w14:paraId="6C7F8BD3">
      <w:pPr>
        <w:spacing w:line="440" w:lineRule="exact"/>
        <w:ind w:firstLine="420" w:firstLineChars="200"/>
        <w:rPr>
          <w:color w:val="auto"/>
          <w:highlight w:val="none"/>
        </w:rPr>
      </w:pPr>
      <w:r>
        <w:rPr>
          <w:rFonts w:hint="eastAsia"/>
          <w:color w:val="auto"/>
          <w:highlight w:val="none"/>
        </w:rPr>
        <w:t>九、我单位如在本项目招标投标活动评标工作中存在串通投标、弄虚作假等行为的，本单位及本人自愿承担法律责任，接受相应刑事、纪律和行政处罚以及失信惩戒。</w:t>
      </w:r>
    </w:p>
    <w:p w14:paraId="38BAEAB6">
      <w:pPr>
        <w:keepNext w:val="0"/>
        <w:keepLines w:val="0"/>
        <w:widowControl w:val="0"/>
        <w:suppressLineNumbers w:val="0"/>
        <w:spacing w:before="0" w:beforeAutospacing="0" w:after="0" w:afterAutospacing="0" w:line="440" w:lineRule="exact"/>
        <w:ind w:left="0" w:right="0" w:firstLine="420" w:firstLineChars="200"/>
        <w:jc w:val="both"/>
        <w:rPr>
          <w:rFonts w:hint="eastAsia"/>
          <w:color w:val="auto"/>
          <w:highlight w:val="none"/>
        </w:rPr>
      </w:pPr>
      <w:r>
        <w:rPr>
          <w:rFonts w:hint="eastAsia"/>
          <w:color w:val="auto"/>
          <w:highlight w:val="none"/>
        </w:rPr>
        <w:t>十、本承诺函由我单位盖章及法定代表人（授权委托人）本人亲自</w:t>
      </w:r>
      <w:bookmarkStart w:id="2285" w:name="OLE_LINK43"/>
      <w:r>
        <w:rPr>
          <w:rFonts w:hint="eastAsia"/>
          <w:color w:val="auto"/>
          <w:highlight w:val="none"/>
        </w:rPr>
        <w:t>盖章或签字</w:t>
      </w:r>
      <w:bookmarkEnd w:id="2285"/>
      <w:r>
        <w:rPr>
          <w:rFonts w:hint="eastAsia"/>
          <w:color w:val="auto"/>
          <w:highlight w:val="none"/>
        </w:rPr>
        <w:t>确认。</w:t>
      </w:r>
    </w:p>
    <w:p w14:paraId="5FD9F25A">
      <w:pPr>
        <w:spacing w:line="440" w:lineRule="exact"/>
        <w:ind w:firstLine="420" w:firstLineChars="200"/>
        <w:rPr>
          <w:rFonts w:hint="eastAsia"/>
          <w:color w:val="auto"/>
          <w:highlight w:val="none"/>
        </w:rPr>
      </w:pPr>
    </w:p>
    <w:p w14:paraId="1CCB6E07">
      <w:pPr>
        <w:spacing w:line="440" w:lineRule="exact"/>
        <w:ind w:firstLine="5145" w:firstLineChars="2450"/>
        <w:rPr>
          <w:color w:val="auto"/>
          <w:highlight w:val="none"/>
        </w:rPr>
      </w:pPr>
      <w:r>
        <w:rPr>
          <w:rFonts w:hint="eastAsia"/>
          <w:color w:val="auto"/>
          <w:highlight w:val="none"/>
        </w:rPr>
        <w:t>承诺单位：（盖单位章）</w:t>
      </w:r>
    </w:p>
    <w:p w14:paraId="1B3FF12B">
      <w:pPr>
        <w:spacing w:line="440" w:lineRule="exact"/>
        <w:ind w:firstLine="4095" w:firstLineChars="1950"/>
        <w:rPr>
          <w:rFonts w:hint="eastAsia"/>
          <w:color w:val="auto"/>
          <w:highlight w:val="none"/>
        </w:rPr>
      </w:pPr>
      <w:r>
        <w:rPr>
          <w:rFonts w:hint="eastAsia"/>
          <w:color w:val="auto"/>
          <w:highlight w:val="none"/>
        </w:rPr>
        <w:t>法定代表人或授权委托人：（签章）</w:t>
      </w:r>
    </w:p>
    <w:p w14:paraId="2D721A69">
      <w:pPr>
        <w:spacing w:line="440" w:lineRule="exact"/>
        <w:ind w:right="420" w:firstLine="420" w:firstLineChars="200"/>
        <w:jc w:val="center"/>
        <w:rPr>
          <w:rFonts w:hint="eastAsia"/>
          <w:color w:val="auto"/>
          <w:highlight w:val="none"/>
        </w:rPr>
        <w:sectPr>
          <w:footerReference r:id="rId5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color w:val="auto"/>
          <w:highlight w:val="none"/>
        </w:rPr>
        <w:t xml:space="preserve">                               </w:t>
      </w:r>
      <w:r>
        <w:rPr>
          <w:rFonts w:hint="eastAsia"/>
          <w:color w:val="auto"/>
          <w:highlight w:val="none"/>
        </w:rPr>
        <w:t>承诺时间：</w:t>
      </w:r>
      <w:r>
        <w:rPr>
          <w:rFonts w:hint="eastAsia"/>
          <w:color w:val="auto"/>
          <w:highlight w:val="none"/>
        </w:rPr>
        <w:tab/>
      </w:r>
      <w:r>
        <w:rPr>
          <w:color w:val="auto"/>
          <w:highlight w:val="none"/>
        </w:rPr>
        <w:t xml:space="preserve">  </w:t>
      </w:r>
      <w:r>
        <w:rPr>
          <w:rFonts w:hint="eastAsia"/>
          <w:color w:val="auto"/>
          <w:highlight w:val="none"/>
        </w:rPr>
        <w:t xml:space="preserve">年 </w:t>
      </w:r>
      <w:r>
        <w:rPr>
          <w:color w:val="auto"/>
          <w:highlight w:val="none"/>
        </w:rPr>
        <w:t xml:space="preserve"> </w:t>
      </w:r>
      <w:r>
        <w:rPr>
          <w:rFonts w:hint="eastAsia"/>
          <w:color w:val="auto"/>
          <w:highlight w:val="none"/>
        </w:rPr>
        <w:t>月  日</w:t>
      </w:r>
    </w:p>
    <w:p w14:paraId="73533423">
      <w:pPr>
        <w:pStyle w:val="37"/>
        <w:spacing w:before="312" w:beforeLines="100"/>
        <w:jc w:val="center"/>
        <w:rPr>
          <w:color w:val="auto"/>
          <w:sz w:val="28"/>
          <w:szCs w:val="28"/>
          <w:highlight w:val="none"/>
        </w:rPr>
      </w:pPr>
      <w:bookmarkStart w:id="2286" w:name="_Toc23559"/>
      <w:bookmarkStart w:id="2287" w:name="_Toc122603073"/>
      <w:bookmarkStart w:id="2288" w:name="_Toc256000206"/>
      <w:r>
        <w:rPr>
          <w:rFonts w:hint="eastAsia"/>
          <w:color w:val="auto"/>
          <w:sz w:val="28"/>
          <w:szCs w:val="28"/>
          <w:highlight w:val="none"/>
          <w:lang w:eastAsia="zh-CN"/>
        </w:rPr>
        <w:t>（</w:t>
      </w:r>
      <w:r>
        <w:rPr>
          <w:rFonts w:hint="eastAsia"/>
          <w:color w:val="auto"/>
          <w:sz w:val="28"/>
          <w:szCs w:val="28"/>
          <w:highlight w:val="none"/>
        </w:rPr>
        <w:t>四</w:t>
      </w:r>
      <w:r>
        <w:rPr>
          <w:rFonts w:hint="eastAsia"/>
          <w:color w:val="auto"/>
          <w:sz w:val="28"/>
          <w:szCs w:val="28"/>
          <w:highlight w:val="none"/>
          <w:lang w:eastAsia="zh-CN"/>
        </w:rPr>
        <w:t>）</w:t>
      </w:r>
      <w:r>
        <w:rPr>
          <w:rFonts w:hint="eastAsia"/>
          <w:color w:val="auto"/>
          <w:sz w:val="28"/>
          <w:szCs w:val="28"/>
          <w:highlight w:val="none"/>
        </w:rPr>
        <w:t>声明函</w:t>
      </w:r>
      <w:bookmarkEnd w:id="2286"/>
      <w:bookmarkEnd w:id="2287"/>
      <w:bookmarkEnd w:id="2288"/>
    </w:p>
    <w:p w14:paraId="58C93DE7">
      <w:pPr>
        <w:spacing w:line="440" w:lineRule="exact"/>
        <w:ind w:firstLine="420" w:firstLineChars="200"/>
        <w:rPr>
          <w:color w:val="auto"/>
          <w:highlight w:val="none"/>
        </w:rPr>
      </w:pPr>
    </w:p>
    <w:p w14:paraId="55A5572E">
      <w:pPr>
        <w:spacing w:line="440" w:lineRule="exact"/>
        <w:ind w:right="90" w:firstLine="420" w:firstLineChars="200"/>
        <w:rPr>
          <w:color w:val="auto"/>
          <w:highlight w:val="none"/>
        </w:rPr>
      </w:pPr>
      <w:r>
        <w:rPr>
          <w:rFonts w:hint="eastAsia"/>
          <w:color w:val="auto"/>
          <w:highlight w:val="none"/>
        </w:rPr>
        <w:t>在本项目编制投标文件过程中，我单位声明如下：</w:t>
      </w:r>
    </w:p>
    <w:p w14:paraId="1E31BC03">
      <w:pPr>
        <w:spacing w:line="440" w:lineRule="exact"/>
        <w:ind w:right="90" w:firstLine="420" w:firstLineChars="200"/>
        <w:rPr>
          <w:color w:val="auto"/>
          <w:highlight w:val="none"/>
        </w:rPr>
      </w:pPr>
      <w:r>
        <w:rPr>
          <w:rFonts w:hint="eastAsia"/>
          <w:color w:val="auto"/>
          <w:highlight w:val="none"/>
        </w:rPr>
        <w:t>一、未与本标段其他投标人委托同一单位或同一人编制投标文件；</w:t>
      </w:r>
    </w:p>
    <w:p w14:paraId="17DA1072">
      <w:pPr>
        <w:spacing w:line="440" w:lineRule="exact"/>
        <w:ind w:right="90" w:firstLine="420" w:firstLineChars="200"/>
        <w:rPr>
          <w:color w:val="auto"/>
          <w:highlight w:val="none"/>
        </w:rPr>
      </w:pPr>
      <w:r>
        <w:rPr>
          <w:rFonts w:hint="eastAsia"/>
          <w:color w:val="auto"/>
          <w:highlight w:val="none"/>
        </w:rPr>
        <w:t>二、未与本标段其他投标人协商投标报价；</w:t>
      </w:r>
    </w:p>
    <w:p w14:paraId="430ADB6B">
      <w:pPr>
        <w:spacing w:line="440" w:lineRule="exact"/>
        <w:ind w:right="90" w:firstLine="420" w:firstLineChars="200"/>
        <w:rPr>
          <w:color w:val="auto"/>
          <w:highlight w:val="none"/>
        </w:rPr>
      </w:pPr>
      <w:r>
        <w:rPr>
          <w:rFonts w:hint="eastAsia"/>
          <w:color w:val="auto"/>
          <w:highlight w:val="none"/>
        </w:rPr>
        <w:t>三、未与本标段其他投标人使用同一电脑等电子材料编制投标文件；</w:t>
      </w:r>
    </w:p>
    <w:p w14:paraId="163A428F">
      <w:pPr>
        <w:spacing w:line="440" w:lineRule="exact"/>
        <w:ind w:right="90" w:firstLine="420" w:firstLineChars="200"/>
        <w:rPr>
          <w:color w:val="auto"/>
          <w:highlight w:val="none"/>
        </w:rPr>
      </w:pPr>
      <w:r>
        <w:rPr>
          <w:rFonts w:hint="eastAsia"/>
          <w:color w:val="auto"/>
          <w:highlight w:val="none"/>
        </w:rPr>
        <w:t>四、未使用“网络虚拟材料”等无法识别电子材料归属的电脑编制投标文件；</w:t>
      </w:r>
    </w:p>
    <w:p w14:paraId="75DC2319">
      <w:pPr>
        <w:spacing w:line="440" w:lineRule="exact"/>
        <w:ind w:right="90" w:firstLine="420" w:firstLineChars="200"/>
        <w:rPr>
          <w:color w:val="auto"/>
          <w:highlight w:val="none"/>
        </w:rPr>
      </w:pPr>
      <w:r>
        <w:rPr>
          <w:rFonts w:hint="eastAsia"/>
          <w:color w:val="auto"/>
          <w:highlight w:val="none"/>
        </w:rPr>
        <w:t>五、本项目技术标（</w:t>
      </w:r>
      <w:r>
        <w:rPr>
          <w:rFonts w:hint="eastAsia"/>
          <w:color w:val="auto"/>
          <w:szCs w:val="21"/>
          <w:highlight w:val="none"/>
        </w:rPr>
        <w:t>承包人建议书、承包人实施方案</w:t>
      </w:r>
      <w:r>
        <w:rPr>
          <w:rFonts w:hint="eastAsia"/>
          <w:color w:val="auto"/>
          <w:highlight w:val="none"/>
        </w:rPr>
        <w:t>）是针对本项目现场实际、技术特点以及图纸而编制的相应的技术方案，在编制过程中未抄袭、摘抄网络或其他项目相关技术资料，对文件内容具有独立自主知识产权；</w:t>
      </w:r>
    </w:p>
    <w:p w14:paraId="6A03195E">
      <w:pPr>
        <w:spacing w:line="440" w:lineRule="exact"/>
        <w:ind w:right="90" w:firstLine="420" w:firstLineChars="200"/>
        <w:rPr>
          <w:color w:val="auto"/>
          <w:highlight w:val="none"/>
        </w:rPr>
      </w:pPr>
      <w:r>
        <w:rPr>
          <w:rFonts w:hint="eastAsia"/>
          <w:color w:val="auto"/>
          <w:highlight w:val="none"/>
        </w:rPr>
        <w:t>六、本项目经济标（投标报价）是依据本项目给定的设计方案、最高投标限价以及现场实际独立编制的，对投标报价编制的完整性、准确性负责；</w:t>
      </w:r>
    </w:p>
    <w:p w14:paraId="799F2D86">
      <w:pPr>
        <w:spacing w:line="440" w:lineRule="exact"/>
        <w:ind w:right="90" w:firstLine="420" w:firstLineChars="200"/>
        <w:rPr>
          <w:color w:val="auto"/>
          <w:highlight w:val="none"/>
        </w:rPr>
      </w:pPr>
      <w:r>
        <w:rPr>
          <w:rFonts w:hint="eastAsia"/>
          <w:color w:val="auto"/>
          <w:highlight w:val="none"/>
        </w:rPr>
        <w:t>七、</w:t>
      </w:r>
      <w:r>
        <w:rPr>
          <w:rFonts w:hint="eastAsia" w:ascii="宋体" w:hAnsi="宋体" w:cs="宋体"/>
          <w:color w:val="auto"/>
          <w:highlight w:val="none"/>
        </w:rPr>
        <w:t>本项目资信标提供的材料均为我单位真实、有效和完整的材料，不存在任何弄虚作假行为。投标文件所附的各类材料均为我单位提供相关材料和填写的内容在主体信息库依据规则生成，我单位已对材料进行确认，并认可提供材料的有效性、真实性和完整性。</w:t>
      </w:r>
    </w:p>
    <w:p w14:paraId="2E279AEB">
      <w:pPr>
        <w:spacing w:line="440" w:lineRule="exact"/>
        <w:ind w:right="90" w:firstLine="420" w:firstLineChars="200"/>
        <w:rPr>
          <w:color w:val="auto"/>
          <w:highlight w:val="none"/>
        </w:rPr>
      </w:pPr>
      <w:r>
        <w:rPr>
          <w:rFonts w:hint="eastAsia"/>
          <w:color w:val="auto"/>
          <w:highlight w:val="none"/>
        </w:rPr>
        <w:t>我单位对以上声明内容完全负责，如违反以上任</w:t>
      </w:r>
      <w:r>
        <w:rPr>
          <w:rFonts w:hint="eastAsia"/>
          <w:color w:val="auto"/>
          <w:highlight w:val="none"/>
          <w:lang w:val="en-US" w:eastAsia="zh-CN"/>
        </w:rPr>
        <w:t>意</w:t>
      </w:r>
      <w:r>
        <w:rPr>
          <w:rFonts w:hint="eastAsia"/>
          <w:color w:val="auto"/>
          <w:highlight w:val="none"/>
        </w:rPr>
        <w:t>一款，评标委员会有权依据招标文件相应条款否决我单位投标文件，招标人有权依据相关法律不接受我单位投标并没收我单位投标保证金，由此造成的一切法律责任和经济损失我单位均予以承担。</w:t>
      </w:r>
    </w:p>
    <w:p w14:paraId="3EA9829C">
      <w:pPr>
        <w:spacing w:line="440" w:lineRule="exact"/>
        <w:ind w:right="90" w:firstLine="420" w:firstLineChars="200"/>
        <w:rPr>
          <w:color w:val="auto"/>
          <w:highlight w:val="none"/>
        </w:rPr>
      </w:pPr>
      <w:r>
        <w:rPr>
          <w:rFonts w:hint="eastAsia"/>
          <w:color w:val="auto"/>
          <w:highlight w:val="none"/>
        </w:rPr>
        <w:t>特此声明！</w:t>
      </w:r>
    </w:p>
    <w:p w14:paraId="5B64A8C9">
      <w:pPr>
        <w:spacing w:line="440" w:lineRule="exact"/>
        <w:ind w:right="420" w:firstLine="420" w:firstLineChars="200"/>
        <w:jc w:val="center"/>
        <w:rPr>
          <w:color w:val="auto"/>
          <w:highlight w:val="none"/>
        </w:rPr>
      </w:pPr>
    </w:p>
    <w:p w14:paraId="65B21993">
      <w:pPr>
        <w:spacing w:line="440" w:lineRule="exact"/>
        <w:ind w:right="420" w:firstLine="420" w:firstLineChars="200"/>
        <w:jc w:val="center"/>
        <w:rPr>
          <w:rFonts w:ascii="宋体" w:hAnsi="宋体"/>
          <w:color w:val="auto"/>
          <w:szCs w:val="21"/>
          <w:highlight w:val="none"/>
        </w:rPr>
      </w:pPr>
    </w:p>
    <w:p w14:paraId="6F8660F6">
      <w:pPr>
        <w:spacing w:line="440" w:lineRule="exact"/>
        <w:ind w:right="420" w:firstLine="420" w:firstLineChars="200"/>
        <w:jc w:val="center"/>
        <w:rPr>
          <w:rFonts w:ascii="宋体" w:hAnsi="宋体"/>
          <w:color w:val="auto"/>
          <w:szCs w:val="21"/>
          <w:highlight w:val="none"/>
        </w:rPr>
      </w:pPr>
    </w:p>
    <w:p w14:paraId="077E1B9B">
      <w:pPr>
        <w:spacing w:line="440" w:lineRule="exact"/>
        <w:ind w:firstLine="4095" w:firstLineChars="1950"/>
        <w:rPr>
          <w:color w:val="auto"/>
          <w:highlight w:val="none"/>
        </w:rPr>
      </w:pPr>
      <w:r>
        <w:rPr>
          <w:rFonts w:hint="eastAsia"/>
          <w:color w:val="auto"/>
          <w:highlight w:val="none"/>
        </w:rPr>
        <w:t>声明单位：（盖单位章）</w:t>
      </w:r>
    </w:p>
    <w:p w14:paraId="3D6D987C">
      <w:pPr>
        <w:spacing w:line="440" w:lineRule="exact"/>
        <w:ind w:firstLine="4095" w:firstLineChars="1950"/>
        <w:rPr>
          <w:color w:val="auto"/>
          <w:highlight w:val="none"/>
        </w:rPr>
      </w:pPr>
      <w:r>
        <w:rPr>
          <w:rFonts w:hint="eastAsia"/>
          <w:color w:val="auto"/>
          <w:highlight w:val="none"/>
        </w:rPr>
        <w:t>法定代表人或授权委托人：（签章）</w:t>
      </w:r>
    </w:p>
    <w:p w14:paraId="701AE2F6">
      <w:pPr>
        <w:spacing w:line="440" w:lineRule="exact"/>
        <w:ind w:right="420" w:firstLine="420" w:firstLineChars="200"/>
        <w:jc w:val="center"/>
        <w:rPr>
          <w:color w:val="auto"/>
          <w:highlight w:val="none"/>
        </w:rPr>
      </w:pPr>
      <w:r>
        <w:rPr>
          <w:color w:val="auto"/>
          <w:highlight w:val="none"/>
        </w:rPr>
        <w:t xml:space="preserve">                                   </w:t>
      </w:r>
      <w:r>
        <w:rPr>
          <w:rFonts w:hint="eastAsia"/>
          <w:color w:val="auto"/>
          <w:highlight w:val="none"/>
        </w:rPr>
        <w:t>声明时间：</w:t>
      </w:r>
      <w:r>
        <w:rPr>
          <w:rFonts w:hint="eastAsia"/>
          <w:color w:val="auto"/>
          <w:highlight w:val="none"/>
        </w:rPr>
        <w:tab/>
      </w:r>
      <w:r>
        <w:rPr>
          <w:color w:val="auto"/>
          <w:highlight w:val="none"/>
        </w:rPr>
        <w:t xml:space="preserve">  </w:t>
      </w:r>
      <w:r>
        <w:rPr>
          <w:rFonts w:hint="eastAsia"/>
          <w:color w:val="auto"/>
          <w:highlight w:val="none"/>
        </w:rPr>
        <w:t xml:space="preserve">年 </w:t>
      </w:r>
      <w:r>
        <w:rPr>
          <w:rFonts w:hint="eastAsia"/>
          <w:color w:val="auto"/>
          <w:highlight w:val="none"/>
        </w:rPr>
        <w:tab/>
      </w:r>
      <w:r>
        <w:rPr>
          <w:color w:val="auto"/>
          <w:highlight w:val="none"/>
        </w:rPr>
        <w:t xml:space="preserve">    </w:t>
      </w:r>
      <w:r>
        <w:rPr>
          <w:rFonts w:hint="eastAsia"/>
          <w:color w:val="auto"/>
          <w:highlight w:val="none"/>
        </w:rPr>
        <w:t xml:space="preserve">月  </w:t>
      </w:r>
      <w:r>
        <w:rPr>
          <w:rFonts w:hint="eastAsia"/>
          <w:color w:val="auto"/>
          <w:highlight w:val="none"/>
        </w:rPr>
        <w:tab/>
      </w:r>
      <w:r>
        <w:rPr>
          <w:rFonts w:hint="eastAsia"/>
          <w:color w:val="auto"/>
          <w:highlight w:val="none"/>
        </w:rPr>
        <w:t>日</w:t>
      </w:r>
    </w:p>
    <w:p w14:paraId="644207B4">
      <w:pPr>
        <w:rPr>
          <w:color w:val="auto"/>
          <w:highlight w:val="none"/>
        </w:rPr>
        <w:sectPr>
          <w:footerReference r:id="rId59"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82FB3E7">
      <w:pPr>
        <w:bidi w:val="0"/>
        <w:rPr>
          <w:rFonts w:hint="default"/>
          <w:color w:val="auto"/>
          <w:highlight w:val="none"/>
        </w:rPr>
      </w:pPr>
    </w:p>
    <w:p w14:paraId="3E867F22">
      <w:pPr>
        <w:bidi w:val="0"/>
        <w:rPr>
          <w:rFonts w:hint="default"/>
          <w:color w:val="auto"/>
          <w:highlight w:val="none"/>
        </w:rPr>
      </w:pPr>
    </w:p>
    <w:p w14:paraId="0A6FA71B">
      <w:pPr>
        <w:bidi w:val="0"/>
        <w:rPr>
          <w:rFonts w:hint="default"/>
          <w:color w:val="auto"/>
          <w:highlight w:val="none"/>
        </w:rPr>
      </w:pPr>
    </w:p>
    <w:p w14:paraId="72E83546">
      <w:pPr>
        <w:bidi w:val="0"/>
        <w:rPr>
          <w:rFonts w:hint="default"/>
          <w:color w:val="auto"/>
          <w:highlight w:val="none"/>
        </w:rPr>
      </w:pPr>
    </w:p>
    <w:p w14:paraId="34475B03">
      <w:pPr>
        <w:bidi w:val="0"/>
        <w:rPr>
          <w:rFonts w:hint="default"/>
          <w:color w:val="auto"/>
          <w:highlight w:val="none"/>
        </w:rPr>
      </w:pPr>
    </w:p>
    <w:p w14:paraId="2F735A65">
      <w:pPr>
        <w:bidi w:val="0"/>
        <w:rPr>
          <w:rFonts w:hint="default"/>
          <w:color w:val="auto"/>
          <w:highlight w:val="none"/>
        </w:rPr>
      </w:pPr>
    </w:p>
    <w:p w14:paraId="008B11A9">
      <w:pPr>
        <w:bidi w:val="0"/>
        <w:rPr>
          <w:rFonts w:hint="default"/>
          <w:color w:val="auto"/>
          <w:highlight w:val="none"/>
        </w:rPr>
      </w:pPr>
    </w:p>
    <w:p w14:paraId="7337ED84">
      <w:pPr>
        <w:bidi w:val="0"/>
        <w:rPr>
          <w:rFonts w:hint="default"/>
          <w:color w:val="auto"/>
          <w:highlight w:val="none"/>
        </w:rPr>
      </w:pPr>
    </w:p>
    <w:p w14:paraId="792CF3AC">
      <w:pPr>
        <w:bidi w:val="0"/>
        <w:rPr>
          <w:rFonts w:hint="default"/>
          <w:color w:val="auto"/>
          <w:highlight w:val="none"/>
        </w:rPr>
      </w:pPr>
    </w:p>
    <w:p w14:paraId="076D715B">
      <w:pPr>
        <w:bidi w:val="0"/>
        <w:rPr>
          <w:rFonts w:hint="default"/>
          <w:color w:val="auto"/>
          <w:highlight w:val="none"/>
        </w:rPr>
      </w:pPr>
    </w:p>
    <w:p w14:paraId="0D34D66A">
      <w:pPr>
        <w:bidi w:val="0"/>
        <w:rPr>
          <w:rFonts w:hint="default"/>
          <w:color w:val="auto"/>
          <w:highlight w:val="none"/>
        </w:rPr>
      </w:pPr>
    </w:p>
    <w:p w14:paraId="77AAA056">
      <w:pPr>
        <w:bidi w:val="0"/>
        <w:rPr>
          <w:rFonts w:hint="default"/>
          <w:color w:val="auto"/>
          <w:highlight w:val="none"/>
        </w:rPr>
      </w:pPr>
    </w:p>
    <w:p w14:paraId="16C1F197">
      <w:pPr>
        <w:bidi w:val="0"/>
        <w:rPr>
          <w:rFonts w:hint="default"/>
          <w:color w:val="auto"/>
          <w:highlight w:val="none"/>
        </w:rPr>
      </w:pPr>
    </w:p>
    <w:p w14:paraId="11D2FF99">
      <w:pPr>
        <w:bidi w:val="0"/>
        <w:rPr>
          <w:rFonts w:hint="default"/>
          <w:color w:val="auto"/>
          <w:highlight w:val="none"/>
        </w:rPr>
      </w:pPr>
    </w:p>
    <w:p w14:paraId="5BDE9DCB">
      <w:pPr>
        <w:pStyle w:val="35"/>
        <w:widowControl/>
        <w:ind w:left="0" w:right="0"/>
        <w:jc w:val="center"/>
        <w:rPr>
          <w:b w:val="0"/>
          <w:bCs w:val="0"/>
          <w:color w:val="auto"/>
          <w:highlight w:val="none"/>
        </w:rPr>
        <w:sectPr>
          <w:footerReference r:id="rId6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289" w:name="_Toc256000207"/>
      <w:bookmarkStart w:id="2290" w:name="_Toc12231"/>
      <w:r>
        <w:rPr>
          <w:rFonts w:hint="default" w:ascii="黑体" w:hAnsi="宋体" w:cs="黑体"/>
          <w:b w:val="0"/>
          <w:bCs w:val="0"/>
          <w:color w:val="auto"/>
          <w:kern w:val="2"/>
          <w:sz w:val="28"/>
          <w:szCs w:val="28"/>
          <w:highlight w:val="none"/>
        </w:rPr>
        <w:t>二</w:t>
      </w:r>
      <w:r>
        <w:rPr>
          <w:rFonts w:hint="eastAsia" w:ascii="黑体" w:hAnsi="宋体" w:eastAsia="黑体" w:cs="黑体"/>
          <w:b w:val="0"/>
          <w:bCs w:val="0"/>
          <w:color w:val="auto"/>
          <w:kern w:val="2"/>
          <w:sz w:val="28"/>
          <w:szCs w:val="28"/>
          <w:highlight w:val="none"/>
        </w:rPr>
        <w:t>、法定代表人身份证明或授权委托书</w:t>
      </w:r>
      <w:bookmarkEnd w:id="2289"/>
      <w:bookmarkEnd w:id="2290"/>
    </w:p>
    <w:p w14:paraId="538EF075">
      <w:pPr>
        <w:pStyle w:val="37"/>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color w:val="auto"/>
          <w:sz w:val="28"/>
          <w:szCs w:val="28"/>
          <w:highlight w:val="none"/>
          <w:lang w:val="en-US" w:eastAsia="zh-CN"/>
        </w:rPr>
      </w:pPr>
      <w:bookmarkStart w:id="2291" w:name="_Toc11259"/>
      <w:bookmarkStart w:id="2292" w:name="_Toc256000208"/>
      <w:bookmarkStart w:id="2293" w:name="_Toc122603074"/>
      <w:r>
        <w:rPr>
          <w:rFonts w:hint="eastAsia"/>
          <w:color w:val="auto"/>
          <w:sz w:val="28"/>
          <w:szCs w:val="28"/>
          <w:highlight w:val="none"/>
          <w:lang w:val="en-US" w:eastAsia="zh-CN"/>
        </w:rPr>
        <w:t>（</w:t>
      </w:r>
      <w:r>
        <w:rPr>
          <w:rFonts w:hint="default"/>
          <w:color w:val="auto"/>
          <w:sz w:val="28"/>
          <w:szCs w:val="28"/>
          <w:highlight w:val="none"/>
          <w:lang w:val="en-US" w:eastAsia="zh-CN"/>
        </w:rPr>
        <w:t>一</w:t>
      </w:r>
      <w:r>
        <w:rPr>
          <w:rFonts w:hint="eastAsia"/>
          <w:color w:val="auto"/>
          <w:sz w:val="28"/>
          <w:szCs w:val="28"/>
          <w:highlight w:val="none"/>
          <w:lang w:val="en-US" w:eastAsia="zh-CN"/>
        </w:rPr>
        <w:t>）法定代表人身份证明</w:t>
      </w:r>
      <w:bookmarkEnd w:id="2291"/>
      <w:bookmarkEnd w:id="2292"/>
      <w:bookmarkEnd w:id="2293"/>
    </w:p>
    <w:p w14:paraId="14F38AE8">
      <w:pPr>
        <w:spacing w:line="500" w:lineRule="exact"/>
        <w:rPr>
          <w:rFonts w:ascii="宋体" w:hAnsi="宋体"/>
          <w:color w:val="auto"/>
          <w:szCs w:val="21"/>
          <w:highlight w:val="none"/>
        </w:rPr>
      </w:pPr>
      <w:r>
        <w:rPr>
          <w:rFonts w:hint="eastAsia" w:ascii="宋体" w:hAnsi="宋体"/>
          <w:color w:val="auto"/>
          <w:szCs w:val="21"/>
          <w:highlight w:val="none"/>
        </w:rPr>
        <w:t>投 标 人：</w:t>
      </w:r>
      <w:r>
        <w:rPr>
          <w:rFonts w:hint="eastAsia" w:ascii="宋体" w:hAnsi="宋体"/>
          <w:color w:val="auto"/>
          <w:szCs w:val="21"/>
          <w:highlight w:val="none"/>
          <w:u w:val="single"/>
        </w:rPr>
        <w:t xml:space="preserve">                                                        </w:t>
      </w:r>
    </w:p>
    <w:p w14:paraId="2B572A79">
      <w:pPr>
        <w:spacing w:line="500" w:lineRule="exact"/>
        <w:rPr>
          <w:rFonts w:ascii="宋体" w:hAnsi="宋体"/>
          <w:color w:val="auto"/>
          <w:szCs w:val="21"/>
          <w:highlight w:val="none"/>
        </w:rPr>
      </w:pPr>
      <w:r>
        <w:rPr>
          <w:rFonts w:hint="eastAsia" w:ascii="宋体" w:hAnsi="宋体"/>
          <w:color w:val="auto"/>
          <w:szCs w:val="21"/>
          <w:highlight w:val="none"/>
        </w:rPr>
        <w:t>单位性质：</w:t>
      </w:r>
      <w:r>
        <w:rPr>
          <w:rFonts w:hint="eastAsia" w:ascii="宋体" w:hAnsi="宋体"/>
          <w:color w:val="auto"/>
          <w:szCs w:val="21"/>
          <w:highlight w:val="none"/>
          <w:u w:val="single"/>
        </w:rPr>
        <w:t xml:space="preserve">                                                        </w:t>
      </w:r>
    </w:p>
    <w:p w14:paraId="15C4994B">
      <w:pPr>
        <w:spacing w:line="500" w:lineRule="exact"/>
        <w:rPr>
          <w:rFonts w:ascii="宋体" w:hAnsi="宋体"/>
          <w:color w:val="auto"/>
          <w:szCs w:val="21"/>
          <w:highlight w:val="none"/>
        </w:rPr>
      </w:pPr>
      <w:r>
        <w:rPr>
          <w:rFonts w:hint="eastAsia" w:ascii="宋体" w:hAnsi="宋体"/>
          <w:color w:val="auto"/>
          <w:szCs w:val="21"/>
          <w:highlight w:val="none"/>
        </w:rPr>
        <w:t>地    址：</w:t>
      </w:r>
      <w:r>
        <w:rPr>
          <w:rFonts w:hint="eastAsia" w:ascii="宋体" w:hAnsi="宋体"/>
          <w:color w:val="auto"/>
          <w:szCs w:val="21"/>
          <w:highlight w:val="none"/>
          <w:u w:val="single"/>
        </w:rPr>
        <w:t xml:space="preserve">                                                        </w:t>
      </w:r>
    </w:p>
    <w:p w14:paraId="38E52325">
      <w:pPr>
        <w:spacing w:line="500" w:lineRule="exact"/>
        <w:rPr>
          <w:rFonts w:ascii="宋体" w:hAnsi="宋体"/>
          <w:color w:val="auto"/>
          <w:szCs w:val="21"/>
          <w:highlight w:val="none"/>
        </w:rPr>
      </w:pPr>
      <w:r>
        <w:rPr>
          <w:rFonts w:hint="eastAsia" w:ascii="宋体" w:hAnsi="宋体"/>
          <w:color w:val="auto"/>
          <w:szCs w:val="21"/>
          <w:highlight w:val="none"/>
        </w:rPr>
        <w:t>成立时间：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1E27B243">
      <w:pPr>
        <w:spacing w:line="500" w:lineRule="exact"/>
        <w:rPr>
          <w:rFonts w:ascii="宋体" w:hAnsi="宋体"/>
          <w:color w:val="auto"/>
          <w:szCs w:val="21"/>
          <w:highlight w:val="none"/>
        </w:rPr>
      </w:pPr>
      <w:r>
        <w:rPr>
          <w:rFonts w:hint="eastAsia" w:ascii="宋体" w:hAnsi="宋体"/>
          <w:color w:val="auto"/>
          <w:szCs w:val="21"/>
          <w:highlight w:val="none"/>
        </w:rPr>
        <w:t>经营期限：</w:t>
      </w:r>
      <w:r>
        <w:rPr>
          <w:rFonts w:hint="eastAsia" w:ascii="宋体" w:hAnsi="宋体"/>
          <w:color w:val="auto"/>
          <w:szCs w:val="21"/>
          <w:highlight w:val="none"/>
          <w:u w:val="single"/>
        </w:rPr>
        <w:t xml:space="preserve">                                                        </w:t>
      </w:r>
    </w:p>
    <w:p w14:paraId="65FF4A4A">
      <w:pPr>
        <w:spacing w:line="500" w:lineRule="exact"/>
        <w:rPr>
          <w:rFonts w:ascii="宋体" w:hAnsi="宋体"/>
          <w:color w:val="auto"/>
          <w:szCs w:val="21"/>
          <w:highlight w:val="none"/>
        </w:rPr>
      </w:pPr>
      <w:r>
        <w:rPr>
          <w:rFonts w:hint="eastAsia" w:ascii="宋体" w:hAnsi="宋体"/>
          <w:color w:val="auto"/>
          <w:szCs w:val="21"/>
          <w:highlight w:val="none"/>
        </w:rPr>
        <w:t>姓    名：</w:t>
      </w:r>
      <w:r>
        <w:rPr>
          <w:rFonts w:hint="eastAsia" w:ascii="宋体" w:hAnsi="宋体"/>
          <w:color w:val="auto"/>
          <w:szCs w:val="21"/>
          <w:highlight w:val="none"/>
          <w:u w:val="single"/>
        </w:rPr>
        <w:t xml:space="preserve">                          </w:t>
      </w:r>
      <w:r>
        <w:rPr>
          <w:rFonts w:hint="eastAsia" w:ascii="宋体" w:hAnsi="宋体"/>
          <w:color w:val="auto"/>
          <w:szCs w:val="21"/>
          <w:highlight w:val="none"/>
        </w:rPr>
        <w:t>性        别：</w:t>
      </w:r>
      <w:r>
        <w:rPr>
          <w:rFonts w:hint="eastAsia" w:ascii="宋体" w:hAnsi="宋体"/>
          <w:color w:val="auto"/>
          <w:szCs w:val="21"/>
          <w:highlight w:val="none"/>
          <w:u w:val="single"/>
        </w:rPr>
        <w:t xml:space="preserve">                </w:t>
      </w:r>
    </w:p>
    <w:p w14:paraId="3C4635AF">
      <w:pPr>
        <w:spacing w:line="500" w:lineRule="exact"/>
        <w:rPr>
          <w:rFonts w:ascii="宋体" w:hAnsi="宋体"/>
          <w:color w:val="auto"/>
          <w:szCs w:val="21"/>
          <w:highlight w:val="none"/>
        </w:rPr>
      </w:pPr>
      <w:r>
        <w:rPr>
          <w:rFonts w:hint="eastAsia" w:ascii="宋体" w:hAnsi="宋体"/>
          <w:color w:val="auto"/>
          <w:szCs w:val="21"/>
          <w:highlight w:val="none"/>
        </w:rPr>
        <w:t>年    龄：</w:t>
      </w:r>
      <w:r>
        <w:rPr>
          <w:rFonts w:hint="eastAsia" w:ascii="宋体" w:hAnsi="宋体"/>
          <w:color w:val="auto"/>
          <w:szCs w:val="21"/>
          <w:highlight w:val="none"/>
          <w:u w:val="single"/>
        </w:rPr>
        <w:t xml:space="preserve">                          </w:t>
      </w:r>
      <w:r>
        <w:rPr>
          <w:rFonts w:hint="eastAsia" w:ascii="宋体" w:hAnsi="宋体"/>
          <w:color w:val="auto"/>
          <w:szCs w:val="21"/>
          <w:highlight w:val="none"/>
        </w:rPr>
        <w:t>职        务：</w:t>
      </w:r>
      <w:r>
        <w:rPr>
          <w:rFonts w:hint="eastAsia" w:ascii="宋体" w:hAnsi="宋体"/>
          <w:color w:val="auto"/>
          <w:szCs w:val="21"/>
          <w:highlight w:val="none"/>
          <w:u w:val="single"/>
        </w:rPr>
        <w:t xml:space="preserve">                </w:t>
      </w:r>
    </w:p>
    <w:p w14:paraId="3C193AE5">
      <w:pPr>
        <w:spacing w:line="500" w:lineRule="exact"/>
        <w:rPr>
          <w:rFonts w:ascii="宋体" w:hAnsi="宋体"/>
          <w:color w:val="auto"/>
          <w:szCs w:val="21"/>
          <w:highlight w:val="none"/>
        </w:rPr>
      </w:pPr>
      <w:r>
        <w:rPr>
          <w:rFonts w:hint="eastAsia" w:ascii="宋体" w:hAnsi="宋体"/>
          <w:color w:val="auto"/>
          <w:szCs w:val="21"/>
          <w:highlight w:val="none"/>
        </w:rPr>
        <w:t>系</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（投标人名称）的法定代表人。</w:t>
      </w:r>
    </w:p>
    <w:p w14:paraId="13622AA8">
      <w:pPr>
        <w:keepNext w:val="0"/>
        <w:keepLines w:val="0"/>
        <w:widowControl w:val="0"/>
        <w:suppressLineNumbers w:val="0"/>
        <w:spacing w:before="0" w:beforeAutospacing="0" w:after="0" w:afterAutospacing="0" w:line="500" w:lineRule="exact"/>
        <w:ind w:left="0" w:right="0"/>
        <w:jc w:val="both"/>
        <w:rPr>
          <w:rFonts w:hint="eastAsia" w:ascii="宋体" w:hAnsi="宋体"/>
          <w:color w:val="auto"/>
          <w:szCs w:val="21"/>
          <w:highlight w:val="none"/>
        </w:rPr>
      </w:pPr>
      <w:r>
        <w:rPr>
          <w:rFonts w:hint="eastAsia" w:ascii="宋体" w:hAnsi="宋体"/>
          <w:color w:val="auto"/>
          <w:szCs w:val="21"/>
          <w:highlight w:val="none"/>
        </w:rPr>
        <w:t>特此证明。</w:t>
      </w:r>
    </w:p>
    <w:p w14:paraId="44F669AD">
      <w:pPr>
        <w:keepNext w:val="0"/>
        <w:keepLines w:val="0"/>
        <w:widowControl w:val="0"/>
        <w:suppressLineNumbers w:val="0"/>
        <w:spacing w:before="0" w:beforeAutospacing="0" w:after="0" w:afterAutospacing="0" w:line="500" w:lineRule="exact"/>
        <w:ind w:left="0" w:right="0"/>
        <w:jc w:val="both"/>
        <w:rPr>
          <w:rFonts w:hint="eastAsia" w:ascii="宋体" w:hAnsi="宋体"/>
          <w:color w:val="auto"/>
          <w:szCs w:val="21"/>
          <w:highlight w:val="none"/>
        </w:rPr>
      </w:pPr>
    </w:p>
    <w:p w14:paraId="4DE7C7E9">
      <w:pPr>
        <w:spacing w:line="500" w:lineRule="exact"/>
        <w:rPr>
          <w:rFonts w:hint="eastAsia" w:ascii="宋体" w:hAnsi="宋体"/>
          <w:color w:val="auto"/>
          <w:szCs w:val="21"/>
          <w:highlight w:val="none"/>
        </w:rPr>
      </w:pPr>
    </w:p>
    <w:p w14:paraId="7598DE90">
      <w:pPr>
        <w:spacing w:line="500" w:lineRule="exact"/>
        <w:rPr>
          <w:rFonts w:hint="eastAsia" w:ascii="宋体" w:hAnsi="宋体"/>
          <w:color w:val="auto"/>
          <w:szCs w:val="21"/>
          <w:highlight w:val="none"/>
        </w:rPr>
      </w:pPr>
    </w:p>
    <w:p w14:paraId="0B503E38">
      <w:pPr>
        <w:wordWrap w:val="0"/>
        <w:spacing w:line="500" w:lineRule="exact"/>
        <w:jc w:val="right"/>
        <w:rPr>
          <w:rFonts w:hint="eastAsia"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3072DC1A">
      <w:pPr>
        <w:wordWrap w:val="0"/>
        <w:spacing w:line="500" w:lineRule="exact"/>
        <w:jc w:val="righ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p>
    <w:p w14:paraId="3C2B6DB2">
      <w:pPr>
        <w:rPr>
          <w:color w:val="auto"/>
          <w:highlight w:val="none"/>
        </w:rPr>
        <w:sectPr>
          <w:footerReference r:id="rId6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3332616">
      <w:pPr>
        <w:pStyle w:val="37"/>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ascii="宋体" w:hAnsi="宋体"/>
          <w:color w:val="auto"/>
          <w:szCs w:val="21"/>
          <w:highlight w:val="none"/>
        </w:rPr>
      </w:pPr>
      <w:bookmarkStart w:id="2294" w:name="_Toc7093"/>
      <w:bookmarkStart w:id="2295" w:name="_Toc256000209"/>
      <w:bookmarkStart w:id="2296" w:name="_Toc122603075"/>
      <w:r>
        <w:rPr>
          <w:rFonts w:hint="eastAsia"/>
          <w:color w:val="auto"/>
          <w:sz w:val="28"/>
          <w:szCs w:val="28"/>
          <w:highlight w:val="none"/>
          <w:lang w:eastAsia="zh-CN"/>
        </w:rPr>
        <w:t>（</w:t>
      </w:r>
      <w:r>
        <w:rPr>
          <w:rFonts w:hint="default"/>
          <w:color w:val="auto"/>
          <w:sz w:val="28"/>
          <w:szCs w:val="28"/>
          <w:highlight w:val="none"/>
          <w:lang w:eastAsia="zh-CN"/>
        </w:rPr>
        <w:t>二</w:t>
      </w:r>
      <w:r>
        <w:rPr>
          <w:rFonts w:hint="eastAsia"/>
          <w:color w:val="auto"/>
          <w:sz w:val="28"/>
          <w:szCs w:val="28"/>
          <w:highlight w:val="none"/>
          <w:lang w:eastAsia="zh-CN"/>
        </w:rPr>
        <w:t>）授权委托书</w:t>
      </w:r>
      <w:bookmarkEnd w:id="2294"/>
      <w:bookmarkEnd w:id="2295"/>
      <w:bookmarkEnd w:id="2296"/>
    </w:p>
    <w:p w14:paraId="5DC5E079">
      <w:pPr>
        <w:spacing w:line="500" w:lineRule="exact"/>
        <w:ind w:firstLine="420" w:firstLineChars="200"/>
        <w:rPr>
          <w:rFonts w:ascii="宋体" w:hAnsi="宋体"/>
          <w:color w:val="auto"/>
          <w:szCs w:val="21"/>
          <w:highlight w:val="none"/>
        </w:rPr>
      </w:pPr>
      <w:r>
        <w:rPr>
          <w:rFonts w:hint="eastAsia" w:ascii="宋体" w:hAnsi="宋体"/>
          <w:color w:val="auto"/>
          <w:szCs w:val="21"/>
          <w:highlight w:val="none"/>
        </w:rPr>
        <w:t>本人</w:t>
      </w:r>
      <w:r>
        <w:rPr>
          <w:rFonts w:hint="eastAsia" w:ascii="宋体" w:hAnsi="宋体"/>
          <w:color w:val="auto"/>
          <w:szCs w:val="21"/>
          <w:highlight w:val="none"/>
          <w:u w:val="single"/>
        </w:rPr>
        <w:t xml:space="preserve">         </w:t>
      </w:r>
      <w:r>
        <w:rPr>
          <w:rFonts w:hint="eastAsia" w:ascii="宋体" w:hAnsi="宋体"/>
          <w:color w:val="auto"/>
          <w:szCs w:val="21"/>
          <w:highlight w:val="none"/>
        </w:rPr>
        <w:t>（姓名）系</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（投标人名称）的法定代表人，现委托</w:t>
      </w:r>
      <w:r>
        <w:rPr>
          <w:rFonts w:hint="eastAsia" w:ascii="宋体" w:hAnsi="宋体"/>
          <w:color w:val="auto"/>
          <w:szCs w:val="21"/>
          <w:highlight w:val="none"/>
          <w:u w:val="single"/>
        </w:rPr>
        <w:t xml:space="preserve">      </w:t>
      </w:r>
      <w:r>
        <w:rPr>
          <w:rFonts w:hint="eastAsia" w:ascii="宋体" w:hAnsi="宋体"/>
          <w:color w:val="auto"/>
          <w:szCs w:val="21"/>
          <w:highlight w:val="none"/>
        </w:rPr>
        <w:t>（姓名）为我方代理人。代理人根据授权，以我方名义签署、澄清、说明、补正、递交、撤回、修改</w:t>
      </w:r>
      <w:bookmarkStart w:id="2297" w:name="_Hlk152154310"/>
      <w:r>
        <w:rPr>
          <w:rFonts w:hint="eastAsia" w:ascii="宋体" w:hAnsi="宋体"/>
          <w:color w:val="auto"/>
          <w:szCs w:val="21"/>
          <w:highlight w:val="none"/>
          <w:u w:val="single"/>
        </w:rPr>
        <w:t xml:space="preserve">           </w:t>
      </w:r>
      <w:r>
        <w:rPr>
          <w:rFonts w:hint="eastAsia" w:ascii="宋体" w:hAnsi="宋体"/>
          <w:color w:val="auto"/>
          <w:szCs w:val="21"/>
          <w:highlight w:val="none"/>
        </w:rPr>
        <w:t>（标段名称）项目</w:t>
      </w:r>
      <w:r>
        <w:rPr>
          <w:rFonts w:hint="eastAsia"/>
          <w:color w:val="auto"/>
          <w:highlight w:val="none"/>
        </w:rPr>
        <w:t>（标段唯一标识码：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rPr>
        <w:t>）</w:t>
      </w:r>
      <w:bookmarkEnd w:id="2297"/>
      <w:r>
        <w:rPr>
          <w:rFonts w:hint="eastAsia" w:ascii="宋体" w:hAnsi="宋体"/>
          <w:color w:val="auto"/>
          <w:szCs w:val="21"/>
          <w:highlight w:val="none"/>
        </w:rPr>
        <w:t>投标文件、签订合同和处理有关事宜，其法律后果由我方承担。</w:t>
      </w:r>
    </w:p>
    <w:p w14:paraId="0ECA920B">
      <w:pPr>
        <w:spacing w:before="120" w:beforeLines="50" w:line="500" w:lineRule="exact"/>
        <w:ind w:firstLine="420" w:firstLineChars="200"/>
        <w:rPr>
          <w:rFonts w:ascii="宋体" w:hAnsi="宋体"/>
          <w:color w:val="auto"/>
          <w:szCs w:val="21"/>
          <w:highlight w:val="none"/>
        </w:rPr>
      </w:pPr>
      <w:r>
        <w:rPr>
          <w:rFonts w:hint="eastAsia" w:ascii="宋体" w:hAnsi="宋体"/>
          <w:color w:val="auto"/>
          <w:szCs w:val="21"/>
          <w:highlight w:val="none"/>
        </w:rPr>
        <w:t>委托期限：</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138E9F03">
      <w:pPr>
        <w:spacing w:before="240" w:beforeLines="100" w:after="240" w:afterLines="100" w:line="500" w:lineRule="exact"/>
        <w:ind w:firstLine="420" w:firstLineChars="200"/>
        <w:rPr>
          <w:rFonts w:ascii="宋体" w:hAnsi="宋体"/>
          <w:color w:val="auto"/>
          <w:szCs w:val="21"/>
          <w:highlight w:val="none"/>
        </w:rPr>
      </w:pPr>
      <w:r>
        <w:rPr>
          <w:rFonts w:hint="eastAsia" w:ascii="宋体" w:hAnsi="宋体"/>
          <w:color w:val="auto"/>
          <w:szCs w:val="21"/>
          <w:highlight w:val="none"/>
        </w:rPr>
        <w:t>代理人无转委托权。</w:t>
      </w:r>
    </w:p>
    <w:p w14:paraId="338E0D94">
      <w:pPr>
        <w:spacing w:line="500" w:lineRule="exact"/>
        <w:jc w:val="center"/>
        <w:rPr>
          <w:rFonts w:ascii="宋体" w:hAnsi="宋体"/>
          <w:color w:val="auto"/>
          <w:szCs w:val="21"/>
          <w:highlight w:val="none"/>
        </w:rPr>
      </w:pPr>
      <w:r>
        <w:rPr>
          <w:rFonts w:hint="eastAsia" w:ascii="宋体" w:hAnsi="宋体"/>
          <w:color w:val="auto"/>
          <w:szCs w:val="21"/>
          <w:highlight w:val="none"/>
        </w:rPr>
        <w:t>（附授权委托人身份证正反面复印件）</w:t>
      </w:r>
    </w:p>
    <w:p w14:paraId="3A34373B">
      <w:pPr>
        <w:spacing w:line="500" w:lineRule="exact"/>
        <w:rPr>
          <w:rFonts w:hint="eastAsia" w:ascii="宋体" w:hAnsi="宋体"/>
          <w:color w:val="auto"/>
          <w:szCs w:val="21"/>
          <w:highlight w:val="none"/>
        </w:rPr>
      </w:pPr>
    </w:p>
    <w:p w14:paraId="18B1FC58">
      <w:pPr>
        <w:spacing w:line="400" w:lineRule="exact"/>
        <w:ind w:firstLine="3570" w:firstLineChars="1700"/>
        <w:rPr>
          <w:rFonts w:hint="eastAsia" w:ascii="宋体" w:hAnsi="宋体" w:cs="宋体"/>
          <w:b w:val="0"/>
          <w:bCs w:val="0"/>
          <w:color w:val="auto"/>
          <w:szCs w:val="21"/>
          <w:highlight w:val="none"/>
        </w:rPr>
      </w:pPr>
      <w:r>
        <w:rPr>
          <w:rFonts w:hint="eastAsia" w:ascii="宋体" w:hAnsi="宋体" w:eastAsia="宋体" w:cs="宋体"/>
          <w:b w:val="0"/>
          <w:bCs w:val="0"/>
          <w:color w:val="auto"/>
          <w:szCs w:val="21"/>
          <w:highlight w:val="none"/>
        </w:rPr>
        <w:t>投  标  人：</w:t>
      </w:r>
      <w:r>
        <w:rPr>
          <w:rFonts w:hint="eastAsia" w:ascii="宋体" w:hAnsi="宋体" w:eastAsia="宋体" w:cs="宋体"/>
          <w:b w:val="0"/>
          <w:bCs w:val="0"/>
          <w:color w:val="auto"/>
          <w:szCs w:val="21"/>
          <w:highlight w:val="none"/>
          <w:u w:val="single"/>
        </w:rPr>
        <w:t xml:space="preserve">                    </w:t>
      </w:r>
      <w:r>
        <w:rPr>
          <w:rFonts w:hint="eastAsia" w:ascii="宋体" w:hAnsi="宋体" w:eastAsia="宋体" w:cs="宋体"/>
          <w:b w:val="0"/>
          <w:bCs w:val="0"/>
          <w:color w:val="auto"/>
          <w:szCs w:val="21"/>
          <w:highlight w:val="none"/>
        </w:rPr>
        <w:t>（盖单位章）</w:t>
      </w:r>
    </w:p>
    <w:p w14:paraId="78634E33">
      <w:pPr>
        <w:spacing w:line="400" w:lineRule="exact"/>
        <w:ind w:firstLine="3570" w:firstLineChars="1700"/>
        <w:rPr>
          <w:rFonts w:hint="eastAsia" w:ascii="宋体" w:hAnsi="宋体" w:cs="宋体"/>
          <w:b w:val="0"/>
          <w:bCs w:val="0"/>
          <w:color w:val="auto"/>
          <w:szCs w:val="21"/>
          <w:highlight w:val="none"/>
        </w:rPr>
      </w:pPr>
    </w:p>
    <w:p w14:paraId="67C10193">
      <w:pPr>
        <w:spacing w:line="400" w:lineRule="exact"/>
        <w:ind w:firstLine="3570" w:firstLineChars="1700"/>
        <w:rPr>
          <w:rFonts w:hint="eastAsia" w:ascii="宋体" w:hAnsi="宋体" w:cs="宋体"/>
          <w:b w:val="0"/>
          <w:bCs w:val="0"/>
          <w:color w:val="auto"/>
          <w:szCs w:val="21"/>
          <w:highlight w:val="none"/>
        </w:rPr>
      </w:pPr>
      <w:r>
        <w:rPr>
          <w:rFonts w:hint="eastAsia" w:ascii="宋体" w:hAnsi="宋体" w:eastAsia="宋体" w:cs="宋体"/>
          <w:b w:val="0"/>
          <w:bCs w:val="0"/>
          <w:color w:val="auto"/>
          <w:szCs w:val="21"/>
          <w:highlight w:val="none"/>
        </w:rPr>
        <w:t>法定代表人：</w:t>
      </w:r>
      <w:r>
        <w:rPr>
          <w:rFonts w:hint="eastAsia" w:ascii="宋体" w:hAnsi="宋体" w:eastAsia="宋体" w:cs="宋体"/>
          <w:b w:val="0"/>
          <w:bCs w:val="0"/>
          <w:color w:val="auto"/>
          <w:szCs w:val="21"/>
          <w:highlight w:val="none"/>
          <w:u w:val="single"/>
        </w:rPr>
        <w:t xml:space="preserve">                        </w:t>
      </w:r>
      <w:r>
        <w:rPr>
          <w:rFonts w:hint="eastAsia" w:ascii="宋体" w:hAnsi="宋体" w:eastAsia="宋体" w:cs="宋体"/>
          <w:b w:val="0"/>
          <w:bCs w:val="0"/>
          <w:color w:val="auto"/>
          <w:szCs w:val="21"/>
          <w:highlight w:val="none"/>
        </w:rPr>
        <w:t>（签章）</w:t>
      </w:r>
    </w:p>
    <w:p w14:paraId="52901B37">
      <w:pPr>
        <w:spacing w:line="400" w:lineRule="exact"/>
        <w:ind w:firstLine="3570" w:firstLineChars="1700"/>
        <w:rPr>
          <w:rFonts w:hint="eastAsia" w:ascii="宋体" w:hAnsi="宋体" w:cs="宋体"/>
          <w:b w:val="0"/>
          <w:bCs w:val="0"/>
          <w:color w:val="auto"/>
          <w:szCs w:val="21"/>
          <w:highlight w:val="none"/>
        </w:rPr>
      </w:pPr>
    </w:p>
    <w:p w14:paraId="7249105E">
      <w:pPr>
        <w:spacing w:line="400" w:lineRule="exact"/>
        <w:ind w:firstLine="3570" w:firstLineChars="1700"/>
        <w:rPr>
          <w:rFonts w:hint="eastAsia" w:ascii="宋体" w:hAnsi="宋体" w:cs="宋体"/>
          <w:b w:val="0"/>
          <w:bCs w:val="0"/>
          <w:color w:val="auto"/>
          <w:szCs w:val="21"/>
          <w:highlight w:val="none"/>
          <w:u w:val="single"/>
        </w:rPr>
      </w:pPr>
      <w:r>
        <w:rPr>
          <w:rFonts w:hint="eastAsia" w:ascii="宋体" w:hAnsi="宋体" w:eastAsia="宋体" w:cs="宋体"/>
          <w:b w:val="0"/>
          <w:bCs w:val="0"/>
          <w:color w:val="auto"/>
          <w:szCs w:val="21"/>
          <w:highlight w:val="none"/>
        </w:rPr>
        <w:t>身份证号码：</w:t>
      </w:r>
      <w:r>
        <w:rPr>
          <w:rFonts w:hint="eastAsia" w:ascii="宋体" w:hAnsi="宋体" w:eastAsia="宋体" w:cs="宋体"/>
          <w:b w:val="0"/>
          <w:bCs w:val="0"/>
          <w:color w:val="auto"/>
          <w:szCs w:val="21"/>
          <w:highlight w:val="none"/>
          <w:u w:val="single"/>
        </w:rPr>
        <w:t xml:space="preserve">                              </w:t>
      </w:r>
    </w:p>
    <w:p w14:paraId="601141E9">
      <w:pPr>
        <w:spacing w:line="400" w:lineRule="exact"/>
        <w:ind w:firstLine="3570" w:firstLineChars="1700"/>
        <w:rPr>
          <w:rFonts w:hint="eastAsia" w:ascii="宋体" w:hAnsi="宋体" w:cs="宋体"/>
          <w:b w:val="0"/>
          <w:bCs w:val="0"/>
          <w:color w:val="auto"/>
          <w:szCs w:val="21"/>
          <w:highlight w:val="none"/>
          <w:u w:val="single"/>
        </w:rPr>
      </w:pPr>
    </w:p>
    <w:p w14:paraId="2E96B260">
      <w:pPr>
        <w:spacing w:line="400" w:lineRule="exact"/>
        <w:ind w:firstLine="3570" w:firstLineChars="1700"/>
        <w:rPr>
          <w:rFonts w:hint="eastAsia" w:ascii="宋体" w:hAnsi="宋体" w:cs="宋体"/>
          <w:b w:val="0"/>
          <w:bCs w:val="0"/>
          <w:color w:val="auto"/>
          <w:szCs w:val="21"/>
          <w:highlight w:val="none"/>
        </w:rPr>
      </w:pPr>
      <w:r>
        <w:rPr>
          <w:rFonts w:hint="eastAsia" w:ascii="宋体" w:hAnsi="宋体" w:eastAsia="宋体" w:cs="宋体"/>
          <w:b w:val="0"/>
          <w:bCs w:val="0"/>
          <w:color w:val="auto"/>
          <w:szCs w:val="21"/>
          <w:highlight w:val="none"/>
        </w:rPr>
        <w:t>委托代理人：</w:t>
      </w:r>
      <w:r>
        <w:rPr>
          <w:rFonts w:hint="eastAsia" w:ascii="宋体" w:hAnsi="宋体" w:eastAsia="宋体" w:cs="宋体"/>
          <w:b w:val="0"/>
          <w:bCs w:val="0"/>
          <w:color w:val="auto"/>
          <w:szCs w:val="21"/>
          <w:highlight w:val="none"/>
          <w:u w:val="single"/>
        </w:rPr>
        <w:t xml:space="preserve">                        </w:t>
      </w:r>
      <w:r>
        <w:rPr>
          <w:rFonts w:hint="eastAsia" w:ascii="宋体" w:hAnsi="宋体" w:eastAsia="宋体" w:cs="宋体"/>
          <w:b w:val="0"/>
          <w:bCs w:val="0"/>
          <w:color w:val="auto"/>
          <w:szCs w:val="21"/>
          <w:highlight w:val="none"/>
        </w:rPr>
        <w:t>（签章）</w:t>
      </w:r>
    </w:p>
    <w:p w14:paraId="39BD770D">
      <w:pPr>
        <w:spacing w:line="400" w:lineRule="exact"/>
        <w:ind w:firstLine="3570" w:firstLineChars="1700"/>
        <w:rPr>
          <w:rFonts w:hint="eastAsia" w:ascii="宋体" w:hAnsi="宋体" w:cs="宋体"/>
          <w:b w:val="0"/>
          <w:bCs w:val="0"/>
          <w:color w:val="auto"/>
          <w:szCs w:val="21"/>
          <w:highlight w:val="none"/>
        </w:rPr>
      </w:pPr>
    </w:p>
    <w:p w14:paraId="2A1035FB">
      <w:pPr>
        <w:spacing w:line="400" w:lineRule="exact"/>
        <w:ind w:firstLine="3570" w:firstLineChars="1700"/>
        <w:rPr>
          <w:rFonts w:hint="eastAsia" w:ascii="黑体" w:hAnsi="宋体" w:eastAsia="黑体"/>
          <w:color w:val="auto"/>
          <w:szCs w:val="21"/>
          <w:highlight w:val="none"/>
          <w:u w:val="single"/>
        </w:rPr>
      </w:pPr>
      <w:r>
        <w:rPr>
          <w:rFonts w:hint="eastAsia" w:ascii="宋体" w:hAnsi="宋体" w:eastAsia="宋体" w:cs="宋体"/>
          <w:b w:val="0"/>
          <w:bCs w:val="0"/>
          <w:color w:val="auto"/>
          <w:szCs w:val="21"/>
          <w:highlight w:val="none"/>
        </w:rPr>
        <w:t>身份证号码：</w:t>
      </w:r>
      <w:r>
        <w:rPr>
          <w:rFonts w:hint="eastAsia" w:ascii="黑体" w:hAnsi="宋体" w:eastAsia="黑体"/>
          <w:color w:val="auto"/>
          <w:szCs w:val="21"/>
          <w:highlight w:val="none"/>
          <w:u w:val="single"/>
        </w:rPr>
        <w:t xml:space="preserve">                              </w:t>
      </w:r>
    </w:p>
    <w:p w14:paraId="7E70D0B1">
      <w:pPr>
        <w:spacing w:line="400" w:lineRule="exact"/>
        <w:rPr>
          <w:rFonts w:hint="eastAsia" w:ascii="黑体" w:hAnsi="宋体" w:eastAsia="黑体"/>
          <w:color w:val="auto"/>
          <w:szCs w:val="21"/>
          <w:highlight w:val="none"/>
        </w:rPr>
      </w:pPr>
    </w:p>
    <w:p w14:paraId="1BB1211F">
      <w:pPr>
        <w:spacing w:line="400" w:lineRule="exact"/>
        <w:ind w:firstLine="4830" w:firstLineChars="2300"/>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2BB74854">
      <w:pPr>
        <w:rPr>
          <w:color w:val="auto"/>
          <w:highlight w:val="none"/>
        </w:rPr>
        <w:sectPr>
          <w:footerReference r:id="rId6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7542E79">
      <w:pPr>
        <w:pStyle w:val="35"/>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default"/>
          <w:color w:val="auto"/>
          <w:szCs w:val="21"/>
          <w:highlight w:val="none"/>
        </w:rPr>
      </w:pPr>
      <w:bookmarkStart w:id="2298" w:name="_Toc256000210"/>
      <w:bookmarkStart w:id="2299" w:name="_Toc32625"/>
      <w:bookmarkStart w:id="2300" w:name="_Toc122603076"/>
      <w:r>
        <w:rPr>
          <w:rFonts w:hint="default"/>
          <w:color w:val="auto"/>
          <w:highlight w:val="none"/>
        </w:rPr>
        <w:t>三</w:t>
      </w:r>
      <w:r>
        <w:rPr>
          <w:rFonts w:hint="eastAsia"/>
          <w:color w:val="auto"/>
          <w:highlight w:val="none"/>
        </w:rPr>
        <w:t>、投标保证金</w:t>
      </w:r>
      <w:bookmarkEnd w:id="2298"/>
      <w:bookmarkEnd w:id="2299"/>
      <w:bookmarkEnd w:id="2300"/>
    </w:p>
    <w:p w14:paraId="5A90684B">
      <w:pPr>
        <w:spacing w:line="400" w:lineRule="atLeast"/>
        <w:ind w:firstLine="390"/>
        <w:rPr>
          <w:rFonts w:ascii="宋体" w:hAnsi="宋体"/>
          <w:b/>
          <w:bCs/>
          <w:color w:val="auto"/>
          <w:highlight w:val="none"/>
        </w:rPr>
      </w:pPr>
      <w:r>
        <w:rPr>
          <w:rFonts w:hint="eastAsia" w:ascii="宋体" w:hAnsi="宋体"/>
          <w:b/>
          <w:bCs/>
          <w:color w:val="auto"/>
          <w:szCs w:val="21"/>
          <w:highlight w:val="none"/>
        </w:rPr>
        <w:t>（一）</w:t>
      </w:r>
      <w:r>
        <w:rPr>
          <w:rFonts w:ascii="宋体" w:hAnsi="宋体"/>
          <w:b/>
          <w:bCs/>
          <w:color w:val="auto"/>
          <w:szCs w:val="21"/>
          <w:highlight w:val="none"/>
        </w:rPr>
        <w:t>若采用现金或支票，投标人应</w:t>
      </w:r>
      <w:r>
        <w:rPr>
          <w:rFonts w:hint="eastAsia" w:ascii="宋体" w:hAnsi="宋体"/>
          <w:b/>
          <w:bCs/>
          <w:color w:val="auto"/>
          <w:szCs w:val="21"/>
          <w:highlight w:val="none"/>
        </w:rPr>
        <w:t>填写以下表格信息并</w:t>
      </w:r>
      <w:r>
        <w:rPr>
          <w:rFonts w:ascii="宋体" w:hAnsi="宋体"/>
          <w:b/>
          <w:bCs/>
          <w:color w:val="auto"/>
          <w:szCs w:val="21"/>
          <w:highlight w:val="none"/>
        </w:rPr>
        <w:t>提供汇款凭证的扫描件。</w:t>
      </w:r>
    </w:p>
    <w:tbl>
      <w:tblPr>
        <w:tblStyle w:val="25"/>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413"/>
        <w:gridCol w:w="3036"/>
        <w:gridCol w:w="1103"/>
        <w:gridCol w:w="2637"/>
      </w:tblGrid>
      <w:tr w14:paraId="49FE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818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303642C0">
            <w:pPr>
              <w:jc w:val="center"/>
              <w:rPr>
                <w:rFonts w:ascii="宋体" w:hAnsi="宋体"/>
                <w:b/>
                <w:color w:val="auto"/>
                <w:highlight w:val="none"/>
              </w:rPr>
            </w:pPr>
            <w:r>
              <w:rPr>
                <w:rFonts w:hint="eastAsia" w:ascii="宋体" w:hAnsi="宋体"/>
                <w:b/>
                <w:color w:val="auto"/>
                <w:highlight w:val="none"/>
              </w:rPr>
              <w:t>现金汇款信息</w:t>
            </w:r>
          </w:p>
        </w:tc>
      </w:tr>
      <w:tr w14:paraId="57583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14:paraId="47F52176">
            <w:pPr>
              <w:jc w:val="center"/>
              <w:rPr>
                <w:rFonts w:ascii="宋体" w:hAnsi="宋体"/>
                <w:color w:val="auto"/>
                <w:highlight w:val="none"/>
              </w:rPr>
            </w:pPr>
            <w:r>
              <w:rPr>
                <w:rFonts w:hint="eastAsia" w:ascii="宋体" w:hAnsi="宋体"/>
                <w:color w:val="auto"/>
                <w:highlight w:val="none"/>
              </w:rPr>
              <w:t>收款账户</w:t>
            </w:r>
          </w:p>
        </w:tc>
        <w:tc>
          <w:tcPr>
            <w:tcW w:w="3036" w:type="dxa"/>
            <w:tcBorders>
              <w:top w:val="single" w:color="auto" w:sz="4" w:space="0"/>
              <w:left w:val="single" w:color="auto" w:sz="4" w:space="0"/>
              <w:bottom w:val="single" w:color="auto" w:sz="4" w:space="0"/>
              <w:right w:val="single" w:color="auto" w:sz="4" w:space="0"/>
            </w:tcBorders>
            <w:shd w:val="clear" w:color="auto" w:fill="FFFFFF"/>
            <w:vAlign w:val="center"/>
          </w:tcPr>
          <w:p w14:paraId="6ED4650A">
            <w:pPr>
              <w:rPr>
                <w:rFonts w:ascii="宋体" w:hAnsi="宋体"/>
                <w:color w:val="auto"/>
                <w:highlight w:val="none"/>
              </w:rPr>
            </w:pPr>
          </w:p>
        </w:tc>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14:paraId="45DE6DC9">
            <w:pPr>
              <w:jc w:val="center"/>
              <w:rPr>
                <w:rFonts w:ascii="宋体" w:hAnsi="宋体"/>
                <w:color w:val="auto"/>
                <w:highlight w:val="none"/>
              </w:rPr>
            </w:pPr>
            <w:r>
              <w:rPr>
                <w:rFonts w:hint="eastAsia" w:ascii="宋体" w:hAnsi="宋体"/>
                <w:color w:val="auto"/>
                <w:highlight w:val="none"/>
              </w:rPr>
              <w:t>汇款账户</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14:paraId="6FCF9593">
            <w:pPr>
              <w:rPr>
                <w:rFonts w:ascii="宋体" w:hAnsi="宋体"/>
                <w:color w:val="auto"/>
                <w:highlight w:val="none"/>
              </w:rPr>
            </w:pPr>
          </w:p>
        </w:tc>
      </w:tr>
      <w:tr w14:paraId="103A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14:paraId="22B76F0D">
            <w:pPr>
              <w:jc w:val="center"/>
              <w:rPr>
                <w:rFonts w:ascii="宋体" w:hAnsi="宋体"/>
                <w:color w:val="auto"/>
                <w:highlight w:val="none"/>
              </w:rPr>
            </w:pPr>
            <w:r>
              <w:rPr>
                <w:rFonts w:hint="eastAsia" w:ascii="宋体" w:hAnsi="宋体"/>
                <w:color w:val="auto"/>
                <w:highlight w:val="none"/>
              </w:rPr>
              <w:t>收款账号</w:t>
            </w:r>
          </w:p>
        </w:tc>
        <w:tc>
          <w:tcPr>
            <w:tcW w:w="3036" w:type="dxa"/>
            <w:tcBorders>
              <w:top w:val="single" w:color="auto" w:sz="4" w:space="0"/>
              <w:left w:val="single" w:color="auto" w:sz="4" w:space="0"/>
              <w:bottom w:val="single" w:color="auto" w:sz="4" w:space="0"/>
              <w:right w:val="single" w:color="auto" w:sz="4" w:space="0"/>
            </w:tcBorders>
            <w:shd w:val="clear" w:color="auto" w:fill="FFFFFF"/>
            <w:vAlign w:val="center"/>
          </w:tcPr>
          <w:p w14:paraId="221EA436">
            <w:pPr>
              <w:rPr>
                <w:rFonts w:ascii="宋体" w:hAnsi="宋体"/>
                <w:color w:val="auto"/>
                <w:highlight w:val="none"/>
              </w:rPr>
            </w:pPr>
          </w:p>
        </w:tc>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14:paraId="19F6DA83">
            <w:pPr>
              <w:jc w:val="center"/>
              <w:rPr>
                <w:rFonts w:ascii="宋体" w:hAnsi="宋体"/>
                <w:color w:val="auto"/>
                <w:highlight w:val="none"/>
              </w:rPr>
            </w:pPr>
            <w:r>
              <w:rPr>
                <w:rFonts w:hint="eastAsia" w:ascii="宋体" w:hAnsi="宋体"/>
                <w:color w:val="auto"/>
                <w:highlight w:val="none"/>
              </w:rPr>
              <w:t>汇款账号</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14:paraId="16635815">
            <w:pPr>
              <w:rPr>
                <w:rFonts w:ascii="宋体" w:hAnsi="宋体"/>
                <w:color w:val="auto"/>
                <w:highlight w:val="none"/>
              </w:rPr>
            </w:pPr>
          </w:p>
        </w:tc>
      </w:tr>
      <w:tr w14:paraId="4EE2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14:paraId="5447E61E">
            <w:pPr>
              <w:jc w:val="center"/>
              <w:rPr>
                <w:rFonts w:ascii="宋体" w:hAnsi="宋体"/>
                <w:color w:val="auto"/>
                <w:highlight w:val="none"/>
              </w:rPr>
            </w:pPr>
            <w:r>
              <w:rPr>
                <w:rFonts w:hint="eastAsia" w:ascii="宋体" w:hAnsi="宋体"/>
                <w:color w:val="auto"/>
                <w:highlight w:val="none"/>
              </w:rPr>
              <w:t>汇款金额</w:t>
            </w:r>
          </w:p>
        </w:tc>
        <w:tc>
          <w:tcPr>
            <w:tcW w:w="3036" w:type="dxa"/>
            <w:tcBorders>
              <w:top w:val="single" w:color="auto" w:sz="4" w:space="0"/>
              <w:left w:val="single" w:color="auto" w:sz="4" w:space="0"/>
              <w:bottom w:val="single" w:color="auto" w:sz="4" w:space="0"/>
              <w:right w:val="single" w:color="auto" w:sz="4" w:space="0"/>
            </w:tcBorders>
            <w:shd w:val="clear" w:color="auto" w:fill="FFFFFF"/>
            <w:vAlign w:val="center"/>
          </w:tcPr>
          <w:p w14:paraId="192E4080">
            <w:pPr>
              <w:rPr>
                <w:rFonts w:ascii="宋体" w:hAnsi="宋体"/>
                <w:color w:val="auto"/>
                <w:highlight w:val="none"/>
              </w:rPr>
            </w:pPr>
          </w:p>
        </w:tc>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14:paraId="54771276">
            <w:pPr>
              <w:jc w:val="center"/>
              <w:rPr>
                <w:rFonts w:ascii="宋体" w:hAnsi="宋体"/>
                <w:color w:val="auto"/>
                <w:highlight w:val="none"/>
              </w:rPr>
            </w:pPr>
            <w:r>
              <w:rPr>
                <w:rFonts w:hint="eastAsia" w:ascii="宋体" w:hAnsi="宋体"/>
                <w:color w:val="auto"/>
                <w:highlight w:val="none"/>
              </w:rPr>
              <w:t>汇款时间</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14:paraId="73536247">
            <w:pPr>
              <w:rPr>
                <w:rFonts w:ascii="宋体" w:hAnsi="宋体"/>
                <w:color w:val="auto"/>
                <w:highlight w:val="none"/>
              </w:rPr>
            </w:pPr>
          </w:p>
        </w:tc>
      </w:tr>
      <w:tr w14:paraId="6989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58F35B85">
            <w:pPr>
              <w:jc w:val="center"/>
              <w:rPr>
                <w:rFonts w:ascii="宋体" w:hAnsi="宋体"/>
                <w:color w:val="auto"/>
                <w:highlight w:val="none"/>
              </w:rPr>
            </w:pPr>
            <w:r>
              <w:rPr>
                <w:rFonts w:hint="eastAsia" w:ascii="宋体" w:hAnsi="宋体"/>
                <w:color w:val="auto"/>
                <w:highlight w:val="none"/>
              </w:rPr>
              <w:t>附件</w:t>
            </w: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3FE365FB">
            <w:pPr>
              <w:rPr>
                <w:rFonts w:ascii="宋体" w:hAnsi="宋体"/>
                <w:color w:val="auto"/>
                <w:highlight w:val="none"/>
              </w:rPr>
            </w:pPr>
            <w:r>
              <w:rPr>
                <w:rFonts w:hint="eastAsia" w:ascii="宋体" w:hAnsi="宋体"/>
                <w:color w:val="auto"/>
                <w:highlight w:val="none"/>
              </w:rPr>
              <w:t>汇款凭证扫描件</w:t>
            </w:r>
          </w:p>
        </w:tc>
      </w:tr>
      <w:tr w14:paraId="7706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527CB63">
            <w:pPr>
              <w:widowControl/>
              <w:rPr>
                <w:rFonts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642E9FD5">
            <w:pPr>
              <w:rPr>
                <w:rFonts w:ascii="宋体" w:hAnsi="宋体"/>
                <w:color w:val="auto"/>
                <w:highlight w:val="none"/>
              </w:rPr>
            </w:pPr>
          </w:p>
        </w:tc>
      </w:tr>
      <w:tr w14:paraId="0D95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542939F">
            <w:pPr>
              <w:widowControl/>
              <w:rPr>
                <w:rFonts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3888469">
            <w:pPr>
              <w:rPr>
                <w:rFonts w:ascii="宋体" w:hAnsi="宋体"/>
                <w:color w:val="auto"/>
                <w:highlight w:val="none"/>
              </w:rPr>
            </w:pPr>
            <w:r>
              <w:rPr>
                <w:rFonts w:hint="eastAsia" w:ascii="宋体" w:hAnsi="宋体"/>
                <w:color w:val="auto"/>
                <w:highlight w:val="none"/>
              </w:rPr>
              <w:t>基本户开户许可证（基本存款账户信息）扫描件</w:t>
            </w:r>
          </w:p>
        </w:tc>
      </w:tr>
      <w:tr w14:paraId="75C6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C82FD92">
            <w:pPr>
              <w:widowControl/>
              <w:rPr>
                <w:rFonts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6FFA482F">
            <w:pPr>
              <w:rPr>
                <w:rFonts w:ascii="宋体" w:hAnsi="宋体"/>
                <w:color w:val="auto"/>
                <w:highlight w:val="none"/>
              </w:rPr>
            </w:pPr>
          </w:p>
        </w:tc>
      </w:tr>
      <w:tr w14:paraId="6065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5E3DB46">
            <w:pPr>
              <w:widowControl/>
              <w:rPr>
                <w:rFonts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7097500B">
            <w:pPr>
              <w:rPr>
                <w:rFonts w:ascii="宋体" w:hAnsi="宋体"/>
                <w:color w:val="auto"/>
                <w:highlight w:val="none"/>
              </w:rPr>
            </w:pPr>
            <w:r>
              <w:rPr>
                <w:rFonts w:hint="eastAsia" w:ascii="宋体" w:hAnsi="宋体"/>
                <w:color w:val="auto"/>
                <w:highlight w:val="none"/>
              </w:rPr>
              <w:t>其他材料</w:t>
            </w:r>
          </w:p>
        </w:tc>
      </w:tr>
      <w:tr w14:paraId="48C6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7AED2B1">
            <w:pPr>
              <w:widowControl/>
              <w:rPr>
                <w:rFonts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4F25C935">
            <w:pPr>
              <w:rPr>
                <w:rFonts w:ascii="宋体" w:hAnsi="宋体"/>
                <w:color w:val="auto"/>
                <w:highlight w:val="none"/>
              </w:rPr>
            </w:pPr>
          </w:p>
        </w:tc>
      </w:tr>
    </w:tbl>
    <w:p w14:paraId="4E2C73B5">
      <w:pPr>
        <w:autoSpaceDE w:val="0"/>
        <w:autoSpaceDN w:val="0"/>
        <w:adjustRightInd w:val="0"/>
        <w:spacing w:line="360" w:lineRule="auto"/>
        <w:ind w:firstLine="400" w:firstLineChars="200"/>
        <w:rPr>
          <w:rFonts w:ascii="宋体" w:hAnsi="宋体"/>
          <w:color w:val="auto"/>
          <w:sz w:val="20"/>
          <w:highlight w:val="none"/>
        </w:rPr>
      </w:pPr>
    </w:p>
    <w:p w14:paraId="05328E7C">
      <w:pPr>
        <w:spacing w:line="400" w:lineRule="atLeast"/>
        <w:ind w:firstLine="390"/>
        <w:rPr>
          <w:rFonts w:ascii="宋体" w:hAnsi="宋体"/>
          <w:b/>
          <w:bCs/>
          <w:color w:val="auto"/>
          <w:highlight w:val="none"/>
        </w:rPr>
      </w:pPr>
      <w:r>
        <w:rPr>
          <w:rFonts w:hint="eastAsia" w:ascii="宋体" w:hAnsi="宋体"/>
          <w:b/>
          <w:bCs/>
          <w:color w:val="auto"/>
          <w:szCs w:val="21"/>
          <w:highlight w:val="none"/>
        </w:rPr>
        <w:t>（二）</w:t>
      </w:r>
      <w:r>
        <w:rPr>
          <w:rFonts w:ascii="宋体" w:hAnsi="宋体"/>
          <w:b/>
          <w:bCs/>
          <w:color w:val="auto"/>
          <w:szCs w:val="21"/>
          <w:highlight w:val="none"/>
        </w:rPr>
        <w:t>若</w:t>
      </w:r>
      <w:r>
        <w:rPr>
          <w:rFonts w:hint="eastAsia" w:ascii="宋体" w:hAnsi="宋体"/>
          <w:b/>
          <w:bCs/>
          <w:color w:val="auto"/>
          <w:szCs w:val="21"/>
          <w:highlight w:val="none"/>
        </w:rPr>
        <w:t>辽宁省工程建设项目电子保函保险基础服务平台</w:t>
      </w:r>
      <w:bookmarkStart w:id="2301" w:name="_Hlk150859078"/>
      <w:r>
        <w:rPr>
          <w:rFonts w:hint="eastAsia" w:ascii="宋体" w:hAnsi="宋体"/>
          <w:b/>
          <w:bCs/>
          <w:color w:val="auto"/>
          <w:szCs w:val="21"/>
          <w:highlight w:val="none"/>
        </w:rPr>
        <w:t>（包含辽宁省建设工程领域电子保函保险基础公共服务平台及跨地区、跨行业自由服务试点的金融平台或金融机构）</w:t>
      </w:r>
      <w:bookmarkEnd w:id="2301"/>
      <w:r>
        <w:rPr>
          <w:rFonts w:hint="eastAsia" w:ascii="宋体" w:hAnsi="宋体"/>
          <w:b/>
          <w:bCs/>
          <w:color w:val="auto"/>
          <w:szCs w:val="21"/>
          <w:highlight w:val="none"/>
        </w:rPr>
        <w:t>电子保函</w:t>
      </w:r>
      <w:r>
        <w:rPr>
          <w:rFonts w:ascii="宋体" w:hAnsi="宋体"/>
          <w:b/>
          <w:bCs/>
          <w:color w:val="auto"/>
          <w:szCs w:val="21"/>
          <w:highlight w:val="none"/>
        </w:rPr>
        <w:t>，投标人应</w:t>
      </w:r>
      <w:r>
        <w:rPr>
          <w:rFonts w:hint="eastAsia" w:ascii="宋体" w:hAnsi="宋体"/>
          <w:b/>
          <w:bCs/>
          <w:color w:val="auto"/>
          <w:szCs w:val="21"/>
          <w:highlight w:val="none"/>
        </w:rPr>
        <w:t>填写以下表格信息</w:t>
      </w:r>
      <w:r>
        <w:rPr>
          <w:rFonts w:ascii="宋体" w:hAnsi="宋体"/>
          <w:b/>
          <w:bCs/>
          <w:color w:val="auto"/>
          <w:szCs w:val="21"/>
          <w:highlight w:val="none"/>
        </w:rPr>
        <w:t>。</w:t>
      </w:r>
    </w:p>
    <w:tbl>
      <w:tblPr>
        <w:tblStyle w:val="25"/>
        <w:tblW w:w="818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6642"/>
      </w:tblGrid>
      <w:tr w14:paraId="2D4F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188" w:type="dxa"/>
            <w:gridSpan w:val="2"/>
            <w:tcBorders>
              <w:top w:val="single" w:color="auto" w:sz="4" w:space="0"/>
              <w:left w:val="single" w:color="auto" w:sz="4" w:space="0"/>
              <w:bottom w:val="single" w:color="auto" w:sz="4" w:space="0"/>
              <w:right w:val="single" w:color="auto" w:sz="4" w:space="0"/>
            </w:tcBorders>
            <w:vAlign w:val="center"/>
          </w:tcPr>
          <w:p w14:paraId="50F55BB8">
            <w:pPr>
              <w:jc w:val="center"/>
              <w:rPr>
                <w:rFonts w:ascii="宋体" w:hAnsi="宋体"/>
                <w:b/>
                <w:color w:val="auto"/>
                <w:highlight w:val="none"/>
              </w:rPr>
            </w:pPr>
            <w:r>
              <w:rPr>
                <w:rFonts w:hint="eastAsia" w:ascii="宋体" w:hAnsi="宋体"/>
                <w:b/>
                <w:bCs/>
                <w:color w:val="auto"/>
                <w:szCs w:val="21"/>
                <w:highlight w:val="none"/>
              </w:rPr>
              <w:t>辽宁省工程建设项目电子保函保险基础服务平台</w:t>
            </w:r>
            <w:r>
              <w:rPr>
                <w:rFonts w:hint="eastAsia" w:ascii="宋体" w:hAnsi="宋体"/>
                <w:b/>
                <w:color w:val="auto"/>
                <w:highlight w:val="none"/>
              </w:rPr>
              <w:t>保函信息</w:t>
            </w:r>
          </w:p>
        </w:tc>
      </w:tr>
      <w:tr w14:paraId="457C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tcBorders>
              <w:top w:val="single" w:color="auto" w:sz="4" w:space="0"/>
              <w:left w:val="single" w:color="auto" w:sz="4" w:space="0"/>
              <w:bottom w:val="single" w:color="auto" w:sz="4" w:space="0"/>
              <w:right w:val="single" w:color="auto" w:sz="4" w:space="0"/>
            </w:tcBorders>
            <w:vAlign w:val="center"/>
          </w:tcPr>
          <w:p w14:paraId="36398DF7">
            <w:pPr>
              <w:jc w:val="center"/>
              <w:rPr>
                <w:rFonts w:ascii="宋体" w:hAnsi="宋体"/>
                <w:color w:val="auto"/>
                <w:highlight w:val="none"/>
              </w:rPr>
            </w:pPr>
            <w:r>
              <w:rPr>
                <w:rFonts w:hint="eastAsia" w:ascii="宋体" w:hAnsi="宋体"/>
                <w:color w:val="auto"/>
                <w:highlight w:val="none"/>
              </w:rPr>
              <w:t>保函编号</w:t>
            </w:r>
          </w:p>
        </w:tc>
        <w:tc>
          <w:tcPr>
            <w:tcW w:w="6642" w:type="dxa"/>
            <w:tcBorders>
              <w:top w:val="single" w:color="auto" w:sz="4" w:space="0"/>
              <w:left w:val="single" w:color="auto" w:sz="4" w:space="0"/>
              <w:bottom w:val="single" w:color="auto" w:sz="4" w:space="0"/>
              <w:right w:val="single" w:color="auto" w:sz="4" w:space="0"/>
            </w:tcBorders>
            <w:vAlign w:val="center"/>
          </w:tcPr>
          <w:p w14:paraId="500E0B65">
            <w:pPr>
              <w:rPr>
                <w:rFonts w:ascii="宋体" w:hAnsi="宋体"/>
                <w:color w:val="auto"/>
                <w:highlight w:val="none"/>
              </w:rPr>
            </w:pPr>
          </w:p>
        </w:tc>
      </w:tr>
      <w:tr w14:paraId="2E84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vMerge w:val="restart"/>
            <w:tcBorders>
              <w:top w:val="single" w:color="auto" w:sz="4" w:space="0"/>
              <w:left w:val="single" w:color="auto" w:sz="4" w:space="0"/>
              <w:bottom w:val="single" w:color="auto" w:sz="4" w:space="0"/>
              <w:right w:val="single" w:color="auto" w:sz="4" w:space="0"/>
            </w:tcBorders>
            <w:vAlign w:val="center"/>
          </w:tcPr>
          <w:p w14:paraId="0C070907">
            <w:pPr>
              <w:jc w:val="center"/>
              <w:rPr>
                <w:rFonts w:ascii="宋体" w:hAnsi="宋体"/>
                <w:color w:val="auto"/>
                <w:highlight w:val="none"/>
              </w:rPr>
            </w:pPr>
            <w:r>
              <w:rPr>
                <w:rFonts w:hint="eastAsia" w:ascii="宋体" w:hAnsi="宋体"/>
                <w:color w:val="auto"/>
                <w:highlight w:val="none"/>
              </w:rPr>
              <w:t>附件</w:t>
            </w:r>
          </w:p>
        </w:tc>
        <w:tc>
          <w:tcPr>
            <w:tcW w:w="6642" w:type="dxa"/>
            <w:tcBorders>
              <w:top w:val="single" w:color="auto" w:sz="4" w:space="0"/>
              <w:left w:val="single" w:color="auto" w:sz="4" w:space="0"/>
              <w:bottom w:val="single" w:color="auto" w:sz="4" w:space="0"/>
              <w:right w:val="single" w:color="auto" w:sz="4" w:space="0"/>
            </w:tcBorders>
            <w:vAlign w:val="center"/>
          </w:tcPr>
          <w:p w14:paraId="45B5D191">
            <w:pPr>
              <w:rPr>
                <w:rFonts w:ascii="宋体" w:hAnsi="宋体"/>
                <w:color w:val="auto"/>
                <w:highlight w:val="none"/>
              </w:rPr>
            </w:pPr>
            <w:r>
              <w:rPr>
                <w:rFonts w:hint="eastAsia" w:ascii="宋体" w:hAnsi="宋体"/>
                <w:color w:val="auto"/>
                <w:highlight w:val="none"/>
              </w:rPr>
              <w:t>电子保函扫描件</w:t>
            </w:r>
          </w:p>
        </w:tc>
      </w:tr>
      <w:tr w14:paraId="74EC1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DEE186D">
            <w:pPr>
              <w:widowControl/>
              <w:rPr>
                <w:rFonts w:ascii="宋体" w:hAnsi="宋体"/>
                <w:color w:val="auto"/>
                <w:highlight w:val="none"/>
              </w:rPr>
            </w:pPr>
          </w:p>
        </w:tc>
        <w:tc>
          <w:tcPr>
            <w:tcW w:w="6642" w:type="dxa"/>
            <w:tcBorders>
              <w:top w:val="single" w:color="auto" w:sz="4" w:space="0"/>
              <w:left w:val="single" w:color="auto" w:sz="4" w:space="0"/>
              <w:bottom w:val="single" w:color="auto" w:sz="4" w:space="0"/>
              <w:right w:val="single" w:color="auto" w:sz="4" w:space="0"/>
            </w:tcBorders>
            <w:vAlign w:val="center"/>
          </w:tcPr>
          <w:p w14:paraId="69E31388">
            <w:pPr>
              <w:rPr>
                <w:rFonts w:ascii="宋体" w:hAnsi="宋体"/>
                <w:color w:val="auto"/>
                <w:highlight w:val="none"/>
              </w:rPr>
            </w:pPr>
          </w:p>
        </w:tc>
      </w:tr>
    </w:tbl>
    <w:p w14:paraId="7F20BC94">
      <w:pPr>
        <w:spacing w:line="400" w:lineRule="atLeast"/>
        <w:ind w:firstLine="390"/>
        <w:rPr>
          <w:rFonts w:ascii="宋体" w:hAnsi="宋体"/>
          <w:color w:val="auto"/>
          <w:szCs w:val="21"/>
          <w:highlight w:val="none"/>
        </w:rPr>
      </w:pPr>
    </w:p>
    <w:p w14:paraId="4BBF9DD7">
      <w:pPr>
        <w:spacing w:line="400" w:lineRule="atLeast"/>
        <w:ind w:firstLine="390"/>
        <w:rPr>
          <w:rFonts w:ascii="宋体" w:hAnsi="宋体"/>
          <w:b/>
          <w:bCs/>
          <w:color w:val="auto"/>
          <w:highlight w:val="none"/>
        </w:rPr>
      </w:pPr>
      <w:r>
        <w:rPr>
          <w:rFonts w:hint="eastAsia" w:ascii="宋体" w:hAnsi="宋体"/>
          <w:b/>
          <w:bCs/>
          <w:color w:val="auto"/>
          <w:szCs w:val="21"/>
          <w:highlight w:val="none"/>
        </w:rPr>
        <w:t>（三）</w:t>
      </w:r>
      <w:r>
        <w:rPr>
          <w:rFonts w:ascii="宋体" w:hAnsi="宋体"/>
          <w:b/>
          <w:bCs/>
          <w:color w:val="auto"/>
          <w:szCs w:val="21"/>
          <w:highlight w:val="none"/>
        </w:rPr>
        <w:t>若</w:t>
      </w:r>
      <w:r>
        <w:rPr>
          <w:rFonts w:hint="eastAsia" w:ascii="宋体" w:hAnsi="宋体"/>
          <w:b/>
          <w:bCs/>
          <w:color w:val="auto"/>
          <w:szCs w:val="21"/>
          <w:highlight w:val="none"/>
        </w:rPr>
        <w:t>采用纸质保函或其他平台电子保函</w:t>
      </w:r>
      <w:r>
        <w:rPr>
          <w:rFonts w:ascii="宋体" w:hAnsi="宋体"/>
          <w:b/>
          <w:bCs/>
          <w:color w:val="auto"/>
          <w:szCs w:val="21"/>
          <w:highlight w:val="none"/>
        </w:rPr>
        <w:t>，投标人应</w:t>
      </w:r>
      <w:r>
        <w:rPr>
          <w:rFonts w:hint="eastAsia" w:ascii="宋体" w:hAnsi="宋体"/>
          <w:b/>
          <w:bCs/>
          <w:color w:val="auto"/>
          <w:szCs w:val="21"/>
          <w:highlight w:val="none"/>
        </w:rPr>
        <w:t>填写以下表格信息，并</w:t>
      </w:r>
      <w:r>
        <w:rPr>
          <w:rFonts w:ascii="宋体" w:hAnsi="宋体"/>
          <w:b/>
          <w:bCs/>
          <w:color w:val="auto"/>
          <w:szCs w:val="21"/>
          <w:highlight w:val="none"/>
        </w:rPr>
        <w:t>提供</w:t>
      </w:r>
      <w:r>
        <w:rPr>
          <w:rFonts w:hint="eastAsia" w:ascii="宋体" w:hAnsi="宋体"/>
          <w:b/>
          <w:bCs/>
          <w:color w:val="auto"/>
          <w:szCs w:val="21"/>
          <w:highlight w:val="none"/>
        </w:rPr>
        <w:t>相关材料扫描件信息。</w:t>
      </w:r>
    </w:p>
    <w:tbl>
      <w:tblPr>
        <w:tblStyle w:val="25"/>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523"/>
        <w:gridCol w:w="2930"/>
        <w:gridCol w:w="1525"/>
        <w:gridCol w:w="2211"/>
      </w:tblGrid>
      <w:tr w14:paraId="5ED3C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818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2D80CB54">
            <w:pPr>
              <w:jc w:val="center"/>
              <w:rPr>
                <w:rFonts w:ascii="宋体" w:hAnsi="宋体"/>
                <w:b/>
                <w:color w:val="auto"/>
                <w:highlight w:val="none"/>
              </w:rPr>
            </w:pPr>
            <w:r>
              <w:rPr>
                <w:rFonts w:hint="eastAsia" w:ascii="宋体" w:hAnsi="宋体"/>
                <w:b/>
                <w:color w:val="auto"/>
                <w:highlight w:val="none"/>
              </w:rPr>
              <w:t>非</w:t>
            </w:r>
            <w:r>
              <w:rPr>
                <w:rFonts w:hint="eastAsia" w:ascii="宋体" w:hAnsi="宋体"/>
                <w:b/>
                <w:bCs/>
                <w:color w:val="auto"/>
                <w:szCs w:val="21"/>
                <w:highlight w:val="none"/>
              </w:rPr>
              <w:t>辽宁省工程建设项目电子保函保险基础服务平台电子保函</w:t>
            </w:r>
            <w:r>
              <w:rPr>
                <w:rFonts w:hint="eastAsia" w:ascii="宋体" w:hAnsi="宋体"/>
                <w:b/>
                <w:color w:val="auto"/>
                <w:highlight w:val="none"/>
              </w:rPr>
              <w:t>或纸质保函信息</w:t>
            </w:r>
          </w:p>
        </w:tc>
      </w:tr>
      <w:tr w14:paraId="4EF2D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14:paraId="5B28173B">
            <w:pPr>
              <w:jc w:val="center"/>
              <w:rPr>
                <w:rFonts w:ascii="宋体" w:hAnsi="宋体"/>
                <w:color w:val="auto"/>
                <w:highlight w:val="none"/>
              </w:rPr>
            </w:pPr>
            <w:r>
              <w:rPr>
                <w:rFonts w:hint="eastAsia" w:ascii="宋体" w:hAnsi="宋体"/>
                <w:color w:val="auto"/>
                <w:highlight w:val="none"/>
              </w:rPr>
              <w:t>保函承保单位</w:t>
            </w:r>
          </w:p>
        </w:tc>
        <w:tc>
          <w:tcPr>
            <w:tcW w:w="2930" w:type="dxa"/>
            <w:tcBorders>
              <w:top w:val="single" w:color="auto" w:sz="4" w:space="0"/>
              <w:left w:val="single" w:color="auto" w:sz="4" w:space="0"/>
              <w:bottom w:val="single" w:color="auto" w:sz="4" w:space="0"/>
              <w:right w:val="single" w:color="auto" w:sz="4" w:space="0"/>
            </w:tcBorders>
            <w:shd w:val="clear" w:color="auto" w:fill="FFFFFF"/>
            <w:vAlign w:val="center"/>
          </w:tcPr>
          <w:p w14:paraId="76FCE94F">
            <w:pPr>
              <w:rPr>
                <w:rFonts w:ascii="宋体" w:hAnsi="宋体"/>
                <w:color w:val="auto"/>
                <w:highlight w:val="none"/>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14:paraId="6CF6F6B0">
            <w:pPr>
              <w:jc w:val="center"/>
              <w:rPr>
                <w:rFonts w:ascii="宋体" w:hAnsi="宋体"/>
                <w:color w:val="auto"/>
                <w:highlight w:val="none"/>
              </w:rPr>
            </w:pPr>
            <w:r>
              <w:rPr>
                <w:rFonts w:hint="eastAsia" w:ascii="宋体" w:hAnsi="宋体"/>
                <w:color w:val="auto"/>
                <w:highlight w:val="none"/>
              </w:rPr>
              <w:t>保函额度</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14:paraId="10A9E1E8">
            <w:pPr>
              <w:rPr>
                <w:rFonts w:ascii="宋体" w:hAnsi="宋体"/>
                <w:color w:val="auto"/>
                <w:highlight w:val="none"/>
              </w:rPr>
            </w:pPr>
          </w:p>
        </w:tc>
      </w:tr>
      <w:tr w14:paraId="0081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14:paraId="63DF607C">
            <w:pPr>
              <w:jc w:val="center"/>
              <w:rPr>
                <w:rFonts w:ascii="宋体" w:hAnsi="宋体"/>
                <w:color w:val="auto"/>
                <w:highlight w:val="none"/>
              </w:rPr>
            </w:pPr>
            <w:r>
              <w:rPr>
                <w:rFonts w:hint="eastAsia" w:ascii="宋体" w:hAnsi="宋体"/>
                <w:color w:val="auto"/>
                <w:highlight w:val="none"/>
              </w:rPr>
              <w:t>缴费账户名称</w:t>
            </w:r>
          </w:p>
        </w:tc>
        <w:tc>
          <w:tcPr>
            <w:tcW w:w="2930" w:type="dxa"/>
            <w:tcBorders>
              <w:top w:val="single" w:color="auto" w:sz="4" w:space="0"/>
              <w:left w:val="single" w:color="auto" w:sz="4" w:space="0"/>
              <w:bottom w:val="single" w:color="auto" w:sz="4" w:space="0"/>
              <w:right w:val="single" w:color="auto" w:sz="4" w:space="0"/>
            </w:tcBorders>
            <w:shd w:val="clear" w:color="auto" w:fill="FFFFFF"/>
            <w:vAlign w:val="center"/>
          </w:tcPr>
          <w:p w14:paraId="348115E9">
            <w:pPr>
              <w:rPr>
                <w:rFonts w:ascii="宋体" w:hAnsi="宋体"/>
                <w:color w:val="auto"/>
                <w:highlight w:val="none"/>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14:paraId="3E18BF83">
            <w:pPr>
              <w:jc w:val="center"/>
              <w:rPr>
                <w:rFonts w:ascii="宋体" w:hAnsi="宋体"/>
                <w:color w:val="auto"/>
                <w:highlight w:val="none"/>
              </w:rPr>
            </w:pPr>
            <w:r>
              <w:rPr>
                <w:rFonts w:hint="eastAsia" w:ascii="宋体" w:hAnsi="宋体"/>
                <w:color w:val="auto"/>
                <w:highlight w:val="none"/>
              </w:rPr>
              <w:t>保函办理时间</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14:paraId="03BFAE1B">
            <w:pPr>
              <w:rPr>
                <w:rFonts w:ascii="宋体" w:hAnsi="宋体"/>
                <w:color w:val="auto"/>
                <w:highlight w:val="none"/>
              </w:rPr>
            </w:pPr>
          </w:p>
        </w:tc>
      </w:tr>
      <w:tr w14:paraId="0A6D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14:paraId="7211C750">
            <w:pPr>
              <w:jc w:val="center"/>
              <w:rPr>
                <w:rFonts w:ascii="宋体" w:hAnsi="宋体"/>
                <w:color w:val="auto"/>
                <w:highlight w:val="none"/>
              </w:rPr>
            </w:pPr>
            <w:r>
              <w:rPr>
                <w:rFonts w:hint="eastAsia" w:ascii="宋体" w:hAnsi="宋体"/>
                <w:color w:val="auto"/>
                <w:highlight w:val="none"/>
              </w:rPr>
              <w:t>缴费账号</w:t>
            </w:r>
          </w:p>
        </w:tc>
        <w:tc>
          <w:tcPr>
            <w:tcW w:w="2930" w:type="dxa"/>
            <w:tcBorders>
              <w:top w:val="single" w:color="auto" w:sz="4" w:space="0"/>
              <w:left w:val="single" w:color="auto" w:sz="4" w:space="0"/>
              <w:bottom w:val="single" w:color="auto" w:sz="4" w:space="0"/>
              <w:right w:val="single" w:color="auto" w:sz="4" w:space="0"/>
            </w:tcBorders>
            <w:shd w:val="clear" w:color="auto" w:fill="FFFFFF"/>
            <w:vAlign w:val="center"/>
          </w:tcPr>
          <w:p w14:paraId="398E48AB">
            <w:pPr>
              <w:rPr>
                <w:rFonts w:ascii="宋体" w:hAnsi="宋体"/>
                <w:color w:val="auto"/>
                <w:highlight w:val="none"/>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14:paraId="59890175">
            <w:pPr>
              <w:jc w:val="center"/>
              <w:rPr>
                <w:rFonts w:ascii="宋体" w:hAnsi="宋体"/>
                <w:color w:val="auto"/>
                <w:highlight w:val="none"/>
              </w:rPr>
            </w:pPr>
            <w:r>
              <w:rPr>
                <w:rFonts w:hint="eastAsia" w:ascii="宋体" w:hAnsi="宋体"/>
                <w:color w:val="auto"/>
                <w:highlight w:val="none"/>
              </w:rPr>
              <w:t>保函有效期</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14:paraId="0F3D22F7">
            <w:pPr>
              <w:rPr>
                <w:rFonts w:ascii="宋体" w:hAnsi="宋体"/>
                <w:color w:val="auto"/>
                <w:highlight w:val="none"/>
              </w:rPr>
            </w:pPr>
          </w:p>
        </w:tc>
      </w:tr>
      <w:tr w14:paraId="7856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14:paraId="36E505A5">
            <w:pPr>
              <w:jc w:val="center"/>
              <w:rPr>
                <w:rFonts w:ascii="宋体" w:hAnsi="宋体"/>
                <w:color w:val="auto"/>
                <w:highlight w:val="none"/>
              </w:rPr>
            </w:pPr>
            <w:r>
              <w:rPr>
                <w:rFonts w:hint="eastAsia" w:ascii="宋体" w:hAnsi="宋体"/>
                <w:color w:val="auto"/>
                <w:highlight w:val="none"/>
              </w:rPr>
              <w:t>保函验真平台网址</w:t>
            </w: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57E7E34F">
            <w:pPr>
              <w:rPr>
                <w:rFonts w:ascii="宋体" w:hAnsi="宋体"/>
                <w:color w:val="auto"/>
                <w:highlight w:val="none"/>
              </w:rPr>
            </w:pPr>
          </w:p>
        </w:tc>
      </w:tr>
      <w:tr w14:paraId="05FD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vMerge w:val="restart"/>
            <w:tcBorders>
              <w:top w:val="single" w:color="auto" w:sz="4" w:space="0"/>
              <w:left w:val="single" w:color="auto" w:sz="4" w:space="0"/>
              <w:right w:val="single" w:color="auto" w:sz="4" w:space="0"/>
            </w:tcBorders>
            <w:shd w:val="clear" w:color="auto" w:fill="FFFFFF"/>
            <w:vAlign w:val="center"/>
          </w:tcPr>
          <w:p w14:paraId="31A0DC84">
            <w:pPr>
              <w:jc w:val="center"/>
              <w:rPr>
                <w:rFonts w:ascii="宋体" w:hAnsi="宋体"/>
                <w:color w:val="auto"/>
                <w:highlight w:val="none"/>
              </w:rPr>
            </w:pPr>
            <w:r>
              <w:rPr>
                <w:rFonts w:hint="eastAsia" w:ascii="宋体" w:hAnsi="宋体"/>
                <w:color w:val="auto"/>
                <w:highlight w:val="none"/>
              </w:rPr>
              <w:t>附件</w:t>
            </w: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4069A5BE">
            <w:pPr>
              <w:rPr>
                <w:rFonts w:ascii="宋体" w:hAnsi="宋体"/>
                <w:color w:val="auto"/>
                <w:highlight w:val="none"/>
              </w:rPr>
            </w:pPr>
            <w:r>
              <w:rPr>
                <w:rFonts w:hint="eastAsia" w:ascii="宋体" w:hAnsi="宋体"/>
                <w:color w:val="auto"/>
                <w:highlight w:val="none"/>
              </w:rPr>
              <w:t>保函扫描件</w:t>
            </w:r>
          </w:p>
        </w:tc>
      </w:tr>
      <w:tr w14:paraId="1567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14:paraId="38ED0C12">
            <w:pPr>
              <w:widowControl/>
              <w:rPr>
                <w:rFonts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339FEFB8">
            <w:pPr>
              <w:rPr>
                <w:rFonts w:ascii="宋体" w:hAnsi="宋体"/>
                <w:color w:val="auto"/>
                <w:highlight w:val="none"/>
              </w:rPr>
            </w:pPr>
          </w:p>
        </w:tc>
      </w:tr>
      <w:tr w14:paraId="3497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14:paraId="6F003137">
            <w:pPr>
              <w:widowControl/>
              <w:rPr>
                <w:rFonts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3EE61FCF">
            <w:pPr>
              <w:rPr>
                <w:rFonts w:ascii="宋体" w:hAnsi="宋体"/>
                <w:color w:val="auto"/>
                <w:highlight w:val="none"/>
              </w:rPr>
            </w:pPr>
            <w:r>
              <w:rPr>
                <w:rFonts w:hint="eastAsia" w:ascii="宋体" w:hAnsi="宋体"/>
                <w:color w:val="auto"/>
                <w:highlight w:val="none"/>
              </w:rPr>
              <w:t>缴费凭证扫描件</w:t>
            </w:r>
          </w:p>
        </w:tc>
      </w:tr>
      <w:tr w14:paraId="4E89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14:paraId="10D3D893">
            <w:pPr>
              <w:widowControl/>
              <w:rPr>
                <w:rFonts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3461BF26">
            <w:pPr>
              <w:rPr>
                <w:rFonts w:ascii="宋体" w:hAnsi="宋体"/>
                <w:color w:val="auto"/>
                <w:highlight w:val="none"/>
              </w:rPr>
            </w:pPr>
          </w:p>
        </w:tc>
      </w:tr>
      <w:tr w14:paraId="4262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14:paraId="5F5E608E">
            <w:pPr>
              <w:widowControl/>
              <w:rPr>
                <w:rFonts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1D0C71D7">
            <w:pPr>
              <w:rPr>
                <w:rFonts w:ascii="宋体" w:hAnsi="宋体"/>
                <w:color w:val="auto"/>
                <w:highlight w:val="none"/>
              </w:rPr>
            </w:pPr>
            <w:r>
              <w:rPr>
                <w:rFonts w:hint="eastAsia" w:ascii="宋体" w:hAnsi="宋体"/>
                <w:color w:val="auto"/>
                <w:highlight w:val="none"/>
              </w:rPr>
              <w:t>基本户开户许可证（基本存款账户信息）扫描件</w:t>
            </w:r>
          </w:p>
        </w:tc>
      </w:tr>
      <w:tr w14:paraId="6217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14:paraId="52399F90">
            <w:pPr>
              <w:widowControl/>
              <w:rPr>
                <w:rFonts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467E7DC2">
            <w:pPr>
              <w:rPr>
                <w:rFonts w:ascii="宋体" w:hAnsi="宋体"/>
                <w:color w:val="auto"/>
                <w:highlight w:val="none"/>
              </w:rPr>
            </w:pPr>
          </w:p>
        </w:tc>
      </w:tr>
      <w:tr w14:paraId="4C04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14:paraId="770521D0">
            <w:pPr>
              <w:widowControl/>
              <w:rPr>
                <w:rFonts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5BAC7A3B">
            <w:pPr>
              <w:rPr>
                <w:rFonts w:ascii="宋体" w:hAnsi="宋体"/>
                <w:color w:val="auto"/>
                <w:highlight w:val="none"/>
              </w:rPr>
            </w:pPr>
            <w:r>
              <w:rPr>
                <w:rFonts w:hint="eastAsia" w:ascii="宋体" w:hAnsi="宋体"/>
                <w:color w:val="auto"/>
                <w:highlight w:val="none"/>
              </w:rPr>
              <w:t>其他材料</w:t>
            </w:r>
          </w:p>
        </w:tc>
      </w:tr>
      <w:tr w14:paraId="31AE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vMerge w:val="continue"/>
            <w:tcBorders>
              <w:left w:val="single" w:color="auto" w:sz="4" w:space="0"/>
              <w:bottom w:val="single" w:color="auto" w:sz="4" w:space="0"/>
              <w:right w:val="single" w:color="auto" w:sz="4" w:space="0"/>
            </w:tcBorders>
            <w:shd w:val="clear" w:color="auto" w:fill="FFFFFF"/>
            <w:vAlign w:val="center"/>
          </w:tcPr>
          <w:p w14:paraId="6744D69B">
            <w:pPr>
              <w:widowControl/>
              <w:rPr>
                <w:rFonts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0DAC0911">
            <w:pPr>
              <w:rPr>
                <w:rFonts w:ascii="宋体" w:hAnsi="宋体"/>
                <w:color w:val="auto"/>
                <w:highlight w:val="none"/>
              </w:rPr>
            </w:pPr>
          </w:p>
        </w:tc>
      </w:tr>
    </w:tbl>
    <w:p w14:paraId="1113258E">
      <w:pPr>
        <w:rPr>
          <w:color w:val="auto"/>
          <w:highlight w:val="none"/>
        </w:rPr>
        <w:sectPr>
          <w:footerReference r:id="rId6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DA030B4">
      <w:pPr>
        <w:pStyle w:val="35"/>
        <w:jc w:val="center"/>
        <w:rPr>
          <w:rFonts w:hint="eastAsia"/>
          <w:color w:val="auto"/>
          <w:highlight w:val="none"/>
        </w:rPr>
      </w:pPr>
      <w:bookmarkStart w:id="2302" w:name="_Toc122603077"/>
      <w:bookmarkStart w:id="2303" w:name="_Toc256000211"/>
      <w:bookmarkStart w:id="2304" w:name="_Toc23471"/>
      <w:r>
        <w:rPr>
          <w:rFonts w:hint="default"/>
          <w:color w:val="auto"/>
          <w:highlight w:val="none"/>
        </w:rPr>
        <w:t>四</w:t>
      </w:r>
      <w:r>
        <w:rPr>
          <w:rFonts w:hint="eastAsia"/>
          <w:color w:val="auto"/>
          <w:highlight w:val="none"/>
        </w:rPr>
        <w:t>、联合体协议书</w:t>
      </w:r>
      <w:bookmarkEnd w:id="2302"/>
      <w:bookmarkEnd w:id="2303"/>
      <w:bookmarkEnd w:id="2304"/>
    </w:p>
    <w:p w14:paraId="52CB0F38">
      <w:pPr>
        <w:spacing w:line="394" w:lineRule="exact"/>
        <w:jc w:val="center"/>
        <w:rPr>
          <w:rFonts w:hint="eastAsia" w:ascii="宋体" w:hAnsi="宋体"/>
          <w:b/>
          <w:bCs/>
          <w:color w:val="auto"/>
          <w:szCs w:val="21"/>
          <w:highlight w:val="none"/>
        </w:rPr>
      </w:pPr>
      <w:r>
        <w:rPr>
          <w:rFonts w:hint="eastAsia" w:ascii="宋体" w:hAnsi="宋体"/>
          <w:b/>
          <w:bCs/>
          <w:color w:val="auto"/>
          <w:szCs w:val="21"/>
          <w:highlight w:val="none"/>
        </w:rPr>
        <w:t>（如有）</w:t>
      </w:r>
    </w:p>
    <w:p w14:paraId="6454E881">
      <w:pPr>
        <w:spacing w:line="394" w:lineRule="exact"/>
        <w:rPr>
          <w:rFonts w:ascii="宋体" w:hAnsi="宋体"/>
          <w:color w:val="auto"/>
          <w:szCs w:val="21"/>
          <w:highlight w:val="none"/>
        </w:rPr>
      </w:pPr>
    </w:p>
    <w:p w14:paraId="6A72AB69">
      <w:pPr>
        <w:spacing w:line="394" w:lineRule="exact"/>
        <w:rPr>
          <w:rFonts w:hint="eastAsia" w:ascii="宋体" w:hAnsi="宋体"/>
          <w:color w:val="auto"/>
          <w:szCs w:val="21"/>
          <w:highlight w:val="none"/>
        </w:rPr>
      </w:pPr>
      <w:r>
        <w:rPr>
          <w:rFonts w:hint="eastAsia" w:ascii="宋体" w:hAnsi="宋体"/>
          <w:color w:val="auto"/>
          <w:szCs w:val="21"/>
          <w:highlight w:val="none"/>
        </w:rPr>
        <w:t>牵头人名称：</w:t>
      </w:r>
      <w:r>
        <w:rPr>
          <w:rFonts w:hint="eastAsia" w:ascii="宋体" w:hAnsi="宋体"/>
          <w:color w:val="auto"/>
          <w:szCs w:val="21"/>
          <w:highlight w:val="none"/>
          <w:u w:val="single"/>
        </w:rPr>
        <w:t xml:space="preserve">                                                  </w:t>
      </w:r>
    </w:p>
    <w:p w14:paraId="005C1DB9">
      <w:pPr>
        <w:spacing w:line="394" w:lineRule="exact"/>
        <w:rPr>
          <w:rFonts w:hint="eastAsia"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p>
    <w:p w14:paraId="182D6B96">
      <w:pPr>
        <w:spacing w:line="394" w:lineRule="exact"/>
        <w:rPr>
          <w:rFonts w:hint="eastAsia" w:ascii="宋体" w:hAnsi="宋体"/>
          <w:color w:val="auto"/>
          <w:szCs w:val="21"/>
          <w:highlight w:val="none"/>
          <w:u w:val="single"/>
        </w:rPr>
      </w:pPr>
      <w:r>
        <w:rPr>
          <w:rFonts w:hint="eastAsia" w:ascii="宋体" w:hAnsi="宋体"/>
          <w:color w:val="auto"/>
          <w:szCs w:val="21"/>
          <w:highlight w:val="none"/>
        </w:rPr>
        <w:t>法定住所：</w:t>
      </w:r>
      <w:r>
        <w:rPr>
          <w:rFonts w:hint="eastAsia" w:ascii="宋体" w:hAnsi="宋体"/>
          <w:color w:val="auto"/>
          <w:szCs w:val="21"/>
          <w:highlight w:val="none"/>
          <w:u w:val="single"/>
        </w:rPr>
        <w:t xml:space="preserve">                                                    </w:t>
      </w:r>
    </w:p>
    <w:p w14:paraId="2DAAB4EE">
      <w:pPr>
        <w:spacing w:line="394" w:lineRule="exact"/>
        <w:rPr>
          <w:rFonts w:hint="eastAsia" w:ascii="宋体" w:hAnsi="宋体"/>
          <w:color w:val="auto"/>
          <w:szCs w:val="21"/>
          <w:highlight w:val="none"/>
        </w:rPr>
      </w:pPr>
    </w:p>
    <w:p w14:paraId="2E887DB2">
      <w:pPr>
        <w:spacing w:line="394" w:lineRule="exact"/>
        <w:rPr>
          <w:rFonts w:hint="eastAsia" w:ascii="宋体" w:hAnsi="宋体"/>
          <w:color w:val="auto"/>
          <w:szCs w:val="21"/>
          <w:highlight w:val="none"/>
        </w:rPr>
      </w:pPr>
      <w:r>
        <w:rPr>
          <w:rFonts w:hint="eastAsia" w:ascii="宋体" w:hAnsi="宋体"/>
          <w:color w:val="auto"/>
          <w:szCs w:val="21"/>
          <w:highlight w:val="none"/>
        </w:rPr>
        <w:t>成员二名称：</w:t>
      </w:r>
      <w:r>
        <w:rPr>
          <w:rFonts w:hint="eastAsia" w:ascii="宋体" w:hAnsi="宋体"/>
          <w:color w:val="auto"/>
          <w:szCs w:val="21"/>
          <w:highlight w:val="none"/>
          <w:u w:val="single"/>
        </w:rPr>
        <w:t xml:space="preserve">                                                  </w:t>
      </w:r>
    </w:p>
    <w:p w14:paraId="532DBE69">
      <w:pPr>
        <w:spacing w:line="394" w:lineRule="exact"/>
        <w:rPr>
          <w:rFonts w:hint="eastAsia"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p>
    <w:p w14:paraId="2E48C43C">
      <w:pPr>
        <w:spacing w:line="394" w:lineRule="exact"/>
        <w:rPr>
          <w:rFonts w:hint="eastAsia" w:ascii="宋体" w:hAnsi="宋体"/>
          <w:color w:val="auto"/>
          <w:szCs w:val="21"/>
          <w:highlight w:val="none"/>
          <w:u w:val="single"/>
        </w:rPr>
      </w:pPr>
      <w:r>
        <w:rPr>
          <w:rFonts w:hint="eastAsia" w:ascii="宋体" w:hAnsi="宋体"/>
          <w:color w:val="auto"/>
          <w:szCs w:val="21"/>
          <w:highlight w:val="none"/>
        </w:rPr>
        <w:t>法定住所：</w:t>
      </w:r>
      <w:r>
        <w:rPr>
          <w:rFonts w:hint="eastAsia" w:ascii="宋体" w:hAnsi="宋体"/>
          <w:color w:val="auto"/>
          <w:szCs w:val="21"/>
          <w:highlight w:val="none"/>
          <w:u w:val="single"/>
        </w:rPr>
        <w:t xml:space="preserve">                                                    </w:t>
      </w:r>
    </w:p>
    <w:p w14:paraId="7C39433D">
      <w:pPr>
        <w:spacing w:line="394" w:lineRule="exact"/>
        <w:ind w:firstLine="525" w:firstLineChars="250"/>
        <w:rPr>
          <w:rFonts w:hint="eastAsia" w:ascii="宋体" w:hAnsi="宋体"/>
          <w:color w:val="auto"/>
          <w:szCs w:val="21"/>
          <w:highlight w:val="none"/>
        </w:rPr>
      </w:pPr>
      <w:r>
        <w:rPr>
          <w:rFonts w:hint="eastAsia" w:ascii="宋体" w:hAnsi="宋体"/>
          <w:color w:val="auto"/>
          <w:szCs w:val="21"/>
          <w:highlight w:val="none"/>
        </w:rPr>
        <w:t>……</w:t>
      </w:r>
    </w:p>
    <w:p w14:paraId="71458A82">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鉴于上述各成员单位经过友好协商，自愿组成</w:t>
      </w:r>
      <w:r>
        <w:rPr>
          <w:rFonts w:hint="eastAsia" w:ascii="宋体" w:hAnsi="宋体"/>
          <w:color w:val="auto"/>
          <w:szCs w:val="21"/>
          <w:highlight w:val="none"/>
          <w:u w:val="single"/>
        </w:rPr>
        <w:t xml:space="preserve">       </w:t>
      </w:r>
      <w:r>
        <w:rPr>
          <w:rFonts w:hint="eastAsia" w:ascii="宋体" w:hAnsi="宋体"/>
          <w:color w:val="auto"/>
          <w:szCs w:val="21"/>
          <w:highlight w:val="none"/>
        </w:rPr>
        <w:t>（联合体名称）联合体，共同参加</w:t>
      </w:r>
      <w:r>
        <w:rPr>
          <w:rFonts w:hint="eastAsia" w:ascii="宋体" w:hAnsi="宋体"/>
          <w:color w:val="auto"/>
          <w:szCs w:val="21"/>
          <w:highlight w:val="none"/>
          <w:u w:val="single"/>
        </w:rPr>
        <w:t xml:space="preserve">                  </w:t>
      </w:r>
      <w:r>
        <w:rPr>
          <w:rFonts w:hint="eastAsia" w:ascii="宋体" w:hAnsi="宋体"/>
          <w:color w:val="auto"/>
          <w:szCs w:val="21"/>
          <w:highlight w:val="none"/>
        </w:rPr>
        <w:t>（招标人名称）（以下简称招标人）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color w:val="auto"/>
          <w:highlight w:val="none"/>
        </w:rPr>
        <w:t>（标段名称）</w:t>
      </w:r>
      <w:r>
        <w:rPr>
          <w:rFonts w:hint="eastAsia" w:ascii="宋体" w:hAnsi="宋体"/>
          <w:color w:val="auto"/>
          <w:szCs w:val="21"/>
          <w:highlight w:val="none"/>
        </w:rPr>
        <w:t>（以下简称本工程）的投标并争取赢得本工程设计施工总承包合同（以下简称合同）。现就联合体投标事宜订立如下协议：</w:t>
      </w:r>
    </w:p>
    <w:p w14:paraId="6CBE7E85">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u w:val="single"/>
        </w:rPr>
        <w:t xml:space="preserve">        </w:t>
      </w:r>
      <w:r>
        <w:rPr>
          <w:rFonts w:hint="eastAsia" w:ascii="宋体" w:hAnsi="宋体"/>
          <w:color w:val="auto"/>
          <w:szCs w:val="21"/>
          <w:highlight w:val="none"/>
        </w:rPr>
        <w:t>（某成员单位名称）为</w:t>
      </w:r>
      <w:r>
        <w:rPr>
          <w:rFonts w:hint="eastAsia" w:ascii="宋体" w:hAnsi="宋体"/>
          <w:color w:val="auto"/>
          <w:szCs w:val="21"/>
          <w:highlight w:val="none"/>
          <w:u w:val="single"/>
        </w:rPr>
        <w:t xml:space="preserve">              </w:t>
      </w:r>
      <w:r>
        <w:rPr>
          <w:rFonts w:hint="eastAsia" w:ascii="宋体" w:hAnsi="宋体"/>
          <w:color w:val="auto"/>
          <w:szCs w:val="21"/>
          <w:highlight w:val="none"/>
        </w:rPr>
        <w:t>（联合体名称）牵头人。</w:t>
      </w:r>
    </w:p>
    <w:p w14:paraId="58E8B7FE">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14:paraId="316E141E">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0F199C03">
      <w:pPr>
        <w:spacing w:line="394"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4．联合体各成员单位内部的职责分工如下：</w:t>
      </w:r>
      <w:r>
        <w:rPr>
          <w:rFonts w:hint="eastAsia" w:ascii="宋体" w:hAnsi="宋体"/>
          <w:color w:val="auto"/>
          <w:szCs w:val="21"/>
          <w:highlight w:val="none"/>
          <w:u w:val="single"/>
        </w:rPr>
        <w:t xml:space="preserve">                                    </w:t>
      </w:r>
    </w:p>
    <w:p w14:paraId="6C3575F0">
      <w:pPr>
        <w:spacing w:line="394" w:lineRule="exac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8BEE8E9">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5．投标工作和联合体在中标后工程实施过程中的有关费用按各自承担的工作量分摊。</w:t>
      </w:r>
    </w:p>
    <w:p w14:paraId="674AEB36">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6．联合体中标后，本联合体协议是合同的附件，对联合体各成员单位有合同约束力。</w:t>
      </w:r>
    </w:p>
    <w:p w14:paraId="3C15FE24">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7．本协议书自签署之日起生效，联合体未中标或者中标合同履行完毕后自动失效。</w:t>
      </w:r>
    </w:p>
    <w:p w14:paraId="32FCB170">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8．本协议书一式</w:t>
      </w:r>
      <w:r>
        <w:rPr>
          <w:rFonts w:hint="eastAsia" w:ascii="宋体" w:hAnsi="宋体"/>
          <w:color w:val="auto"/>
          <w:szCs w:val="21"/>
          <w:highlight w:val="none"/>
          <w:u w:val="single"/>
        </w:rPr>
        <w:t xml:space="preserve">            </w:t>
      </w:r>
      <w:r>
        <w:rPr>
          <w:rFonts w:hint="eastAsia" w:ascii="宋体" w:hAnsi="宋体"/>
          <w:color w:val="auto"/>
          <w:szCs w:val="21"/>
          <w:highlight w:val="none"/>
        </w:rPr>
        <w:t>份，联合体成员和招标人各执一份。</w:t>
      </w:r>
    </w:p>
    <w:p w14:paraId="4A6BFF40">
      <w:pPr>
        <w:spacing w:line="394" w:lineRule="exact"/>
        <w:ind w:firstLine="1785" w:firstLineChars="850"/>
        <w:rPr>
          <w:rFonts w:hint="eastAsia" w:ascii="宋体" w:hAnsi="宋体"/>
          <w:color w:val="auto"/>
          <w:szCs w:val="21"/>
          <w:highlight w:val="none"/>
        </w:rPr>
      </w:pPr>
    </w:p>
    <w:p w14:paraId="0CA57C1A">
      <w:pPr>
        <w:spacing w:line="394" w:lineRule="exact"/>
        <w:rPr>
          <w:rFonts w:hint="eastAsia" w:ascii="宋体" w:hAnsi="宋体"/>
          <w:color w:val="auto"/>
          <w:szCs w:val="21"/>
          <w:highlight w:val="none"/>
        </w:rPr>
      </w:pPr>
    </w:p>
    <w:p w14:paraId="37AB0D25">
      <w:pPr>
        <w:spacing w:line="394" w:lineRule="exact"/>
        <w:ind w:left="1680" w:leftChars="0" w:firstLine="420" w:firstLineChars="0"/>
        <w:rPr>
          <w:rFonts w:hint="eastAsia" w:ascii="宋体" w:hAnsi="宋体"/>
          <w:color w:val="auto"/>
          <w:szCs w:val="21"/>
          <w:highlight w:val="none"/>
        </w:rPr>
      </w:pPr>
      <w:r>
        <w:rPr>
          <w:rFonts w:hint="eastAsia" w:ascii="宋体" w:hAnsi="宋体"/>
          <w:color w:val="auto"/>
          <w:szCs w:val="21"/>
          <w:highlight w:val="none"/>
        </w:rPr>
        <w:t>牵头人名称：</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4AE7ACE4">
      <w:pPr>
        <w:ind w:left="1680" w:leftChars="0" w:firstLine="420" w:firstLineChars="0"/>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6ABF342E">
      <w:pPr>
        <w:spacing w:line="394" w:lineRule="exact"/>
        <w:ind w:firstLine="1785" w:firstLineChars="850"/>
        <w:rPr>
          <w:rFonts w:hint="eastAsia" w:ascii="宋体" w:hAnsi="宋体"/>
          <w:color w:val="auto"/>
          <w:szCs w:val="21"/>
          <w:highlight w:val="none"/>
        </w:rPr>
      </w:pPr>
    </w:p>
    <w:p w14:paraId="3710DF7E">
      <w:pPr>
        <w:spacing w:line="394" w:lineRule="exact"/>
        <w:ind w:firstLine="2202" w:firstLineChars="1049"/>
        <w:rPr>
          <w:rFonts w:hint="eastAsia" w:ascii="宋体" w:hAnsi="宋体"/>
          <w:color w:val="auto"/>
          <w:szCs w:val="21"/>
          <w:highlight w:val="none"/>
        </w:rPr>
      </w:pPr>
      <w:r>
        <w:rPr>
          <w:rFonts w:hint="eastAsia" w:ascii="宋体" w:hAnsi="宋体"/>
          <w:color w:val="auto"/>
          <w:szCs w:val="21"/>
          <w:highlight w:val="none"/>
        </w:rPr>
        <w:t>成员二名称：</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56309494">
      <w:pPr>
        <w:spacing w:line="394" w:lineRule="exact"/>
        <w:ind w:firstLine="2202" w:firstLineChars="1049"/>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525752A1">
      <w:pPr>
        <w:spacing w:line="394" w:lineRule="exact"/>
        <w:ind w:left="2100" w:leftChars="0" w:firstLine="420" w:firstLineChars="0"/>
        <w:rPr>
          <w:rFonts w:hint="eastAsia" w:ascii="宋体" w:hAnsi="宋体"/>
          <w:color w:val="auto"/>
          <w:szCs w:val="21"/>
          <w:highlight w:val="none"/>
        </w:rPr>
      </w:pPr>
      <w:r>
        <w:rPr>
          <w:rFonts w:hint="eastAsia" w:ascii="宋体" w:hAnsi="宋体"/>
          <w:color w:val="auto"/>
          <w:szCs w:val="21"/>
          <w:highlight w:val="none"/>
        </w:rPr>
        <w:t>……</w:t>
      </w:r>
    </w:p>
    <w:p w14:paraId="100B454C">
      <w:pPr>
        <w:wordWrap w:val="0"/>
        <w:spacing w:line="394" w:lineRule="exact"/>
        <w:jc w:val="righ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p>
    <w:p w14:paraId="5A5B8B8F">
      <w:pPr>
        <w:spacing w:line="394" w:lineRule="exact"/>
        <w:rPr>
          <w:rFonts w:hint="eastAsia" w:ascii="黑体" w:hAnsi="宋体" w:eastAsia="黑体"/>
          <w:color w:val="auto"/>
          <w:szCs w:val="21"/>
          <w:highlight w:val="none"/>
        </w:rPr>
      </w:pPr>
    </w:p>
    <w:p w14:paraId="24CF3CC5">
      <w:pPr>
        <w:spacing w:line="394" w:lineRule="exact"/>
        <w:rPr>
          <w:rFonts w:hint="eastAsia" w:ascii="黑体" w:hAnsi="宋体" w:eastAsia="黑体"/>
          <w:color w:val="auto"/>
          <w:szCs w:val="21"/>
          <w:highlight w:val="none"/>
        </w:rPr>
      </w:pPr>
    </w:p>
    <w:p w14:paraId="5D9A9060">
      <w:pPr>
        <w:spacing w:line="394" w:lineRule="exact"/>
        <w:rPr>
          <w:rFonts w:hint="eastAsia" w:ascii="黑体" w:hAnsi="宋体" w:eastAsia="黑体"/>
          <w:color w:val="auto"/>
          <w:szCs w:val="21"/>
          <w:highlight w:val="none"/>
        </w:rPr>
      </w:pPr>
    </w:p>
    <w:p w14:paraId="4AEFEF77">
      <w:pPr>
        <w:spacing w:line="394" w:lineRule="exact"/>
        <w:rPr>
          <w:rFonts w:hint="eastAsia" w:ascii="黑体" w:hAnsi="宋体" w:eastAsia="黑体"/>
          <w:color w:val="auto"/>
          <w:szCs w:val="21"/>
          <w:highlight w:val="none"/>
        </w:rPr>
      </w:pPr>
    </w:p>
    <w:p w14:paraId="2764667D">
      <w:pPr>
        <w:spacing w:line="394" w:lineRule="exact"/>
        <w:rPr>
          <w:rFonts w:hint="eastAsia" w:ascii="黑体" w:hAnsi="宋体" w:eastAsia="黑体"/>
          <w:color w:val="auto"/>
          <w:szCs w:val="21"/>
          <w:highlight w:val="none"/>
        </w:rPr>
      </w:pPr>
    </w:p>
    <w:p w14:paraId="1AC4997A">
      <w:pPr>
        <w:spacing w:line="394" w:lineRule="exact"/>
        <w:rPr>
          <w:rFonts w:hint="eastAsia" w:ascii="黑体" w:hAnsi="宋体" w:eastAsia="黑体"/>
          <w:color w:val="auto"/>
          <w:szCs w:val="21"/>
          <w:highlight w:val="none"/>
        </w:rPr>
      </w:pPr>
    </w:p>
    <w:p w14:paraId="21041FEA">
      <w:pPr>
        <w:spacing w:line="394" w:lineRule="exact"/>
        <w:rPr>
          <w:rFonts w:hint="eastAsia" w:ascii="黑体" w:hAnsi="宋体" w:eastAsia="黑体"/>
          <w:color w:val="auto"/>
          <w:szCs w:val="21"/>
          <w:highlight w:val="none"/>
        </w:rPr>
      </w:pPr>
    </w:p>
    <w:p w14:paraId="38E0A552">
      <w:pPr>
        <w:spacing w:line="394" w:lineRule="exact"/>
        <w:rPr>
          <w:rFonts w:hint="eastAsia" w:ascii="黑体" w:hAnsi="宋体" w:eastAsia="黑体"/>
          <w:color w:val="auto"/>
          <w:szCs w:val="21"/>
          <w:highlight w:val="none"/>
        </w:rPr>
      </w:pPr>
    </w:p>
    <w:p w14:paraId="7AF61AA7">
      <w:pPr>
        <w:spacing w:line="394" w:lineRule="exact"/>
        <w:rPr>
          <w:rFonts w:hint="eastAsia" w:ascii="黑体" w:hAnsi="宋体" w:eastAsia="黑体"/>
          <w:color w:val="auto"/>
          <w:szCs w:val="21"/>
          <w:highlight w:val="none"/>
        </w:rPr>
      </w:pPr>
    </w:p>
    <w:p w14:paraId="7D1052D9">
      <w:pPr>
        <w:spacing w:line="394" w:lineRule="exact"/>
        <w:rPr>
          <w:rFonts w:hint="eastAsia" w:ascii="黑体" w:hAnsi="宋体" w:eastAsia="黑体"/>
          <w:color w:val="auto"/>
          <w:szCs w:val="21"/>
          <w:highlight w:val="none"/>
        </w:rPr>
      </w:pPr>
    </w:p>
    <w:p w14:paraId="05753766">
      <w:pPr>
        <w:spacing w:line="394" w:lineRule="exact"/>
        <w:rPr>
          <w:rFonts w:hint="eastAsia" w:ascii="黑体" w:hAnsi="宋体" w:eastAsia="黑体"/>
          <w:color w:val="auto"/>
          <w:szCs w:val="21"/>
          <w:highlight w:val="none"/>
        </w:rPr>
      </w:pPr>
    </w:p>
    <w:p w14:paraId="2C40C76E">
      <w:pPr>
        <w:spacing w:line="394" w:lineRule="exact"/>
        <w:rPr>
          <w:rFonts w:hint="eastAsia" w:ascii="黑体" w:hAnsi="宋体" w:eastAsia="黑体"/>
          <w:color w:val="auto"/>
          <w:szCs w:val="21"/>
          <w:highlight w:val="none"/>
        </w:rPr>
      </w:pPr>
    </w:p>
    <w:p w14:paraId="3917922B">
      <w:pPr>
        <w:spacing w:line="400" w:lineRule="exact"/>
        <w:rPr>
          <w:rFonts w:ascii="宋体" w:hAnsi="宋体"/>
          <w:color w:val="auto"/>
          <w:szCs w:val="21"/>
          <w:highlight w:val="none"/>
        </w:rPr>
      </w:pPr>
      <w:r>
        <w:rPr>
          <w:rFonts w:hint="eastAsia" w:ascii="宋体" w:hAnsi="宋体"/>
          <w:color w:val="auto"/>
          <w:szCs w:val="21"/>
          <w:highlight w:val="none"/>
        </w:rPr>
        <w:t>备注：1.本协议书由委托代理人签字的，应附法定代表人签字的授权委托书。</w:t>
      </w:r>
    </w:p>
    <w:p w14:paraId="41E910ED">
      <w:pPr>
        <w:spacing w:line="394" w:lineRule="exact"/>
        <w:ind w:left="840" w:leftChars="300" w:hanging="210" w:hangingChars="100"/>
        <w:rPr>
          <w:rFonts w:ascii="宋体" w:hAnsi="宋体"/>
          <w:bCs/>
          <w:color w:val="auto"/>
          <w:szCs w:val="21"/>
          <w:highlight w:val="none"/>
        </w:rPr>
      </w:pPr>
      <w:r>
        <w:rPr>
          <w:rFonts w:hint="eastAsia" w:ascii="宋体" w:hAnsi="宋体"/>
          <w:color w:val="auto"/>
          <w:szCs w:val="21"/>
          <w:highlight w:val="none"/>
        </w:rPr>
        <w:t>2.投标人未采用联合体投标的，</w:t>
      </w:r>
      <w:r>
        <w:rPr>
          <w:rFonts w:hint="eastAsia" w:ascii="宋体" w:hAnsi="宋体"/>
          <w:bCs/>
          <w:color w:val="auto"/>
          <w:szCs w:val="21"/>
          <w:highlight w:val="none"/>
        </w:rPr>
        <w:t>投标文件中不需联合体协议书，也无须盖单位章和签字。</w:t>
      </w:r>
    </w:p>
    <w:p w14:paraId="19A8EC10">
      <w:pPr>
        <w:spacing w:line="394" w:lineRule="exact"/>
        <w:ind w:left="840" w:leftChars="300" w:hanging="210" w:hangingChars="100"/>
        <w:rPr>
          <w:rFonts w:ascii="宋体" w:hAnsi="宋体"/>
          <w:color w:val="auto"/>
          <w:szCs w:val="21"/>
          <w:highlight w:val="none"/>
        </w:rPr>
      </w:pPr>
    </w:p>
    <w:p w14:paraId="5B276850">
      <w:pPr>
        <w:ind w:left="1680" w:leftChars="0" w:firstLine="420" w:firstLineChars="0"/>
        <w:rPr>
          <w:rFonts w:hint="eastAsia" w:ascii="宋体" w:hAnsi="宋体"/>
          <w:color w:val="auto"/>
          <w:szCs w:val="21"/>
          <w:highlight w:val="none"/>
        </w:rPr>
        <w:sectPr>
          <w:footerReference r:id="rId6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228EA90">
      <w:pPr>
        <w:pStyle w:val="35"/>
        <w:keepNext/>
        <w:keepLines/>
        <w:pageBreakBefore w:val="0"/>
        <w:widowControl w:val="0"/>
        <w:kinsoku/>
        <w:wordWrap/>
        <w:overflowPunct/>
        <w:topLinePunct w:val="0"/>
        <w:autoSpaceDE/>
        <w:autoSpaceDN/>
        <w:bidi w:val="0"/>
        <w:adjustRightInd/>
        <w:snapToGrid/>
        <w:spacing w:before="240" w:beforeLines="100"/>
        <w:jc w:val="center"/>
        <w:textAlignment w:val="auto"/>
        <w:rPr>
          <w:rFonts w:hint="default" w:eastAsia="黑体"/>
          <w:color w:val="auto"/>
          <w:highlight w:val="none"/>
          <w:lang w:val="en-US" w:eastAsia="zh-CN"/>
        </w:rPr>
      </w:pPr>
      <w:bookmarkStart w:id="2305" w:name="_Toc122603078"/>
      <w:bookmarkStart w:id="2306" w:name="_Toc256000212"/>
      <w:bookmarkStart w:id="2307" w:name="_Toc4113"/>
      <w:r>
        <w:rPr>
          <w:rFonts w:hint="default"/>
          <w:color w:val="auto"/>
          <w:highlight w:val="none"/>
        </w:rPr>
        <w:t>五</w:t>
      </w:r>
      <w:r>
        <w:rPr>
          <w:rFonts w:hint="eastAsia"/>
          <w:color w:val="auto"/>
          <w:highlight w:val="none"/>
        </w:rPr>
        <w:t>、</w:t>
      </w:r>
      <w:bookmarkEnd w:id="2305"/>
      <w:r>
        <w:rPr>
          <w:rFonts w:hint="eastAsia"/>
          <w:color w:val="auto"/>
          <w:highlight w:val="none"/>
          <w:lang w:val="en-US" w:eastAsia="zh-CN"/>
        </w:rPr>
        <w:t>价格清单</w:t>
      </w:r>
      <w:bookmarkEnd w:id="2306"/>
      <w:bookmarkEnd w:id="2307"/>
    </w:p>
    <w:p w14:paraId="52964334">
      <w:pPr>
        <w:widowControl/>
        <w:kinsoku w:val="0"/>
        <w:autoSpaceDE w:val="0"/>
        <w:autoSpaceDN w:val="0"/>
        <w:adjustRightInd w:val="0"/>
        <w:snapToGrid w:val="0"/>
        <w:spacing w:before="310" w:line="223" w:lineRule="auto"/>
        <w:jc w:val="center"/>
        <w:textAlignment w:val="baseline"/>
        <w:rPr>
          <w:rFonts w:eastAsia="黑体" w:cs="宋体"/>
          <w:color w:val="auto"/>
          <w:sz w:val="24"/>
          <w:highlight w:val="none"/>
        </w:rPr>
      </w:pPr>
      <w:r>
        <w:rPr>
          <w:rFonts w:hint="eastAsia" w:eastAsia="黑体" w:cs="宋体"/>
          <w:color w:val="auto"/>
          <w:sz w:val="24"/>
          <w:highlight w:val="none"/>
        </w:rPr>
        <w:t>5-1投标报价汇总表</w:t>
      </w:r>
    </w:p>
    <w:p w14:paraId="74C1481F">
      <w:pPr>
        <w:widowControl/>
        <w:kinsoku w:val="0"/>
        <w:autoSpaceDE w:val="0"/>
        <w:autoSpaceDN w:val="0"/>
        <w:adjustRightInd w:val="0"/>
        <w:snapToGrid w:val="0"/>
        <w:spacing w:before="113"/>
        <w:jc w:val="left"/>
        <w:textAlignment w:val="baseline"/>
        <w:rPr>
          <w:rFonts w:ascii="Arial" w:hAnsi="Arial" w:eastAsia="Arial" w:cs="Arial"/>
          <w:snapToGrid w:val="0"/>
          <w:color w:val="auto"/>
          <w:kern w:val="0"/>
          <w:szCs w:val="21"/>
          <w:highlight w:val="none"/>
        </w:rPr>
      </w:pPr>
    </w:p>
    <w:tbl>
      <w:tblPr>
        <w:tblStyle w:val="48"/>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98"/>
        <w:gridCol w:w="3635"/>
        <w:gridCol w:w="2981"/>
      </w:tblGrid>
      <w:tr w14:paraId="3B463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1021" w:type="pct"/>
            <w:vAlign w:val="center"/>
          </w:tcPr>
          <w:p w14:paraId="1E897D8A">
            <w:pPr>
              <w:kinsoku w:val="0"/>
              <w:autoSpaceDE w:val="0"/>
              <w:autoSpaceDN w:val="0"/>
              <w:adjustRightInd w:val="0"/>
              <w:snapToGrid w:val="0"/>
              <w:spacing w:line="184" w:lineRule="auto"/>
              <w:jc w:val="center"/>
              <w:textAlignment w:val="baseline"/>
              <w:rPr>
                <w:rFonts w:ascii="宋体" w:hAnsi="宋体" w:cstheme="minorEastAsia"/>
                <w:snapToGrid w:val="0"/>
                <w:color w:val="auto"/>
                <w:kern w:val="0"/>
                <w:szCs w:val="21"/>
                <w:highlight w:val="none"/>
                <w:lang w:eastAsia="en-US"/>
              </w:rPr>
            </w:pPr>
            <w:r>
              <w:rPr>
                <w:rFonts w:hint="eastAsia" w:ascii="宋体" w:hAnsi="宋体" w:cstheme="minorEastAsia"/>
                <w:snapToGrid w:val="0"/>
                <w:color w:val="auto"/>
                <w:kern w:val="0"/>
                <w:szCs w:val="21"/>
                <w:highlight w:val="none"/>
                <w:lang w:eastAsia="en-US"/>
              </w:rPr>
              <w:t>1</w:t>
            </w:r>
          </w:p>
        </w:tc>
        <w:tc>
          <w:tcPr>
            <w:tcW w:w="2185" w:type="pct"/>
            <w:vAlign w:val="center"/>
          </w:tcPr>
          <w:p w14:paraId="033A589C">
            <w:pPr>
              <w:kinsoku w:val="0"/>
              <w:autoSpaceDE w:val="0"/>
              <w:autoSpaceDN w:val="0"/>
              <w:adjustRightInd w:val="0"/>
              <w:snapToGrid w:val="0"/>
              <w:spacing w:line="220" w:lineRule="auto"/>
              <w:jc w:val="center"/>
              <w:textAlignment w:val="baseline"/>
              <w:rPr>
                <w:rFonts w:ascii="宋体" w:hAnsi="宋体" w:cstheme="minorEastAsia"/>
                <w:snapToGrid w:val="0"/>
                <w:color w:val="auto"/>
                <w:kern w:val="0"/>
                <w:szCs w:val="21"/>
                <w:highlight w:val="none"/>
                <w:lang w:eastAsia="en-US"/>
              </w:rPr>
            </w:pPr>
            <w:r>
              <w:rPr>
                <w:rFonts w:hint="eastAsia" w:ascii="宋体" w:hAnsi="宋体" w:cstheme="minorEastAsia"/>
                <w:snapToGrid w:val="0"/>
                <w:color w:val="auto"/>
                <w:spacing w:val="-2"/>
                <w:kern w:val="0"/>
                <w:szCs w:val="21"/>
                <w:highlight w:val="none"/>
                <w:lang w:eastAsia="en-US"/>
              </w:rPr>
              <w:t>设计费（大写）</w:t>
            </w:r>
          </w:p>
        </w:tc>
        <w:tc>
          <w:tcPr>
            <w:tcW w:w="1792" w:type="pct"/>
            <w:vAlign w:val="center"/>
          </w:tcPr>
          <w:p w14:paraId="0618EDB8">
            <w:pPr>
              <w:widowControl/>
              <w:kinsoku w:val="0"/>
              <w:autoSpaceDE w:val="0"/>
              <w:autoSpaceDN w:val="0"/>
              <w:adjustRightInd w:val="0"/>
              <w:snapToGrid w:val="0"/>
              <w:jc w:val="left"/>
              <w:textAlignment w:val="baseline"/>
              <w:rPr>
                <w:rFonts w:hint="default" w:eastAsia="宋体" w:asciiTheme="minorEastAsia" w:hAnsiTheme="minorEastAsia" w:cstheme="minorEastAsia"/>
                <w:b w:val="0"/>
                <w:bCs/>
                <w:snapToGrid w:val="0"/>
                <w:color w:val="auto"/>
                <w:kern w:val="0"/>
                <w:szCs w:val="21"/>
                <w:highlight w:val="none"/>
                <w:lang w:val="en-US" w:eastAsia="zh-CN"/>
              </w:rPr>
            </w:pPr>
            <w:r>
              <w:rPr>
                <w:rFonts w:hint="eastAsia" w:ascii="宋体" w:hAnsi="宋体" w:cs="宋体"/>
                <w:b w:val="0"/>
                <w:bCs/>
                <w:color w:val="auto"/>
                <w:szCs w:val="21"/>
                <w:highlight w:val="none"/>
                <w:u w:val="single"/>
              </w:rPr>
              <w:t xml:space="preserve">               </w:t>
            </w:r>
            <w:r>
              <w:rPr>
                <w:rFonts w:hint="eastAsia" w:ascii="宋体" w:hAnsi="宋体" w:cs="宋体"/>
                <w:b w:val="0"/>
                <w:bCs/>
                <w:color w:val="auto"/>
                <w:szCs w:val="21"/>
                <w:highlight w:val="none"/>
                <w:u w:val="single"/>
                <w:lang w:val="en-US" w:eastAsia="zh-CN"/>
              </w:rPr>
              <w:t xml:space="preserve">     </w:t>
            </w:r>
          </w:p>
        </w:tc>
      </w:tr>
      <w:tr w14:paraId="17939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1021" w:type="pct"/>
            <w:vAlign w:val="center"/>
          </w:tcPr>
          <w:p w14:paraId="6F841256">
            <w:pPr>
              <w:kinsoku w:val="0"/>
              <w:autoSpaceDE w:val="0"/>
              <w:autoSpaceDN w:val="0"/>
              <w:adjustRightInd w:val="0"/>
              <w:snapToGrid w:val="0"/>
              <w:spacing w:line="183" w:lineRule="auto"/>
              <w:jc w:val="center"/>
              <w:textAlignment w:val="baseline"/>
              <w:rPr>
                <w:rFonts w:hint="eastAsia" w:ascii="宋体" w:hAnsi="宋体" w:eastAsia="宋体" w:cstheme="minorEastAsia"/>
                <w:snapToGrid w:val="0"/>
                <w:color w:val="auto"/>
                <w:kern w:val="0"/>
                <w:szCs w:val="21"/>
                <w:highlight w:val="none"/>
                <w:lang w:val="en-US" w:eastAsia="zh-CN"/>
              </w:rPr>
            </w:pPr>
            <w:r>
              <w:rPr>
                <w:rFonts w:hint="eastAsia" w:ascii="宋体" w:hAnsi="宋体" w:cstheme="minorEastAsia"/>
                <w:snapToGrid w:val="0"/>
                <w:color w:val="auto"/>
                <w:kern w:val="0"/>
                <w:szCs w:val="21"/>
                <w:highlight w:val="none"/>
                <w:lang w:val="en-US" w:eastAsia="zh-CN"/>
              </w:rPr>
              <w:t>2</w:t>
            </w:r>
          </w:p>
        </w:tc>
        <w:tc>
          <w:tcPr>
            <w:tcW w:w="2185" w:type="pct"/>
            <w:vAlign w:val="center"/>
          </w:tcPr>
          <w:p w14:paraId="2776FD03">
            <w:pPr>
              <w:kinsoku w:val="0"/>
              <w:autoSpaceDE w:val="0"/>
              <w:autoSpaceDN w:val="0"/>
              <w:adjustRightInd w:val="0"/>
              <w:snapToGrid w:val="0"/>
              <w:spacing w:line="221" w:lineRule="auto"/>
              <w:jc w:val="center"/>
              <w:textAlignment w:val="baseline"/>
              <w:rPr>
                <w:rFonts w:ascii="宋体" w:hAnsi="宋体" w:cstheme="minorEastAsia"/>
                <w:snapToGrid w:val="0"/>
                <w:color w:val="auto"/>
                <w:kern w:val="0"/>
                <w:szCs w:val="21"/>
                <w:highlight w:val="none"/>
                <w:lang w:eastAsia="en-US"/>
              </w:rPr>
            </w:pPr>
            <w:r>
              <w:rPr>
                <w:rFonts w:hint="eastAsia" w:ascii="宋体" w:hAnsi="宋体" w:cstheme="minorEastAsia"/>
                <w:snapToGrid w:val="0"/>
                <w:color w:val="auto"/>
                <w:spacing w:val="-2"/>
                <w:kern w:val="0"/>
                <w:szCs w:val="21"/>
                <w:highlight w:val="none"/>
                <w:lang w:eastAsia="en-US"/>
              </w:rPr>
              <w:t>设计费（</w:t>
            </w:r>
            <w:r>
              <w:rPr>
                <w:rFonts w:hint="eastAsia" w:ascii="宋体" w:hAnsi="宋体" w:cstheme="minorEastAsia"/>
                <w:snapToGrid w:val="0"/>
                <w:color w:val="auto"/>
                <w:spacing w:val="-2"/>
                <w:kern w:val="0"/>
                <w:szCs w:val="21"/>
                <w:highlight w:val="none"/>
                <w:lang w:val="en-US" w:eastAsia="zh-CN"/>
              </w:rPr>
              <w:t>小</w:t>
            </w:r>
            <w:r>
              <w:rPr>
                <w:rFonts w:hint="eastAsia" w:ascii="宋体" w:hAnsi="宋体" w:cstheme="minorEastAsia"/>
                <w:snapToGrid w:val="0"/>
                <w:color w:val="auto"/>
                <w:spacing w:val="-2"/>
                <w:kern w:val="0"/>
                <w:szCs w:val="21"/>
                <w:highlight w:val="none"/>
                <w:lang w:eastAsia="en-US"/>
              </w:rPr>
              <w:t>写）</w:t>
            </w:r>
          </w:p>
        </w:tc>
        <w:tc>
          <w:tcPr>
            <w:tcW w:w="1792" w:type="pct"/>
            <w:vAlign w:val="center"/>
          </w:tcPr>
          <w:p w14:paraId="1B18D904">
            <w:pPr>
              <w:widowControl/>
              <w:kinsoku w:val="0"/>
              <w:autoSpaceDE w:val="0"/>
              <w:autoSpaceDN w:val="0"/>
              <w:adjustRightInd w:val="0"/>
              <w:snapToGrid w:val="0"/>
              <w:jc w:val="center"/>
              <w:textAlignment w:val="baseline"/>
              <w:rPr>
                <w:rFonts w:hint="eastAsia" w:eastAsia="宋体" w:asciiTheme="minorEastAsia" w:hAnsiTheme="minorEastAsia" w:cstheme="minorEastAsia"/>
                <w:b w:val="0"/>
                <w:bCs/>
                <w:snapToGrid w:val="0"/>
                <w:color w:val="auto"/>
                <w:kern w:val="0"/>
                <w:szCs w:val="21"/>
                <w:highlight w:val="none"/>
                <w:lang w:val="en-US" w:eastAsia="zh-CN"/>
              </w:rPr>
            </w:pPr>
            <w:r>
              <w:rPr>
                <w:rFonts w:hint="eastAsia" w:ascii="宋体" w:hAnsi="宋体" w:cs="宋体"/>
                <w:b w:val="0"/>
                <w:bCs/>
                <w:color w:val="auto"/>
                <w:szCs w:val="21"/>
                <w:highlight w:val="none"/>
                <w:u w:val="single"/>
              </w:rPr>
              <w:t xml:space="preserve">      </w:t>
            </w:r>
            <w:r>
              <w:rPr>
                <w:rFonts w:hint="eastAsia" w:ascii="宋体" w:hAnsi="宋体" w:cs="宋体"/>
                <w:b w:val="0"/>
                <w:bCs/>
                <w:color w:val="auto"/>
                <w:szCs w:val="21"/>
                <w:highlight w:val="none"/>
                <w:u w:val="single"/>
                <w:lang w:val="en-US" w:eastAsia="zh-CN"/>
              </w:rPr>
              <w:t xml:space="preserve">        </w:t>
            </w:r>
            <w:r>
              <w:rPr>
                <w:rFonts w:hint="eastAsia" w:ascii="宋体" w:hAnsi="宋体" w:cs="宋体"/>
                <w:b w:val="0"/>
                <w:bCs/>
                <w:color w:val="auto"/>
                <w:szCs w:val="21"/>
                <w:highlight w:val="none"/>
                <w:u w:val="single"/>
              </w:rPr>
              <w:t xml:space="preserve">  </w:t>
            </w:r>
            <w:r>
              <w:rPr>
                <w:rFonts w:hint="eastAsia" w:ascii="宋体" w:hAnsi="宋体" w:cs="宋体"/>
                <w:b w:val="0"/>
                <w:bCs/>
                <w:color w:val="auto"/>
                <w:szCs w:val="21"/>
                <w:highlight w:val="none"/>
                <w:u w:val="none"/>
                <w:lang w:val="en-US" w:eastAsia="zh-CN"/>
              </w:rPr>
              <w:t>元</w:t>
            </w:r>
          </w:p>
        </w:tc>
      </w:tr>
      <w:tr w14:paraId="488E3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1021" w:type="pct"/>
            <w:vAlign w:val="center"/>
          </w:tcPr>
          <w:p w14:paraId="56A976CB">
            <w:pPr>
              <w:kinsoku w:val="0"/>
              <w:autoSpaceDE w:val="0"/>
              <w:autoSpaceDN w:val="0"/>
              <w:adjustRightInd w:val="0"/>
              <w:snapToGrid w:val="0"/>
              <w:spacing w:line="183" w:lineRule="auto"/>
              <w:jc w:val="center"/>
              <w:textAlignment w:val="baseline"/>
              <w:rPr>
                <w:rFonts w:hint="eastAsia" w:ascii="宋体" w:hAnsi="宋体" w:eastAsia="宋体" w:cstheme="minorEastAsia"/>
                <w:snapToGrid w:val="0"/>
                <w:color w:val="auto"/>
                <w:kern w:val="0"/>
                <w:szCs w:val="21"/>
                <w:highlight w:val="none"/>
                <w:lang w:val="en-US" w:eastAsia="zh-CN"/>
              </w:rPr>
            </w:pPr>
            <w:r>
              <w:rPr>
                <w:rFonts w:hint="eastAsia" w:ascii="宋体" w:hAnsi="宋体" w:cstheme="minorEastAsia"/>
                <w:snapToGrid w:val="0"/>
                <w:color w:val="auto"/>
                <w:kern w:val="0"/>
                <w:szCs w:val="21"/>
                <w:highlight w:val="none"/>
                <w:lang w:val="en-US" w:eastAsia="zh-CN"/>
              </w:rPr>
              <w:t>3</w:t>
            </w:r>
          </w:p>
        </w:tc>
        <w:tc>
          <w:tcPr>
            <w:tcW w:w="2185" w:type="pct"/>
            <w:vAlign w:val="center"/>
          </w:tcPr>
          <w:p w14:paraId="0F54B23E">
            <w:pPr>
              <w:kinsoku w:val="0"/>
              <w:autoSpaceDE w:val="0"/>
              <w:autoSpaceDN w:val="0"/>
              <w:adjustRightInd w:val="0"/>
              <w:snapToGrid w:val="0"/>
              <w:spacing w:line="220" w:lineRule="auto"/>
              <w:jc w:val="center"/>
              <w:textAlignment w:val="baseline"/>
              <w:rPr>
                <w:rFonts w:hint="default" w:ascii="宋体" w:hAnsi="宋体" w:eastAsia="宋体" w:cstheme="minorEastAsia"/>
                <w:snapToGrid w:val="0"/>
                <w:color w:val="auto"/>
                <w:kern w:val="0"/>
                <w:szCs w:val="21"/>
                <w:highlight w:val="none"/>
                <w:lang w:val="en-US" w:eastAsia="zh-CN"/>
              </w:rPr>
            </w:pPr>
            <w:r>
              <w:rPr>
                <w:rFonts w:hint="eastAsia" w:ascii="宋体" w:hAnsi="宋体" w:cstheme="minorEastAsia"/>
                <w:snapToGrid w:val="0"/>
                <w:color w:val="auto"/>
                <w:kern w:val="0"/>
                <w:szCs w:val="21"/>
                <w:highlight w:val="none"/>
                <w:lang w:val="en-US" w:eastAsia="zh-CN"/>
              </w:rPr>
              <w:t>设计费下浮率</w:t>
            </w:r>
          </w:p>
        </w:tc>
        <w:tc>
          <w:tcPr>
            <w:tcW w:w="1792" w:type="pct"/>
            <w:vAlign w:val="center"/>
          </w:tcPr>
          <w:p w14:paraId="4D8CA1DF">
            <w:pPr>
              <w:widowControl/>
              <w:kinsoku w:val="0"/>
              <w:autoSpaceDE w:val="0"/>
              <w:autoSpaceDN w:val="0"/>
              <w:adjustRightInd w:val="0"/>
              <w:snapToGrid w:val="0"/>
              <w:jc w:val="center"/>
              <w:textAlignment w:val="baseline"/>
              <w:rPr>
                <w:rFonts w:hint="eastAsia" w:asciiTheme="minorEastAsia" w:hAnsiTheme="minorEastAsia" w:eastAsiaTheme="minorEastAsia" w:cstheme="minorEastAsia"/>
                <w:b w:val="0"/>
                <w:bCs/>
                <w:snapToGrid w:val="0"/>
                <w:color w:val="auto"/>
                <w:kern w:val="0"/>
                <w:szCs w:val="21"/>
                <w:highlight w:val="none"/>
                <w:lang w:val="en-US" w:eastAsia="zh-CN"/>
              </w:rPr>
            </w:pPr>
            <w:r>
              <w:rPr>
                <w:rFonts w:hint="eastAsia" w:ascii="宋体" w:hAnsi="宋体" w:cs="宋体"/>
                <w:b/>
                <w:bCs w:val="0"/>
                <w:color w:val="auto"/>
                <w:szCs w:val="21"/>
                <w:highlight w:val="none"/>
                <w:u w:val="single"/>
              </w:rPr>
              <w:t xml:space="preserve"> </w:t>
            </w:r>
            <w:r>
              <w:rPr>
                <w:rFonts w:hint="eastAsia" w:ascii="宋体" w:hAnsi="宋体" w:cs="宋体"/>
                <w:b/>
                <w:bCs w:val="0"/>
                <w:color w:val="auto"/>
                <w:szCs w:val="21"/>
                <w:highlight w:val="none"/>
                <w:u w:val="single"/>
                <w:lang w:val="en-US" w:eastAsia="zh-CN"/>
              </w:rPr>
              <w:t xml:space="preserve">     </w:t>
            </w:r>
            <w:r>
              <w:rPr>
                <w:rFonts w:hint="eastAsia" w:ascii="宋体" w:hAnsi="宋体" w:cs="宋体"/>
                <w:b/>
                <w:bCs w:val="0"/>
                <w:color w:val="auto"/>
                <w:szCs w:val="21"/>
                <w:highlight w:val="none"/>
                <w:u w:val="single"/>
              </w:rPr>
              <w:t xml:space="preserve">   </w:t>
            </w:r>
            <w:r>
              <w:rPr>
                <w:rFonts w:hint="eastAsia" w:ascii="宋体" w:hAnsi="宋体" w:cs="宋体"/>
                <w:b/>
                <w:bCs w:val="0"/>
                <w:color w:val="auto"/>
                <w:szCs w:val="21"/>
                <w:highlight w:val="none"/>
              </w:rPr>
              <w:t>%</w:t>
            </w:r>
          </w:p>
        </w:tc>
      </w:tr>
      <w:tr w14:paraId="5900E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1021" w:type="pct"/>
            <w:vAlign w:val="center"/>
          </w:tcPr>
          <w:p w14:paraId="667659A4">
            <w:pPr>
              <w:kinsoku w:val="0"/>
              <w:autoSpaceDE w:val="0"/>
              <w:autoSpaceDN w:val="0"/>
              <w:adjustRightInd w:val="0"/>
              <w:snapToGrid w:val="0"/>
              <w:spacing w:line="183" w:lineRule="auto"/>
              <w:jc w:val="center"/>
              <w:textAlignment w:val="baseline"/>
              <w:rPr>
                <w:rFonts w:ascii="宋体" w:hAnsi="宋体" w:cstheme="minorEastAsia"/>
                <w:snapToGrid w:val="0"/>
                <w:color w:val="auto"/>
                <w:kern w:val="0"/>
                <w:szCs w:val="21"/>
                <w:highlight w:val="none"/>
                <w:lang w:eastAsia="en-US"/>
              </w:rPr>
            </w:pPr>
            <w:r>
              <w:rPr>
                <w:rFonts w:hint="eastAsia" w:ascii="宋体" w:hAnsi="宋体" w:cstheme="minorEastAsia"/>
                <w:snapToGrid w:val="0"/>
                <w:color w:val="auto"/>
                <w:kern w:val="0"/>
                <w:szCs w:val="21"/>
                <w:highlight w:val="none"/>
                <w:lang w:eastAsia="en-US"/>
              </w:rPr>
              <w:t>4</w:t>
            </w:r>
          </w:p>
        </w:tc>
        <w:tc>
          <w:tcPr>
            <w:tcW w:w="2185" w:type="pct"/>
            <w:vAlign w:val="center"/>
          </w:tcPr>
          <w:p w14:paraId="014A1F21">
            <w:pPr>
              <w:kinsoku w:val="0"/>
              <w:autoSpaceDE w:val="0"/>
              <w:autoSpaceDN w:val="0"/>
              <w:adjustRightInd w:val="0"/>
              <w:snapToGrid w:val="0"/>
              <w:spacing w:line="221" w:lineRule="auto"/>
              <w:jc w:val="center"/>
              <w:textAlignment w:val="baseline"/>
              <w:rPr>
                <w:rFonts w:ascii="宋体" w:hAnsi="宋体" w:cstheme="minorEastAsia"/>
                <w:snapToGrid w:val="0"/>
                <w:color w:val="auto"/>
                <w:kern w:val="0"/>
                <w:szCs w:val="21"/>
                <w:highlight w:val="none"/>
                <w:lang w:eastAsia="en-US"/>
              </w:rPr>
            </w:pPr>
            <w:r>
              <w:rPr>
                <w:rFonts w:hint="eastAsia" w:ascii="宋体" w:hAnsi="宋体" w:cstheme="minorEastAsia"/>
                <w:snapToGrid w:val="0"/>
                <w:color w:val="auto"/>
                <w:spacing w:val="-2"/>
                <w:kern w:val="0"/>
                <w:szCs w:val="21"/>
                <w:highlight w:val="none"/>
              </w:rPr>
              <w:t>建筑安装工程费</w:t>
            </w:r>
            <w:r>
              <w:rPr>
                <w:rFonts w:hint="eastAsia" w:ascii="宋体" w:hAnsi="宋体" w:cstheme="minorEastAsia"/>
                <w:snapToGrid w:val="0"/>
                <w:color w:val="auto"/>
                <w:spacing w:val="-2"/>
                <w:kern w:val="0"/>
                <w:szCs w:val="21"/>
                <w:highlight w:val="none"/>
                <w:lang w:eastAsia="en-US"/>
              </w:rPr>
              <w:t>（大写）</w:t>
            </w:r>
          </w:p>
        </w:tc>
        <w:tc>
          <w:tcPr>
            <w:tcW w:w="1792" w:type="pct"/>
            <w:vAlign w:val="center"/>
          </w:tcPr>
          <w:p w14:paraId="7A30A9B3">
            <w:pPr>
              <w:widowControl/>
              <w:kinsoku w:val="0"/>
              <w:autoSpaceDE w:val="0"/>
              <w:autoSpaceDN w:val="0"/>
              <w:adjustRightInd w:val="0"/>
              <w:snapToGrid w:val="0"/>
              <w:jc w:val="left"/>
              <w:textAlignment w:val="baseline"/>
              <w:rPr>
                <w:rFonts w:asciiTheme="minorEastAsia" w:hAnsiTheme="minorEastAsia" w:eastAsiaTheme="minorEastAsia" w:cstheme="minorEastAsia"/>
                <w:b w:val="0"/>
                <w:bCs/>
                <w:snapToGrid w:val="0"/>
                <w:color w:val="auto"/>
                <w:kern w:val="0"/>
                <w:szCs w:val="21"/>
                <w:highlight w:val="none"/>
                <w:lang w:eastAsia="en-US"/>
              </w:rPr>
            </w:pPr>
            <w:r>
              <w:rPr>
                <w:rFonts w:hint="eastAsia" w:ascii="宋体" w:hAnsi="宋体" w:cs="宋体"/>
                <w:b w:val="0"/>
                <w:bCs/>
                <w:color w:val="auto"/>
                <w:szCs w:val="21"/>
                <w:highlight w:val="none"/>
                <w:u w:val="single"/>
              </w:rPr>
              <w:t xml:space="preserve">               </w:t>
            </w:r>
            <w:r>
              <w:rPr>
                <w:rFonts w:hint="eastAsia" w:ascii="宋体" w:hAnsi="宋体" w:cs="宋体"/>
                <w:b w:val="0"/>
                <w:bCs/>
                <w:color w:val="auto"/>
                <w:szCs w:val="21"/>
                <w:highlight w:val="none"/>
                <w:u w:val="single"/>
                <w:lang w:val="en-US" w:eastAsia="zh-CN"/>
              </w:rPr>
              <w:t xml:space="preserve">     </w:t>
            </w:r>
          </w:p>
        </w:tc>
      </w:tr>
      <w:tr w14:paraId="12756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1021" w:type="pct"/>
            <w:vAlign w:val="center"/>
          </w:tcPr>
          <w:p w14:paraId="45A118DC">
            <w:pPr>
              <w:kinsoku w:val="0"/>
              <w:autoSpaceDE w:val="0"/>
              <w:autoSpaceDN w:val="0"/>
              <w:adjustRightInd w:val="0"/>
              <w:snapToGrid w:val="0"/>
              <w:spacing w:line="182" w:lineRule="auto"/>
              <w:jc w:val="center"/>
              <w:textAlignment w:val="baseline"/>
              <w:rPr>
                <w:rFonts w:hint="eastAsia" w:ascii="宋体" w:hAnsi="宋体" w:eastAsia="宋体" w:cstheme="minorEastAsia"/>
                <w:snapToGrid w:val="0"/>
                <w:color w:val="auto"/>
                <w:kern w:val="0"/>
                <w:szCs w:val="21"/>
                <w:highlight w:val="none"/>
                <w:lang w:val="en-US" w:eastAsia="zh-CN"/>
              </w:rPr>
            </w:pPr>
            <w:r>
              <w:rPr>
                <w:rFonts w:hint="eastAsia" w:ascii="宋体" w:hAnsi="宋体" w:cstheme="minorEastAsia"/>
                <w:snapToGrid w:val="0"/>
                <w:color w:val="auto"/>
                <w:kern w:val="0"/>
                <w:szCs w:val="21"/>
                <w:highlight w:val="none"/>
                <w:lang w:val="en-US" w:eastAsia="zh-CN"/>
              </w:rPr>
              <w:t>5</w:t>
            </w:r>
          </w:p>
        </w:tc>
        <w:tc>
          <w:tcPr>
            <w:tcW w:w="2185" w:type="pct"/>
            <w:vAlign w:val="center"/>
          </w:tcPr>
          <w:p w14:paraId="48C64BD4">
            <w:pPr>
              <w:kinsoku w:val="0"/>
              <w:autoSpaceDE w:val="0"/>
              <w:autoSpaceDN w:val="0"/>
              <w:adjustRightInd w:val="0"/>
              <w:snapToGrid w:val="0"/>
              <w:spacing w:line="220" w:lineRule="auto"/>
              <w:jc w:val="center"/>
              <w:textAlignment w:val="baseline"/>
              <w:rPr>
                <w:rFonts w:ascii="宋体" w:hAnsi="宋体" w:cstheme="minorEastAsia"/>
                <w:snapToGrid w:val="0"/>
                <w:color w:val="auto"/>
                <w:kern w:val="0"/>
                <w:szCs w:val="21"/>
                <w:highlight w:val="none"/>
                <w:lang w:eastAsia="en-US"/>
              </w:rPr>
            </w:pPr>
            <w:r>
              <w:rPr>
                <w:rFonts w:hint="eastAsia" w:ascii="宋体" w:hAnsi="宋体" w:cstheme="minorEastAsia"/>
                <w:snapToGrid w:val="0"/>
                <w:color w:val="auto"/>
                <w:spacing w:val="-2"/>
                <w:kern w:val="0"/>
                <w:szCs w:val="21"/>
                <w:highlight w:val="none"/>
              </w:rPr>
              <w:t>建筑安装工程费</w:t>
            </w:r>
            <w:r>
              <w:rPr>
                <w:rFonts w:hint="eastAsia" w:ascii="宋体" w:hAnsi="宋体" w:cstheme="minorEastAsia"/>
                <w:snapToGrid w:val="0"/>
                <w:color w:val="auto"/>
                <w:spacing w:val="-2"/>
                <w:kern w:val="0"/>
                <w:szCs w:val="21"/>
                <w:highlight w:val="none"/>
                <w:lang w:eastAsia="en-US"/>
              </w:rPr>
              <w:t>（</w:t>
            </w:r>
            <w:r>
              <w:rPr>
                <w:rFonts w:hint="eastAsia" w:ascii="宋体" w:hAnsi="宋体" w:cstheme="minorEastAsia"/>
                <w:snapToGrid w:val="0"/>
                <w:color w:val="auto"/>
                <w:spacing w:val="-2"/>
                <w:kern w:val="0"/>
                <w:szCs w:val="21"/>
                <w:highlight w:val="none"/>
                <w:lang w:val="en-US" w:eastAsia="zh-CN"/>
              </w:rPr>
              <w:t>小</w:t>
            </w:r>
            <w:r>
              <w:rPr>
                <w:rFonts w:hint="eastAsia" w:ascii="宋体" w:hAnsi="宋体" w:cstheme="minorEastAsia"/>
                <w:snapToGrid w:val="0"/>
                <w:color w:val="auto"/>
                <w:spacing w:val="-2"/>
                <w:kern w:val="0"/>
                <w:szCs w:val="21"/>
                <w:highlight w:val="none"/>
                <w:lang w:eastAsia="en-US"/>
              </w:rPr>
              <w:t>写）</w:t>
            </w:r>
          </w:p>
        </w:tc>
        <w:tc>
          <w:tcPr>
            <w:tcW w:w="1792" w:type="pct"/>
            <w:vAlign w:val="center"/>
          </w:tcPr>
          <w:p w14:paraId="5BBD4B6F">
            <w:pPr>
              <w:widowControl/>
              <w:kinsoku w:val="0"/>
              <w:autoSpaceDE w:val="0"/>
              <w:autoSpaceDN w:val="0"/>
              <w:adjustRightInd w:val="0"/>
              <w:snapToGrid w:val="0"/>
              <w:jc w:val="center"/>
              <w:textAlignment w:val="baseline"/>
              <w:rPr>
                <w:rFonts w:asciiTheme="minorEastAsia" w:hAnsiTheme="minorEastAsia" w:eastAsiaTheme="minorEastAsia" w:cstheme="minorEastAsia"/>
                <w:b w:val="0"/>
                <w:bCs/>
                <w:snapToGrid w:val="0"/>
                <w:color w:val="auto"/>
                <w:kern w:val="0"/>
                <w:szCs w:val="21"/>
                <w:highlight w:val="none"/>
                <w:lang w:eastAsia="en-US"/>
              </w:rPr>
            </w:pPr>
            <w:r>
              <w:rPr>
                <w:rFonts w:hint="eastAsia" w:ascii="宋体" w:hAnsi="宋体" w:cs="宋体"/>
                <w:b w:val="0"/>
                <w:bCs/>
                <w:color w:val="auto"/>
                <w:szCs w:val="21"/>
                <w:highlight w:val="none"/>
                <w:u w:val="single"/>
              </w:rPr>
              <w:t xml:space="preserve">      </w:t>
            </w:r>
            <w:r>
              <w:rPr>
                <w:rFonts w:hint="eastAsia" w:ascii="宋体" w:hAnsi="宋体" w:cs="宋体"/>
                <w:b w:val="0"/>
                <w:bCs/>
                <w:color w:val="auto"/>
                <w:szCs w:val="21"/>
                <w:highlight w:val="none"/>
                <w:u w:val="single"/>
                <w:lang w:val="en-US" w:eastAsia="zh-CN"/>
              </w:rPr>
              <w:t xml:space="preserve">        </w:t>
            </w:r>
            <w:r>
              <w:rPr>
                <w:rFonts w:hint="eastAsia" w:ascii="宋体" w:hAnsi="宋体" w:cs="宋体"/>
                <w:b w:val="0"/>
                <w:bCs/>
                <w:color w:val="auto"/>
                <w:szCs w:val="21"/>
                <w:highlight w:val="none"/>
                <w:u w:val="single"/>
              </w:rPr>
              <w:t xml:space="preserve">  </w:t>
            </w:r>
            <w:r>
              <w:rPr>
                <w:rFonts w:hint="eastAsia" w:ascii="宋体" w:hAnsi="宋体" w:cs="宋体"/>
                <w:b w:val="0"/>
                <w:bCs/>
                <w:color w:val="auto"/>
                <w:szCs w:val="21"/>
                <w:highlight w:val="none"/>
                <w:u w:val="none"/>
                <w:lang w:val="en-US" w:eastAsia="zh-CN"/>
              </w:rPr>
              <w:t>元</w:t>
            </w:r>
          </w:p>
        </w:tc>
      </w:tr>
      <w:tr w14:paraId="35686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1021" w:type="pct"/>
            <w:vAlign w:val="center"/>
          </w:tcPr>
          <w:p w14:paraId="3FB11D25">
            <w:pPr>
              <w:kinsoku w:val="0"/>
              <w:autoSpaceDE w:val="0"/>
              <w:autoSpaceDN w:val="0"/>
              <w:adjustRightInd w:val="0"/>
              <w:snapToGrid w:val="0"/>
              <w:spacing w:line="182" w:lineRule="auto"/>
              <w:jc w:val="center"/>
              <w:textAlignment w:val="baseline"/>
              <w:rPr>
                <w:rFonts w:hint="eastAsia" w:ascii="宋体" w:hAnsi="宋体" w:eastAsia="宋体" w:cstheme="minorEastAsia"/>
                <w:snapToGrid w:val="0"/>
                <w:color w:val="auto"/>
                <w:kern w:val="0"/>
                <w:szCs w:val="21"/>
                <w:highlight w:val="none"/>
                <w:lang w:val="en-US" w:eastAsia="zh-CN"/>
              </w:rPr>
            </w:pPr>
            <w:r>
              <w:rPr>
                <w:rFonts w:hint="eastAsia" w:ascii="宋体" w:hAnsi="宋体" w:cstheme="minorEastAsia"/>
                <w:snapToGrid w:val="0"/>
                <w:color w:val="auto"/>
                <w:kern w:val="0"/>
                <w:szCs w:val="21"/>
                <w:highlight w:val="none"/>
                <w:lang w:val="en-US" w:eastAsia="zh-CN"/>
              </w:rPr>
              <w:t>6</w:t>
            </w:r>
          </w:p>
        </w:tc>
        <w:tc>
          <w:tcPr>
            <w:tcW w:w="2185" w:type="pct"/>
            <w:vAlign w:val="center"/>
          </w:tcPr>
          <w:p w14:paraId="3A656B8F">
            <w:pPr>
              <w:kinsoku w:val="0"/>
              <w:autoSpaceDE w:val="0"/>
              <w:autoSpaceDN w:val="0"/>
              <w:adjustRightInd w:val="0"/>
              <w:snapToGrid w:val="0"/>
              <w:spacing w:line="220" w:lineRule="auto"/>
              <w:jc w:val="center"/>
              <w:textAlignment w:val="baseline"/>
              <w:rPr>
                <w:rFonts w:hint="eastAsia" w:ascii="宋体" w:hAnsi="宋体" w:eastAsia="宋体" w:cstheme="minorEastAsia"/>
                <w:snapToGrid w:val="0"/>
                <w:color w:val="auto"/>
                <w:kern w:val="0"/>
                <w:szCs w:val="21"/>
                <w:highlight w:val="none"/>
                <w:lang w:val="en-US" w:eastAsia="zh-CN"/>
              </w:rPr>
            </w:pPr>
            <w:r>
              <w:rPr>
                <w:rFonts w:hint="eastAsia" w:ascii="宋体" w:hAnsi="宋体" w:cstheme="minorEastAsia"/>
                <w:snapToGrid w:val="0"/>
                <w:color w:val="auto"/>
                <w:spacing w:val="-2"/>
                <w:kern w:val="0"/>
                <w:szCs w:val="21"/>
                <w:highlight w:val="none"/>
              </w:rPr>
              <w:t>建筑安装工程费</w:t>
            </w:r>
            <w:r>
              <w:rPr>
                <w:rFonts w:hint="eastAsia" w:ascii="宋体" w:hAnsi="宋体" w:cstheme="minorEastAsia"/>
                <w:snapToGrid w:val="0"/>
                <w:color w:val="auto"/>
                <w:spacing w:val="-2"/>
                <w:kern w:val="0"/>
                <w:szCs w:val="21"/>
                <w:highlight w:val="none"/>
                <w:lang w:val="en-US" w:eastAsia="zh-CN"/>
              </w:rPr>
              <w:t>下浮率</w:t>
            </w:r>
          </w:p>
        </w:tc>
        <w:tc>
          <w:tcPr>
            <w:tcW w:w="1792" w:type="pct"/>
            <w:vAlign w:val="center"/>
          </w:tcPr>
          <w:p w14:paraId="68F57356">
            <w:pPr>
              <w:widowControl/>
              <w:kinsoku w:val="0"/>
              <w:autoSpaceDE w:val="0"/>
              <w:autoSpaceDN w:val="0"/>
              <w:adjustRightInd w:val="0"/>
              <w:snapToGrid w:val="0"/>
              <w:jc w:val="center"/>
              <w:textAlignment w:val="baseline"/>
              <w:rPr>
                <w:rFonts w:asciiTheme="minorEastAsia" w:hAnsiTheme="minorEastAsia" w:eastAsiaTheme="minorEastAsia" w:cstheme="minorEastAsia"/>
                <w:b w:val="0"/>
                <w:bCs/>
                <w:snapToGrid w:val="0"/>
                <w:color w:val="auto"/>
                <w:kern w:val="0"/>
                <w:szCs w:val="21"/>
                <w:highlight w:val="none"/>
                <w:lang w:eastAsia="en-US"/>
              </w:rPr>
            </w:pPr>
            <w:r>
              <w:rPr>
                <w:rFonts w:hint="eastAsia" w:ascii="宋体" w:hAnsi="宋体" w:cs="宋体"/>
                <w:b/>
                <w:bCs w:val="0"/>
                <w:color w:val="auto"/>
                <w:szCs w:val="21"/>
                <w:highlight w:val="none"/>
                <w:u w:val="single"/>
              </w:rPr>
              <w:t xml:space="preserve"> </w:t>
            </w:r>
            <w:r>
              <w:rPr>
                <w:rFonts w:hint="eastAsia" w:ascii="宋体" w:hAnsi="宋体" w:cs="宋体"/>
                <w:b/>
                <w:bCs w:val="0"/>
                <w:color w:val="auto"/>
                <w:szCs w:val="21"/>
                <w:highlight w:val="none"/>
                <w:u w:val="single"/>
                <w:lang w:val="en-US" w:eastAsia="zh-CN"/>
              </w:rPr>
              <w:t xml:space="preserve">    </w:t>
            </w:r>
            <w:r>
              <w:rPr>
                <w:rFonts w:hint="eastAsia" w:ascii="宋体" w:hAnsi="宋体" w:cs="宋体"/>
                <w:b/>
                <w:bCs w:val="0"/>
                <w:color w:val="auto"/>
                <w:szCs w:val="21"/>
                <w:highlight w:val="none"/>
                <w:u w:val="single"/>
              </w:rPr>
              <w:t xml:space="preserve">   </w:t>
            </w:r>
            <w:r>
              <w:rPr>
                <w:rFonts w:hint="eastAsia" w:ascii="宋体" w:hAnsi="宋体" w:cs="宋体"/>
                <w:b/>
                <w:bCs w:val="0"/>
                <w:color w:val="auto"/>
                <w:szCs w:val="21"/>
                <w:highlight w:val="none"/>
              </w:rPr>
              <w:t>%</w:t>
            </w:r>
          </w:p>
        </w:tc>
      </w:tr>
      <w:tr w14:paraId="3C818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1698" w:type="dxa"/>
            <w:vAlign w:val="center"/>
          </w:tcPr>
          <w:p w14:paraId="3555733B">
            <w:pPr>
              <w:kinsoku w:val="0"/>
              <w:autoSpaceDE w:val="0"/>
              <w:autoSpaceDN w:val="0"/>
              <w:adjustRightInd w:val="0"/>
              <w:snapToGrid w:val="0"/>
              <w:spacing w:line="182" w:lineRule="auto"/>
              <w:jc w:val="center"/>
              <w:textAlignment w:val="baseline"/>
              <w:rPr>
                <w:rFonts w:hint="eastAsia" w:ascii="宋体" w:hAnsi="宋体" w:cstheme="minorEastAsia"/>
                <w:snapToGrid w:val="0"/>
                <w:color w:val="auto"/>
                <w:kern w:val="0"/>
                <w:szCs w:val="21"/>
                <w:highlight w:val="none"/>
                <w:lang w:val="en-US" w:eastAsia="zh-CN"/>
              </w:rPr>
            </w:pPr>
            <w:r>
              <w:rPr>
                <w:rFonts w:hint="eastAsia" w:ascii="宋体" w:hAnsi="宋体" w:cstheme="minorEastAsia"/>
                <w:snapToGrid w:val="0"/>
                <w:color w:val="auto"/>
                <w:kern w:val="0"/>
                <w:szCs w:val="21"/>
                <w:highlight w:val="none"/>
                <w:lang w:val="en-US" w:eastAsia="zh-CN"/>
              </w:rPr>
              <w:t>7</w:t>
            </w:r>
          </w:p>
        </w:tc>
        <w:tc>
          <w:tcPr>
            <w:tcW w:w="2185" w:type="pct"/>
            <w:vAlign w:val="center"/>
          </w:tcPr>
          <w:p w14:paraId="6C37C394">
            <w:pPr>
              <w:kinsoku w:val="0"/>
              <w:autoSpaceDE w:val="0"/>
              <w:autoSpaceDN w:val="0"/>
              <w:adjustRightInd w:val="0"/>
              <w:snapToGrid w:val="0"/>
              <w:spacing w:line="220" w:lineRule="auto"/>
              <w:jc w:val="center"/>
              <w:textAlignment w:val="baseline"/>
              <w:rPr>
                <w:rFonts w:hint="default" w:ascii="宋体" w:hAnsi="宋体" w:cstheme="minorEastAsia"/>
                <w:snapToGrid w:val="0"/>
                <w:color w:val="auto"/>
                <w:kern w:val="0"/>
                <w:szCs w:val="21"/>
                <w:highlight w:val="none"/>
                <w:lang w:val="en-US" w:eastAsia="zh-CN"/>
              </w:rPr>
            </w:pPr>
            <w:r>
              <w:rPr>
                <w:rFonts w:hint="eastAsia" w:ascii="宋体" w:hAnsi="宋体" w:cstheme="minorEastAsia"/>
                <w:snapToGrid w:val="0"/>
                <w:color w:val="auto"/>
                <w:kern w:val="0"/>
                <w:szCs w:val="21"/>
                <w:highlight w:val="none"/>
                <w:lang w:val="en-US" w:eastAsia="zh-CN"/>
              </w:rPr>
              <w:t>暂列金额</w:t>
            </w:r>
          </w:p>
        </w:tc>
        <w:tc>
          <w:tcPr>
            <w:tcW w:w="1792" w:type="pct"/>
            <w:vAlign w:val="center"/>
          </w:tcPr>
          <w:p w14:paraId="1D7991E1">
            <w:pPr>
              <w:widowControl/>
              <w:kinsoku w:val="0"/>
              <w:autoSpaceDE w:val="0"/>
              <w:autoSpaceDN w:val="0"/>
              <w:adjustRightInd w:val="0"/>
              <w:snapToGrid w:val="0"/>
              <w:jc w:val="center"/>
              <w:textAlignment w:val="baseline"/>
              <w:rPr>
                <w:rFonts w:hint="eastAsia" w:ascii="宋体" w:hAnsi="宋体" w:cs="宋体"/>
                <w:b w:val="0"/>
                <w:bCs/>
                <w:color w:val="auto"/>
                <w:szCs w:val="21"/>
                <w:highlight w:val="none"/>
                <w:u w:val="single"/>
              </w:rPr>
            </w:pPr>
            <w:r>
              <w:rPr>
                <w:rFonts w:hint="eastAsia" w:ascii="宋体" w:hAnsi="宋体" w:cs="宋体"/>
                <w:b w:val="0"/>
                <w:bCs/>
                <w:color w:val="auto"/>
                <w:szCs w:val="21"/>
                <w:highlight w:val="none"/>
                <w:u w:val="single"/>
              </w:rPr>
              <w:t xml:space="preserve">      </w:t>
            </w:r>
            <w:r>
              <w:rPr>
                <w:rFonts w:hint="eastAsia" w:ascii="宋体" w:hAnsi="宋体" w:cs="宋体"/>
                <w:b w:val="0"/>
                <w:bCs/>
                <w:color w:val="auto"/>
                <w:szCs w:val="21"/>
                <w:highlight w:val="none"/>
                <w:u w:val="single"/>
                <w:lang w:val="en-US" w:eastAsia="zh-CN"/>
              </w:rPr>
              <w:t xml:space="preserve">        </w:t>
            </w:r>
            <w:r>
              <w:rPr>
                <w:rFonts w:hint="eastAsia" w:ascii="宋体" w:hAnsi="宋体" w:cs="宋体"/>
                <w:b w:val="0"/>
                <w:bCs/>
                <w:color w:val="auto"/>
                <w:szCs w:val="21"/>
                <w:highlight w:val="none"/>
                <w:u w:val="single"/>
              </w:rPr>
              <w:t xml:space="preserve">  </w:t>
            </w:r>
            <w:r>
              <w:rPr>
                <w:rFonts w:hint="eastAsia" w:ascii="宋体" w:hAnsi="宋体" w:cs="宋体"/>
                <w:b w:val="0"/>
                <w:bCs/>
                <w:color w:val="auto"/>
                <w:szCs w:val="21"/>
                <w:highlight w:val="none"/>
                <w:u w:val="none"/>
                <w:lang w:val="en-US" w:eastAsia="zh-CN"/>
              </w:rPr>
              <w:t>元</w:t>
            </w:r>
          </w:p>
        </w:tc>
      </w:tr>
      <w:tr w14:paraId="27586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1698" w:type="dxa"/>
            <w:vAlign w:val="center"/>
          </w:tcPr>
          <w:p w14:paraId="0E057B0B">
            <w:pPr>
              <w:kinsoku w:val="0"/>
              <w:autoSpaceDE w:val="0"/>
              <w:autoSpaceDN w:val="0"/>
              <w:adjustRightInd w:val="0"/>
              <w:snapToGrid w:val="0"/>
              <w:spacing w:line="183" w:lineRule="auto"/>
              <w:jc w:val="center"/>
              <w:textAlignment w:val="baseline"/>
              <w:rPr>
                <w:rFonts w:hint="eastAsia" w:ascii="宋体" w:hAnsi="宋体" w:eastAsia="宋体" w:cstheme="minorEastAsia"/>
                <w:snapToGrid w:val="0"/>
                <w:color w:val="auto"/>
                <w:kern w:val="0"/>
                <w:szCs w:val="21"/>
                <w:highlight w:val="none"/>
                <w:lang w:val="en-US" w:eastAsia="zh-CN"/>
              </w:rPr>
            </w:pPr>
            <w:r>
              <w:rPr>
                <w:rFonts w:hint="eastAsia" w:ascii="宋体" w:hAnsi="宋体" w:cstheme="minorEastAsia"/>
                <w:snapToGrid w:val="0"/>
                <w:color w:val="auto"/>
                <w:kern w:val="0"/>
                <w:szCs w:val="21"/>
                <w:highlight w:val="none"/>
                <w:lang w:val="en-US" w:eastAsia="zh-CN"/>
              </w:rPr>
              <w:t>8</w:t>
            </w:r>
          </w:p>
        </w:tc>
        <w:tc>
          <w:tcPr>
            <w:tcW w:w="2185" w:type="pct"/>
            <w:vAlign w:val="center"/>
          </w:tcPr>
          <w:p w14:paraId="2AB785BB">
            <w:pPr>
              <w:kinsoku w:val="0"/>
              <w:autoSpaceDE w:val="0"/>
              <w:autoSpaceDN w:val="0"/>
              <w:adjustRightInd w:val="0"/>
              <w:snapToGrid w:val="0"/>
              <w:spacing w:line="220" w:lineRule="auto"/>
              <w:jc w:val="center"/>
              <w:textAlignment w:val="baseline"/>
              <w:rPr>
                <w:rFonts w:hint="default" w:ascii="宋体" w:hAnsi="宋体" w:eastAsia="宋体" w:cstheme="minorEastAsia"/>
                <w:snapToGrid w:val="0"/>
                <w:color w:val="auto"/>
                <w:kern w:val="0"/>
                <w:szCs w:val="21"/>
                <w:highlight w:val="none"/>
                <w:lang w:val="en-US" w:eastAsia="zh-CN"/>
              </w:rPr>
            </w:pPr>
            <w:r>
              <w:rPr>
                <w:rFonts w:hint="eastAsia" w:ascii="宋体" w:hAnsi="宋体" w:cstheme="minorEastAsia"/>
                <w:snapToGrid w:val="0"/>
                <w:color w:val="auto"/>
                <w:kern w:val="0"/>
                <w:szCs w:val="21"/>
                <w:highlight w:val="none"/>
                <w:lang w:val="en-US" w:eastAsia="zh-CN"/>
              </w:rPr>
              <w:t>投标总报价</w:t>
            </w:r>
            <w:r>
              <w:rPr>
                <w:rFonts w:hint="eastAsia" w:ascii="宋体" w:hAnsi="宋体" w:cstheme="minorEastAsia"/>
                <w:snapToGrid w:val="0"/>
                <w:color w:val="auto"/>
                <w:spacing w:val="-2"/>
                <w:kern w:val="0"/>
                <w:szCs w:val="21"/>
                <w:highlight w:val="none"/>
                <w:lang w:eastAsia="en-US"/>
              </w:rPr>
              <w:t>（大写）</w:t>
            </w:r>
          </w:p>
        </w:tc>
        <w:tc>
          <w:tcPr>
            <w:tcW w:w="1792" w:type="pct"/>
            <w:vAlign w:val="center"/>
          </w:tcPr>
          <w:p w14:paraId="22F226F6">
            <w:pPr>
              <w:widowControl/>
              <w:kinsoku w:val="0"/>
              <w:autoSpaceDE w:val="0"/>
              <w:autoSpaceDN w:val="0"/>
              <w:adjustRightInd w:val="0"/>
              <w:snapToGrid w:val="0"/>
              <w:jc w:val="left"/>
              <w:textAlignment w:val="baseline"/>
              <w:rPr>
                <w:rFonts w:asciiTheme="minorEastAsia" w:hAnsiTheme="minorEastAsia" w:eastAsiaTheme="minorEastAsia" w:cstheme="minorEastAsia"/>
                <w:b w:val="0"/>
                <w:bCs/>
                <w:snapToGrid w:val="0"/>
                <w:color w:val="auto"/>
                <w:kern w:val="0"/>
                <w:szCs w:val="21"/>
                <w:highlight w:val="none"/>
                <w:lang w:eastAsia="en-US"/>
              </w:rPr>
            </w:pPr>
            <w:r>
              <w:rPr>
                <w:rFonts w:hint="eastAsia" w:ascii="宋体" w:hAnsi="宋体" w:cs="宋体"/>
                <w:b w:val="0"/>
                <w:bCs/>
                <w:color w:val="auto"/>
                <w:szCs w:val="21"/>
                <w:highlight w:val="none"/>
                <w:u w:val="single"/>
              </w:rPr>
              <w:t xml:space="preserve">               </w:t>
            </w:r>
            <w:r>
              <w:rPr>
                <w:rFonts w:hint="eastAsia" w:ascii="宋体" w:hAnsi="宋体" w:cs="宋体"/>
                <w:b w:val="0"/>
                <w:bCs/>
                <w:color w:val="auto"/>
                <w:szCs w:val="21"/>
                <w:highlight w:val="none"/>
                <w:u w:val="single"/>
                <w:lang w:val="en-US" w:eastAsia="zh-CN"/>
              </w:rPr>
              <w:t xml:space="preserve">     </w:t>
            </w:r>
          </w:p>
        </w:tc>
      </w:tr>
      <w:tr w14:paraId="4FA23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1021" w:type="pct"/>
            <w:vAlign w:val="center"/>
          </w:tcPr>
          <w:p w14:paraId="7BCE58A1">
            <w:pPr>
              <w:kinsoku w:val="0"/>
              <w:autoSpaceDE w:val="0"/>
              <w:autoSpaceDN w:val="0"/>
              <w:adjustRightInd w:val="0"/>
              <w:snapToGrid w:val="0"/>
              <w:spacing w:line="183" w:lineRule="auto"/>
              <w:jc w:val="center"/>
              <w:textAlignment w:val="baseline"/>
              <w:rPr>
                <w:rFonts w:hint="eastAsia" w:ascii="宋体" w:hAnsi="宋体" w:eastAsia="宋体" w:cstheme="minorEastAsia"/>
                <w:snapToGrid w:val="0"/>
                <w:color w:val="auto"/>
                <w:kern w:val="0"/>
                <w:szCs w:val="21"/>
                <w:highlight w:val="none"/>
                <w:lang w:val="en-US" w:eastAsia="zh-CN"/>
              </w:rPr>
            </w:pPr>
            <w:r>
              <w:rPr>
                <w:rFonts w:hint="eastAsia" w:ascii="宋体" w:hAnsi="宋体" w:cstheme="minorEastAsia"/>
                <w:snapToGrid w:val="0"/>
                <w:color w:val="auto"/>
                <w:kern w:val="0"/>
                <w:szCs w:val="21"/>
                <w:highlight w:val="none"/>
                <w:lang w:val="en-US" w:eastAsia="zh-CN"/>
              </w:rPr>
              <w:t>9</w:t>
            </w:r>
          </w:p>
        </w:tc>
        <w:tc>
          <w:tcPr>
            <w:tcW w:w="2185" w:type="pct"/>
            <w:vAlign w:val="center"/>
          </w:tcPr>
          <w:p w14:paraId="19BABFE9">
            <w:pPr>
              <w:kinsoku w:val="0"/>
              <w:autoSpaceDE w:val="0"/>
              <w:autoSpaceDN w:val="0"/>
              <w:adjustRightInd w:val="0"/>
              <w:snapToGrid w:val="0"/>
              <w:spacing w:line="219" w:lineRule="auto"/>
              <w:jc w:val="center"/>
              <w:textAlignment w:val="baseline"/>
              <w:rPr>
                <w:rFonts w:ascii="宋体" w:hAnsi="宋体" w:cstheme="minorEastAsia"/>
                <w:snapToGrid w:val="0"/>
                <w:color w:val="auto"/>
                <w:kern w:val="0"/>
                <w:szCs w:val="21"/>
                <w:highlight w:val="none"/>
                <w:lang w:eastAsia="en-US"/>
              </w:rPr>
            </w:pPr>
            <w:r>
              <w:rPr>
                <w:rFonts w:hint="eastAsia" w:ascii="宋体" w:hAnsi="宋体" w:cstheme="minorEastAsia"/>
                <w:snapToGrid w:val="0"/>
                <w:color w:val="auto"/>
                <w:kern w:val="0"/>
                <w:szCs w:val="21"/>
                <w:highlight w:val="none"/>
                <w:lang w:val="en-US" w:eastAsia="zh-CN"/>
              </w:rPr>
              <w:t>投标总报价</w:t>
            </w:r>
            <w:r>
              <w:rPr>
                <w:rFonts w:hint="eastAsia" w:ascii="宋体" w:hAnsi="宋体" w:cstheme="minorEastAsia"/>
                <w:snapToGrid w:val="0"/>
                <w:color w:val="auto"/>
                <w:spacing w:val="-2"/>
                <w:kern w:val="0"/>
                <w:szCs w:val="21"/>
                <w:highlight w:val="none"/>
                <w:lang w:eastAsia="en-US"/>
              </w:rPr>
              <w:t>（</w:t>
            </w:r>
            <w:r>
              <w:rPr>
                <w:rFonts w:hint="eastAsia" w:ascii="宋体" w:hAnsi="宋体" w:cstheme="minorEastAsia"/>
                <w:snapToGrid w:val="0"/>
                <w:color w:val="auto"/>
                <w:spacing w:val="-2"/>
                <w:kern w:val="0"/>
                <w:szCs w:val="21"/>
                <w:highlight w:val="none"/>
                <w:lang w:val="en-US" w:eastAsia="zh-CN"/>
              </w:rPr>
              <w:t>小</w:t>
            </w:r>
            <w:r>
              <w:rPr>
                <w:rFonts w:hint="eastAsia" w:ascii="宋体" w:hAnsi="宋体" w:cstheme="minorEastAsia"/>
                <w:snapToGrid w:val="0"/>
                <w:color w:val="auto"/>
                <w:spacing w:val="-2"/>
                <w:kern w:val="0"/>
                <w:szCs w:val="21"/>
                <w:highlight w:val="none"/>
                <w:lang w:eastAsia="en-US"/>
              </w:rPr>
              <w:t>写）</w:t>
            </w:r>
          </w:p>
        </w:tc>
        <w:tc>
          <w:tcPr>
            <w:tcW w:w="1792" w:type="pct"/>
            <w:vAlign w:val="center"/>
          </w:tcPr>
          <w:p w14:paraId="3C6DBCE6">
            <w:pPr>
              <w:widowControl/>
              <w:kinsoku w:val="0"/>
              <w:autoSpaceDE w:val="0"/>
              <w:autoSpaceDN w:val="0"/>
              <w:adjustRightInd w:val="0"/>
              <w:snapToGrid w:val="0"/>
              <w:jc w:val="center"/>
              <w:textAlignment w:val="baseline"/>
              <w:rPr>
                <w:rFonts w:asciiTheme="minorEastAsia" w:hAnsiTheme="minorEastAsia" w:eastAsiaTheme="minorEastAsia" w:cstheme="minorEastAsia"/>
                <w:b w:val="0"/>
                <w:bCs/>
                <w:snapToGrid w:val="0"/>
                <w:color w:val="auto"/>
                <w:kern w:val="0"/>
                <w:szCs w:val="21"/>
                <w:highlight w:val="none"/>
                <w:lang w:eastAsia="en-US"/>
              </w:rPr>
            </w:pPr>
            <w:r>
              <w:rPr>
                <w:rFonts w:hint="eastAsia" w:ascii="宋体" w:hAnsi="宋体" w:cs="宋体"/>
                <w:b w:val="0"/>
                <w:bCs/>
                <w:color w:val="auto"/>
                <w:szCs w:val="21"/>
                <w:highlight w:val="none"/>
                <w:u w:val="single"/>
              </w:rPr>
              <w:t xml:space="preserve">      </w:t>
            </w:r>
            <w:r>
              <w:rPr>
                <w:rFonts w:hint="eastAsia" w:ascii="宋体" w:hAnsi="宋体" w:cs="宋体"/>
                <w:b w:val="0"/>
                <w:bCs/>
                <w:color w:val="auto"/>
                <w:szCs w:val="21"/>
                <w:highlight w:val="none"/>
                <w:u w:val="single"/>
                <w:lang w:val="en-US" w:eastAsia="zh-CN"/>
              </w:rPr>
              <w:t xml:space="preserve">        </w:t>
            </w:r>
            <w:r>
              <w:rPr>
                <w:rFonts w:hint="eastAsia" w:ascii="宋体" w:hAnsi="宋体" w:cs="宋体"/>
                <w:b w:val="0"/>
                <w:bCs/>
                <w:color w:val="auto"/>
                <w:szCs w:val="21"/>
                <w:highlight w:val="none"/>
                <w:u w:val="single"/>
              </w:rPr>
              <w:t xml:space="preserve">  </w:t>
            </w:r>
            <w:r>
              <w:rPr>
                <w:rFonts w:hint="eastAsia" w:ascii="宋体" w:hAnsi="宋体" w:cs="宋体"/>
                <w:b w:val="0"/>
                <w:bCs/>
                <w:color w:val="auto"/>
                <w:szCs w:val="21"/>
                <w:highlight w:val="none"/>
                <w:u w:val="none"/>
                <w:lang w:val="en-US" w:eastAsia="zh-CN"/>
              </w:rPr>
              <w:t>元</w:t>
            </w:r>
          </w:p>
        </w:tc>
      </w:tr>
    </w:tbl>
    <w:p w14:paraId="682D127B">
      <w:pPr>
        <w:kinsoku w:val="0"/>
        <w:autoSpaceDE w:val="0"/>
        <w:autoSpaceDN w:val="0"/>
        <w:adjustRightInd w:val="0"/>
        <w:snapToGrid w:val="0"/>
        <w:spacing w:line="284" w:lineRule="auto"/>
        <w:jc w:val="left"/>
        <w:textAlignment w:val="baseline"/>
        <w:rPr>
          <w:rFonts w:ascii="Arial" w:hAnsi="Arial" w:eastAsia="Arial" w:cs="Arial"/>
          <w:snapToGrid w:val="0"/>
          <w:color w:val="auto"/>
          <w:kern w:val="0"/>
          <w:szCs w:val="21"/>
          <w:highlight w:val="none"/>
        </w:rPr>
      </w:pPr>
    </w:p>
    <w:p w14:paraId="70D80CEE">
      <w:pPr>
        <w:spacing w:line="290" w:lineRule="exact"/>
        <w:ind w:firstLine="420" w:firstLineChars="200"/>
        <w:rPr>
          <w:rFonts w:hint="default" w:ascii="Arial" w:hAnsi="宋体" w:cs="Arial"/>
          <w:b w:val="0"/>
          <w:bCs w:val="0"/>
          <w:color w:val="auto"/>
          <w:szCs w:val="21"/>
          <w:highlight w:val="none"/>
          <w:lang w:val="en-US"/>
        </w:rPr>
      </w:pPr>
    </w:p>
    <w:p w14:paraId="3DF85E77">
      <w:pPr>
        <w:kinsoku w:val="0"/>
        <w:autoSpaceDE w:val="0"/>
        <w:autoSpaceDN w:val="0"/>
        <w:adjustRightInd w:val="0"/>
        <w:snapToGrid w:val="0"/>
        <w:spacing w:line="285" w:lineRule="auto"/>
        <w:jc w:val="left"/>
        <w:textAlignment w:val="baseline"/>
        <w:rPr>
          <w:rFonts w:ascii="Arial" w:hAnsi="Arial" w:eastAsia="Arial" w:cs="Arial"/>
          <w:snapToGrid w:val="0"/>
          <w:color w:val="auto"/>
          <w:kern w:val="0"/>
          <w:szCs w:val="21"/>
          <w:highlight w:val="none"/>
        </w:rPr>
      </w:pPr>
    </w:p>
    <w:p w14:paraId="46A72F1E">
      <w:pPr>
        <w:widowControl/>
        <w:kinsoku w:val="0"/>
        <w:autoSpaceDE w:val="0"/>
        <w:autoSpaceDN w:val="0"/>
        <w:adjustRightInd w:val="0"/>
        <w:snapToGrid w:val="0"/>
        <w:spacing w:before="91" w:line="480" w:lineRule="auto"/>
        <w:ind w:left="4125"/>
        <w:jc w:val="left"/>
        <w:textAlignment w:val="baseline"/>
        <w:rPr>
          <w:rFonts w:ascii="宋体" w:hAnsi="宋体" w:cs="宋体"/>
          <w:snapToGrid w:val="0"/>
          <w:color w:val="auto"/>
          <w:kern w:val="0"/>
          <w:szCs w:val="21"/>
          <w:highlight w:val="none"/>
        </w:rPr>
      </w:pPr>
      <w:r>
        <w:rPr>
          <w:rFonts w:ascii="宋体" w:hAnsi="宋体" w:cs="宋体"/>
          <w:snapToGrid w:val="0"/>
          <w:color w:val="auto"/>
          <w:spacing w:val="1"/>
          <w:kern w:val="0"/>
          <w:szCs w:val="21"/>
          <w:highlight w:val="none"/>
        </w:rPr>
        <w:t>投  标</w:t>
      </w:r>
      <w:r>
        <w:rPr>
          <w:rFonts w:ascii="宋体" w:hAnsi="宋体" w:cs="宋体"/>
          <w:snapToGrid w:val="0"/>
          <w:color w:val="auto"/>
          <w:spacing w:val="6"/>
          <w:kern w:val="0"/>
          <w:szCs w:val="21"/>
          <w:highlight w:val="none"/>
        </w:rPr>
        <w:t xml:space="preserve">  </w:t>
      </w:r>
      <w:r>
        <w:rPr>
          <w:rFonts w:ascii="宋体" w:hAnsi="宋体" w:cs="宋体"/>
          <w:snapToGrid w:val="0"/>
          <w:color w:val="auto"/>
          <w:spacing w:val="1"/>
          <w:kern w:val="0"/>
          <w:szCs w:val="21"/>
          <w:highlight w:val="none"/>
        </w:rPr>
        <w:t>人</w:t>
      </w:r>
      <w:r>
        <w:rPr>
          <w:rFonts w:ascii="宋体" w:hAnsi="宋体" w:cs="宋体"/>
          <w:snapToGrid w:val="0"/>
          <w:color w:val="auto"/>
          <w:spacing w:val="-18"/>
          <w:kern w:val="0"/>
          <w:szCs w:val="21"/>
          <w:highlight w:val="none"/>
        </w:rPr>
        <w:t>：</w:t>
      </w:r>
      <w:r>
        <w:rPr>
          <w:rFonts w:ascii="宋体" w:hAnsi="宋体" w:cs="宋体"/>
          <w:snapToGrid w:val="0"/>
          <w:color w:val="auto"/>
          <w:spacing w:val="23"/>
          <w:kern w:val="0"/>
          <w:szCs w:val="21"/>
          <w:highlight w:val="none"/>
          <w:u w:val="single"/>
        </w:rPr>
        <w:t xml:space="preserve">     </w:t>
      </w:r>
      <w:r>
        <w:rPr>
          <w:rFonts w:hint="eastAsia" w:ascii="宋体" w:hAnsi="宋体" w:cs="宋体"/>
          <w:snapToGrid w:val="0"/>
          <w:color w:val="auto"/>
          <w:spacing w:val="-18"/>
          <w:kern w:val="0"/>
          <w:szCs w:val="21"/>
          <w:highlight w:val="none"/>
          <w:u w:val="single"/>
        </w:rPr>
        <w:t xml:space="preserve"> </w:t>
      </w:r>
      <w:r>
        <w:rPr>
          <w:rFonts w:ascii="宋体" w:hAnsi="宋体" w:cs="宋体"/>
          <w:snapToGrid w:val="0"/>
          <w:color w:val="auto"/>
          <w:kern w:val="0"/>
          <w:szCs w:val="21"/>
          <w:highlight w:val="none"/>
          <w:u w:val="single"/>
        </w:rPr>
        <w:t xml:space="preserve">      </w:t>
      </w:r>
      <w:r>
        <w:rPr>
          <w:rFonts w:ascii="宋体" w:hAnsi="宋体" w:cs="宋体"/>
          <w:snapToGrid w:val="0"/>
          <w:color w:val="auto"/>
          <w:spacing w:val="-2"/>
          <w:kern w:val="0"/>
          <w:szCs w:val="21"/>
          <w:highlight w:val="none"/>
        </w:rPr>
        <w:t>（盖单位公章）</w:t>
      </w:r>
    </w:p>
    <w:p w14:paraId="5737C971">
      <w:pPr>
        <w:spacing w:line="480" w:lineRule="auto"/>
        <w:ind w:firstLine="4095" w:firstLineChars="1950"/>
        <w:rPr>
          <w:color w:val="auto"/>
          <w:szCs w:val="21"/>
          <w:highlight w:val="none"/>
        </w:rPr>
      </w:pPr>
      <w:r>
        <w:rPr>
          <w:rFonts w:hint="eastAsia"/>
          <w:color w:val="auto"/>
          <w:szCs w:val="21"/>
          <w:highlight w:val="none"/>
        </w:rPr>
        <w:t>法定代表人或授权委托</w:t>
      </w:r>
      <w:r>
        <w:rPr>
          <w:rFonts w:hint="eastAsia"/>
          <w:color w:val="auto"/>
          <w:spacing w:val="20"/>
          <w:sz w:val="21"/>
          <w:szCs w:val="21"/>
          <w:highlight w:val="none"/>
        </w:rPr>
        <w:t>人</w:t>
      </w:r>
      <w:r>
        <w:rPr>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r>
        <w:rPr>
          <w:rFonts w:hint="eastAsia"/>
          <w:color w:val="auto"/>
          <w:szCs w:val="21"/>
          <w:highlight w:val="none"/>
        </w:rPr>
        <w:t>签章</w:t>
      </w:r>
      <w:r>
        <w:rPr>
          <w:color w:val="auto"/>
          <w:szCs w:val="21"/>
          <w:highlight w:val="none"/>
        </w:rPr>
        <w:t>）</w:t>
      </w:r>
    </w:p>
    <w:p w14:paraId="15289621">
      <w:pPr>
        <w:spacing w:line="480" w:lineRule="auto"/>
        <w:ind w:right="840"/>
        <w:jc w:val="right"/>
        <w:rPr>
          <w:snapToGrid w:val="0"/>
          <w:color w:val="auto"/>
          <w:spacing w:val="-17"/>
          <w:highlight w:val="none"/>
        </w:rPr>
      </w:pPr>
      <w:r>
        <w:rPr>
          <w:snapToGrid w:val="0"/>
          <w:color w:val="auto"/>
          <w:highlight w:val="none"/>
          <w:u w:val="single"/>
        </w:rPr>
        <w:t xml:space="preserve">      </w:t>
      </w:r>
      <w:r>
        <w:rPr>
          <w:snapToGrid w:val="0"/>
          <w:color w:val="auto"/>
          <w:spacing w:val="-125"/>
          <w:highlight w:val="none"/>
          <w:u w:val="single"/>
        </w:rPr>
        <w:t xml:space="preserve"> </w:t>
      </w:r>
      <w:r>
        <w:rPr>
          <w:snapToGrid w:val="0"/>
          <w:color w:val="auto"/>
          <w:spacing w:val="-17"/>
          <w:highlight w:val="none"/>
        </w:rPr>
        <w:t>年</w:t>
      </w:r>
      <w:r>
        <w:rPr>
          <w:snapToGrid w:val="0"/>
          <w:color w:val="auto"/>
          <w:spacing w:val="46"/>
          <w:highlight w:val="none"/>
          <w:u w:val="single"/>
        </w:rPr>
        <w:t xml:space="preserve">   </w:t>
      </w:r>
      <w:r>
        <w:rPr>
          <w:snapToGrid w:val="0"/>
          <w:color w:val="auto"/>
          <w:spacing w:val="-122"/>
          <w:highlight w:val="none"/>
        </w:rPr>
        <w:t xml:space="preserve"> </w:t>
      </w:r>
      <w:r>
        <w:rPr>
          <w:snapToGrid w:val="0"/>
          <w:color w:val="auto"/>
          <w:spacing w:val="-17"/>
          <w:highlight w:val="none"/>
        </w:rPr>
        <w:t>月</w:t>
      </w:r>
      <w:r>
        <w:rPr>
          <w:snapToGrid w:val="0"/>
          <w:color w:val="auto"/>
          <w:spacing w:val="46"/>
          <w:highlight w:val="none"/>
          <w:u w:val="single"/>
        </w:rPr>
        <w:t xml:space="preserve">   </w:t>
      </w:r>
      <w:r>
        <w:rPr>
          <w:snapToGrid w:val="0"/>
          <w:color w:val="auto"/>
          <w:spacing w:val="-79"/>
          <w:highlight w:val="none"/>
        </w:rPr>
        <w:t xml:space="preserve"> </w:t>
      </w:r>
      <w:r>
        <w:rPr>
          <w:snapToGrid w:val="0"/>
          <w:color w:val="auto"/>
          <w:spacing w:val="-17"/>
          <w:highlight w:val="none"/>
        </w:rPr>
        <w:t>日</w:t>
      </w:r>
    </w:p>
    <w:p w14:paraId="3A195170">
      <w:pPr>
        <w:kinsoku/>
        <w:autoSpaceDE/>
        <w:autoSpaceDN/>
        <w:adjustRightInd/>
        <w:snapToGrid/>
        <w:spacing w:line="240" w:lineRule="auto"/>
        <w:jc w:val="left"/>
        <w:textAlignment w:val="auto"/>
        <w:rPr>
          <w:rFonts w:ascii="Arial" w:hAnsi="Arial" w:eastAsia="Arial" w:cs="Arial"/>
          <w:snapToGrid w:val="0"/>
          <w:color w:val="auto"/>
          <w:kern w:val="0"/>
          <w:szCs w:val="21"/>
          <w:highlight w:val="none"/>
          <w:lang w:eastAsia="en-US"/>
        </w:rPr>
      </w:pPr>
      <w:r>
        <w:rPr>
          <w:rFonts w:ascii="Arial" w:hAnsi="Arial" w:eastAsia="Arial" w:cs="Arial"/>
          <w:snapToGrid w:val="0"/>
          <w:color w:val="auto"/>
          <w:kern w:val="0"/>
          <w:szCs w:val="21"/>
          <w:highlight w:val="none"/>
          <w:lang w:eastAsia="en-US"/>
        </w:rPr>
        <w:br w:type="page"/>
      </w:r>
    </w:p>
    <w:p w14:paraId="7A34A24A">
      <w:pPr>
        <w:kinsoku w:val="0"/>
        <w:autoSpaceDE w:val="0"/>
        <w:autoSpaceDN w:val="0"/>
        <w:adjustRightInd w:val="0"/>
        <w:snapToGrid w:val="0"/>
        <w:spacing w:line="244" w:lineRule="auto"/>
        <w:jc w:val="left"/>
        <w:textAlignment w:val="baseline"/>
        <w:rPr>
          <w:rFonts w:ascii="Arial" w:hAnsi="Arial" w:eastAsia="Arial" w:cs="Arial"/>
          <w:snapToGrid w:val="0"/>
          <w:color w:val="auto"/>
          <w:kern w:val="0"/>
          <w:szCs w:val="21"/>
          <w:highlight w:val="none"/>
          <w:lang w:eastAsia="en-US"/>
        </w:rPr>
      </w:pPr>
    </w:p>
    <w:p w14:paraId="3077EB25">
      <w:pPr>
        <w:pStyle w:val="3"/>
        <w:keepNext/>
        <w:keepLines/>
        <w:pageBreakBefore w:val="0"/>
        <w:widowControl w:val="0"/>
        <w:kinsoku/>
        <w:wordWrap/>
        <w:overflowPunct/>
        <w:topLinePunct w:val="0"/>
        <w:autoSpaceDE/>
        <w:autoSpaceDN/>
        <w:bidi w:val="0"/>
        <w:adjustRightInd/>
        <w:snapToGrid/>
        <w:spacing w:before="312" w:beforeLines="100" w:after="312" w:afterLines="100" w:line="240" w:lineRule="auto"/>
        <w:jc w:val="center"/>
        <w:textAlignment w:val="auto"/>
        <w:rPr>
          <w:rFonts w:hint="eastAsia"/>
          <w:b w:val="0"/>
          <w:bCs w:val="0"/>
          <w:color w:val="auto"/>
          <w:sz w:val="28"/>
          <w:szCs w:val="28"/>
          <w:highlight w:val="none"/>
        </w:rPr>
      </w:pPr>
      <w:bookmarkStart w:id="2308" w:name="_Toc31684"/>
      <w:bookmarkStart w:id="2309" w:name="_Toc14663"/>
      <w:bookmarkStart w:id="2310" w:name="_Toc256000213"/>
      <w:bookmarkStart w:id="2311" w:name="_Toc148860889"/>
      <w:r>
        <w:rPr>
          <w:rFonts w:hint="default"/>
          <w:b w:val="0"/>
          <w:bCs w:val="0"/>
          <w:color w:val="auto"/>
          <w:sz w:val="28"/>
          <w:szCs w:val="28"/>
          <w:highlight w:val="none"/>
        </w:rPr>
        <w:t>六</w:t>
      </w:r>
      <w:r>
        <w:rPr>
          <w:rFonts w:hint="eastAsia" w:ascii="Arial" w:hAnsi="Arial"/>
          <w:b w:val="0"/>
          <w:bCs w:val="0"/>
          <w:color w:val="auto"/>
          <w:sz w:val="28"/>
          <w:szCs w:val="28"/>
          <w:highlight w:val="none"/>
        </w:rPr>
        <w:t>、承包人建议书</w:t>
      </w:r>
      <w:bookmarkEnd w:id="2308"/>
      <w:bookmarkEnd w:id="2309"/>
      <w:bookmarkEnd w:id="2310"/>
      <w:bookmarkEnd w:id="2311"/>
    </w:p>
    <w:p w14:paraId="5ECD8DA7">
      <w:pPr>
        <w:autoSpaceDE w:val="0"/>
        <w:autoSpaceDN w:val="0"/>
        <w:adjustRightInd w:val="0"/>
        <w:jc w:val="left"/>
        <w:rPr>
          <w:rFonts w:ascii="宋体" w:cs="宋体"/>
          <w:color w:val="auto"/>
          <w:kern w:val="0"/>
          <w:szCs w:val="21"/>
          <w:highlight w:val="none"/>
        </w:rPr>
      </w:pPr>
      <w:r>
        <w:rPr>
          <w:rFonts w:hint="eastAsia" w:ascii="宋体" w:cs="宋体"/>
          <w:color w:val="auto"/>
          <w:kern w:val="0"/>
          <w:szCs w:val="21"/>
          <w:highlight w:val="none"/>
        </w:rPr>
        <w:t>以下提纲内容仅供参考，招标人可根据建设项目实际情况及招标内容自行编制承包人建议书。</w:t>
      </w:r>
    </w:p>
    <w:p w14:paraId="31EFFFFD">
      <w:pPr>
        <w:autoSpaceDE w:val="0"/>
        <w:autoSpaceDN w:val="0"/>
        <w:adjustRightInd w:val="0"/>
        <w:jc w:val="left"/>
        <w:rPr>
          <w:rFonts w:ascii="宋体" w:cs="宋体"/>
          <w:color w:val="auto"/>
          <w:kern w:val="0"/>
          <w:szCs w:val="21"/>
          <w:highlight w:val="none"/>
        </w:rPr>
      </w:pPr>
    </w:p>
    <w:p w14:paraId="3F946DA9">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（一）概述</w:t>
      </w:r>
    </w:p>
    <w:p w14:paraId="2DAED0AD">
      <w:pPr>
        <w:autoSpaceDE w:val="0"/>
        <w:autoSpaceDN w:val="0"/>
        <w:adjustRightInd w:val="0"/>
        <w:spacing w:line="360" w:lineRule="auto"/>
        <w:jc w:val="left"/>
        <w:rPr>
          <w:rFonts w:ascii="宋体" w:cs="宋体"/>
          <w:color w:val="auto"/>
          <w:kern w:val="0"/>
          <w:szCs w:val="21"/>
          <w:highlight w:val="none"/>
        </w:rPr>
      </w:pPr>
      <w:r>
        <w:rPr>
          <w:rFonts w:ascii="宋体" w:cs="宋体"/>
          <w:color w:val="auto"/>
          <w:kern w:val="0"/>
          <w:szCs w:val="21"/>
          <w:highlight w:val="none"/>
        </w:rPr>
        <w:t>1.</w:t>
      </w:r>
      <w:r>
        <w:rPr>
          <w:rFonts w:hint="eastAsia" w:ascii="宋体" w:cs="宋体"/>
          <w:color w:val="auto"/>
          <w:kern w:val="0"/>
          <w:szCs w:val="21"/>
          <w:highlight w:val="none"/>
        </w:rPr>
        <w:t>项目简要介绍。</w:t>
      </w:r>
    </w:p>
    <w:p w14:paraId="3A9644C9">
      <w:pPr>
        <w:autoSpaceDE w:val="0"/>
        <w:autoSpaceDN w:val="0"/>
        <w:adjustRightInd w:val="0"/>
        <w:spacing w:line="360" w:lineRule="auto"/>
        <w:jc w:val="left"/>
        <w:rPr>
          <w:rFonts w:ascii="宋体" w:cs="宋体"/>
          <w:color w:val="auto"/>
          <w:kern w:val="0"/>
          <w:szCs w:val="21"/>
          <w:highlight w:val="none"/>
        </w:rPr>
      </w:pPr>
      <w:r>
        <w:rPr>
          <w:rFonts w:ascii="宋体" w:cs="宋体"/>
          <w:color w:val="auto"/>
          <w:kern w:val="0"/>
          <w:szCs w:val="21"/>
          <w:highlight w:val="none"/>
        </w:rPr>
        <w:t>2.</w:t>
      </w:r>
      <w:r>
        <w:rPr>
          <w:rFonts w:hint="eastAsia" w:ascii="宋体" w:cs="宋体"/>
          <w:color w:val="auto"/>
          <w:kern w:val="0"/>
          <w:szCs w:val="21"/>
          <w:highlight w:val="none"/>
        </w:rPr>
        <w:t>项目特点。</w:t>
      </w:r>
    </w:p>
    <w:p w14:paraId="5959BFFF">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（二）工程详细说明</w:t>
      </w:r>
    </w:p>
    <w:p w14:paraId="3544C7C3">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对本工程的全面认识、理解。</w:t>
      </w:r>
    </w:p>
    <w:p w14:paraId="066BE306">
      <w:pPr>
        <w:autoSpaceDE w:val="0"/>
        <w:autoSpaceDN w:val="0"/>
        <w:adjustRightInd w:val="0"/>
        <w:spacing w:line="360" w:lineRule="auto"/>
        <w:jc w:val="left"/>
        <w:rPr>
          <w:rFonts w:hint="eastAsia" w:ascii="宋体" w:eastAsia="宋体" w:cs="宋体"/>
          <w:color w:val="auto"/>
          <w:kern w:val="0"/>
          <w:szCs w:val="21"/>
          <w:highlight w:val="none"/>
          <w:lang w:val="en-US" w:eastAsia="zh-CN"/>
        </w:rPr>
      </w:pPr>
      <w:r>
        <w:rPr>
          <w:rFonts w:hint="eastAsia" w:ascii="宋体" w:cs="宋体"/>
          <w:color w:val="auto"/>
          <w:kern w:val="0"/>
          <w:szCs w:val="21"/>
          <w:highlight w:val="none"/>
          <w:lang w:val="en-US" w:eastAsia="zh-CN"/>
        </w:rPr>
        <w:t>（三）</w:t>
      </w:r>
      <w:r>
        <w:rPr>
          <w:rFonts w:hint="eastAsia" w:ascii="宋体" w:hAnsi="宋体" w:eastAsia="宋体" w:cs="宋体"/>
          <w:b w:val="0"/>
          <w:i w:val="0"/>
          <w:color w:val="auto"/>
          <w:highlight w:val="none"/>
          <w:u w:val="none" w:color="auto"/>
        </w:rPr>
        <w:t>总体概述-</w:t>
      </w:r>
      <w:r>
        <w:rPr>
          <w:rFonts w:hint="eastAsia" w:ascii="宋体" w:cs="宋体"/>
          <w:color w:val="auto"/>
          <w:kern w:val="0"/>
          <w:szCs w:val="21"/>
          <w:highlight w:val="none"/>
          <w:lang w:val="en-US" w:eastAsia="zh-CN"/>
        </w:rPr>
        <w:t>总平面设计</w:t>
      </w:r>
    </w:p>
    <w:p w14:paraId="3B622B9F">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w:t>
      </w:r>
      <w:r>
        <w:rPr>
          <w:rFonts w:hint="eastAsia" w:ascii="宋体" w:cs="宋体"/>
          <w:color w:val="auto"/>
          <w:kern w:val="0"/>
          <w:szCs w:val="21"/>
          <w:highlight w:val="none"/>
          <w:lang w:val="en-US" w:eastAsia="zh-CN"/>
        </w:rPr>
        <w:t>四</w:t>
      </w:r>
      <w:r>
        <w:rPr>
          <w:rFonts w:hint="eastAsia" w:ascii="宋体" w:cs="宋体"/>
          <w:color w:val="auto"/>
          <w:kern w:val="0"/>
          <w:szCs w:val="21"/>
          <w:highlight w:val="none"/>
        </w:rPr>
        <w:t>）</w:t>
      </w:r>
      <w:r>
        <w:rPr>
          <w:rFonts w:hint="eastAsia" w:ascii="宋体" w:hAnsi="宋体" w:eastAsia="宋体" w:cs="宋体"/>
          <w:b w:val="0"/>
          <w:i w:val="0"/>
          <w:color w:val="auto"/>
          <w:highlight w:val="none"/>
          <w:u w:val="none" w:color="auto"/>
        </w:rPr>
        <w:t>设计重难点分析</w:t>
      </w:r>
      <w:r>
        <w:rPr>
          <w:rFonts w:hint="eastAsia" w:ascii="宋体" w:hAnsi="宋体" w:cs="宋体"/>
          <w:b w:val="0"/>
          <w:i w:val="0"/>
          <w:color w:val="auto"/>
          <w:highlight w:val="none"/>
          <w:u w:val="none" w:color="auto"/>
          <w:lang w:val="en-US" w:eastAsia="zh-CN"/>
        </w:rPr>
        <w:t>及深化设计</w:t>
      </w:r>
    </w:p>
    <w:p w14:paraId="6D8FC830">
      <w:pPr>
        <w:spacing w:line="360" w:lineRule="auto"/>
        <w:rPr>
          <w:rFonts w:ascii="宋体" w:cs="宋体"/>
          <w:color w:val="auto"/>
          <w:kern w:val="0"/>
          <w:szCs w:val="21"/>
          <w:highlight w:val="none"/>
        </w:rPr>
      </w:pPr>
      <w:r>
        <w:rPr>
          <w:rFonts w:hint="eastAsia" w:ascii="宋体" w:hAnsi="宋体" w:eastAsia="宋体" w:cs="宋体"/>
          <w:b w:val="0"/>
          <w:i w:val="0"/>
          <w:color w:val="auto"/>
          <w:highlight w:val="none"/>
          <w:u w:val="none" w:color="auto"/>
          <w:lang w:eastAsia="zh-CN"/>
        </w:rPr>
        <w:t>（</w:t>
      </w:r>
      <w:r>
        <w:rPr>
          <w:rFonts w:hint="eastAsia" w:ascii="宋体" w:hAnsi="宋体" w:eastAsia="宋体" w:cs="宋体"/>
          <w:b w:val="0"/>
          <w:i w:val="0"/>
          <w:color w:val="auto"/>
          <w:highlight w:val="none"/>
          <w:u w:val="none" w:color="auto"/>
          <w:lang w:val="en-US" w:eastAsia="zh-CN"/>
        </w:rPr>
        <w:t>五</w:t>
      </w:r>
      <w:r>
        <w:rPr>
          <w:rFonts w:hint="eastAsia" w:ascii="宋体" w:hAnsi="宋体" w:eastAsia="宋体" w:cs="宋体"/>
          <w:b w:val="0"/>
          <w:i w:val="0"/>
          <w:color w:val="auto"/>
          <w:highlight w:val="none"/>
          <w:u w:val="none" w:color="auto"/>
          <w:lang w:eastAsia="zh-CN"/>
        </w:rPr>
        <w:t>）</w:t>
      </w:r>
      <w:r>
        <w:rPr>
          <w:rFonts w:hint="eastAsia" w:ascii="宋体" w:hAnsi="宋体" w:eastAsia="宋体" w:cs="宋体"/>
          <w:b w:val="0"/>
          <w:i w:val="0"/>
          <w:color w:val="auto"/>
          <w:highlight w:val="none"/>
          <w:u w:val="none" w:color="auto"/>
        </w:rPr>
        <w:t>设计方案</w:t>
      </w:r>
      <w:r>
        <w:rPr>
          <w:rFonts w:hint="eastAsia" w:ascii="宋体" w:hAnsi="宋体" w:cs="宋体"/>
          <w:b w:val="0"/>
          <w:i w:val="0"/>
          <w:color w:val="auto"/>
          <w:highlight w:val="none"/>
          <w:u w:val="none" w:color="auto"/>
          <w:lang w:eastAsia="zh-CN"/>
        </w:rPr>
        <w:t>、</w:t>
      </w:r>
      <w:r>
        <w:rPr>
          <w:rFonts w:hint="eastAsia" w:ascii="宋体" w:hAnsi="宋体" w:eastAsia="宋体" w:cs="宋体"/>
          <w:b w:val="0"/>
          <w:i w:val="0"/>
          <w:color w:val="auto"/>
          <w:highlight w:val="none"/>
          <w:u w:val="none" w:color="auto"/>
        </w:rPr>
        <w:t>专项设计方案</w:t>
      </w:r>
      <w:r>
        <w:rPr>
          <w:rFonts w:hint="eastAsia" w:ascii="宋体" w:hAnsi="宋体" w:cs="宋体"/>
          <w:b w:val="0"/>
          <w:i w:val="0"/>
          <w:color w:val="auto"/>
          <w:highlight w:val="none"/>
          <w:u w:val="none" w:color="auto"/>
          <w:lang w:val="en-US" w:eastAsia="zh-CN"/>
        </w:rPr>
        <w:t>及</w:t>
      </w:r>
      <w:r>
        <w:rPr>
          <w:rFonts w:hint="eastAsia" w:ascii="宋体" w:hAnsi="宋体" w:eastAsia="宋体" w:cs="宋体"/>
          <w:b w:val="0"/>
          <w:i w:val="0"/>
          <w:color w:val="auto"/>
          <w:highlight w:val="none"/>
          <w:u w:val="none" w:color="auto"/>
        </w:rPr>
        <w:t>设计服务大纲</w:t>
      </w:r>
      <w:r>
        <w:rPr>
          <w:rFonts w:hint="eastAsia" w:ascii="宋体" w:cs="宋体"/>
          <w:color w:val="auto"/>
          <w:kern w:val="0"/>
          <w:szCs w:val="21"/>
          <w:highlight w:val="none"/>
        </w:rPr>
        <w:t>…………</w:t>
      </w:r>
    </w:p>
    <w:p w14:paraId="2547C804">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w:t>
      </w:r>
      <w:r>
        <w:rPr>
          <w:rFonts w:hint="eastAsia" w:ascii="宋体" w:cs="宋体"/>
          <w:color w:val="auto"/>
          <w:kern w:val="0"/>
          <w:szCs w:val="21"/>
          <w:highlight w:val="none"/>
          <w:lang w:val="en-US" w:eastAsia="zh-CN"/>
        </w:rPr>
        <w:t>六</w:t>
      </w:r>
      <w:r>
        <w:rPr>
          <w:rFonts w:hint="eastAsia" w:ascii="宋体" w:cs="宋体"/>
          <w:color w:val="auto"/>
          <w:kern w:val="0"/>
          <w:szCs w:val="21"/>
          <w:highlight w:val="none"/>
        </w:rPr>
        <w:t>）图纸</w:t>
      </w:r>
    </w:p>
    <w:p w14:paraId="1E0120E5">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图纸严格按照标准规范制图。</w:t>
      </w:r>
    </w:p>
    <w:p w14:paraId="560762E7">
      <w:pPr>
        <w:rPr>
          <w:rFonts w:hint="eastAsia" w:ascii="宋体" w:cs="宋体"/>
          <w:color w:val="auto"/>
          <w:kern w:val="0"/>
          <w:szCs w:val="21"/>
          <w:highlight w:val="none"/>
        </w:rPr>
      </w:pPr>
      <w:r>
        <w:rPr>
          <w:rFonts w:hint="eastAsia" w:ascii="宋体" w:cs="宋体"/>
          <w:color w:val="auto"/>
          <w:kern w:val="0"/>
          <w:szCs w:val="21"/>
          <w:highlight w:val="none"/>
        </w:rPr>
        <w:t>承包人提供的投标图纸设计深度不低于招标图纸。</w:t>
      </w:r>
    </w:p>
    <w:p w14:paraId="32DA2D42">
      <w:pPr>
        <w:rPr>
          <w:rFonts w:hint="eastAsia" w:ascii="宋体" w:eastAsia="宋体" w:cs="宋体"/>
          <w:color w:val="auto"/>
          <w:kern w:val="0"/>
          <w:szCs w:val="21"/>
          <w:highlight w:val="none"/>
          <w:lang w:eastAsia="zh-CN"/>
        </w:rPr>
      </w:pPr>
      <w:r>
        <w:rPr>
          <w:rFonts w:hint="eastAsia" w:ascii="宋体" w:cs="宋体"/>
          <w:color w:val="auto"/>
          <w:kern w:val="0"/>
          <w:szCs w:val="21"/>
          <w:highlight w:val="none"/>
          <w:lang w:eastAsia="zh-CN"/>
        </w:rPr>
        <w:t>（</w:t>
      </w:r>
      <w:r>
        <w:rPr>
          <w:rFonts w:hint="eastAsia" w:ascii="宋体" w:cs="宋体"/>
          <w:color w:val="auto"/>
          <w:kern w:val="0"/>
          <w:szCs w:val="21"/>
          <w:highlight w:val="none"/>
          <w:lang w:val="en-US" w:eastAsia="zh-CN"/>
        </w:rPr>
        <w:t>七</w:t>
      </w:r>
      <w:r>
        <w:rPr>
          <w:rFonts w:hint="eastAsia" w:ascii="宋体" w:cs="宋体"/>
          <w:color w:val="auto"/>
          <w:kern w:val="0"/>
          <w:szCs w:val="21"/>
          <w:highlight w:val="none"/>
          <w:lang w:eastAsia="zh-CN"/>
        </w:rPr>
        <w:t>）</w:t>
      </w:r>
      <w:r>
        <w:rPr>
          <w:rFonts w:hint="eastAsia" w:ascii="宋体" w:hAnsi="宋体" w:eastAsia="宋体" w:cs="宋体"/>
          <w:b w:val="0"/>
          <w:i w:val="0"/>
          <w:color w:val="auto"/>
          <w:highlight w:val="none"/>
          <w:u w:val="none" w:color="auto"/>
        </w:rPr>
        <w:t>对本工程</w:t>
      </w:r>
      <w:r>
        <w:rPr>
          <w:rFonts w:hint="eastAsia" w:ascii="宋体" w:hAnsi="宋体" w:cs="宋体"/>
          <w:b w:val="0"/>
          <w:i w:val="0"/>
          <w:color w:val="auto"/>
          <w:highlight w:val="none"/>
          <w:u w:val="none" w:color="auto"/>
          <w:lang w:val="en-US" w:eastAsia="zh-CN"/>
        </w:rPr>
        <w:t>设计的</w:t>
      </w:r>
      <w:r>
        <w:rPr>
          <w:rFonts w:hint="eastAsia" w:ascii="宋体" w:hAnsi="宋体" w:eastAsia="宋体" w:cs="宋体"/>
          <w:b w:val="0"/>
          <w:i w:val="0"/>
          <w:color w:val="auto"/>
          <w:highlight w:val="none"/>
          <w:u w:val="none" w:color="auto"/>
        </w:rPr>
        <w:t>建议</w:t>
      </w:r>
    </w:p>
    <w:p w14:paraId="6F00953C">
      <w:pPr>
        <w:rPr>
          <w:rFonts w:hint="default" w:ascii="宋体" w:eastAsia="宋体" w:cs="宋体"/>
          <w:color w:val="auto"/>
          <w:kern w:val="0"/>
          <w:szCs w:val="21"/>
          <w:highlight w:val="none"/>
          <w:lang w:val="en-US" w:eastAsia="zh-CN"/>
        </w:rPr>
        <w:sectPr>
          <w:footerReference r:id="rId6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cs="宋体"/>
          <w:color w:val="auto"/>
          <w:kern w:val="0"/>
          <w:szCs w:val="21"/>
          <w:highlight w:val="none"/>
          <w:lang w:eastAsia="zh-CN"/>
        </w:rPr>
        <w:t>（</w:t>
      </w:r>
      <w:r>
        <w:rPr>
          <w:rFonts w:hint="eastAsia" w:ascii="宋体" w:cs="宋体"/>
          <w:color w:val="auto"/>
          <w:kern w:val="0"/>
          <w:szCs w:val="21"/>
          <w:highlight w:val="none"/>
          <w:lang w:val="en-US" w:eastAsia="zh-CN"/>
        </w:rPr>
        <w:t>八</w:t>
      </w:r>
      <w:r>
        <w:rPr>
          <w:rFonts w:hint="eastAsia" w:ascii="宋体" w:cs="宋体"/>
          <w:color w:val="auto"/>
          <w:kern w:val="0"/>
          <w:szCs w:val="21"/>
          <w:highlight w:val="none"/>
          <w:lang w:eastAsia="zh-CN"/>
        </w:rPr>
        <w:t>）</w:t>
      </w:r>
      <w:r>
        <w:rPr>
          <w:rFonts w:hint="eastAsia" w:ascii="宋体" w:cs="宋体"/>
          <w:color w:val="auto"/>
          <w:kern w:val="0"/>
          <w:szCs w:val="21"/>
          <w:highlight w:val="none"/>
          <w:lang w:val="en-US" w:eastAsia="zh-CN"/>
        </w:rPr>
        <w:t>其他</w:t>
      </w:r>
    </w:p>
    <w:p w14:paraId="649387DE">
      <w:pPr>
        <w:pStyle w:val="3"/>
        <w:keepNext/>
        <w:keepLines/>
        <w:pageBreakBefore w:val="0"/>
        <w:widowControl w:val="0"/>
        <w:kinsoku/>
        <w:wordWrap/>
        <w:overflowPunct/>
        <w:topLinePunct w:val="0"/>
        <w:autoSpaceDE/>
        <w:autoSpaceDN/>
        <w:bidi w:val="0"/>
        <w:adjustRightInd/>
        <w:snapToGrid/>
        <w:spacing w:before="312" w:beforeLines="100" w:after="312" w:afterLines="100" w:line="240" w:lineRule="auto"/>
        <w:jc w:val="center"/>
        <w:textAlignment w:val="auto"/>
        <w:rPr>
          <w:rFonts w:hint="eastAsia"/>
          <w:b w:val="0"/>
          <w:bCs w:val="0"/>
          <w:color w:val="auto"/>
          <w:sz w:val="28"/>
          <w:szCs w:val="28"/>
          <w:highlight w:val="none"/>
        </w:rPr>
      </w:pPr>
      <w:bookmarkStart w:id="2312" w:name="_Toc17800"/>
      <w:bookmarkStart w:id="2313" w:name="_Toc256000214"/>
      <w:bookmarkStart w:id="2314" w:name="_Toc148860890"/>
      <w:bookmarkStart w:id="2315" w:name="_Toc7120_0"/>
      <w:r>
        <w:rPr>
          <w:rFonts w:hint="default"/>
          <w:b w:val="0"/>
          <w:bCs w:val="0"/>
          <w:color w:val="auto"/>
          <w:sz w:val="28"/>
          <w:szCs w:val="28"/>
          <w:highlight w:val="none"/>
        </w:rPr>
        <w:t>七</w:t>
      </w:r>
      <w:r>
        <w:rPr>
          <w:rFonts w:hint="eastAsia" w:ascii="Arial" w:hAnsi="Arial"/>
          <w:b w:val="0"/>
          <w:bCs w:val="0"/>
          <w:color w:val="auto"/>
          <w:sz w:val="28"/>
          <w:szCs w:val="28"/>
          <w:highlight w:val="none"/>
        </w:rPr>
        <w:t>、承包人实施方案</w:t>
      </w:r>
      <w:bookmarkEnd w:id="2312"/>
      <w:bookmarkEnd w:id="2313"/>
      <w:bookmarkEnd w:id="2314"/>
      <w:bookmarkEnd w:id="2315"/>
    </w:p>
    <w:p w14:paraId="35997AAF">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以下提纲内容仅供参考，招标人可根据建设项目实际情况及招标内容自行编制承包人实施方案要求纲要。</w:t>
      </w:r>
    </w:p>
    <w:p w14:paraId="3DA3BC1F">
      <w:pPr>
        <w:autoSpaceDE w:val="0"/>
        <w:autoSpaceDN w:val="0"/>
        <w:adjustRightInd w:val="0"/>
        <w:jc w:val="left"/>
        <w:rPr>
          <w:rFonts w:hint="eastAsia" w:ascii="宋体" w:hAnsi="宋体" w:cs="宋体"/>
          <w:color w:val="auto"/>
          <w:kern w:val="0"/>
          <w:szCs w:val="21"/>
          <w:highlight w:val="none"/>
        </w:rPr>
      </w:pPr>
    </w:p>
    <w:p w14:paraId="33E9D279">
      <w:pPr>
        <w:autoSpaceDE w:val="0"/>
        <w:autoSpaceDN w:val="0"/>
        <w:adjustRightInd w:val="0"/>
        <w:jc w:val="left"/>
        <w:rPr>
          <w:rFonts w:hint="eastAsia" w:ascii="宋体" w:hAnsi="宋体" w:cs="宋体"/>
          <w:color w:val="auto"/>
          <w:kern w:val="0"/>
          <w:szCs w:val="21"/>
          <w:highlight w:val="none"/>
        </w:rPr>
      </w:pPr>
    </w:p>
    <w:p w14:paraId="742D690B">
      <w:pPr>
        <w:autoSpaceDE w:val="0"/>
        <w:autoSpaceDN w:val="0"/>
        <w:adjustRightInd w:val="0"/>
        <w:jc w:val="left"/>
        <w:rPr>
          <w:rFonts w:hint="eastAsia" w:ascii="宋体" w:hAnsi="宋体" w:cs="宋体"/>
          <w:color w:val="auto"/>
          <w:kern w:val="0"/>
          <w:szCs w:val="21"/>
          <w:highlight w:val="none"/>
        </w:rPr>
      </w:pPr>
    </w:p>
    <w:p w14:paraId="3EC963EC">
      <w:pPr>
        <w:keepNext w:val="0"/>
        <w:keepLines w:val="0"/>
        <w:pageBreakBefore w:val="0"/>
        <w:widowControl w:val="0"/>
        <w:numPr>
          <w:ilvl w:val="0"/>
          <w:numId w:val="5"/>
        </w:numPr>
        <w:kinsoku/>
        <w:wordWrap/>
        <w:overflowPunct/>
        <w:topLinePunct w:val="0"/>
        <w:autoSpaceDE w:val="0"/>
        <w:autoSpaceDN w:val="0"/>
        <w:bidi w:val="0"/>
        <w:adjustRightInd w:val="0"/>
        <w:snapToGrid/>
        <w:spacing w:line="360" w:lineRule="auto"/>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关键施工技术、工艺及施工重点、难点分析及解决方案</w:t>
      </w:r>
    </w:p>
    <w:p w14:paraId="3C4E5C0E">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施工进度计划和各阶段进度保证措施、工程质量保证措施及安全文明施工保证措施</w:t>
      </w:r>
    </w:p>
    <w:p w14:paraId="756FA3A2">
      <w:pPr>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劳动力投入计划、机械、办公、检测设备投入及保证措施、技术创新、绿色节能</w:t>
      </w:r>
    </w:p>
    <w:p w14:paraId="28A68013">
      <w:pPr>
        <w:bidi w:val="0"/>
        <w:rPr>
          <w:rFonts w:hint="eastAsia"/>
          <w:color w:val="auto"/>
          <w:highlight w:val="none"/>
        </w:rPr>
      </w:pPr>
      <w:bookmarkStart w:id="2316" w:name="_Toc122603084"/>
    </w:p>
    <w:p w14:paraId="319CA07A">
      <w:pPr>
        <w:bidi w:val="0"/>
        <w:rPr>
          <w:rFonts w:hint="eastAsia"/>
          <w:color w:val="auto"/>
          <w:highlight w:val="none"/>
        </w:rPr>
      </w:pPr>
    </w:p>
    <w:p w14:paraId="1F5BF2C2">
      <w:pPr>
        <w:bidi w:val="0"/>
        <w:rPr>
          <w:rFonts w:hint="eastAsia"/>
          <w:color w:val="auto"/>
          <w:highlight w:val="none"/>
        </w:rPr>
      </w:pPr>
      <w:r>
        <w:rPr>
          <w:rFonts w:hint="eastAsia"/>
          <w:color w:val="auto"/>
          <w:highlight w:val="none"/>
        </w:rPr>
        <w:br w:type="page"/>
      </w:r>
    </w:p>
    <w:p w14:paraId="7F05DF35">
      <w:pPr>
        <w:bidi w:val="0"/>
        <w:rPr>
          <w:rFonts w:hint="eastAsia"/>
          <w:color w:val="auto"/>
          <w:highlight w:val="none"/>
        </w:rPr>
      </w:pPr>
    </w:p>
    <w:p w14:paraId="6557445C">
      <w:pPr>
        <w:bidi w:val="0"/>
        <w:rPr>
          <w:rFonts w:hint="eastAsia"/>
          <w:color w:val="auto"/>
          <w:highlight w:val="none"/>
        </w:rPr>
      </w:pPr>
    </w:p>
    <w:p w14:paraId="42110026">
      <w:pPr>
        <w:bidi w:val="0"/>
        <w:rPr>
          <w:rFonts w:hint="eastAsia"/>
          <w:color w:val="auto"/>
          <w:highlight w:val="none"/>
        </w:rPr>
      </w:pPr>
    </w:p>
    <w:p w14:paraId="495E59DE">
      <w:pPr>
        <w:bidi w:val="0"/>
        <w:rPr>
          <w:rFonts w:hint="eastAsia"/>
          <w:color w:val="auto"/>
          <w:highlight w:val="none"/>
        </w:rPr>
      </w:pPr>
    </w:p>
    <w:p w14:paraId="4BE4D301">
      <w:pPr>
        <w:bidi w:val="0"/>
        <w:rPr>
          <w:rFonts w:hint="eastAsia"/>
          <w:color w:val="auto"/>
          <w:highlight w:val="none"/>
        </w:rPr>
      </w:pPr>
    </w:p>
    <w:p w14:paraId="6018D3B3">
      <w:pPr>
        <w:bidi w:val="0"/>
        <w:rPr>
          <w:rFonts w:hint="eastAsia"/>
          <w:color w:val="auto"/>
          <w:highlight w:val="none"/>
        </w:rPr>
      </w:pPr>
    </w:p>
    <w:p w14:paraId="76D0813F">
      <w:pPr>
        <w:bidi w:val="0"/>
        <w:rPr>
          <w:rFonts w:hint="eastAsia"/>
          <w:color w:val="auto"/>
          <w:highlight w:val="none"/>
        </w:rPr>
      </w:pPr>
    </w:p>
    <w:p w14:paraId="54B11188">
      <w:pPr>
        <w:bidi w:val="0"/>
        <w:rPr>
          <w:rFonts w:hint="eastAsia"/>
          <w:color w:val="auto"/>
          <w:highlight w:val="none"/>
        </w:rPr>
      </w:pPr>
    </w:p>
    <w:p w14:paraId="62769BF7">
      <w:pPr>
        <w:bidi w:val="0"/>
        <w:rPr>
          <w:rFonts w:hint="eastAsia"/>
          <w:color w:val="auto"/>
          <w:highlight w:val="none"/>
        </w:rPr>
      </w:pPr>
    </w:p>
    <w:p w14:paraId="2F2907AE">
      <w:pPr>
        <w:bidi w:val="0"/>
        <w:rPr>
          <w:rFonts w:hint="eastAsia"/>
          <w:color w:val="auto"/>
          <w:highlight w:val="none"/>
        </w:rPr>
      </w:pPr>
    </w:p>
    <w:p w14:paraId="06E52B9C">
      <w:pPr>
        <w:bidi w:val="0"/>
        <w:rPr>
          <w:rFonts w:hint="eastAsia"/>
          <w:color w:val="auto"/>
          <w:highlight w:val="none"/>
        </w:rPr>
      </w:pPr>
    </w:p>
    <w:p w14:paraId="4C13A77B">
      <w:pPr>
        <w:pStyle w:val="35"/>
        <w:jc w:val="center"/>
        <w:rPr>
          <w:rFonts w:ascii="黑体" w:hAnsi="宋体"/>
          <w:color w:val="auto"/>
          <w:szCs w:val="28"/>
          <w:highlight w:val="none"/>
        </w:rPr>
      </w:pPr>
      <w:bookmarkStart w:id="2317" w:name="_Toc14414"/>
      <w:bookmarkStart w:id="2318" w:name="_Toc256000215"/>
      <w:r>
        <w:rPr>
          <w:rFonts w:hint="default"/>
          <w:color w:val="auto"/>
          <w:highlight w:val="none"/>
        </w:rPr>
        <w:t>八</w:t>
      </w:r>
      <w:r>
        <w:rPr>
          <w:rFonts w:hint="eastAsia"/>
          <w:color w:val="auto"/>
          <w:highlight w:val="none"/>
        </w:rPr>
        <w:t>、资格审查资料</w:t>
      </w:r>
      <w:bookmarkEnd w:id="2316"/>
      <w:bookmarkEnd w:id="2317"/>
      <w:bookmarkEnd w:id="2318"/>
    </w:p>
    <w:p w14:paraId="7C931C7D">
      <w:pPr>
        <w:rPr>
          <w:color w:val="auto"/>
          <w:highlight w:val="none"/>
        </w:rPr>
        <w:sectPr>
          <w:footerReference r:id="rId6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3C581B7">
      <w:pPr>
        <w:bidi w:val="0"/>
        <w:rPr>
          <w:rFonts w:hint="default"/>
          <w:color w:val="auto"/>
          <w:highlight w:val="none"/>
        </w:rPr>
      </w:pPr>
      <w:bookmarkStart w:id="2319" w:name="_Toc122603085"/>
    </w:p>
    <w:p w14:paraId="5B97C72B">
      <w:pPr>
        <w:bidi w:val="0"/>
        <w:rPr>
          <w:rFonts w:hint="default"/>
          <w:color w:val="auto"/>
          <w:highlight w:val="none"/>
        </w:rPr>
      </w:pPr>
    </w:p>
    <w:p w14:paraId="15F2B58B">
      <w:pPr>
        <w:bidi w:val="0"/>
        <w:rPr>
          <w:rFonts w:hint="default"/>
          <w:color w:val="auto"/>
          <w:highlight w:val="none"/>
        </w:rPr>
      </w:pPr>
    </w:p>
    <w:p w14:paraId="110DEED3">
      <w:pPr>
        <w:bidi w:val="0"/>
        <w:rPr>
          <w:rFonts w:hint="default"/>
          <w:color w:val="auto"/>
          <w:highlight w:val="none"/>
        </w:rPr>
      </w:pPr>
    </w:p>
    <w:p w14:paraId="6BA97E05">
      <w:pPr>
        <w:bidi w:val="0"/>
        <w:rPr>
          <w:rFonts w:hint="default"/>
          <w:color w:val="auto"/>
          <w:highlight w:val="none"/>
        </w:rPr>
      </w:pPr>
    </w:p>
    <w:p w14:paraId="5B918012">
      <w:pPr>
        <w:bidi w:val="0"/>
        <w:rPr>
          <w:rFonts w:hint="default"/>
          <w:color w:val="auto"/>
          <w:highlight w:val="none"/>
        </w:rPr>
      </w:pPr>
    </w:p>
    <w:p w14:paraId="38D459F1">
      <w:pPr>
        <w:bidi w:val="0"/>
        <w:rPr>
          <w:rFonts w:hint="default"/>
          <w:color w:val="auto"/>
          <w:highlight w:val="none"/>
        </w:rPr>
      </w:pPr>
    </w:p>
    <w:p w14:paraId="71BB53CD">
      <w:pPr>
        <w:bidi w:val="0"/>
        <w:rPr>
          <w:rFonts w:hint="default"/>
          <w:color w:val="auto"/>
          <w:highlight w:val="none"/>
        </w:rPr>
      </w:pPr>
    </w:p>
    <w:p w14:paraId="28DEF0B4">
      <w:pPr>
        <w:bidi w:val="0"/>
        <w:rPr>
          <w:rFonts w:hint="default"/>
          <w:color w:val="auto"/>
          <w:highlight w:val="none"/>
        </w:rPr>
      </w:pPr>
    </w:p>
    <w:p w14:paraId="5615DDC2">
      <w:pPr>
        <w:bidi w:val="0"/>
        <w:rPr>
          <w:rFonts w:hint="default"/>
          <w:color w:val="auto"/>
          <w:highlight w:val="none"/>
        </w:rPr>
      </w:pPr>
    </w:p>
    <w:p w14:paraId="6816F60C">
      <w:pPr>
        <w:bidi w:val="0"/>
        <w:rPr>
          <w:rFonts w:hint="default"/>
          <w:color w:val="auto"/>
          <w:highlight w:val="none"/>
        </w:rPr>
      </w:pPr>
    </w:p>
    <w:p w14:paraId="75A035C7">
      <w:pPr>
        <w:bidi w:val="0"/>
        <w:rPr>
          <w:rFonts w:hint="default"/>
          <w:color w:val="auto"/>
          <w:highlight w:val="none"/>
        </w:rPr>
      </w:pPr>
    </w:p>
    <w:p w14:paraId="6187B9EF">
      <w:pPr>
        <w:bidi w:val="0"/>
        <w:rPr>
          <w:rFonts w:hint="default"/>
          <w:color w:val="auto"/>
          <w:highlight w:val="none"/>
        </w:rPr>
      </w:pPr>
    </w:p>
    <w:p w14:paraId="59594F79">
      <w:pPr>
        <w:bidi w:val="0"/>
        <w:rPr>
          <w:rFonts w:hint="default"/>
          <w:color w:val="auto"/>
          <w:highlight w:val="none"/>
        </w:rPr>
      </w:pPr>
    </w:p>
    <w:p w14:paraId="4A7B0855">
      <w:pPr>
        <w:bidi w:val="0"/>
        <w:rPr>
          <w:rFonts w:hint="default"/>
          <w:color w:val="auto"/>
          <w:highlight w:val="none"/>
        </w:rPr>
      </w:pPr>
    </w:p>
    <w:p w14:paraId="3D81C001">
      <w:pPr>
        <w:pStyle w:val="37"/>
        <w:jc w:val="center"/>
        <w:rPr>
          <w:color w:val="auto"/>
          <w:highlight w:val="none"/>
        </w:rPr>
        <w:sectPr>
          <w:footerReference r:id="rId6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320" w:name="_Toc19406"/>
      <w:bookmarkStart w:id="2321" w:name="_Toc256000216"/>
      <w:r>
        <w:rPr>
          <w:rFonts w:hint="eastAsia"/>
          <w:color w:val="auto"/>
          <w:szCs w:val="24"/>
          <w:highlight w:val="none"/>
          <w:lang w:eastAsia="zh-CN"/>
        </w:rPr>
        <w:t>（</w:t>
      </w:r>
      <w:r>
        <w:rPr>
          <w:rFonts w:hint="default"/>
          <w:color w:val="auto"/>
          <w:szCs w:val="24"/>
          <w:highlight w:val="none"/>
        </w:rPr>
        <w:t>一</w:t>
      </w:r>
      <w:r>
        <w:rPr>
          <w:rFonts w:hint="eastAsia"/>
          <w:color w:val="auto"/>
          <w:szCs w:val="24"/>
          <w:highlight w:val="none"/>
          <w:lang w:eastAsia="zh-CN"/>
        </w:rPr>
        <w:t>）</w:t>
      </w:r>
      <w:r>
        <w:rPr>
          <w:rFonts w:hint="eastAsia"/>
          <w:color w:val="auto"/>
          <w:szCs w:val="24"/>
          <w:highlight w:val="none"/>
        </w:rPr>
        <w:t>投标人基本情况</w:t>
      </w:r>
      <w:bookmarkEnd w:id="2319"/>
      <w:bookmarkEnd w:id="2320"/>
      <w:bookmarkEnd w:id="2321"/>
    </w:p>
    <w:p w14:paraId="22E64FCB">
      <w:pPr>
        <w:pStyle w:val="37"/>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color w:val="auto"/>
          <w:szCs w:val="24"/>
          <w:highlight w:val="none"/>
        </w:rPr>
      </w:pPr>
      <w:bookmarkStart w:id="2322" w:name="_Toc122603086"/>
      <w:bookmarkStart w:id="2323" w:name="_Toc256000217"/>
      <w:r>
        <w:rPr>
          <w:rFonts w:hint="default"/>
          <w:color w:val="auto"/>
          <w:szCs w:val="24"/>
          <w:highlight w:val="none"/>
        </w:rPr>
        <w:t>1-1</w:t>
      </w:r>
      <w:r>
        <w:rPr>
          <w:rFonts w:hint="eastAsia"/>
          <w:color w:val="auto"/>
          <w:szCs w:val="24"/>
          <w:highlight w:val="none"/>
          <w:lang w:val="en-US" w:eastAsia="zh-CN"/>
        </w:rPr>
        <w:t xml:space="preserve"> </w:t>
      </w:r>
      <w:r>
        <w:rPr>
          <w:rFonts w:hint="eastAsia"/>
          <w:color w:val="auto"/>
          <w:szCs w:val="24"/>
          <w:highlight w:val="none"/>
        </w:rPr>
        <w:t>投标人基本情况表</w:t>
      </w:r>
      <w:bookmarkEnd w:id="2322"/>
      <w:bookmarkEnd w:id="2323"/>
    </w:p>
    <w:tbl>
      <w:tblPr>
        <w:tblStyle w:val="25"/>
        <w:tblW w:w="85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840"/>
        <w:gridCol w:w="420"/>
        <w:gridCol w:w="311"/>
        <w:gridCol w:w="1078"/>
        <w:gridCol w:w="490"/>
        <w:gridCol w:w="860"/>
        <w:gridCol w:w="992"/>
      </w:tblGrid>
      <w:tr w14:paraId="5E5E9B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28" w:type="dxa"/>
            <w:tcBorders>
              <w:top w:val="single" w:color="auto" w:sz="4" w:space="0"/>
              <w:left w:val="single" w:color="auto" w:sz="4" w:space="0"/>
              <w:bottom w:val="single" w:color="auto" w:sz="4" w:space="0"/>
              <w:right w:val="single" w:color="auto" w:sz="4" w:space="0"/>
            </w:tcBorders>
            <w:vAlign w:val="center"/>
          </w:tcPr>
          <w:p w14:paraId="7F8DA25A">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投标人名称</w:t>
            </w:r>
          </w:p>
        </w:tc>
        <w:tc>
          <w:tcPr>
            <w:tcW w:w="6840" w:type="dxa"/>
            <w:gridSpan w:val="9"/>
            <w:tcBorders>
              <w:top w:val="single" w:color="auto" w:sz="4" w:space="0"/>
              <w:left w:val="single" w:color="auto" w:sz="4" w:space="0"/>
              <w:bottom w:val="single" w:color="auto" w:sz="4" w:space="0"/>
              <w:right w:val="single" w:color="auto" w:sz="4" w:space="0"/>
            </w:tcBorders>
            <w:vAlign w:val="center"/>
          </w:tcPr>
          <w:p w14:paraId="62D9800A">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r>
      <w:tr w14:paraId="5A27EC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11" w:hRule="atLeast"/>
        </w:trPr>
        <w:tc>
          <w:tcPr>
            <w:tcW w:w="1728" w:type="dxa"/>
            <w:tcBorders>
              <w:top w:val="single" w:color="auto" w:sz="4" w:space="0"/>
              <w:left w:val="single" w:color="auto" w:sz="4" w:space="0"/>
              <w:bottom w:val="single" w:color="auto" w:sz="4" w:space="0"/>
              <w:right w:val="single" w:color="auto" w:sz="4" w:space="0"/>
            </w:tcBorders>
            <w:vAlign w:val="center"/>
          </w:tcPr>
          <w:p w14:paraId="19DFEA78">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注册地址</w:t>
            </w:r>
          </w:p>
        </w:tc>
        <w:tc>
          <w:tcPr>
            <w:tcW w:w="3420" w:type="dxa"/>
            <w:gridSpan w:val="5"/>
            <w:tcBorders>
              <w:top w:val="single" w:color="auto" w:sz="4" w:space="0"/>
              <w:left w:val="single" w:color="auto" w:sz="4" w:space="0"/>
              <w:bottom w:val="single" w:color="auto" w:sz="4" w:space="0"/>
              <w:right w:val="single" w:color="auto" w:sz="4" w:space="0"/>
            </w:tcBorders>
            <w:vAlign w:val="center"/>
          </w:tcPr>
          <w:p w14:paraId="1FED637D">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vAlign w:val="center"/>
          </w:tcPr>
          <w:p w14:paraId="77AE4221">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邮政编码</w:t>
            </w:r>
          </w:p>
        </w:tc>
        <w:tc>
          <w:tcPr>
            <w:tcW w:w="2342" w:type="dxa"/>
            <w:gridSpan w:val="3"/>
            <w:tcBorders>
              <w:top w:val="single" w:color="auto" w:sz="4" w:space="0"/>
              <w:left w:val="single" w:color="auto" w:sz="4" w:space="0"/>
              <w:bottom w:val="single" w:color="auto" w:sz="4" w:space="0"/>
              <w:right w:val="single" w:color="auto" w:sz="4" w:space="0"/>
            </w:tcBorders>
            <w:vAlign w:val="center"/>
          </w:tcPr>
          <w:p w14:paraId="2A057FA3">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r>
      <w:tr w14:paraId="081701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28" w:type="dxa"/>
            <w:vMerge w:val="restart"/>
            <w:tcBorders>
              <w:top w:val="single" w:color="auto" w:sz="4" w:space="0"/>
              <w:left w:val="single" w:color="auto" w:sz="4" w:space="0"/>
              <w:bottom w:val="single" w:color="auto" w:sz="4" w:space="0"/>
              <w:right w:val="single" w:color="auto" w:sz="4" w:space="0"/>
            </w:tcBorders>
            <w:vAlign w:val="center"/>
          </w:tcPr>
          <w:p w14:paraId="766716B7">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联系方式</w:t>
            </w:r>
          </w:p>
        </w:tc>
        <w:tc>
          <w:tcPr>
            <w:tcW w:w="898" w:type="dxa"/>
            <w:tcBorders>
              <w:top w:val="single" w:color="auto" w:sz="4" w:space="0"/>
              <w:left w:val="single" w:color="auto" w:sz="4" w:space="0"/>
              <w:bottom w:val="single" w:color="auto" w:sz="4" w:space="0"/>
              <w:right w:val="single" w:color="auto" w:sz="4" w:space="0"/>
            </w:tcBorders>
            <w:vAlign w:val="center"/>
          </w:tcPr>
          <w:p w14:paraId="0C837F66">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联系人</w:t>
            </w:r>
          </w:p>
        </w:tc>
        <w:tc>
          <w:tcPr>
            <w:tcW w:w="2522" w:type="dxa"/>
            <w:gridSpan w:val="4"/>
            <w:tcBorders>
              <w:top w:val="single" w:color="auto" w:sz="4" w:space="0"/>
              <w:left w:val="single" w:color="auto" w:sz="4" w:space="0"/>
              <w:bottom w:val="single" w:color="auto" w:sz="4" w:space="0"/>
              <w:right w:val="single" w:color="auto" w:sz="4" w:space="0"/>
            </w:tcBorders>
            <w:vAlign w:val="center"/>
          </w:tcPr>
          <w:p w14:paraId="1B6CC11C">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vAlign w:val="center"/>
          </w:tcPr>
          <w:p w14:paraId="2F508435">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电 话</w:t>
            </w:r>
          </w:p>
        </w:tc>
        <w:tc>
          <w:tcPr>
            <w:tcW w:w="2342" w:type="dxa"/>
            <w:gridSpan w:val="3"/>
            <w:tcBorders>
              <w:top w:val="single" w:color="auto" w:sz="4" w:space="0"/>
              <w:left w:val="single" w:color="auto" w:sz="4" w:space="0"/>
              <w:bottom w:val="single" w:color="auto" w:sz="4" w:space="0"/>
              <w:right w:val="single" w:color="auto" w:sz="4" w:space="0"/>
            </w:tcBorders>
            <w:vAlign w:val="center"/>
          </w:tcPr>
          <w:p w14:paraId="55A33CA0">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r>
      <w:tr w14:paraId="151C9A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28" w:type="dxa"/>
            <w:vMerge w:val="continue"/>
            <w:tcBorders>
              <w:top w:val="single" w:color="auto" w:sz="4" w:space="0"/>
              <w:left w:val="single" w:color="auto" w:sz="4" w:space="0"/>
              <w:bottom w:val="single" w:color="auto" w:sz="4" w:space="0"/>
              <w:right w:val="single" w:color="auto" w:sz="4" w:space="0"/>
            </w:tcBorders>
            <w:vAlign w:val="center"/>
          </w:tcPr>
          <w:p w14:paraId="55EAD79F">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vAlign w:val="center"/>
          </w:tcPr>
          <w:p w14:paraId="428317B7">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传  真</w:t>
            </w:r>
          </w:p>
        </w:tc>
        <w:tc>
          <w:tcPr>
            <w:tcW w:w="2522" w:type="dxa"/>
            <w:gridSpan w:val="4"/>
            <w:tcBorders>
              <w:top w:val="single" w:color="auto" w:sz="4" w:space="0"/>
              <w:left w:val="single" w:color="auto" w:sz="4" w:space="0"/>
              <w:bottom w:val="single" w:color="auto" w:sz="4" w:space="0"/>
              <w:right w:val="single" w:color="auto" w:sz="4" w:space="0"/>
            </w:tcBorders>
            <w:vAlign w:val="center"/>
          </w:tcPr>
          <w:p w14:paraId="069E1E8B">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vAlign w:val="center"/>
          </w:tcPr>
          <w:p w14:paraId="462B924A">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网 址</w:t>
            </w:r>
          </w:p>
        </w:tc>
        <w:tc>
          <w:tcPr>
            <w:tcW w:w="2342" w:type="dxa"/>
            <w:gridSpan w:val="3"/>
            <w:tcBorders>
              <w:top w:val="single" w:color="auto" w:sz="4" w:space="0"/>
              <w:left w:val="single" w:color="auto" w:sz="4" w:space="0"/>
              <w:bottom w:val="single" w:color="auto" w:sz="4" w:space="0"/>
              <w:right w:val="single" w:color="auto" w:sz="4" w:space="0"/>
            </w:tcBorders>
            <w:vAlign w:val="center"/>
          </w:tcPr>
          <w:p w14:paraId="580CE327">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r>
      <w:tr w14:paraId="3D0648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28" w:type="dxa"/>
            <w:tcBorders>
              <w:top w:val="single" w:color="auto" w:sz="4" w:space="0"/>
              <w:left w:val="single" w:color="auto" w:sz="4" w:space="0"/>
              <w:bottom w:val="single" w:color="auto" w:sz="4" w:space="0"/>
              <w:right w:val="single" w:color="auto" w:sz="4" w:space="0"/>
            </w:tcBorders>
            <w:vAlign w:val="center"/>
          </w:tcPr>
          <w:p w14:paraId="01C0D218">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组织结构</w:t>
            </w:r>
          </w:p>
        </w:tc>
        <w:tc>
          <w:tcPr>
            <w:tcW w:w="6840" w:type="dxa"/>
            <w:gridSpan w:val="9"/>
            <w:tcBorders>
              <w:top w:val="single" w:color="auto" w:sz="4" w:space="0"/>
              <w:left w:val="single" w:color="auto" w:sz="4" w:space="0"/>
              <w:bottom w:val="single" w:color="auto" w:sz="4" w:space="0"/>
              <w:right w:val="single" w:color="auto" w:sz="4" w:space="0"/>
            </w:tcBorders>
            <w:vAlign w:val="center"/>
          </w:tcPr>
          <w:p w14:paraId="07945105">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r>
      <w:tr w14:paraId="509C79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28" w:type="dxa"/>
            <w:tcBorders>
              <w:top w:val="single" w:color="auto" w:sz="4" w:space="0"/>
              <w:left w:val="single" w:color="auto" w:sz="4" w:space="0"/>
              <w:bottom w:val="single" w:color="auto" w:sz="4" w:space="0"/>
              <w:right w:val="single" w:color="auto" w:sz="4" w:space="0"/>
            </w:tcBorders>
            <w:vAlign w:val="center"/>
          </w:tcPr>
          <w:p w14:paraId="3DFB7510">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法定代表人</w:t>
            </w:r>
          </w:p>
        </w:tc>
        <w:tc>
          <w:tcPr>
            <w:tcW w:w="898" w:type="dxa"/>
            <w:tcBorders>
              <w:top w:val="single" w:color="auto" w:sz="4" w:space="0"/>
              <w:left w:val="single" w:color="auto" w:sz="4" w:space="0"/>
              <w:bottom w:val="single" w:color="auto" w:sz="4" w:space="0"/>
              <w:right w:val="single" w:color="auto" w:sz="4" w:space="0"/>
            </w:tcBorders>
            <w:vAlign w:val="center"/>
          </w:tcPr>
          <w:p w14:paraId="0FD3F624">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姓名</w:t>
            </w:r>
          </w:p>
        </w:tc>
        <w:tc>
          <w:tcPr>
            <w:tcW w:w="951" w:type="dxa"/>
            <w:tcBorders>
              <w:top w:val="single" w:color="auto" w:sz="4" w:space="0"/>
              <w:left w:val="single" w:color="auto" w:sz="4" w:space="0"/>
              <w:bottom w:val="single" w:color="auto" w:sz="4" w:space="0"/>
              <w:right w:val="single" w:color="auto" w:sz="4" w:space="0"/>
            </w:tcBorders>
            <w:vAlign w:val="center"/>
          </w:tcPr>
          <w:p w14:paraId="65FD59DE">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4EF5E9FE">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技术职称</w:t>
            </w:r>
          </w:p>
        </w:tc>
        <w:tc>
          <w:tcPr>
            <w:tcW w:w="1879" w:type="dxa"/>
            <w:gridSpan w:val="3"/>
            <w:tcBorders>
              <w:top w:val="single" w:color="auto" w:sz="4" w:space="0"/>
              <w:left w:val="single" w:color="auto" w:sz="4" w:space="0"/>
              <w:bottom w:val="single" w:color="auto" w:sz="4" w:space="0"/>
              <w:right w:val="single" w:color="auto" w:sz="4" w:space="0"/>
            </w:tcBorders>
            <w:vAlign w:val="center"/>
          </w:tcPr>
          <w:p w14:paraId="3CFA8F14">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c>
          <w:tcPr>
            <w:tcW w:w="860" w:type="dxa"/>
            <w:tcBorders>
              <w:top w:val="single" w:color="auto" w:sz="4" w:space="0"/>
              <w:left w:val="single" w:color="auto" w:sz="4" w:space="0"/>
              <w:bottom w:val="single" w:color="auto" w:sz="4" w:space="0"/>
              <w:right w:val="single" w:color="auto" w:sz="4" w:space="0"/>
            </w:tcBorders>
            <w:vAlign w:val="center"/>
          </w:tcPr>
          <w:p w14:paraId="7DF50C6A">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电话</w:t>
            </w:r>
          </w:p>
        </w:tc>
        <w:tc>
          <w:tcPr>
            <w:tcW w:w="992" w:type="dxa"/>
            <w:tcBorders>
              <w:top w:val="single" w:color="auto" w:sz="4" w:space="0"/>
              <w:left w:val="single" w:color="auto" w:sz="4" w:space="0"/>
              <w:bottom w:val="single" w:color="auto" w:sz="4" w:space="0"/>
              <w:right w:val="single" w:color="auto" w:sz="4" w:space="0"/>
            </w:tcBorders>
            <w:vAlign w:val="center"/>
          </w:tcPr>
          <w:p w14:paraId="085A0003">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r>
      <w:tr w14:paraId="3A5EAA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28" w:type="dxa"/>
            <w:tcBorders>
              <w:top w:val="single" w:color="auto" w:sz="4" w:space="0"/>
              <w:left w:val="single" w:color="auto" w:sz="4" w:space="0"/>
              <w:bottom w:val="single" w:color="auto" w:sz="4" w:space="0"/>
              <w:right w:val="single" w:color="auto" w:sz="4" w:space="0"/>
            </w:tcBorders>
            <w:vAlign w:val="center"/>
          </w:tcPr>
          <w:p w14:paraId="7129D3F8">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技术负责人</w:t>
            </w:r>
          </w:p>
        </w:tc>
        <w:tc>
          <w:tcPr>
            <w:tcW w:w="898" w:type="dxa"/>
            <w:tcBorders>
              <w:top w:val="single" w:color="auto" w:sz="4" w:space="0"/>
              <w:left w:val="single" w:color="auto" w:sz="4" w:space="0"/>
              <w:bottom w:val="single" w:color="auto" w:sz="4" w:space="0"/>
              <w:right w:val="single" w:color="auto" w:sz="4" w:space="0"/>
            </w:tcBorders>
            <w:vAlign w:val="center"/>
          </w:tcPr>
          <w:p w14:paraId="23B6CAA8">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姓名</w:t>
            </w:r>
          </w:p>
        </w:tc>
        <w:tc>
          <w:tcPr>
            <w:tcW w:w="951" w:type="dxa"/>
            <w:tcBorders>
              <w:top w:val="single" w:color="auto" w:sz="4" w:space="0"/>
              <w:left w:val="single" w:color="auto" w:sz="4" w:space="0"/>
              <w:bottom w:val="single" w:color="auto" w:sz="4" w:space="0"/>
              <w:right w:val="single" w:color="auto" w:sz="4" w:space="0"/>
            </w:tcBorders>
            <w:vAlign w:val="center"/>
          </w:tcPr>
          <w:p w14:paraId="2C24A83F">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31497619">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技术职称</w:t>
            </w:r>
          </w:p>
        </w:tc>
        <w:tc>
          <w:tcPr>
            <w:tcW w:w="1879" w:type="dxa"/>
            <w:gridSpan w:val="3"/>
            <w:tcBorders>
              <w:top w:val="single" w:color="auto" w:sz="4" w:space="0"/>
              <w:left w:val="single" w:color="auto" w:sz="4" w:space="0"/>
              <w:bottom w:val="single" w:color="auto" w:sz="4" w:space="0"/>
              <w:right w:val="single" w:color="auto" w:sz="4" w:space="0"/>
            </w:tcBorders>
            <w:vAlign w:val="center"/>
          </w:tcPr>
          <w:p w14:paraId="0FAA4A97">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c>
          <w:tcPr>
            <w:tcW w:w="860" w:type="dxa"/>
            <w:tcBorders>
              <w:top w:val="single" w:color="auto" w:sz="4" w:space="0"/>
              <w:left w:val="single" w:color="auto" w:sz="4" w:space="0"/>
              <w:bottom w:val="single" w:color="auto" w:sz="4" w:space="0"/>
              <w:right w:val="single" w:color="auto" w:sz="4" w:space="0"/>
            </w:tcBorders>
            <w:vAlign w:val="center"/>
          </w:tcPr>
          <w:p w14:paraId="1B57FD95">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电话</w:t>
            </w:r>
          </w:p>
        </w:tc>
        <w:tc>
          <w:tcPr>
            <w:tcW w:w="992" w:type="dxa"/>
            <w:tcBorders>
              <w:top w:val="single" w:color="auto" w:sz="4" w:space="0"/>
              <w:left w:val="single" w:color="auto" w:sz="4" w:space="0"/>
              <w:bottom w:val="single" w:color="auto" w:sz="4" w:space="0"/>
              <w:right w:val="single" w:color="auto" w:sz="4" w:space="0"/>
            </w:tcBorders>
            <w:vAlign w:val="center"/>
          </w:tcPr>
          <w:p w14:paraId="7CA387B6">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r>
      <w:tr w14:paraId="78128E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28" w:type="dxa"/>
            <w:tcBorders>
              <w:top w:val="single" w:color="auto" w:sz="4" w:space="0"/>
              <w:left w:val="single" w:color="auto" w:sz="4" w:space="0"/>
              <w:bottom w:val="single" w:color="auto" w:sz="4" w:space="0"/>
              <w:right w:val="single" w:color="auto" w:sz="4" w:space="0"/>
            </w:tcBorders>
            <w:vAlign w:val="center"/>
          </w:tcPr>
          <w:p w14:paraId="3BE800F0">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成立时间</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4A9D00FB">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c>
          <w:tcPr>
            <w:tcW w:w="4991" w:type="dxa"/>
            <w:gridSpan w:val="7"/>
            <w:tcBorders>
              <w:top w:val="single" w:color="auto" w:sz="4" w:space="0"/>
              <w:left w:val="single" w:color="auto" w:sz="4" w:space="0"/>
              <w:bottom w:val="single" w:color="auto" w:sz="4" w:space="0"/>
              <w:right w:val="single" w:color="auto" w:sz="4" w:space="0"/>
            </w:tcBorders>
            <w:vAlign w:val="center"/>
          </w:tcPr>
          <w:p w14:paraId="488CFF77">
            <w:pPr>
              <w:keepNext w:val="0"/>
              <w:keepLines w:val="0"/>
              <w:suppressLineNumbers w:val="0"/>
              <w:topLinePunct/>
              <w:spacing w:before="0" w:beforeAutospacing="0" w:after="0" w:afterAutospacing="0" w:line="440" w:lineRule="exact"/>
              <w:ind w:left="0" w:right="0" w:firstLine="105" w:firstLineChars="50"/>
              <w:jc w:val="center"/>
              <w:rPr>
                <w:rFonts w:hint="default"/>
                <w:color w:val="auto"/>
                <w:szCs w:val="21"/>
                <w:highlight w:val="none"/>
              </w:rPr>
            </w:pPr>
            <w:r>
              <w:rPr>
                <w:rFonts w:hint="default"/>
                <w:color w:val="auto"/>
                <w:szCs w:val="21"/>
                <w:highlight w:val="none"/>
              </w:rPr>
              <w:t>员工总人数：</w:t>
            </w:r>
          </w:p>
        </w:tc>
      </w:tr>
      <w:tr w14:paraId="615544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728" w:type="dxa"/>
            <w:tcBorders>
              <w:top w:val="single" w:color="auto" w:sz="4" w:space="0"/>
              <w:left w:val="single" w:color="auto" w:sz="4" w:space="0"/>
              <w:bottom w:val="single" w:color="auto" w:sz="4" w:space="0"/>
              <w:right w:val="single" w:color="auto" w:sz="4" w:space="0"/>
            </w:tcBorders>
            <w:vAlign w:val="center"/>
          </w:tcPr>
          <w:p w14:paraId="1B1F5786">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企业资质等级</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194C50E7">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c>
          <w:tcPr>
            <w:tcW w:w="840" w:type="dxa"/>
            <w:vMerge w:val="restart"/>
            <w:tcBorders>
              <w:top w:val="single" w:color="auto" w:sz="4" w:space="0"/>
              <w:left w:val="single" w:color="auto" w:sz="4" w:space="0"/>
              <w:bottom w:val="single" w:color="auto" w:sz="4" w:space="0"/>
              <w:right w:val="single" w:color="auto" w:sz="4" w:space="0"/>
            </w:tcBorders>
            <w:vAlign w:val="center"/>
          </w:tcPr>
          <w:p w14:paraId="7357BAF2">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其中</w:t>
            </w: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71E3A1CA">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项目经理</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3C123E65">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r>
      <w:tr w14:paraId="4D84A4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28" w:type="dxa"/>
            <w:tcBorders>
              <w:top w:val="single" w:color="auto" w:sz="4" w:space="0"/>
              <w:left w:val="single" w:color="auto" w:sz="4" w:space="0"/>
              <w:bottom w:val="single" w:color="auto" w:sz="4" w:space="0"/>
              <w:right w:val="single" w:color="auto" w:sz="4" w:space="0"/>
            </w:tcBorders>
            <w:vAlign w:val="center"/>
          </w:tcPr>
          <w:p w14:paraId="2F859BD9">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营业执照号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006A3DE9">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14:paraId="12C996FD">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6B8CB476">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高级职称人员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0A61C33E">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r>
      <w:tr w14:paraId="72A7A1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28" w:type="dxa"/>
            <w:tcBorders>
              <w:top w:val="single" w:color="auto" w:sz="4" w:space="0"/>
              <w:left w:val="single" w:color="auto" w:sz="4" w:space="0"/>
              <w:bottom w:val="single" w:color="auto" w:sz="4" w:space="0"/>
              <w:right w:val="single" w:color="auto" w:sz="4" w:space="0"/>
            </w:tcBorders>
            <w:vAlign w:val="center"/>
          </w:tcPr>
          <w:p w14:paraId="5C56A63A">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注册资金</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57D9E80B">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14:paraId="4DF61414">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6ED04DFC">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中级职称人员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3AFC2767">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r>
      <w:tr w14:paraId="05A602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28" w:type="dxa"/>
            <w:tcBorders>
              <w:top w:val="single" w:color="auto" w:sz="4" w:space="0"/>
              <w:left w:val="single" w:color="auto" w:sz="4" w:space="0"/>
              <w:bottom w:val="single" w:color="auto" w:sz="4" w:space="0"/>
              <w:right w:val="single" w:color="auto" w:sz="4" w:space="0"/>
            </w:tcBorders>
            <w:vAlign w:val="center"/>
          </w:tcPr>
          <w:p w14:paraId="0E93146E">
            <w:pPr>
              <w:keepNext w:val="0"/>
              <w:keepLines w:val="0"/>
              <w:suppressLineNumbers w:val="0"/>
              <w:topLinePunct/>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基本账户</w:t>
            </w:r>
          </w:p>
          <w:p w14:paraId="5B6ECD47">
            <w:pPr>
              <w:keepNext w:val="0"/>
              <w:keepLines w:val="0"/>
              <w:suppressLineNumbers w:val="0"/>
              <w:topLinePunct/>
              <w:spacing w:before="0" w:beforeAutospacing="0" w:after="0" w:afterAutospacing="0"/>
              <w:ind w:left="0" w:right="0"/>
              <w:jc w:val="center"/>
              <w:rPr>
                <w:rFonts w:hint="default"/>
                <w:color w:val="auto"/>
                <w:szCs w:val="21"/>
                <w:highlight w:val="none"/>
              </w:rPr>
            </w:pPr>
            <w:r>
              <w:rPr>
                <w:rFonts w:hint="default"/>
                <w:color w:val="auto"/>
                <w:szCs w:val="21"/>
                <w:highlight w:val="none"/>
              </w:rPr>
              <w:t>开户银行</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061E5C20">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14:paraId="62EDE83E">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4A531828">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初级职称人员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439FD3AC">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r>
      <w:tr w14:paraId="5CDE20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28" w:type="dxa"/>
            <w:tcBorders>
              <w:top w:val="single" w:color="auto" w:sz="4" w:space="0"/>
              <w:left w:val="single" w:color="auto" w:sz="4" w:space="0"/>
              <w:bottom w:val="single" w:color="auto" w:sz="4" w:space="0"/>
              <w:right w:val="single" w:color="auto" w:sz="4" w:space="0"/>
            </w:tcBorders>
            <w:vAlign w:val="center"/>
          </w:tcPr>
          <w:p w14:paraId="4047414F">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eastAsia" w:ascii="宋体" w:hAnsi="宋体"/>
                <w:color w:val="auto"/>
                <w:szCs w:val="21"/>
                <w:highlight w:val="none"/>
              </w:rPr>
              <w:t>基本账户</w:t>
            </w:r>
            <w:r>
              <w:rPr>
                <w:rFonts w:hint="default"/>
                <w:color w:val="auto"/>
                <w:szCs w:val="21"/>
                <w:highlight w:val="none"/>
              </w:rPr>
              <w:t>账号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6EA93FDB">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14:paraId="2896F910">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49E40048">
            <w:pPr>
              <w:keepNext w:val="0"/>
              <w:keepLines w:val="0"/>
              <w:suppressLineNumbers w:val="0"/>
              <w:topLinePunct/>
              <w:spacing w:before="0" w:beforeAutospacing="0" w:after="0" w:afterAutospacing="0" w:line="440" w:lineRule="exact"/>
              <w:ind w:left="0" w:right="0"/>
              <w:jc w:val="center"/>
              <w:rPr>
                <w:rFonts w:hint="default"/>
                <w:color w:val="auto"/>
                <w:highlight w:val="none"/>
              </w:rPr>
            </w:pPr>
            <w:r>
              <w:rPr>
                <w:rFonts w:hint="default"/>
                <w:color w:val="auto"/>
                <w:szCs w:val="21"/>
                <w:highlight w:val="none"/>
              </w:rPr>
              <w:t>技工</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55FEE840">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r>
      <w:tr w14:paraId="56542F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8" w:hRule="atLeast"/>
        </w:trPr>
        <w:tc>
          <w:tcPr>
            <w:tcW w:w="1728" w:type="dxa"/>
            <w:tcBorders>
              <w:top w:val="single" w:color="auto" w:sz="4" w:space="0"/>
              <w:left w:val="single" w:color="auto" w:sz="4" w:space="0"/>
              <w:right w:val="single" w:color="auto" w:sz="4" w:space="0"/>
            </w:tcBorders>
            <w:vAlign w:val="center"/>
          </w:tcPr>
          <w:p w14:paraId="257BDC6F">
            <w:pPr>
              <w:keepNext w:val="0"/>
              <w:keepLines w:val="0"/>
              <w:suppressLineNumbers w:val="0"/>
              <w:topLinePunct/>
              <w:spacing w:before="0" w:beforeAutospacing="0" w:after="0" w:afterAutospacing="0" w:line="440" w:lineRule="exact"/>
              <w:ind w:left="0" w:right="0" w:firstLine="210" w:firstLineChars="100"/>
              <w:jc w:val="center"/>
              <w:rPr>
                <w:rFonts w:hint="default"/>
                <w:color w:val="auto"/>
                <w:szCs w:val="21"/>
                <w:highlight w:val="none"/>
              </w:rPr>
            </w:pPr>
            <w:r>
              <w:rPr>
                <w:rFonts w:hint="default"/>
                <w:color w:val="auto"/>
                <w:szCs w:val="21"/>
                <w:highlight w:val="none"/>
              </w:rPr>
              <w:t>经营范围</w:t>
            </w:r>
          </w:p>
        </w:tc>
        <w:tc>
          <w:tcPr>
            <w:tcW w:w="6840" w:type="dxa"/>
            <w:gridSpan w:val="9"/>
            <w:tcBorders>
              <w:top w:val="single" w:color="auto" w:sz="4" w:space="0"/>
              <w:left w:val="single" w:color="auto" w:sz="4" w:space="0"/>
              <w:right w:val="single" w:color="auto" w:sz="4" w:space="0"/>
            </w:tcBorders>
            <w:vAlign w:val="center"/>
          </w:tcPr>
          <w:p w14:paraId="794B82C2">
            <w:pPr>
              <w:keepNext w:val="0"/>
              <w:keepLines w:val="0"/>
              <w:suppressLineNumbers w:val="0"/>
              <w:topLinePunct/>
              <w:spacing w:before="0" w:beforeAutospacing="0" w:after="0" w:afterAutospacing="0" w:line="440" w:lineRule="exact"/>
              <w:ind w:left="0" w:right="0"/>
              <w:rPr>
                <w:rFonts w:hint="default"/>
                <w:color w:val="auto"/>
                <w:szCs w:val="21"/>
                <w:highlight w:val="none"/>
              </w:rPr>
            </w:pPr>
          </w:p>
        </w:tc>
      </w:tr>
      <w:tr w14:paraId="4A76F6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28" w:type="dxa"/>
            <w:tcBorders>
              <w:top w:val="single" w:color="auto" w:sz="4" w:space="0"/>
              <w:left w:val="single" w:color="auto" w:sz="4" w:space="0"/>
              <w:bottom w:val="single" w:color="auto" w:sz="4" w:space="0"/>
              <w:right w:val="single" w:color="auto" w:sz="4" w:space="0"/>
            </w:tcBorders>
            <w:vAlign w:val="center"/>
          </w:tcPr>
          <w:p w14:paraId="4481C90D">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r>
              <w:rPr>
                <w:rFonts w:hint="default"/>
                <w:color w:val="auto"/>
                <w:szCs w:val="21"/>
                <w:highlight w:val="none"/>
              </w:rPr>
              <w:t>备注</w:t>
            </w:r>
          </w:p>
        </w:tc>
        <w:tc>
          <w:tcPr>
            <w:tcW w:w="6840" w:type="dxa"/>
            <w:gridSpan w:val="9"/>
            <w:tcBorders>
              <w:top w:val="single" w:color="auto" w:sz="4" w:space="0"/>
              <w:left w:val="single" w:color="auto" w:sz="4" w:space="0"/>
              <w:bottom w:val="single" w:color="auto" w:sz="4" w:space="0"/>
              <w:right w:val="single" w:color="auto" w:sz="4" w:space="0"/>
            </w:tcBorders>
            <w:vAlign w:val="center"/>
          </w:tcPr>
          <w:p w14:paraId="0EA34CE1">
            <w:pPr>
              <w:keepNext w:val="0"/>
              <w:keepLines w:val="0"/>
              <w:suppressLineNumbers w:val="0"/>
              <w:topLinePunct/>
              <w:spacing w:before="0" w:beforeAutospacing="0" w:after="0" w:afterAutospacing="0" w:line="440" w:lineRule="exact"/>
              <w:ind w:left="0" w:right="0"/>
              <w:jc w:val="center"/>
              <w:rPr>
                <w:rFonts w:hint="default"/>
                <w:color w:val="auto"/>
                <w:szCs w:val="21"/>
                <w:highlight w:val="none"/>
              </w:rPr>
            </w:pPr>
          </w:p>
        </w:tc>
      </w:tr>
    </w:tbl>
    <w:p w14:paraId="3A78BFBC">
      <w:pPr>
        <w:keepNext w:val="0"/>
        <w:keepLines w:val="0"/>
        <w:widowControl w:val="0"/>
        <w:suppressLineNumbers w:val="0"/>
        <w:spacing w:before="0" w:beforeAutospacing="0" w:after="0" w:afterAutospacing="0" w:line="400" w:lineRule="atLeast"/>
        <w:ind w:left="840" w:right="0" w:hanging="840" w:hangingChars="400"/>
        <w:jc w:val="both"/>
        <w:rPr>
          <w:rFonts w:hint="eastAsia" w:ascii="宋体" w:hAnsi="宋体"/>
          <w:color w:val="auto"/>
          <w:szCs w:val="21"/>
          <w:highlight w:val="none"/>
        </w:rPr>
      </w:pPr>
      <w:r>
        <w:rPr>
          <w:rFonts w:hint="eastAsia" w:ascii="宋体" w:hAnsi="宋体" w:eastAsia="宋体" w:cs="宋体"/>
          <w:color w:val="auto"/>
          <w:kern w:val="2"/>
          <w:sz w:val="21"/>
          <w:szCs w:val="21"/>
          <w:highlight w:val="none"/>
          <w:lang w:val="en-US" w:eastAsia="zh-CN" w:bidi="ar"/>
        </w:rPr>
        <w:t>备注：1</w:t>
      </w:r>
      <w:r>
        <w:rPr>
          <w:rFonts w:hint="eastAsia" w:ascii="宋体" w:hAnsi="宋体" w:cs="宋体"/>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本表后应附企业法人营业执照、企业资质证书、安全生产许可证、基本账户开户许可证（基本存款账户信息）、质量、环境、职业健康安全管理体系认证证书等材料。</w:t>
      </w:r>
    </w:p>
    <w:p w14:paraId="558D1364">
      <w:pPr>
        <w:keepNext w:val="0"/>
        <w:keepLines w:val="0"/>
        <w:widowControl w:val="0"/>
        <w:suppressLineNumbers w:val="0"/>
        <w:spacing w:before="0" w:beforeAutospacing="0" w:after="0" w:afterAutospacing="0" w:line="400" w:lineRule="atLeast"/>
        <w:ind w:left="945" w:leftChars="300" w:right="0" w:hanging="315" w:hangingChars="150"/>
        <w:jc w:val="both"/>
        <w:rPr>
          <w:rFonts w:hint="eastAsia" w:ascii="宋体" w:hAnsi="宋体" w:cs="宋体"/>
          <w:color w:val="auto"/>
          <w:szCs w:val="21"/>
          <w:highlight w:val="none"/>
          <w:lang w:bidi="ar"/>
        </w:rPr>
      </w:pPr>
      <w:r>
        <w:rPr>
          <w:rFonts w:hint="default" w:ascii="宋体" w:hAnsi="宋体" w:eastAsia="宋体" w:cs="宋体"/>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.联合体投标的，联合体各成员应分别填写。</w:t>
      </w:r>
    </w:p>
    <w:p w14:paraId="7049593A">
      <w:pPr>
        <w:rPr>
          <w:color w:val="auto"/>
          <w:highlight w:val="none"/>
        </w:rPr>
        <w:sectPr>
          <w:footerReference r:id="rId6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C79CA68">
      <w:pPr>
        <w:pStyle w:val="37"/>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color w:val="auto"/>
          <w:highlight w:val="none"/>
        </w:rPr>
      </w:pPr>
      <w:bookmarkStart w:id="2324" w:name="_Toc256000218"/>
      <w:bookmarkStart w:id="2325" w:name="_Toc122603087"/>
      <w:bookmarkStart w:id="2326" w:name="_Toc467365520"/>
      <w:r>
        <w:rPr>
          <w:rFonts w:hint="default" w:cs="宋体"/>
          <w:color w:val="auto"/>
          <w:szCs w:val="24"/>
          <w:highlight w:val="none"/>
        </w:rPr>
        <w:t>1-2</w:t>
      </w:r>
      <w:r>
        <w:rPr>
          <w:rFonts w:hint="eastAsia" w:cs="宋体"/>
          <w:color w:val="auto"/>
          <w:szCs w:val="24"/>
          <w:highlight w:val="none"/>
          <w:lang w:val="en-US" w:eastAsia="zh-CN"/>
        </w:rPr>
        <w:t xml:space="preserve"> </w:t>
      </w:r>
      <w:r>
        <w:rPr>
          <w:rFonts w:hint="eastAsia" w:cs="宋体"/>
          <w:color w:val="auto"/>
          <w:szCs w:val="24"/>
          <w:highlight w:val="none"/>
        </w:rPr>
        <w:t>关联单位情况说明</w:t>
      </w:r>
      <w:bookmarkEnd w:id="2324"/>
      <w:bookmarkEnd w:id="2325"/>
      <w:bookmarkEnd w:id="2326"/>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0" w:type="dxa"/>
          <w:bottom w:w="0" w:type="dxa"/>
          <w:right w:w="0" w:type="dxa"/>
        </w:tblCellMar>
      </w:tblPr>
      <w:tblGrid>
        <w:gridCol w:w="8316"/>
      </w:tblGrid>
      <w:tr w14:paraId="5DA8B047">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0" w:type="dxa"/>
            <w:bottom w:w="0" w:type="dxa"/>
            <w:right w:w="0" w:type="dxa"/>
          </w:tblCellMar>
        </w:tblPrEx>
        <w:trPr>
          <w:trHeight w:val="8400" w:hRule="atLeast"/>
          <w:jc w:val="center"/>
        </w:trPr>
        <w:tc>
          <w:tcPr>
            <w:tcW w:w="5000" w:type="pct"/>
            <w:noWrap w:val="0"/>
            <w:vAlign w:val="top"/>
          </w:tcPr>
          <w:p w14:paraId="46361F8E">
            <w:pPr>
              <w:tabs>
                <w:tab w:val="left" w:pos="0"/>
              </w:tabs>
              <w:snapToGrid w:val="0"/>
              <w:spacing w:line="360" w:lineRule="exact"/>
              <w:rPr>
                <w:color w:val="auto"/>
                <w:szCs w:val="21"/>
                <w:highlight w:val="none"/>
              </w:rPr>
            </w:pPr>
          </w:p>
          <w:p w14:paraId="330C07F0">
            <w:pPr>
              <w:ind w:left="945" w:hanging="945" w:hangingChars="450"/>
              <w:rPr>
                <w:rFonts w:hint="eastAsia" w:ascii="宋体" w:hAnsi="宋体"/>
                <w:color w:val="auto"/>
                <w:highlight w:val="none"/>
              </w:rPr>
            </w:pPr>
            <w:r>
              <w:rPr>
                <w:rFonts w:ascii="宋体" w:hAnsi="宋体"/>
                <w:color w:val="auto"/>
                <w:highlight w:val="none"/>
              </w:rPr>
              <w:t>单位负责人</w:t>
            </w:r>
            <w:r>
              <w:rPr>
                <w:rFonts w:hint="eastAsia" w:ascii="宋体" w:hAnsi="宋体"/>
                <w:color w:val="auto"/>
                <w:highlight w:val="none"/>
              </w:rPr>
              <w:t>与本</w:t>
            </w:r>
            <w:r>
              <w:rPr>
                <w:rFonts w:ascii="宋体" w:hAnsi="宋体"/>
                <w:color w:val="auto"/>
                <w:highlight w:val="none"/>
              </w:rPr>
              <w:t>单位负责人为同一人</w:t>
            </w:r>
            <w:r>
              <w:rPr>
                <w:rFonts w:hint="eastAsia" w:ascii="宋体" w:hAnsi="宋体"/>
                <w:color w:val="auto"/>
                <w:highlight w:val="none"/>
              </w:rPr>
              <w:t>的单位：</w:t>
            </w:r>
          </w:p>
          <w:p w14:paraId="563A7C5A">
            <w:pPr>
              <w:ind w:left="945" w:hanging="945" w:hangingChars="450"/>
              <w:rPr>
                <w:rFonts w:hint="eastAsia" w:ascii="宋体" w:hAnsi="宋体"/>
                <w:color w:val="auto"/>
                <w:highlight w:val="none"/>
              </w:rPr>
            </w:pPr>
          </w:p>
          <w:p w14:paraId="498A8760">
            <w:pPr>
              <w:ind w:left="945" w:hanging="945" w:hangingChars="450"/>
              <w:rPr>
                <w:rFonts w:hint="eastAsia" w:ascii="宋体" w:hAnsi="宋体"/>
                <w:color w:val="auto"/>
                <w:highlight w:val="none"/>
              </w:rPr>
            </w:pPr>
          </w:p>
          <w:p w14:paraId="7327739C">
            <w:pPr>
              <w:ind w:left="945" w:hanging="945" w:hangingChars="450"/>
              <w:rPr>
                <w:rFonts w:hint="eastAsia" w:ascii="宋体" w:hAnsi="宋体"/>
                <w:color w:val="auto"/>
                <w:highlight w:val="none"/>
              </w:rPr>
            </w:pPr>
          </w:p>
          <w:p w14:paraId="36C6670F">
            <w:pPr>
              <w:ind w:left="945" w:hanging="945" w:hangingChars="450"/>
              <w:rPr>
                <w:rFonts w:hint="eastAsia" w:ascii="宋体" w:hAnsi="宋体"/>
                <w:color w:val="auto"/>
                <w:highlight w:val="none"/>
              </w:rPr>
            </w:pPr>
          </w:p>
          <w:p w14:paraId="6A4A5F02">
            <w:pPr>
              <w:ind w:left="945" w:hanging="945" w:hangingChars="450"/>
              <w:rPr>
                <w:rFonts w:hint="eastAsia" w:ascii="宋体" w:hAnsi="宋体"/>
                <w:color w:val="auto"/>
                <w:highlight w:val="none"/>
              </w:rPr>
            </w:pPr>
          </w:p>
          <w:p w14:paraId="58401B14">
            <w:pPr>
              <w:ind w:left="945" w:hanging="945" w:hangingChars="450"/>
              <w:rPr>
                <w:rFonts w:hint="eastAsia" w:ascii="宋体" w:hAnsi="宋体"/>
                <w:color w:val="auto"/>
                <w:highlight w:val="none"/>
              </w:rPr>
            </w:pPr>
          </w:p>
          <w:p w14:paraId="60BA1F92">
            <w:pPr>
              <w:ind w:left="945" w:hanging="945" w:hangingChars="450"/>
              <w:rPr>
                <w:rFonts w:hint="eastAsia" w:ascii="宋体" w:hAnsi="宋体"/>
                <w:color w:val="auto"/>
                <w:highlight w:val="none"/>
              </w:rPr>
            </w:pPr>
            <w:r>
              <w:rPr>
                <w:rFonts w:hint="eastAsia" w:ascii="宋体" w:hAnsi="宋体"/>
                <w:color w:val="auto"/>
                <w:highlight w:val="none"/>
              </w:rPr>
              <w:t>与本</w:t>
            </w:r>
            <w:r>
              <w:rPr>
                <w:rFonts w:ascii="宋体" w:hAnsi="宋体"/>
                <w:color w:val="auto"/>
                <w:highlight w:val="none"/>
              </w:rPr>
              <w:t>单位存在控股</w:t>
            </w:r>
            <w:r>
              <w:rPr>
                <w:rFonts w:hint="eastAsia" w:ascii="宋体" w:hAnsi="宋体"/>
                <w:color w:val="auto"/>
                <w:highlight w:val="none"/>
              </w:rPr>
              <w:t>与被控股</w:t>
            </w:r>
            <w:r>
              <w:rPr>
                <w:rFonts w:ascii="宋体" w:hAnsi="宋体"/>
                <w:color w:val="auto"/>
                <w:highlight w:val="none"/>
              </w:rPr>
              <w:t>关系的单位</w:t>
            </w:r>
            <w:r>
              <w:rPr>
                <w:rFonts w:hint="eastAsia" w:ascii="宋体" w:hAnsi="宋体"/>
                <w:color w:val="auto"/>
                <w:highlight w:val="none"/>
              </w:rPr>
              <w:t>：</w:t>
            </w:r>
          </w:p>
          <w:p w14:paraId="14229920">
            <w:pPr>
              <w:ind w:left="945" w:hanging="945" w:hangingChars="450"/>
              <w:rPr>
                <w:rFonts w:hint="eastAsia" w:ascii="宋体" w:hAnsi="宋体"/>
                <w:color w:val="auto"/>
                <w:highlight w:val="none"/>
              </w:rPr>
            </w:pPr>
          </w:p>
          <w:p w14:paraId="58BE4E66">
            <w:pPr>
              <w:ind w:left="945" w:hanging="945" w:hangingChars="450"/>
              <w:rPr>
                <w:rFonts w:hint="eastAsia" w:ascii="宋体" w:hAnsi="宋体"/>
                <w:color w:val="auto"/>
                <w:highlight w:val="none"/>
              </w:rPr>
            </w:pPr>
          </w:p>
          <w:p w14:paraId="2E1B2B8A">
            <w:pPr>
              <w:ind w:left="945" w:hanging="945" w:hangingChars="450"/>
              <w:rPr>
                <w:rFonts w:hint="eastAsia" w:ascii="宋体" w:hAnsi="宋体"/>
                <w:color w:val="auto"/>
                <w:highlight w:val="none"/>
              </w:rPr>
            </w:pPr>
          </w:p>
          <w:p w14:paraId="438745B8">
            <w:pPr>
              <w:ind w:left="945" w:hanging="945" w:hangingChars="450"/>
              <w:rPr>
                <w:rFonts w:hint="eastAsia" w:ascii="宋体" w:hAnsi="宋体"/>
                <w:color w:val="auto"/>
                <w:highlight w:val="none"/>
              </w:rPr>
            </w:pPr>
          </w:p>
          <w:p w14:paraId="53CF6C38">
            <w:pPr>
              <w:ind w:left="945" w:hanging="945" w:hangingChars="450"/>
              <w:rPr>
                <w:rFonts w:hint="eastAsia" w:ascii="宋体" w:hAnsi="宋体"/>
                <w:color w:val="auto"/>
                <w:highlight w:val="none"/>
              </w:rPr>
            </w:pPr>
          </w:p>
          <w:p w14:paraId="6AB28B27">
            <w:pPr>
              <w:ind w:left="945" w:hanging="945" w:hangingChars="450"/>
              <w:rPr>
                <w:rFonts w:hint="eastAsia" w:ascii="宋体" w:hAnsi="宋体"/>
                <w:color w:val="auto"/>
                <w:highlight w:val="none"/>
              </w:rPr>
            </w:pPr>
          </w:p>
          <w:p w14:paraId="60F415C0">
            <w:pPr>
              <w:ind w:left="945" w:hanging="945" w:hangingChars="450"/>
              <w:rPr>
                <w:rFonts w:hint="eastAsia" w:ascii="宋体" w:hAnsi="宋体"/>
                <w:color w:val="auto"/>
                <w:highlight w:val="none"/>
              </w:rPr>
            </w:pPr>
          </w:p>
          <w:p w14:paraId="359608A9">
            <w:pPr>
              <w:ind w:left="945" w:hanging="945" w:hangingChars="450"/>
              <w:rPr>
                <w:rFonts w:hint="eastAsia" w:ascii="宋体" w:hAnsi="宋体"/>
                <w:color w:val="auto"/>
                <w:highlight w:val="none"/>
              </w:rPr>
            </w:pPr>
          </w:p>
          <w:p w14:paraId="29E6DADC">
            <w:pPr>
              <w:ind w:left="945" w:hanging="945" w:hangingChars="450"/>
              <w:rPr>
                <w:rFonts w:hint="eastAsia" w:ascii="宋体" w:hAnsi="宋体"/>
                <w:color w:val="auto"/>
                <w:highlight w:val="none"/>
              </w:rPr>
            </w:pPr>
          </w:p>
          <w:p w14:paraId="083ECD42">
            <w:pPr>
              <w:ind w:left="945" w:hanging="945" w:hangingChars="450"/>
              <w:rPr>
                <w:rFonts w:ascii="宋体" w:hAnsi="宋体"/>
                <w:color w:val="auto"/>
                <w:highlight w:val="none"/>
              </w:rPr>
            </w:pPr>
            <w:r>
              <w:rPr>
                <w:rFonts w:hint="eastAsia" w:ascii="宋体" w:hAnsi="宋体"/>
                <w:color w:val="auto"/>
                <w:highlight w:val="none"/>
              </w:rPr>
              <w:t>与本</w:t>
            </w:r>
            <w:r>
              <w:rPr>
                <w:rFonts w:ascii="宋体" w:hAnsi="宋体"/>
                <w:color w:val="auto"/>
                <w:highlight w:val="none"/>
              </w:rPr>
              <w:t>单位存在管理</w:t>
            </w:r>
            <w:r>
              <w:rPr>
                <w:rFonts w:hint="eastAsia" w:ascii="宋体" w:hAnsi="宋体"/>
                <w:color w:val="auto"/>
                <w:highlight w:val="none"/>
              </w:rPr>
              <w:t>与被管理</w:t>
            </w:r>
            <w:r>
              <w:rPr>
                <w:rFonts w:ascii="宋体" w:hAnsi="宋体"/>
                <w:color w:val="auto"/>
                <w:highlight w:val="none"/>
              </w:rPr>
              <w:t>关系的单位</w:t>
            </w:r>
            <w:r>
              <w:rPr>
                <w:rFonts w:hint="eastAsia" w:ascii="宋体" w:hAnsi="宋体"/>
                <w:color w:val="auto"/>
                <w:highlight w:val="none"/>
              </w:rPr>
              <w:t>：</w:t>
            </w:r>
          </w:p>
          <w:p w14:paraId="6D2A31DF">
            <w:pPr>
              <w:snapToGrid w:val="0"/>
              <w:spacing w:line="360" w:lineRule="exact"/>
              <w:rPr>
                <w:color w:val="auto"/>
                <w:szCs w:val="21"/>
                <w:highlight w:val="none"/>
              </w:rPr>
            </w:pPr>
          </w:p>
          <w:p w14:paraId="22634FE9">
            <w:pPr>
              <w:snapToGrid w:val="0"/>
              <w:spacing w:line="360" w:lineRule="exact"/>
              <w:rPr>
                <w:color w:val="auto"/>
                <w:szCs w:val="21"/>
                <w:highlight w:val="none"/>
              </w:rPr>
            </w:pPr>
          </w:p>
          <w:p w14:paraId="1AF77BD0">
            <w:pPr>
              <w:tabs>
                <w:tab w:val="left" w:pos="6039"/>
              </w:tabs>
              <w:snapToGrid w:val="0"/>
              <w:spacing w:line="360" w:lineRule="exact"/>
              <w:rPr>
                <w:color w:val="auto"/>
                <w:szCs w:val="21"/>
                <w:highlight w:val="none"/>
              </w:rPr>
            </w:pPr>
          </w:p>
        </w:tc>
      </w:tr>
    </w:tbl>
    <w:p w14:paraId="3E3AEAB4">
      <w:pPr>
        <w:ind w:left="945" w:hanging="945" w:hangingChars="450"/>
        <w:rPr>
          <w:rFonts w:hint="eastAsia" w:ascii="宋体" w:hAnsi="宋体"/>
          <w:color w:val="auto"/>
          <w:highlight w:val="none"/>
        </w:rPr>
      </w:pPr>
      <w:r>
        <w:rPr>
          <w:rFonts w:hint="eastAsia" w:ascii="宋体" w:hAnsi="宋体"/>
          <w:color w:val="auto"/>
          <w:highlight w:val="none"/>
        </w:rPr>
        <w:t>备注：1</w:t>
      </w:r>
      <w:r>
        <w:rPr>
          <w:rFonts w:hint="eastAsia" w:ascii="宋体" w:hAnsi="宋体"/>
          <w:color w:val="auto"/>
          <w:highlight w:val="none"/>
          <w:lang w:val="en-US" w:eastAsia="zh-CN"/>
        </w:rPr>
        <w:t>.</w:t>
      </w:r>
      <w:r>
        <w:rPr>
          <w:rFonts w:hint="eastAsia" w:ascii="宋体" w:hAnsi="宋体"/>
          <w:color w:val="auto"/>
          <w:highlight w:val="none"/>
        </w:rPr>
        <w:t>投标人应当如实披露相关关联单位的情况。没有相关关联单位的明确填“无”。</w:t>
      </w:r>
    </w:p>
    <w:p w14:paraId="1CE849CB">
      <w:pPr>
        <w:ind w:left="0" w:leftChars="0" w:firstLine="630" w:firstLineChars="300"/>
        <w:rPr>
          <w:color w:val="auto"/>
          <w:highlight w:val="none"/>
        </w:rPr>
        <w:sectPr>
          <w:footerReference r:id="rId6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ascii="宋体" w:hAnsi="宋体"/>
          <w:color w:val="auto"/>
          <w:highlight w:val="none"/>
        </w:rPr>
        <w:t>2</w:t>
      </w:r>
      <w:r>
        <w:rPr>
          <w:rFonts w:hint="eastAsia" w:ascii="宋体" w:hAnsi="宋体"/>
          <w:color w:val="auto"/>
          <w:highlight w:val="none"/>
          <w:lang w:val="en-US" w:eastAsia="zh-CN"/>
        </w:rPr>
        <w:t>.</w:t>
      </w:r>
      <w:r>
        <w:rPr>
          <w:rFonts w:hint="eastAsia" w:ascii="宋体" w:hAnsi="宋体"/>
          <w:color w:val="auto"/>
          <w:highlight w:val="none"/>
        </w:rPr>
        <w:t>联合体投标的，联合体各成员应分别填写。</w:t>
      </w:r>
    </w:p>
    <w:p w14:paraId="4D283A29">
      <w:pPr>
        <w:pStyle w:val="37"/>
        <w:keepNext/>
        <w:keepLines/>
        <w:pageBreakBefore w:val="0"/>
        <w:widowControl w:val="0"/>
        <w:kinsoku/>
        <w:wordWrap/>
        <w:overflowPunct/>
        <w:topLinePunct w:val="0"/>
        <w:autoSpaceDE/>
        <w:autoSpaceDN/>
        <w:bidi w:val="0"/>
        <w:adjustRightInd/>
        <w:snapToGrid/>
        <w:spacing w:before="240" w:beforeLines="100" w:after="240" w:afterLines="100"/>
        <w:ind w:firstLine="0" w:firstLineChars="0"/>
        <w:jc w:val="center"/>
        <w:textAlignment w:val="auto"/>
        <w:outlineLvl w:val="3"/>
        <w:rPr>
          <w:rFonts w:ascii="宋体" w:hAnsi="宋体"/>
          <w:color w:val="auto"/>
          <w:highlight w:val="none"/>
        </w:rPr>
      </w:pPr>
      <w:bookmarkStart w:id="2327" w:name="_Toc467365521"/>
      <w:bookmarkStart w:id="2328" w:name="_Toc122603088"/>
      <w:bookmarkStart w:id="2329" w:name="_Toc256000219"/>
      <w:bookmarkStart w:id="2330" w:name="_Toc161228834"/>
      <w:r>
        <w:rPr>
          <w:rFonts w:hint="eastAsia" w:ascii="Times New Roman" w:hAnsi="Times New Roman" w:cs="宋体"/>
          <w:b w:val="0"/>
          <w:color w:val="auto"/>
          <w:szCs w:val="24"/>
          <w:highlight w:val="none"/>
        </w:rPr>
        <w:t>1-3 企业在辽基本信息登记</w:t>
      </w:r>
      <w:bookmarkEnd w:id="2327"/>
      <w:r>
        <w:rPr>
          <w:rFonts w:hint="eastAsia" w:ascii="Times New Roman" w:hAnsi="Times New Roman" w:cs="宋体"/>
          <w:b w:val="0"/>
          <w:color w:val="auto"/>
          <w:szCs w:val="24"/>
          <w:highlight w:val="none"/>
        </w:rPr>
        <w:t>单</w:t>
      </w:r>
      <w:bookmarkEnd w:id="2328"/>
      <w:bookmarkEnd w:id="2329"/>
      <w:bookmarkEnd w:id="2330"/>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9"/>
        <w:gridCol w:w="2279"/>
        <w:gridCol w:w="2280"/>
        <w:gridCol w:w="2280"/>
      </w:tblGrid>
      <w:tr w14:paraId="1CBC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279" w:type="dxa"/>
            <w:shd w:val="clear" w:color="auto" w:fill="auto"/>
            <w:vAlign w:val="center"/>
          </w:tcPr>
          <w:p w14:paraId="7B5204E1">
            <w:pPr>
              <w:jc w:val="center"/>
              <w:rPr>
                <w:rFonts w:ascii="宋体" w:hAnsi="宋体"/>
                <w:color w:val="auto"/>
                <w:highlight w:val="none"/>
              </w:rPr>
            </w:pPr>
            <w:r>
              <w:rPr>
                <w:rFonts w:hint="eastAsia" w:ascii="宋体" w:hAnsi="宋体"/>
                <w:color w:val="auto"/>
                <w:highlight w:val="none"/>
              </w:rPr>
              <w:t>单位名称</w:t>
            </w:r>
          </w:p>
        </w:tc>
        <w:tc>
          <w:tcPr>
            <w:tcW w:w="6839" w:type="dxa"/>
            <w:gridSpan w:val="3"/>
            <w:shd w:val="clear" w:color="auto" w:fill="auto"/>
            <w:vAlign w:val="center"/>
          </w:tcPr>
          <w:p w14:paraId="77B4378A">
            <w:pPr>
              <w:jc w:val="center"/>
              <w:rPr>
                <w:rFonts w:ascii="宋体" w:hAnsi="宋体"/>
                <w:color w:val="auto"/>
                <w:highlight w:val="none"/>
              </w:rPr>
            </w:pPr>
          </w:p>
        </w:tc>
      </w:tr>
      <w:tr w14:paraId="48B3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279" w:type="dxa"/>
            <w:shd w:val="clear" w:color="auto" w:fill="auto"/>
            <w:vAlign w:val="center"/>
          </w:tcPr>
          <w:p w14:paraId="2046AD0C">
            <w:pPr>
              <w:jc w:val="center"/>
              <w:rPr>
                <w:rFonts w:ascii="宋体" w:hAnsi="宋体"/>
                <w:color w:val="auto"/>
                <w:highlight w:val="none"/>
              </w:rPr>
            </w:pPr>
            <w:r>
              <w:rPr>
                <w:rFonts w:hint="eastAsia" w:ascii="宋体" w:hAnsi="宋体"/>
                <w:color w:val="auto"/>
                <w:highlight w:val="none"/>
              </w:rPr>
              <w:t>法定代表人姓名</w:t>
            </w:r>
          </w:p>
        </w:tc>
        <w:tc>
          <w:tcPr>
            <w:tcW w:w="2279" w:type="dxa"/>
            <w:shd w:val="clear" w:color="auto" w:fill="auto"/>
            <w:vAlign w:val="center"/>
          </w:tcPr>
          <w:p w14:paraId="04CE5D7E">
            <w:pPr>
              <w:jc w:val="center"/>
              <w:rPr>
                <w:rFonts w:ascii="宋体" w:hAnsi="宋体"/>
                <w:color w:val="auto"/>
                <w:highlight w:val="none"/>
              </w:rPr>
            </w:pPr>
          </w:p>
        </w:tc>
        <w:tc>
          <w:tcPr>
            <w:tcW w:w="2280" w:type="dxa"/>
            <w:shd w:val="clear" w:color="auto" w:fill="auto"/>
            <w:vAlign w:val="center"/>
          </w:tcPr>
          <w:p w14:paraId="0CE2DF73">
            <w:pPr>
              <w:jc w:val="center"/>
              <w:rPr>
                <w:rFonts w:ascii="宋体" w:hAnsi="宋体"/>
                <w:color w:val="auto"/>
                <w:highlight w:val="none"/>
              </w:rPr>
            </w:pPr>
            <w:r>
              <w:rPr>
                <w:rFonts w:hint="eastAsia" w:ascii="宋体" w:hAnsi="宋体"/>
                <w:color w:val="auto"/>
                <w:highlight w:val="none"/>
              </w:rPr>
              <w:t>公司所在地</w:t>
            </w:r>
          </w:p>
        </w:tc>
        <w:tc>
          <w:tcPr>
            <w:tcW w:w="2280" w:type="dxa"/>
            <w:shd w:val="clear" w:color="auto" w:fill="auto"/>
            <w:vAlign w:val="center"/>
          </w:tcPr>
          <w:p w14:paraId="10D102E9">
            <w:pPr>
              <w:jc w:val="center"/>
              <w:rPr>
                <w:rFonts w:ascii="宋体" w:hAnsi="宋体"/>
                <w:color w:val="auto"/>
                <w:highlight w:val="none"/>
              </w:rPr>
            </w:pPr>
          </w:p>
        </w:tc>
      </w:tr>
      <w:tr w14:paraId="71AF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279" w:type="dxa"/>
            <w:shd w:val="clear" w:color="auto" w:fill="auto"/>
            <w:vAlign w:val="center"/>
          </w:tcPr>
          <w:p w14:paraId="2276D661">
            <w:pPr>
              <w:jc w:val="center"/>
              <w:rPr>
                <w:rFonts w:ascii="宋体" w:hAnsi="宋体"/>
                <w:color w:val="auto"/>
                <w:highlight w:val="none"/>
              </w:rPr>
            </w:pPr>
            <w:r>
              <w:rPr>
                <w:rFonts w:hint="eastAsia" w:ascii="宋体" w:hAnsi="宋体"/>
                <w:color w:val="auto"/>
                <w:highlight w:val="none"/>
              </w:rPr>
              <w:t>安全生产许可证号</w:t>
            </w:r>
          </w:p>
        </w:tc>
        <w:tc>
          <w:tcPr>
            <w:tcW w:w="6839" w:type="dxa"/>
            <w:gridSpan w:val="3"/>
            <w:shd w:val="clear" w:color="auto" w:fill="auto"/>
            <w:vAlign w:val="center"/>
          </w:tcPr>
          <w:p w14:paraId="24DB20A8">
            <w:pPr>
              <w:jc w:val="center"/>
              <w:rPr>
                <w:rFonts w:ascii="宋体" w:hAnsi="宋体"/>
                <w:color w:val="auto"/>
                <w:highlight w:val="none"/>
              </w:rPr>
            </w:pPr>
          </w:p>
        </w:tc>
      </w:tr>
      <w:tr w14:paraId="6C552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shd w:val="clear" w:color="auto" w:fill="auto"/>
            <w:vAlign w:val="center"/>
          </w:tcPr>
          <w:p w14:paraId="0EEF5F21">
            <w:pPr>
              <w:jc w:val="center"/>
              <w:rPr>
                <w:rFonts w:ascii="宋体" w:hAnsi="宋体"/>
                <w:color w:val="auto"/>
                <w:highlight w:val="none"/>
              </w:rPr>
            </w:pPr>
            <w:r>
              <w:rPr>
                <w:rFonts w:hint="eastAsia" w:ascii="宋体" w:hAnsi="宋体"/>
                <w:color w:val="auto"/>
                <w:highlight w:val="none"/>
              </w:rPr>
              <w:t>资质证书号</w:t>
            </w:r>
          </w:p>
        </w:tc>
        <w:tc>
          <w:tcPr>
            <w:tcW w:w="6839" w:type="dxa"/>
            <w:gridSpan w:val="3"/>
            <w:shd w:val="clear" w:color="auto" w:fill="auto"/>
            <w:vAlign w:val="center"/>
          </w:tcPr>
          <w:p w14:paraId="7FCB4AC5">
            <w:pPr>
              <w:jc w:val="center"/>
              <w:rPr>
                <w:rFonts w:ascii="宋体" w:hAnsi="宋体"/>
                <w:color w:val="auto"/>
                <w:highlight w:val="none"/>
              </w:rPr>
            </w:pPr>
            <w:r>
              <w:rPr>
                <w:rFonts w:hint="eastAsia" w:ascii="宋体" w:hAnsi="宋体"/>
                <w:color w:val="auto"/>
                <w:highlight w:val="none"/>
              </w:rPr>
              <w:t>资质类别及等级</w:t>
            </w:r>
          </w:p>
        </w:tc>
      </w:tr>
      <w:tr w14:paraId="5FE2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shd w:val="clear" w:color="auto" w:fill="auto"/>
            <w:vAlign w:val="center"/>
          </w:tcPr>
          <w:p w14:paraId="600B4F7D">
            <w:pPr>
              <w:jc w:val="center"/>
              <w:rPr>
                <w:rFonts w:ascii="宋体" w:hAnsi="宋体"/>
                <w:color w:val="auto"/>
                <w:highlight w:val="none"/>
              </w:rPr>
            </w:pPr>
            <w:r>
              <w:rPr>
                <w:rFonts w:hint="eastAsia" w:ascii="宋体" w:hAnsi="宋体"/>
                <w:color w:val="auto"/>
                <w:highlight w:val="none"/>
              </w:rPr>
              <w:t>…</w:t>
            </w:r>
          </w:p>
        </w:tc>
        <w:tc>
          <w:tcPr>
            <w:tcW w:w="6839" w:type="dxa"/>
            <w:gridSpan w:val="3"/>
            <w:shd w:val="clear" w:color="auto" w:fill="auto"/>
            <w:vAlign w:val="center"/>
          </w:tcPr>
          <w:p w14:paraId="3238309E">
            <w:pPr>
              <w:jc w:val="center"/>
              <w:rPr>
                <w:rFonts w:ascii="宋体" w:hAnsi="宋体"/>
                <w:color w:val="auto"/>
                <w:highlight w:val="none"/>
              </w:rPr>
            </w:pPr>
          </w:p>
        </w:tc>
      </w:tr>
      <w:tr w14:paraId="4A82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shd w:val="clear" w:color="auto" w:fill="auto"/>
            <w:vAlign w:val="center"/>
          </w:tcPr>
          <w:p w14:paraId="20F31725">
            <w:pPr>
              <w:jc w:val="center"/>
              <w:rPr>
                <w:rFonts w:ascii="宋体" w:hAnsi="宋体"/>
                <w:color w:val="auto"/>
                <w:highlight w:val="none"/>
              </w:rPr>
            </w:pPr>
            <w:r>
              <w:rPr>
                <w:rFonts w:hint="eastAsia" w:ascii="宋体" w:hAnsi="宋体"/>
                <w:color w:val="auto"/>
                <w:highlight w:val="none"/>
              </w:rPr>
              <w:t>…</w:t>
            </w:r>
          </w:p>
        </w:tc>
        <w:tc>
          <w:tcPr>
            <w:tcW w:w="6839" w:type="dxa"/>
            <w:gridSpan w:val="3"/>
            <w:shd w:val="clear" w:color="auto" w:fill="auto"/>
            <w:vAlign w:val="center"/>
          </w:tcPr>
          <w:p w14:paraId="2F321BF5">
            <w:pPr>
              <w:jc w:val="center"/>
              <w:rPr>
                <w:rFonts w:ascii="宋体" w:hAnsi="宋体"/>
                <w:color w:val="auto"/>
                <w:highlight w:val="none"/>
              </w:rPr>
            </w:pPr>
          </w:p>
        </w:tc>
      </w:tr>
      <w:tr w14:paraId="3BF6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shd w:val="clear" w:color="auto" w:fill="auto"/>
            <w:vAlign w:val="center"/>
          </w:tcPr>
          <w:p w14:paraId="30E0A9AB">
            <w:pPr>
              <w:jc w:val="center"/>
              <w:rPr>
                <w:rFonts w:ascii="宋体" w:hAnsi="宋体"/>
                <w:color w:val="auto"/>
                <w:highlight w:val="none"/>
              </w:rPr>
            </w:pPr>
            <w:r>
              <w:rPr>
                <w:rFonts w:hint="eastAsia" w:ascii="宋体" w:hAnsi="宋体"/>
                <w:color w:val="auto"/>
                <w:highlight w:val="none"/>
              </w:rPr>
              <w:t>…</w:t>
            </w:r>
          </w:p>
        </w:tc>
        <w:tc>
          <w:tcPr>
            <w:tcW w:w="6839" w:type="dxa"/>
            <w:gridSpan w:val="3"/>
            <w:shd w:val="clear" w:color="auto" w:fill="auto"/>
            <w:vAlign w:val="center"/>
          </w:tcPr>
          <w:p w14:paraId="4AB160A1">
            <w:pPr>
              <w:jc w:val="center"/>
              <w:rPr>
                <w:rFonts w:ascii="宋体" w:hAnsi="宋体"/>
                <w:color w:val="auto"/>
                <w:highlight w:val="none"/>
              </w:rPr>
            </w:pPr>
          </w:p>
        </w:tc>
      </w:tr>
      <w:tr w14:paraId="5E4A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279" w:type="dxa"/>
            <w:shd w:val="clear" w:color="auto" w:fill="auto"/>
            <w:vAlign w:val="center"/>
          </w:tcPr>
          <w:p w14:paraId="69CCF3C8">
            <w:pPr>
              <w:jc w:val="center"/>
              <w:rPr>
                <w:rFonts w:ascii="宋体" w:hAnsi="宋体"/>
                <w:color w:val="auto"/>
                <w:highlight w:val="none"/>
              </w:rPr>
            </w:pPr>
            <w:r>
              <w:rPr>
                <w:rFonts w:hint="eastAsia" w:ascii="宋体" w:hAnsi="宋体"/>
                <w:color w:val="auto"/>
                <w:highlight w:val="none"/>
              </w:rPr>
              <w:t>企业归属地</w:t>
            </w:r>
          </w:p>
        </w:tc>
        <w:tc>
          <w:tcPr>
            <w:tcW w:w="6839" w:type="dxa"/>
            <w:gridSpan w:val="3"/>
            <w:shd w:val="clear" w:color="auto" w:fill="auto"/>
            <w:vAlign w:val="center"/>
          </w:tcPr>
          <w:p w14:paraId="46ED37AD">
            <w:pPr>
              <w:jc w:val="center"/>
              <w:rPr>
                <w:rFonts w:ascii="宋体" w:hAnsi="宋体"/>
                <w:color w:val="auto"/>
                <w:highlight w:val="none"/>
              </w:rPr>
            </w:pPr>
            <w:r>
              <w:rPr>
                <w:rFonts w:hint="eastAsia" w:ascii="宋体" w:hAnsi="宋体"/>
                <w:color w:val="auto"/>
                <w:highlight w:val="none"/>
              </w:rPr>
              <w:t xml:space="preserve">□省内企业 </w:t>
            </w:r>
            <w:r>
              <w:rPr>
                <w:rFonts w:ascii="宋体" w:hAnsi="宋体"/>
                <w:color w:val="auto"/>
                <w:highlight w:val="none"/>
              </w:rPr>
              <w:t xml:space="preserve">       </w:t>
            </w:r>
            <w:r>
              <w:rPr>
                <w:rFonts w:hint="eastAsia" w:ascii="宋体" w:hAnsi="宋体"/>
                <w:color w:val="auto"/>
                <w:highlight w:val="none"/>
              </w:rPr>
              <w:t>□省外企业</w:t>
            </w:r>
          </w:p>
        </w:tc>
      </w:tr>
      <w:tr w14:paraId="0AEE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2279" w:type="dxa"/>
            <w:shd w:val="clear" w:color="auto" w:fill="auto"/>
            <w:vAlign w:val="center"/>
          </w:tcPr>
          <w:p w14:paraId="7FF40256">
            <w:pPr>
              <w:jc w:val="center"/>
              <w:rPr>
                <w:rFonts w:ascii="宋体" w:hAnsi="宋体"/>
                <w:color w:val="auto"/>
                <w:highlight w:val="none"/>
              </w:rPr>
            </w:pPr>
            <w:r>
              <w:rPr>
                <w:rFonts w:hint="eastAsia" w:ascii="宋体" w:hAnsi="宋体"/>
                <w:color w:val="auto"/>
                <w:highlight w:val="none"/>
              </w:rPr>
              <w:t>在辽负责人姓名</w:t>
            </w:r>
          </w:p>
        </w:tc>
        <w:tc>
          <w:tcPr>
            <w:tcW w:w="2279" w:type="dxa"/>
            <w:shd w:val="clear" w:color="auto" w:fill="auto"/>
            <w:vAlign w:val="center"/>
          </w:tcPr>
          <w:p w14:paraId="65FFC673">
            <w:pPr>
              <w:jc w:val="center"/>
              <w:rPr>
                <w:rFonts w:ascii="宋体" w:hAnsi="宋体"/>
                <w:color w:val="auto"/>
                <w:highlight w:val="none"/>
              </w:rPr>
            </w:pPr>
          </w:p>
        </w:tc>
        <w:tc>
          <w:tcPr>
            <w:tcW w:w="2280" w:type="dxa"/>
            <w:shd w:val="clear" w:color="auto" w:fill="auto"/>
            <w:vAlign w:val="center"/>
          </w:tcPr>
          <w:p w14:paraId="21EFAE09">
            <w:pPr>
              <w:jc w:val="center"/>
              <w:rPr>
                <w:rFonts w:ascii="宋体" w:hAnsi="宋体"/>
                <w:color w:val="auto"/>
                <w:highlight w:val="none"/>
              </w:rPr>
            </w:pPr>
            <w:r>
              <w:rPr>
                <w:rFonts w:hint="eastAsia" w:ascii="宋体" w:hAnsi="宋体"/>
                <w:color w:val="auto"/>
                <w:highlight w:val="none"/>
              </w:rPr>
              <w:t>电话</w:t>
            </w:r>
          </w:p>
        </w:tc>
        <w:tc>
          <w:tcPr>
            <w:tcW w:w="2280" w:type="dxa"/>
            <w:shd w:val="clear" w:color="auto" w:fill="auto"/>
            <w:vAlign w:val="center"/>
          </w:tcPr>
          <w:p w14:paraId="53D956CC">
            <w:pPr>
              <w:jc w:val="center"/>
              <w:rPr>
                <w:rFonts w:ascii="宋体" w:hAnsi="宋体"/>
                <w:color w:val="auto"/>
                <w:highlight w:val="none"/>
              </w:rPr>
            </w:pPr>
          </w:p>
        </w:tc>
      </w:tr>
      <w:tr w14:paraId="2B2C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2279" w:type="dxa"/>
            <w:shd w:val="clear" w:color="auto" w:fill="auto"/>
            <w:vAlign w:val="center"/>
          </w:tcPr>
          <w:p w14:paraId="5092F7BC">
            <w:pPr>
              <w:jc w:val="center"/>
              <w:rPr>
                <w:rFonts w:ascii="宋体" w:hAnsi="宋体"/>
                <w:color w:val="auto"/>
                <w:highlight w:val="none"/>
              </w:rPr>
            </w:pPr>
            <w:r>
              <w:rPr>
                <w:rFonts w:hint="eastAsia" w:ascii="宋体" w:hAnsi="宋体"/>
                <w:color w:val="auto"/>
                <w:highlight w:val="none"/>
              </w:rPr>
              <w:t>入辽登记有效期</w:t>
            </w:r>
          </w:p>
        </w:tc>
        <w:tc>
          <w:tcPr>
            <w:tcW w:w="6839" w:type="dxa"/>
            <w:gridSpan w:val="3"/>
            <w:shd w:val="clear" w:color="auto" w:fill="auto"/>
            <w:vAlign w:val="center"/>
          </w:tcPr>
          <w:p w14:paraId="613806CC">
            <w:pPr>
              <w:jc w:val="center"/>
              <w:rPr>
                <w:rFonts w:ascii="宋体" w:hAnsi="宋体"/>
                <w:color w:val="auto"/>
                <w:highlight w:val="none"/>
              </w:rPr>
            </w:pPr>
            <w:r>
              <w:rPr>
                <w:rFonts w:hint="eastAsia" w:ascii="宋体" w:hAnsi="宋体"/>
                <w:color w:val="auto"/>
                <w:highlight w:val="none"/>
              </w:rPr>
              <w:t xml:space="preserve">年  </w:t>
            </w:r>
            <w:r>
              <w:rPr>
                <w:rFonts w:ascii="宋体" w:hAnsi="宋体"/>
                <w:color w:val="auto"/>
                <w:highlight w:val="none"/>
              </w:rPr>
              <w:t xml:space="preserve"> </w:t>
            </w:r>
            <w:r>
              <w:rPr>
                <w:rFonts w:hint="eastAsia" w:ascii="宋体" w:hAnsi="宋体"/>
                <w:color w:val="auto"/>
                <w:highlight w:val="none"/>
              </w:rPr>
              <w:t xml:space="preserve">月 </w:t>
            </w:r>
            <w:r>
              <w:rPr>
                <w:rFonts w:ascii="宋体" w:hAnsi="宋体"/>
                <w:color w:val="auto"/>
                <w:highlight w:val="none"/>
              </w:rPr>
              <w:t xml:space="preserve">   </w:t>
            </w:r>
            <w:r>
              <w:rPr>
                <w:rFonts w:hint="eastAsia" w:ascii="宋体" w:hAnsi="宋体"/>
                <w:color w:val="auto"/>
                <w:highlight w:val="none"/>
              </w:rPr>
              <w:t>日</w:t>
            </w:r>
          </w:p>
        </w:tc>
      </w:tr>
    </w:tbl>
    <w:p w14:paraId="436B5592">
      <w:pPr>
        <w:ind w:left="945" w:hanging="945" w:hangingChars="450"/>
        <w:rPr>
          <w:color w:val="auto"/>
          <w:highlight w:val="none"/>
        </w:rPr>
      </w:pPr>
      <w:r>
        <w:rPr>
          <w:rFonts w:hint="eastAsia"/>
          <w:color w:val="auto"/>
          <w:highlight w:val="none"/>
        </w:rPr>
        <w:t>备注：联合体投标的，联合体各成员均应附</w:t>
      </w:r>
      <w:r>
        <w:rPr>
          <w:rFonts w:hint="eastAsia" w:ascii="Times New Roman" w:hAnsi="Times New Roman" w:cs="宋体"/>
          <w:b w:val="0"/>
          <w:color w:val="auto"/>
          <w:szCs w:val="24"/>
          <w:highlight w:val="none"/>
        </w:rPr>
        <w:t>在辽基本信息登记单</w:t>
      </w:r>
      <w:r>
        <w:rPr>
          <w:rFonts w:hint="eastAsia"/>
          <w:color w:val="auto"/>
          <w:highlight w:val="none"/>
        </w:rPr>
        <w:t>。</w:t>
      </w:r>
    </w:p>
    <w:p w14:paraId="66515187">
      <w:pPr>
        <w:rPr>
          <w:color w:val="auto"/>
          <w:highlight w:val="none"/>
        </w:rPr>
        <w:sectPr>
          <w:footerReference r:id="rId70" w:type="default"/>
          <w:pgSz w:w="11907" w:h="16840"/>
          <w:pgMar w:top="1701" w:right="1531" w:bottom="1588" w:left="1474" w:header="851" w:footer="992" w:gutter="0"/>
          <w:pgBorders>
            <w:top w:val="none" w:sz="0" w:space="0"/>
            <w:left w:val="none" w:sz="0" w:space="0"/>
            <w:bottom w:val="none" w:sz="0" w:space="0"/>
            <w:right w:val="none" w:sz="0" w:space="0"/>
          </w:pgBorders>
          <w:pgNumType w:fmt="decimal"/>
          <w:cols w:space="720" w:num="1"/>
          <w:docGrid w:linePitch="312" w:charSpace="0"/>
        </w:sectPr>
      </w:pPr>
    </w:p>
    <w:p w14:paraId="60244C0A">
      <w:pPr>
        <w:pStyle w:val="37"/>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color w:val="auto"/>
          <w:sz w:val="28"/>
          <w:szCs w:val="28"/>
          <w:highlight w:val="none"/>
        </w:rPr>
      </w:pPr>
      <w:bookmarkStart w:id="2331" w:name="_Toc122603080"/>
      <w:bookmarkStart w:id="2332" w:name="_Toc256000220"/>
      <w:r>
        <w:rPr>
          <w:rFonts w:hint="default" w:cs="宋体"/>
          <w:color w:val="auto"/>
          <w:szCs w:val="24"/>
          <w:highlight w:val="none"/>
        </w:rPr>
        <w:t>1-4</w:t>
      </w:r>
      <w:r>
        <w:rPr>
          <w:rFonts w:hint="eastAsia" w:cs="宋体"/>
          <w:color w:val="auto"/>
          <w:szCs w:val="24"/>
          <w:highlight w:val="none"/>
          <w:lang w:val="en-US" w:eastAsia="zh-CN"/>
        </w:rPr>
        <w:t xml:space="preserve"> </w:t>
      </w:r>
      <w:r>
        <w:rPr>
          <w:rFonts w:hint="eastAsia" w:cs="宋体"/>
          <w:color w:val="auto"/>
          <w:szCs w:val="24"/>
          <w:highlight w:val="none"/>
        </w:rPr>
        <w:t>项目管理机构主要人员表</w:t>
      </w:r>
      <w:bookmarkEnd w:id="2331"/>
      <w:bookmarkEnd w:id="2332"/>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3"/>
        <w:gridCol w:w="1229"/>
        <w:gridCol w:w="796"/>
        <w:gridCol w:w="514"/>
        <w:gridCol w:w="726"/>
        <w:gridCol w:w="726"/>
        <w:gridCol w:w="933"/>
        <w:gridCol w:w="1000"/>
        <w:gridCol w:w="369"/>
        <w:gridCol w:w="676"/>
        <w:gridCol w:w="590"/>
        <w:gridCol w:w="1135"/>
        <w:gridCol w:w="966"/>
        <w:gridCol w:w="967"/>
        <w:gridCol w:w="970"/>
        <w:gridCol w:w="1091"/>
        <w:gridCol w:w="909"/>
      </w:tblGrid>
      <w:tr w14:paraId="0AAA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dxa"/>
            <w:vMerge w:val="restart"/>
            <w:tcBorders>
              <w:top w:val="single" w:color="auto" w:sz="4" w:space="0"/>
              <w:left w:val="single" w:color="auto" w:sz="4" w:space="0"/>
              <w:bottom w:val="single" w:color="auto" w:sz="4" w:space="0"/>
              <w:right w:val="single" w:color="auto" w:sz="4" w:space="0"/>
            </w:tcBorders>
            <w:vAlign w:val="center"/>
          </w:tcPr>
          <w:p w14:paraId="7FB0BC25">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eastAsia" w:ascii="Times New Roman" w:hAnsi="Times New Roman" w:eastAsia="宋体" w:cs="宋体"/>
                <w:color w:val="auto"/>
                <w:kern w:val="2"/>
                <w:sz w:val="21"/>
                <w:szCs w:val="21"/>
                <w:highlight w:val="none"/>
                <w:lang w:val="en-US" w:eastAsia="zh-CN" w:bidi="ar"/>
              </w:rPr>
              <w:t>序号</w:t>
            </w:r>
          </w:p>
        </w:tc>
        <w:tc>
          <w:tcPr>
            <w:tcW w:w="1229" w:type="dxa"/>
            <w:vMerge w:val="restart"/>
            <w:tcBorders>
              <w:top w:val="single" w:color="auto" w:sz="4" w:space="0"/>
              <w:left w:val="single" w:color="auto" w:sz="4" w:space="0"/>
              <w:bottom w:val="single" w:color="auto" w:sz="4" w:space="0"/>
              <w:right w:val="single" w:color="auto" w:sz="4" w:space="0"/>
            </w:tcBorders>
            <w:vAlign w:val="center"/>
          </w:tcPr>
          <w:p w14:paraId="1410945C">
            <w:pPr>
              <w:keepNext w:val="0"/>
              <w:keepLines w:val="0"/>
              <w:widowControl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
              </w:rPr>
              <w:t>岗位</w:t>
            </w:r>
          </w:p>
          <w:p w14:paraId="6F723AD4">
            <w:pPr>
              <w:keepNext w:val="0"/>
              <w:keepLines w:val="0"/>
              <w:widowControl w:val="0"/>
              <w:suppressLineNumbers w:val="0"/>
              <w:spacing w:before="0" w:beforeAutospacing="0" w:after="0" w:afterAutospacing="0"/>
              <w:ind w:left="0" w:leftChars="0" w:right="0" w:rightChars="0"/>
              <w:jc w:val="center"/>
              <w:rPr>
                <w:rFonts w:hint="eastAsia" w:ascii="宋体" w:hAnsi="宋体" w:cs="宋体"/>
                <w:color w:val="auto"/>
                <w:szCs w:val="21"/>
                <w:highlight w:val="none"/>
              </w:rPr>
            </w:pPr>
            <w:r>
              <w:rPr>
                <w:rFonts w:hint="eastAsia" w:ascii="Times New Roman" w:hAnsi="Times New Roman" w:eastAsia="宋体" w:cs="宋体"/>
                <w:color w:val="auto"/>
                <w:kern w:val="2"/>
                <w:sz w:val="21"/>
                <w:szCs w:val="21"/>
                <w:highlight w:val="none"/>
                <w:lang w:val="en-US" w:eastAsia="zh-CN" w:bidi="ar"/>
              </w:rPr>
              <w:t>（职务）</w:t>
            </w:r>
          </w:p>
        </w:tc>
        <w:tc>
          <w:tcPr>
            <w:tcW w:w="796" w:type="dxa"/>
            <w:vMerge w:val="restart"/>
            <w:tcBorders>
              <w:top w:val="single" w:color="auto" w:sz="4" w:space="0"/>
              <w:left w:val="single" w:color="auto" w:sz="4" w:space="0"/>
              <w:bottom w:val="single" w:color="auto" w:sz="4" w:space="0"/>
              <w:right w:val="single" w:color="auto" w:sz="4" w:space="0"/>
            </w:tcBorders>
            <w:vAlign w:val="center"/>
          </w:tcPr>
          <w:p w14:paraId="2F444113">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r>
              <w:rPr>
                <w:rFonts w:hint="eastAsia" w:ascii="Times New Roman" w:hAnsi="Times New Roman" w:eastAsia="宋体" w:cs="宋体"/>
                <w:color w:val="auto"/>
                <w:kern w:val="2"/>
                <w:sz w:val="21"/>
                <w:szCs w:val="21"/>
                <w:highlight w:val="none"/>
                <w:lang w:val="en-US" w:eastAsia="zh-CN" w:bidi="ar"/>
              </w:rPr>
              <w:t>姓名</w:t>
            </w:r>
          </w:p>
        </w:tc>
        <w:tc>
          <w:tcPr>
            <w:tcW w:w="514" w:type="dxa"/>
            <w:vMerge w:val="restart"/>
            <w:tcBorders>
              <w:top w:val="single" w:color="auto" w:sz="4" w:space="0"/>
              <w:left w:val="single" w:color="auto" w:sz="4" w:space="0"/>
              <w:bottom w:val="single" w:color="auto" w:sz="4" w:space="0"/>
              <w:right w:val="single" w:color="auto" w:sz="4" w:space="0"/>
            </w:tcBorders>
            <w:vAlign w:val="center"/>
          </w:tcPr>
          <w:p w14:paraId="3058C2D8">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r>
              <w:rPr>
                <w:rFonts w:hint="eastAsia" w:ascii="Times New Roman" w:hAnsi="Times New Roman" w:eastAsia="宋体" w:cs="宋体"/>
                <w:color w:val="auto"/>
                <w:kern w:val="2"/>
                <w:sz w:val="21"/>
                <w:szCs w:val="21"/>
                <w:highlight w:val="none"/>
                <w:lang w:val="en-US" w:eastAsia="zh-CN" w:bidi="ar"/>
              </w:rPr>
              <w:t>性别</w:t>
            </w:r>
          </w:p>
        </w:tc>
        <w:tc>
          <w:tcPr>
            <w:tcW w:w="726" w:type="dxa"/>
            <w:vMerge w:val="restart"/>
            <w:tcBorders>
              <w:top w:val="single" w:color="auto" w:sz="4" w:space="0"/>
              <w:left w:val="single" w:color="auto" w:sz="4" w:space="0"/>
              <w:bottom w:val="single" w:color="auto" w:sz="4" w:space="0"/>
              <w:right w:val="single" w:color="auto" w:sz="4" w:space="0"/>
            </w:tcBorders>
            <w:vAlign w:val="center"/>
          </w:tcPr>
          <w:p w14:paraId="71783829">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r>
              <w:rPr>
                <w:rFonts w:hint="eastAsia" w:ascii="Times New Roman" w:hAnsi="Times New Roman" w:eastAsia="宋体" w:cs="宋体"/>
                <w:color w:val="auto"/>
                <w:kern w:val="2"/>
                <w:sz w:val="21"/>
                <w:szCs w:val="21"/>
                <w:highlight w:val="none"/>
                <w:lang w:val="en-US" w:eastAsia="zh-CN" w:bidi="ar"/>
              </w:rPr>
              <w:t>年龄</w:t>
            </w:r>
          </w:p>
        </w:tc>
        <w:tc>
          <w:tcPr>
            <w:tcW w:w="726" w:type="dxa"/>
            <w:vMerge w:val="restart"/>
            <w:tcBorders>
              <w:top w:val="single" w:color="auto" w:sz="4" w:space="0"/>
              <w:left w:val="single" w:color="auto" w:sz="4" w:space="0"/>
              <w:bottom w:val="single" w:color="auto" w:sz="4" w:space="0"/>
              <w:right w:val="single" w:color="auto" w:sz="4" w:space="0"/>
            </w:tcBorders>
            <w:vAlign w:val="center"/>
          </w:tcPr>
          <w:p w14:paraId="1C8FD792">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r>
              <w:rPr>
                <w:rFonts w:hint="eastAsia" w:ascii="Times New Roman" w:hAnsi="Times New Roman" w:eastAsia="宋体" w:cs="宋体"/>
                <w:color w:val="auto"/>
                <w:kern w:val="2"/>
                <w:sz w:val="21"/>
                <w:szCs w:val="21"/>
                <w:highlight w:val="none"/>
                <w:lang w:val="en-US" w:eastAsia="zh-CN" w:bidi="ar"/>
              </w:rPr>
              <w:t>学历</w:t>
            </w:r>
          </w:p>
        </w:tc>
        <w:tc>
          <w:tcPr>
            <w:tcW w:w="933" w:type="dxa"/>
            <w:vMerge w:val="restart"/>
            <w:tcBorders>
              <w:top w:val="single" w:color="auto" w:sz="4" w:space="0"/>
              <w:left w:val="single" w:color="auto" w:sz="4" w:space="0"/>
              <w:bottom w:val="single" w:color="auto" w:sz="4" w:space="0"/>
              <w:right w:val="single" w:color="auto" w:sz="4" w:space="0"/>
            </w:tcBorders>
            <w:vAlign w:val="center"/>
          </w:tcPr>
          <w:p w14:paraId="530874F0">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r>
              <w:rPr>
                <w:rFonts w:hint="eastAsia" w:ascii="Times New Roman" w:hAnsi="Times New Roman" w:eastAsia="宋体" w:cs="宋体"/>
                <w:color w:val="auto"/>
                <w:kern w:val="2"/>
                <w:sz w:val="21"/>
                <w:szCs w:val="21"/>
                <w:highlight w:val="none"/>
                <w:lang w:val="en-US" w:eastAsia="zh-CN" w:bidi="ar"/>
              </w:rPr>
              <w:t>所学专业</w:t>
            </w:r>
          </w:p>
        </w:tc>
        <w:tc>
          <w:tcPr>
            <w:tcW w:w="1000" w:type="dxa"/>
            <w:vMerge w:val="restart"/>
            <w:tcBorders>
              <w:top w:val="single" w:color="auto" w:sz="4" w:space="0"/>
              <w:left w:val="single" w:color="auto" w:sz="4" w:space="0"/>
              <w:bottom w:val="single" w:color="auto" w:sz="4" w:space="0"/>
              <w:right w:val="single" w:color="auto" w:sz="4" w:space="0"/>
            </w:tcBorders>
            <w:vAlign w:val="center"/>
          </w:tcPr>
          <w:p w14:paraId="412ACEFD">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eastAsia" w:ascii="Times New Roman" w:hAnsi="Times New Roman" w:eastAsia="宋体" w:cs="宋体"/>
                <w:color w:val="auto"/>
                <w:kern w:val="2"/>
                <w:sz w:val="21"/>
                <w:szCs w:val="21"/>
                <w:highlight w:val="none"/>
                <w:lang w:val="en-US" w:eastAsia="zh-CN" w:bidi="ar"/>
              </w:rPr>
              <w:t>专业工作年限</w:t>
            </w:r>
          </w:p>
        </w:tc>
        <w:tc>
          <w:tcPr>
            <w:tcW w:w="1635" w:type="dxa"/>
            <w:gridSpan w:val="3"/>
            <w:tcBorders>
              <w:top w:val="single" w:color="auto" w:sz="4" w:space="0"/>
              <w:left w:val="single" w:color="auto" w:sz="4" w:space="0"/>
              <w:bottom w:val="single" w:color="auto" w:sz="4" w:space="0"/>
              <w:right w:val="single" w:color="auto" w:sz="4" w:space="0"/>
            </w:tcBorders>
            <w:vAlign w:val="center"/>
          </w:tcPr>
          <w:p w14:paraId="4F4AB7E9">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eastAsia" w:ascii="Times New Roman" w:hAnsi="Times New Roman" w:eastAsia="宋体" w:cs="宋体"/>
                <w:color w:val="auto"/>
                <w:kern w:val="2"/>
                <w:sz w:val="21"/>
                <w:szCs w:val="21"/>
                <w:highlight w:val="none"/>
                <w:lang w:val="en-US" w:eastAsia="zh-CN" w:bidi="ar"/>
              </w:rPr>
              <w:t>专业技术职称</w:t>
            </w:r>
          </w:p>
        </w:tc>
        <w:tc>
          <w:tcPr>
            <w:tcW w:w="4038" w:type="dxa"/>
            <w:gridSpan w:val="4"/>
            <w:tcBorders>
              <w:top w:val="single" w:color="auto" w:sz="4" w:space="0"/>
              <w:left w:val="single" w:color="auto" w:sz="4" w:space="0"/>
              <w:bottom w:val="single" w:color="auto" w:sz="4" w:space="0"/>
              <w:right w:val="single" w:color="auto" w:sz="4" w:space="0"/>
            </w:tcBorders>
            <w:vAlign w:val="center"/>
          </w:tcPr>
          <w:p w14:paraId="490989D7">
            <w:pPr>
              <w:keepNext w:val="0"/>
              <w:keepLines w:val="0"/>
              <w:widowControl w:val="0"/>
              <w:suppressLineNumbers w:val="0"/>
              <w:spacing w:before="0" w:beforeAutospacing="0" w:after="0" w:afterAutospacing="0" w:line="420" w:lineRule="exact"/>
              <w:ind w:left="0" w:leftChars="0" w:right="0" w:rightChars="0"/>
              <w:jc w:val="center"/>
              <w:rPr>
                <w:rFonts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
              </w:rPr>
              <w:t>执业或职业资格证明</w:t>
            </w:r>
          </w:p>
        </w:tc>
        <w:tc>
          <w:tcPr>
            <w:tcW w:w="1091" w:type="dxa"/>
            <w:vMerge w:val="restart"/>
            <w:tcBorders>
              <w:top w:val="single" w:color="auto" w:sz="4" w:space="0"/>
              <w:left w:val="single" w:color="auto" w:sz="4" w:space="0"/>
              <w:bottom w:val="single" w:color="auto" w:sz="4" w:space="0"/>
              <w:right w:val="single" w:color="auto" w:sz="4" w:space="0"/>
            </w:tcBorders>
            <w:vAlign w:val="center"/>
          </w:tcPr>
          <w:p w14:paraId="60179560">
            <w:pPr>
              <w:keepNext w:val="0"/>
              <w:keepLines w:val="0"/>
              <w:widowControl w:val="0"/>
              <w:suppressLineNumbers w:val="0"/>
              <w:spacing w:before="0" w:beforeAutospacing="0" w:after="0" w:afterAutospacing="0" w:line="420" w:lineRule="exact"/>
              <w:ind w:left="0" w:leftChars="0" w:right="0" w:rightChars="0"/>
              <w:jc w:val="center"/>
              <w:rPr>
                <w:rFonts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
              </w:rPr>
              <w:t>社会保险</w:t>
            </w:r>
          </w:p>
        </w:tc>
        <w:tc>
          <w:tcPr>
            <w:tcW w:w="909" w:type="dxa"/>
            <w:vMerge w:val="restart"/>
            <w:tcBorders>
              <w:top w:val="single" w:color="auto" w:sz="4" w:space="0"/>
              <w:left w:val="single" w:color="auto" w:sz="4" w:space="0"/>
              <w:bottom w:val="single" w:color="auto" w:sz="4" w:space="0"/>
              <w:right w:val="single" w:color="auto" w:sz="4" w:space="0"/>
            </w:tcBorders>
            <w:vAlign w:val="center"/>
          </w:tcPr>
          <w:p w14:paraId="06457481">
            <w:pPr>
              <w:keepNext w:val="0"/>
              <w:keepLines w:val="0"/>
              <w:widowControl w:val="0"/>
              <w:suppressLineNumbers w:val="0"/>
              <w:spacing w:before="0" w:beforeAutospacing="0" w:after="0" w:afterAutospacing="0" w:line="420" w:lineRule="exact"/>
              <w:ind w:left="0" w:right="0"/>
              <w:jc w:val="center"/>
              <w:rPr>
                <w:color w:val="auto"/>
                <w:szCs w:val="21"/>
                <w:highlight w:val="none"/>
              </w:rPr>
            </w:pPr>
            <w:r>
              <w:rPr>
                <w:rFonts w:hint="eastAsia" w:ascii="Times New Roman" w:hAnsi="Times New Roman" w:eastAsia="宋体" w:cs="宋体"/>
                <w:color w:val="auto"/>
                <w:kern w:val="2"/>
                <w:sz w:val="21"/>
                <w:szCs w:val="21"/>
                <w:highlight w:val="none"/>
                <w:lang w:val="en-US" w:eastAsia="zh-CN" w:bidi="ar"/>
              </w:rPr>
              <w:t>执业或</w:t>
            </w:r>
          </w:p>
          <w:p w14:paraId="3A5BE591">
            <w:pPr>
              <w:keepNext w:val="0"/>
              <w:keepLines w:val="0"/>
              <w:widowControl w:val="0"/>
              <w:suppressLineNumbers w:val="0"/>
              <w:spacing w:before="0" w:beforeAutospacing="0" w:after="0" w:afterAutospacing="0" w:line="420" w:lineRule="exact"/>
              <w:ind w:left="0" w:leftChars="0" w:right="0" w:rightChars="0"/>
              <w:jc w:val="center"/>
              <w:rPr>
                <w:rFonts w:ascii="宋体" w:hAnsi="宋体" w:cs="宋体"/>
                <w:color w:val="auto"/>
                <w:szCs w:val="21"/>
                <w:highlight w:val="none"/>
                <w:vertAlign w:val="superscript"/>
              </w:rPr>
            </w:pPr>
            <w:r>
              <w:rPr>
                <w:rFonts w:hint="eastAsia" w:ascii="Times New Roman" w:hAnsi="Times New Roman" w:eastAsia="宋体" w:cs="宋体"/>
                <w:color w:val="auto"/>
                <w:kern w:val="2"/>
                <w:sz w:val="21"/>
                <w:szCs w:val="21"/>
                <w:highlight w:val="none"/>
                <w:lang w:val="en-US" w:eastAsia="zh-CN" w:bidi="ar"/>
              </w:rPr>
              <w:t>职业单位</w:t>
            </w:r>
          </w:p>
        </w:tc>
      </w:tr>
      <w:tr w14:paraId="26E3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dxa"/>
            <w:vMerge w:val="continue"/>
            <w:tcBorders>
              <w:top w:val="single" w:color="auto" w:sz="4" w:space="0"/>
              <w:left w:val="single" w:color="auto" w:sz="4" w:space="0"/>
              <w:bottom w:val="single" w:color="auto" w:sz="4" w:space="0"/>
              <w:right w:val="single" w:color="auto" w:sz="4" w:space="0"/>
            </w:tcBorders>
            <w:vAlign w:val="center"/>
          </w:tcPr>
          <w:p w14:paraId="0A63ECBF">
            <w:pPr>
              <w:rPr>
                <w:rFonts w:ascii="宋体" w:hAnsi="宋体" w:cs="宋体"/>
                <w:color w:val="auto"/>
                <w:szCs w:val="21"/>
                <w:highlight w:val="none"/>
              </w:rPr>
            </w:pPr>
          </w:p>
        </w:tc>
        <w:tc>
          <w:tcPr>
            <w:tcW w:w="1229" w:type="dxa"/>
            <w:vMerge w:val="continue"/>
            <w:tcBorders>
              <w:top w:val="single" w:color="auto" w:sz="4" w:space="0"/>
              <w:left w:val="single" w:color="auto" w:sz="4" w:space="0"/>
              <w:bottom w:val="single" w:color="auto" w:sz="4" w:space="0"/>
              <w:right w:val="single" w:color="auto" w:sz="4" w:space="0"/>
            </w:tcBorders>
            <w:vAlign w:val="center"/>
          </w:tcPr>
          <w:p w14:paraId="2F6E9F57">
            <w:pPr>
              <w:rPr>
                <w:rFonts w:ascii="宋体" w:hAnsi="宋体" w:cs="宋体"/>
                <w:color w:val="auto"/>
                <w:szCs w:val="21"/>
                <w:highlight w:val="none"/>
              </w:rPr>
            </w:pPr>
          </w:p>
        </w:tc>
        <w:tc>
          <w:tcPr>
            <w:tcW w:w="796" w:type="dxa"/>
            <w:vMerge w:val="continue"/>
            <w:tcBorders>
              <w:top w:val="single" w:color="auto" w:sz="4" w:space="0"/>
              <w:left w:val="single" w:color="auto" w:sz="4" w:space="0"/>
              <w:bottom w:val="single" w:color="auto" w:sz="4" w:space="0"/>
              <w:right w:val="single" w:color="auto" w:sz="4" w:space="0"/>
            </w:tcBorders>
            <w:vAlign w:val="center"/>
          </w:tcPr>
          <w:p w14:paraId="05BC430D">
            <w:pPr>
              <w:rPr>
                <w:rFonts w:ascii="宋体" w:hAnsi="宋体" w:cs="宋体"/>
                <w:color w:val="auto"/>
                <w:szCs w:val="21"/>
                <w:highlight w:val="none"/>
              </w:rPr>
            </w:pPr>
          </w:p>
        </w:tc>
        <w:tc>
          <w:tcPr>
            <w:tcW w:w="514" w:type="dxa"/>
            <w:vMerge w:val="continue"/>
            <w:tcBorders>
              <w:top w:val="single" w:color="auto" w:sz="4" w:space="0"/>
              <w:left w:val="single" w:color="auto" w:sz="4" w:space="0"/>
              <w:bottom w:val="single" w:color="auto" w:sz="4" w:space="0"/>
              <w:right w:val="single" w:color="auto" w:sz="4" w:space="0"/>
            </w:tcBorders>
            <w:vAlign w:val="center"/>
          </w:tcPr>
          <w:p w14:paraId="4A77F4B1">
            <w:pPr>
              <w:rPr>
                <w:rFonts w:ascii="宋体" w:hAnsi="宋体" w:cs="宋体"/>
                <w:color w:val="auto"/>
                <w:szCs w:val="21"/>
                <w:highlight w:val="none"/>
              </w:rPr>
            </w:pPr>
          </w:p>
        </w:tc>
        <w:tc>
          <w:tcPr>
            <w:tcW w:w="726" w:type="dxa"/>
            <w:vMerge w:val="continue"/>
            <w:tcBorders>
              <w:top w:val="single" w:color="auto" w:sz="4" w:space="0"/>
              <w:left w:val="single" w:color="auto" w:sz="4" w:space="0"/>
              <w:bottom w:val="single" w:color="auto" w:sz="4" w:space="0"/>
              <w:right w:val="single" w:color="auto" w:sz="4" w:space="0"/>
            </w:tcBorders>
            <w:vAlign w:val="center"/>
          </w:tcPr>
          <w:p w14:paraId="09E5A6A2">
            <w:pPr>
              <w:rPr>
                <w:rFonts w:ascii="宋体" w:hAnsi="宋体" w:cs="宋体"/>
                <w:color w:val="auto"/>
                <w:szCs w:val="21"/>
                <w:highlight w:val="none"/>
              </w:rPr>
            </w:pPr>
          </w:p>
        </w:tc>
        <w:tc>
          <w:tcPr>
            <w:tcW w:w="726" w:type="dxa"/>
            <w:vMerge w:val="continue"/>
            <w:tcBorders>
              <w:top w:val="single" w:color="auto" w:sz="4" w:space="0"/>
              <w:left w:val="single" w:color="auto" w:sz="4" w:space="0"/>
              <w:bottom w:val="single" w:color="auto" w:sz="4" w:space="0"/>
              <w:right w:val="single" w:color="auto" w:sz="4" w:space="0"/>
            </w:tcBorders>
            <w:vAlign w:val="center"/>
          </w:tcPr>
          <w:p w14:paraId="3D374BCC">
            <w:pPr>
              <w:rPr>
                <w:rFonts w:ascii="宋体" w:hAnsi="宋体" w:cs="宋体"/>
                <w:color w:val="auto"/>
                <w:szCs w:val="21"/>
                <w:highlight w:val="none"/>
              </w:rPr>
            </w:pPr>
          </w:p>
        </w:tc>
        <w:tc>
          <w:tcPr>
            <w:tcW w:w="933" w:type="dxa"/>
            <w:vMerge w:val="continue"/>
            <w:tcBorders>
              <w:top w:val="single" w:color="auto" w:sz="4" w:space="0"/>
              <w:left w:val="single" w:color="auto" w:sz="4" w:space="0"/>
              <w:bottom w:val="single" w:color="auto" w:sz="4" w:space="0"/>
              <w:right w:val="single" w:color="auto" w:sz="4" w:space="0"/>
            </w:tcBorders>
            <w:vAlign w:val="center"/>
          </w:tcPr>
          <w:p w14:paraId="37BFF83D">
            <w:pPr>
              <w:rPr>
                <w:rFonts w:ascii="宋体" w:hAnsi="宋体" w:cs="宋体"/>
                <w:color w:val="auto"/>
                <w:szCs w:val="21"/>
                <w:highlight w:val="none"/>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14:paraId="47BB6BD7">
            <w:pPr>
              <w:rPr>
                <w:rFonts w:ascii="宋体" w:hAnsi="宋体" w:cs="宋体"/>
                <w:color w:val="auto"/>
                <w:szCs w:val="21"/>
                <w:highlight w:val="none"/>
              </w:rPr>
            </w:pPr>
          </w:p>
        </w:tc>
        <w:tc>
          <w:tcPr>
            <w:tcW w:w="369" w:type="dxa"/>
            <w:tcBorders>
              <w:top w:val="single" w:color="auto" w:sz="4" w:space="0"/>
              <w:left w:val="single" w:color="auto" w:sz="4" w:space="0"/>
              <w:bottom w:val="single" w:color="auto" w:sz="4" w:space="0"/>
              <w:right w:val="single" w:color="auto" w:sz="4" w:space="0"/>
            </w:tcBorders>
            <w:vAlign w:val="center"/>
          </w:tcPr>
          <w:p w14:paraId="6F0FEEA5">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eastAsia" w:ascii="Times New Roman" w:hAnsi="Times New Roman" w:eastAsia="宋体" w:cs="宋体"/>
                <w:color w:val="auto"/>
                <w:kern w:val="2"/>
                <w:sz w:val="21"/>
                <w:szCs w:val="21"/>
                <w:highlight w:val="none"/>
                <w:lang w:val="en-US" w:eastAsia="zh-CN" w:bidi="ar"/>
              </w:rPr>
              <w:t>级别</w:t>
            </w:r>
          </w:p>
        </w:tc>
        <w:tc>
          <w:tcPr>
            <w:tcW w:w="676" w:type="dxa"/>
            <w:tcBorders>
              <w:top w:val="single" w:color="auto" w:sz="4" w:space="0"/>
              <w:left w:val="single" w:color="auto" w:sz="4" w:space="0"/>
              <w:bottom w:val="single" w:color="auto" w:sz="4" w:space="0"/>
              <w:right w:val="single" w:color="auto" w:sz="4" w:space="0"/>
            </w:tcBorders>
            <w:vAlign w:val="center"/>
          </w:tcPr>
          <w:p w14:paraId="6F7065BF">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eastAsia" w:ascii="Times New Roman" w:hAnsi="Times New Roman" w:eastAsia="宋体" w:cs="宋体"/>
                <w:color w:val="auto"/>
                <w:kern w:val="2"/>
                <w:sz w:val="21"/>
                <w:szCs w:val="21"/>
                <w:highlight w:val="none"/>
                <w:lang w:val="en-US" w:eastAsia="zh-CN" w:bidi="ar"/>
              </w:rPr>
              <w:t>职称专业</w:t>
            </w:r>
          </w:p>
        </w:tc>
        <w:tc>
          <w:tcPr>
            <w:tcW w:w="590" w:type="dxa"/>
            <w:tcBorders>
              <w:top w:val="single" w:color="auto" w:sz="4" w:space="0"/>
              <w:left w:val="single" w:color="auto" w:sz="4" w:space="0"/>
              <w:bottom w:val="single" w:color="auto" w:sz="4" w:space="0"/>
              <w:right w:val="single" w:color="auto" w:sz="4" w:space="0"/>
            </w:tcBorders>
            <w:vAlign w:val="center"/>
          </w:tcPr>
          <w:p w14:paraId="464114FD">
            <w:pPr>
              <w:keepNext w:val="0"/>
              <w:keepLines w:val="0"/>
              <w:widowControl w:val="0"/>
              <w:suppressLineNumbers w:val="0"/>
              <w:spacing w:before="0" w:beforeAutospacing="0" w:after="0" w:afterAutospacing="0"/>
              <w:ind w:left="0" w:leftChars="0" w:right="0" w:rightChars="0"/>
              <w:jc w:val="center"/>
              <w:rPr>
                <w:color w:val="auto"/>
                <w:highlight w:val="none"/>
              </w:rPr>
            </w:pPr>
            <w:r>
              <w:rPr>
                <w:rFonts w:hint="eastAsia" w:ascii="Times New Roman" w:hAnsi="Times New Roman" w:eastAsia="宋体" w:cs="宋体"/>
                <w:color w:val="auto"/>
                <w:kern w:val="2"/>
                <w:sz w:val="21"/>
                <w:szCs w:val="21"/>
                <w:highlight w:val="none"/>
                <w:lang w:val="en-US" w:eastAsia="zh-CN" w:bidi="ar"/>
              </w:rPr>
              <w:t>职称专业类别</w:t>
            </w:r>
          </w:p>
        </w:tc>
        <w:tc>
          <w:tcPr>
            <w:tcW w:w="1135" w:type="dxa"/>
            <w:tcBorders>
              <w:top w:val="single" w:color="auto" w:sz="4" w:space="0"/>
              <w:left w:val="single" w:color="auto" w:sz="4" w:space="0"/>
              <w:bottom w:val="single" w:color="auto" w:sz="4" w:space="0"/>
              <w:right w:val="single" w:color="auto" w:sz="4" w:space="0"/>
            </w:tcBorders>
            <w:vAlign w:val="center"/>
          </w:tcPr>
          <w:p w14:paraId="5BF42DA8">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
              </w:rPr>
              <w:t>证书名称</w:t>
            </w:r>
          </w:p>
        </w:tc>
        <w:tc>
          <w:tcPr>
            <w:tcW w:w="966" w:type="dxa"/>
            <w:tcBorders>
              <w:top w:val="single" w:color="auto" w:sz="4" w:space="0"/>
              <w:left w:val="single" w:color="auto" w:sz="4" w:space="0"/>
              <w:bottom w:val="single" w:color="auto" w:sz="4" w:space="0"/>
              <w:right w:val="single" w:color="auto" w:sz="4" w:space="0"/>
            </w:tcBorders>
            <w:vAlign w:val="center"/>
          </w:tcPr>
          <w:p w14:paraId="0770983F">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
              </w:rPr>
              <w:t>级别</w:t>
            </w:r>
          </w:p>
        </w:tc>
        <w:tc>
          <w:tcPr>
            <w:tcW w:w="967" w:type="dxa"/>
            <w:tcBorders>
              <w:top w:val="single" w:color="auto" w:sz="4" w:space="0"/>
              <w:left w:val="single" w:color="auto" w:sz="4" w:space="0"/>
              <w:bottom w:val="single" w:color="auto" w:sz="4" w:space="0"/>
              <w:right w:val="single" w:color="auto" w:sz="4" w:space="0"/>
            </w:tcBorders>
            <w:vAlign w:val="center"/>
          </w:tcPr>
          <w:p w14:paraId="0E8BCACB">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
              </w:rPr>
              <w:t>证号</w:t>
            </w:r>
          </w:p>
        </w:tc>
        <w:tc>
          <w:tcPr>
            <w:tcW w:w="970" w:type="dxa"/>
            <w:tcBorders>
              <w:top w:val="single" w:color="auto" w:sz="4" w:space="0"/>
              <w:left w:val="single" w:color="auto" w:sz="4" w:space="0"/>
              <w:bottom w:val="single" w:color="auto" w:sz="4" w:space="0"/>
              <w:right w:val="single" w:color="auto" w:sz="4" w:space="0"/>
            </w:tcBorders>
            <w:vAlign w:val="center"/>
          </w:tcPr>
          <w:p w14:paraId="11C76122">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
              </w:rPr>
              <w:t>专业</w:t>
            </w:r>
          </w:p>
        </w:tc>
        <w:tc>
          <w:tcPr>
            <w:tcW w:w="1091" w:type="dxa"/>
            <w:vMerge w:val="continue"/>
            <w:tcBorders>
              <w:top w:val="single" w:color="auto" w:sz="4" w:space="0"/>
              <w:left w:val="single" w:color="auto" w:sz="4" w:space="0"/>
              <w:bottom w:val="single" w:color="auto" w:sz="4" w:space="0"/>
              <w:right w:val="single" w:color="auto" w:sz="4" w:space="0"/>
            </w:tcBorders>
            <w:vAlign w:val="center"/>
          </w:tcPr>
          <w:p w14:paraId="42843131">
            <w:pPr>
              <w:rPr>
                <w:rFonts w:ascii="宋体" w:hAnsi="宋体" w:cs="宋体"/>
                <w:color w:val="auto"/>
                <w:szCs w:val="21"/>
                <w:highlight w:val="none"/>
              </w:rPr>
            </w:pPr>
          </w:p>
        </w:tc>
        <w:tc>
          <w:tcPr>
            <w:tcW w:w="909" w:type="dxa"/>
            <w:vMerge w:val="continue"/>
            <w:tcBorders>
              <w:top w:val="single" w:color="auto" w:sz="4" w:space="0"/>
              <w:left w:val="single" w:color="auto" w:sz="4" w:space="0"/>
              <w:bottom w:val="single" w:color="auto" w:sz="4" w:space="0"/>
              <w:right w:val="single" w:color="auto" w:sz="4" w:space="0"/>
            </w:tcBorders>
            <w:vAlign w:val="center"/>
          </w:tcPr>
          <w:p w14:paraId="30346EDF">
            <w:pPr>
              <w:rPr>
                <w:rFonts w:ascii="宋体" w:hAnsi="宋体" w:cs="宋体"/>
                <w:color w:val="auto"/>
                <w:szCs w:val="21"/>
                <w:highlight w:val="none"/>
              </w:rPr>
            </w:pPr>
          </w:p>
        </w:tc>
      </w:tr>
      <w:tr w14:paraId="6115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tcBorders>
              <w:top w:val="single" w:color="auto" w:sz="4" w:space="0"/>
              <w:left w:val="single" w:color="auto" w:sz="4" w:space="0"/>
              <w:bottom w:val="single" w:color="auto" w:sz="4" w:space="0"/>
              <w:right w:val="single" w:color="auto" w:sz="4" w:space="0"/>
            </w:tcBorders>
            <w:vAlign w:val="center"/>
          </w:tcPr>
          <w:p w14:paraId="3A61784F">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1</w:t>
            </w:r>
          </w:p>
        </w:tc>
        <w:tc>
          <w:tcPr>
            <w:tcW w:w="1229" w:type="dxa"/>
            <w:tcBorders>
              <w:top w:val="single" w:color="auto" w:sz="4" w:space="0"/>
              <w:left w:val="single" w:color="auto" w:sz="4" w:space="0"/>
              <w:bottom w:val="single" w:color="auto" w:sz="4" w:space="0"/>
              <w:right w:val="single" w:color="auto" w:sz="4" w:space="0"/>
            </w:tcBorders>
            <w:vAlign w:val="center"/>
          </w:tcPr>
          <w:p w14:paraId="2FBB4160">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796" w:type="dxa"/>
            <w:tcBorders>
              <w:top w:val="single" w:color="auto" w:sz="4" w:space="0"/>
              <w:left w:val="single" w:color="auto" w:sz="4" w:space="0"/>
              <w:bottom w:val="single" w:color="auto" w:sz="4" w:space="0"/>
              <w:right w:val="single" w:color="auto" w:sz="4" w:space="0"/>
            </w:tcBorders>
            <w:vAlign w:val="center"/>
          </w:tcPr>
          <w:p w14:paraId="43C3181B">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514" w:type="dxa"/>
            <w:tcBorders>
              <w:top w:val="single" w:color="auto" w:sz="4" w:space="0"/>
              <w:left w:val="single" w:color="auto" w:sz="4" w:space="0"/>
              <w:bottom w:val="single" w:color="auto" w:sz="4" w:space="0"/>
              <w:right w:val="single" w:color="auto" w:sz="4" w:space="0"/>
            </w:tcBorders>
            <w:vAlign w:val="center"/>
          </w:tcPr>
          <w:p w14:paraId="2E570332">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59977B1D">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03918871">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4C7F6101">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1000" w:type="dxa"/>
            <w:tcBorders>
              <w:top w:val="single" w:color="auto" w:sz="4" w:space="0"/>
              <w:left w:val="single" w:color="auto" w:sz="4" w:space="0"/>
              <w:bottom w:val="single" w:color="auto" w:sz="4" w:space="0"/>
              <w:right w:val="single" w:color="auto" w:sz="4" w:space="0"/>
            </w:tcBorders>
            <w:vAlign w:val="center"/>
          </w:tcPr>
          <w:p w14:paraId="052848B0">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369" w:type="dxa"/>
            <w:tcBorders>
              <w:top w:val="single" w:color="auto" w:sz="4" w:space="0"/>
              <w:left w:val="single" w:color="auto" w:sz="4" w:space="0"/>
              <w:bottom w:val="single" w:color="auto" w:sz="4" w:space="0"/>
              <w:right w:val="single" w:color="auto" w:sz="4" w:space="0"/>
            </w:tcBorders>
            <w:vAlign w:val="center"/>
          </w:tcPr>
          <w:p w14:paraId="216311AA">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676" w:type="dxa"/>
            <w:tcBorders>
              <w:top w:val="single" w:color="auto" w:sz="4" w:space="0"/>
              <w:left w:val="single" w:color="auto" w:sz="4" w:space="0"/>
              <w:bottom w:val="single" w:color="auto" w:sz="4" w:space="0"/>
              <w:right w:val="single" w:color="auto" w:sz="4" w:space="0"/>
            </w:tcBorders>
            <w:vAlign w:val="center"/>
          </w:tcPr>
          <w:p w14:paraId="45101DBF">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590" w:type="dxa"/>
            <w:tcBorders>
              <w:top w:val="single" w:color="auto" w:sz="4" w:space="0"/>
              <w:left w:val="single" w:color="auto" w:sz="4" w:space="0"/>
              <w:bottom w:val="single" w:color="auto" w:sz="4" w:space="0"/>
              <w:right w:val="single" w:color="auto" w:sz="4" w:space="0"/>
            </w:tcBorders>
            <w:vAlign w:val="center"/>
          </w:tcPr>
          <w:p w14:paraId="01E7A75F">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135" w:type="dxa"/>
            <w:tcBorders>
              <w:top w:val="single" w:color="auto" w:sz="4" w:space="0"/>
              <w:left w:val="single" w:color="auto" w:sz="4" w:space="0"/>
              <w:bottom w:val="single" w:color="auto" w:sz="4" w:space="0"/>
              <w:right w:val="single" w:color="auto" w:sz="4" w:space="0"/>
            </w:tcBorders>
            <w:vAlign w:val="center"/>
          </w:tcPr>
          <w:p w14:paraId="7B9001BD">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6" w:type="dxa"/>
            <w:tcBorders>
              <w:top w:val="single" w:color="auto" w:sz="4" w:space="0"/>
              <w:left w:val="single" w:color="auto" w:sz="4" w:space="0"/>
              <w:bottom w:val="single" w:color="auto" w:sz="4" w:space="0"/>
              <w:right w:val="single" w:color="auto" w:sz="4" w:space="0"/>
            </w:tcBorders>
            <w:vAlign w:val="center"/>
          </w:tcPr>
          <w:p w14:paraId="2AF92013">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7" w:type="dxa"/>
            <w:tcBorders>
              <w:top w:val="single" w:color="auto" w:sz="4" w:space="0"/>
              <w:left w:val="single" w:color="auto" w:sz="4" w:space="0"/>
              <w:bottom w:val="single" w:color="auto" w:sz="4" w:space="0"/>
              <w:right w:val="single" w:color="auto" w:sz="4" w:space="0"/>
            </w:tcBorders>
            <w:vAlign w:val="center"/>
          </w:tcPr>
          <w:p w14:paraId="55B67DA1">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47500D6B">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1091" w:type="dxa"/>
            <w:tcBorders>
              <w:top w:val="single" w:color="auto" w:sz="4" w:space="0"/>
              <w:left w:val="single" w:color="auto" w:sz="4" w:space="0"/>
              <w:bottom w:val="single" w:color="auto" w:sz="4" w:space="0"/>
              <w:right w:val="single" w:color="auto" w:sz="4" w:space="0"/>
            </w:tcBorders>
            <w:vAlign w:val="center"/>
          </w:tcPr>
          <w:p w14:paraId="6ABB5257">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vAlign w:val="center"/>
          </w:tcPr>
          <w:p w14:paraId="006864C2">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r>
      <w:tr w14:paraId="55244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tcBorders>
              <w:top w:val="single" w:color="auto" w:sz="4" w:space="0"/>
              <w:left w:val="single" w:color="auto" w:sz="4" w:space="0"/>
              <w:bottom w:val="single" w:color="auto" w:sz="4" w:space="0"/>
              <w:right w:val="single" w:color="auto" w:sz="4" w:space="0"/>
            </w:tcBorders>
            <w:vAlign w:val="center"/>
          </w:tcPr>
          <w:p w14:paraId="2322CC4B">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2</w:t>
            </w:r>
          </w:p>
        </w:tc>
        <w:tc>
          <w:tcPr>
            <w:tcW w:w="1229" w:type="dxa"/>
            <w:tcBorders>
              <w:top w:val="single" w:color="auto" w:sz="4" w:space="0"/>
              <w:left w:val="single" w:color="auto" w:sz="4" w:space="0"/>
              <w:bottom w:val="single" w:color="auto" w:sz="4" w:space="0"/>
              <w:right w:val="single" w:color="auto" w:sz="4" w:space="0"/>
            </w:tcBorders>
            <w:vAlign w:val="center"/>
          </w:tcPr>
          <w:p w14:paraId="33C48B83">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796" w:type="dxa"/>
            <w:tcBorders>
              <w:top w:val="single" w:color="auto" w:sz="4" w:space="0"/>
              <w:left w:val="single" w:color="auto" w:sz="4" w:space="0"/>
              <w:bottom w:val="single" w:color="auto" w:sz="4" w:space="0"/>
              <w:right w:val="single" w:color="auto" w:sz="4" w:space="0"/>
            </w:tcBorders>
            <w:vAlign w:val="center"/>
          </w:tcPr>
          <w:p w14:paraId="5A63E927">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514" w:type="dxa"/>
            <w:tcBorders>
              <w:top w:val="single" w:color="auto" w:sz="4" w:space="0"/>
              <w:left w:val="single" w:color="auto" w:sz="4" w:space="0"/>
              <w:bottom w:val="single" w:color="auto" w:sz="4" w:space="0"/>
              <w:right w:val="single" w:color="auto" w:sz="4" w:space="0"/>
            </w:tcBorders>
            <w:vAlign w:val="center"/>
          </w:tcPr>
          <w:p w14:paraId="0C74B8E4">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5A7B913B">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5BC559CD">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57E50CB8">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1000" w:type="dxa"/>
            <w:tcBorders>
              <w:top w:val="single" w:color="auto" w:sz="4" w:space="0"/>
              <w:left w:val="single" w:color="auto" w:sz="4" w:space="0"/>
              <w:bottom w:val="single" w:color="auto" w:sz="4" w:space="0"/>
              <w:right w:val="single" w:color="auto" w:sz="4" w:space="0"/>
            </w:tcBorders>
            <w:vAlign w:val="center"/>
          </w:tcPr>
          <w:p w14:paraId="6145DAA4">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369" w:type="dxa"/>
            <w:tcBorders>
              <w:top w:val="single" w:color="auto" w:sz="4" w:space="0"/>
              <w:left w:val="single" w:color="auto" w:sz="4" w:space="0"/>
              <w:bottom w:val="single" w:color="auto" w:sz="4" w:space="0"/>
              <w:right w:val="single" w:color="auto" w:sz="4" w:space="0"/>
            </w:tcBorders>
            <w:vAlign w:val="center"/>
          </w:tcPr>
          <w:p w14:paraId="27E6873C">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676" w:type="dxa"/>
            <w:tcBorders>
              <w:top w:val="single" w:color="auto" w:sz="4" w:space="0"/>
              <w:left w:val="single" w:color="auto" w:sz="4" w:space="0"/>
              <w:bottom w:val="single" w:color="auto" w:sz="4" w:space="0"/>
              <w:right w:val="single" w:color="auto" w:sz="4" w:space="0"/>
            </w:tcBorders>
            <w:vAlign w:val="center"/>
          </w:tcPr>
          <w:p w14:paraId="6CF5EC41">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590" w:type="dxa"/>
            <w:tcBorders>
              <w:top w:val="single" w:color="auto" w:sz="4" w:space="0"/>
              <w:left w:val="single" w:color="auto" w:sz="4" w:space="0"/>
              <w:bottom w:val="single" w:color="auto" w:sz="4" w:space="0"/>
              <w:right w:val="single" w:color="auto" w:sz="4" w:space="0"/>
            </w:tcBorders>
            <w:vAlign w:val="center"/>
          </w:tcPr>
          <w:p w14:paraId="69202DFC">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135" w:type="dxa"/>
            <w:tcBorders>
              <w:top w:val="single" w:color="auto" w:sz="4" w:space="0"/>
              <w:left w:val="single" w:color="auto" w:sz="4" w:space="0"/>
              <w:bottom w:val="single" w:color="auto" w:sz="4" w:space="0"/>
              <w:right w:val="single" w:color="auto" w:sz="4" w:space="0"/>
            </w:tcBorders>
            <w:vAlign w:val="center"/>
          </w:tcPr>
          <w:p w14:paraId="55E8FD2C">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6" w:type="dxa"/>
            <w:tcBorders>
              <w:top w:val="single" w:color="auto" w:sz="4" w:space="0"/>
              <w:left w:val="single" w:color="auto" w:sz="4" w:space="0"/>
              <w:bottom w:val="single" w:color="auto" w:sz="4" w:space="0"/>
              <w:right w:val="single" w:color="auto" w:sz="4" w:space="0"/>
            </w:tcBorders>
            <w:vAlign w:val="center"/>
          </w:tcPr>
          <w:p w14:paraId="4114C0C8">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7" w:type="dxa"/>
            <w:tcBorders>
              <w:top w:val="single" w:color="auto" w:sz="4" w:space="0"/>
              <w:left w:val="single" w:color="auto" w:sz="4" w:space="0"/>
              <w:bottom w:val="single" w:color="auto" w:sz="4" w:space="0"/>
              <w:right w:val="single" w:color="auto" w:sz="4" w:space="0"/>
            </w:tcBorders>
            <w:vAlign w:val="center"/>
          </w:tcPr>
          <w:p w14:paraId="02D9A2A3">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2F2572F0">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1091" w:type="dxa"/>
            <w:tcBorders>
              <w:top w:val="single" w:color="auto" w:sz="4" w:space="0"/>
              <w:left w:val="single" w:color="auto" w:sz="4" w:space="0"/>
              <w:bottom w:val="single" w:color="auto" w:sz="4" w:space="0"/>
              <w:right w:val="single" w:color="auto" w:sz="4" w:space="0"/>
            </w:tcBorders>
            <w:vAlign w:val="center"/>
          </w:tcPr>
          <w:p w14:paraId="120876B0">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vAlign w:val="center"/>
          </w:tcPr>
          <w:p w14:paraId="652F0B5C">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r>
      <w:tr w14:paraId="06CF0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tcBorders>
              <w:top w:val="single" w:color="auto" w:sz="4" w:space="0"/>
              <w:left w:val="single" w:color="auto" w:sz="4" w:space="0"/>
              <w:bottom w:val="single" w:color="auto" w:sz="4" w:space="0"/>
              <w:right w:val="single" w:color="auto" w:sz="4" w:space="0"/>
            </w:tcBorders>
            <w:vAlign w:val="center"/>
          </w:tcPr>
          <w:p w14:paraId="53853742">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3</w:t>
            </w:r>
          </w:p>
        </w:tc>
        <w:tc>
          <w:tcPr>
            <w:tcW w:w="1229" w:type="dxa"/>
            <w:tcBorders>
              <w:top w:val="single" w:color="auto" w:sz="4" w:space="0"/>
              <w:left w:val="single" w:color="auto" w:sz="4" w:space="0"/>
              <w:bottom w:val="single" w:color="auto" w:sz="4" w:space="0"/>
              <w:right w:val="single" w:color="auto" w:sz="4" w:space="0"/>
            </w:tcBorders>
            <w:vAlign w:val="center"/>
          </w:tcPr>
          <w:p w14:paraId="20E13BBC">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796" w:type="dxa"/>
            <w:tcBorders>
              <w:top w:val="single" w:color="auto" w:sz="4" w:space="0"/>
              <w:left w:val="single" w:color="auto" w:sz="4" w:space="0"/>
              <w:bottom w:val="single" w:color="auto" w:sz="4" w:space="0"/>
              <w:right w:val="single" w:color="auto" w:sz="4" w:space="0"/>
            </w:tcBorders>
            <w:vAlign w:val="center"/>
          </w:tcPr>
          <w:p w14:paraId="7186701E">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514" w:type="dxa"/>
            <w:tcBorders>
              <w:top w:val="single" w:color="auto" w:sz="4" w:space="0"/>
              <w:left w:val="single" w:color="auto" w:sz="4" w:space="0"/>
              <w:bottom w:val="single" w:color="auto" w:sz="4" w:space="0"/>
              <w:right w:val="single" w:color="auto" w:sz="4" w:space="0"/>
            </w:tcBorders>
            <w:vAlign w:val="center"/>
          </w:tcPr>
          <w:p w14:paraId="4BD4EB67">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5764642E">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6B20AF07">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2442C1FA">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1000" w:type="dxa"/>
            <w:tcBorders>
              <w:top w:val="single" w:color="auto" w:sz="4" w:space="0"/>
              <w:left w:val="single" w:color="auto" w:sz="4" w:space="0"/>
              <w:bottom w:val="single" w:color="auto" w:sz="4" w:space="0"/>
              <w:right w:val="single" w:color="auto" w:sz="4" w:space="0"/>
            </w:tcBorders>
            <w:vAlign w:val="center"/>
          </w:tcPr>
          <w:p w14:paraId="18981FC3">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369" w:type="dxa"/>
            <w:tcBorders>
              <w:top w:val="single" w:color="auto" w:sz="4" w:space="0"/>
              <w:left w:val="single" w:color="auto" w:sz="4" w:space="0"/>
              <w:bottom w:val="single" w:color="auto" w:sz="4" w:space="0"/>
              <w:right w:val="single" w:color="auto" w:sz="4" w:space="0"/>
            </w:tcBorders>
            <w:vAlign w:val="center"/>
          </w:tcPr>
          <w:p w14:paraId="687DAA1B">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676" w:type="dxa"/>
            <w:tcBorders>
              <w:top w:val="single" w:color="auto" w:sz="4" w:space="0"/>
              <w:left w:val="single" w:color="auto" w:sz="4" w:space="0"/>
              <w:bottom w:val="single" w:color="auto" w:sz="4" w:space="0"/>
              <w:right w:val="single" w:color="auto" w:sz="4" w:space="0"/>
            </w:tcBorders>
            <w:vAlign w:val="center"/>
          </w:tcPr>
          <w:p w14:paraId="09E28199">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590" w:type="dxa"/>
            <w:tcBorders>
              <w:top w:val="single" w:color="auto" w:sz="4" w:space="0"/>
              <w:left w:val="single" w:color="auto" w:sz="4" w:space="0"/>
              <w:bottom w:val="single" w:color="auto" w:sz="4" w:space="0"/>
              <w:right w:val="single" w:color="auto" w:sz="4" w:space="0"/>
            </w:tcBorders>
            <w:vAlign w:val="center"/>
          </w:tcPr>
          <w:p w14:paraId="2669E684">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135" w:type="dxa"/>
            <w:tcBorders>
              <w:top w:val="single" w:color="auto" w:sz="4" w:space="0"/>
              <w:left w:val="single" w:color="auto" w:sz="4" w:space="0"/>
              <w:bottom w:val="single" w:color="auto" w:sz="4" w:space="0"/>
              <w:right w:val="single" w:color="auto" w:sz="4" w:space="0"/>
            </w:tcBorders>
            <w:vAlign w:val="center"/>
          </w:tcPr>
          <w:p w14:paraId="0C450532">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6" w:type="dxa"/>
            <w:tcBorders>
              <w:top w:val="single" w:color="auto" w:sz="4" w:space="0"/>
              <w:left w:val="single" w:color="auto" w:sz="4" w:space="0"/>
              <w:bottom w:val="single" w:color="auto" w:sz="4" w:space="0"/>
              <w:right w:val="single" w:color="auto" w:sz="4" w:space="0"/>
            </w:tcBorders>
            <w:vAlign w:val="center"/>
          </w:tcPr>
          <w:p w14:paraId="65D1D568">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7" w:type="dxa"/>
            <w:tcBorders>
              <w:top w:val="single" w:color="auto" w:sz="4" w:space="0"/>
              <w:left w:val="single" w:color="auto" w:sz="4" w:space="0"/>
              <w:bottom w:val="single" w:color="auto" w:sz="4" w:space="0"/>
              <w:right w:val="single" w:color="auto" w:sz="4" w:space="0"/>
            </w:tcBorders>
            <w:vAlign w:val="center"/>
          </w:tcPr>
          <w:p w14:paraId="7C505F8E">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1A923EC9">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1091" w:type="dxa"/>
            <w:tcBorders>
              <w:top w:val="single" w:color="auto" w:sz="4" w:space="0"/>
              <w:left w:val="single" w:color="auto" w:sz="4" w:space="0"/>
              <w:bottom w:val="single" w:color="auto" w:sz="4" w:space="0"/>
              <w:right w:val="single" w:color="auto" w:sz="4" w:space="0"/>
            </w:tcBorders>
            <w:vAlign w:val="center"/>
          </w:tcPr>
          <w:p w14:paraId="51D5AE54">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vAlign w:val="center"/>
          </w:tcPr>
          <w:p w14:paraId="5B3C67B3">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r>
      <w:tr w14:paraId="0468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tcBorders>
              <w:top w:val="single" w:color="auto" w:sz="4" w:space="0"/>
              <w:left w:val="single" w:color="auto" w:sz="4" w:space="0"/>
              <w:bottom w:val="single" w:color="auto" w:sz="4" w:space="0"/>
              <w:right w:val="single" w:color="auto" w:sz="4" w:space="0"/>
            </w:tcBorders>
            <w:vAlign w:val="center"/>
          </w:tcPr>
          <w:p w14:paraId="57F695F5">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4</w:t>
            </w:r>
          </w:p>
        </w:tc>
        <w:tc>
          <w:tcPr>
            <w:tcW w:w="1229" w:type="dxa"/>
            <w:tcBorders>
              <w:top w:val="single" w:color="auto" w:sz="4" w:space="0"/>
              <w:left w:val="single" w:color="auto" w:sz="4" w:space="0"/>
              <w:bottom w:val="single" w:color="auto" w:sz="4" w:space="0"/>
              <w:right w:val="single" w:color="auto" w:sz="4" w:space="0"/>
            </w:tcBorders>
            <w:vAlign w:val="center"/>
          </w:tcPr>
          <w:p w14:paraId="107E7007">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796" w:type="dxa"/>
            <w:tcBorders>
              <w:top w:val="single" w:color="auto" w:sz="4" w:space="0"/>
              <w:left w:val="single" w:color="auto" w:sz="4" w:space="0"/>
              <w:bottom w:val="single" w:color="auto" w:sz="4" w:space="0"/>
              <w:right w:val="single" w:color="auto" w:sz="4" w:space="0"/>
            </w:tcBorders>
            <w:vAlign w:val="center"/>
          </w:tcPr>
          <w:p w14:paraId="2AE26794">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514" w:type="dxa"/>
            <w:tcBorders>
              <w:top w:val="single" w:color="auto" w:sz="4" w:space="0"/>
              <w:left w:val="single" w:color="auto" w:sz="4" w:space="0"/>
              <w:bottom w:val="single" w:color="auto" w:sz="4" w:space="0"/>
              <w:right w:val="single" w:color="auto" w:sz="4" w:space="0"/>
            </w:tcBorders>
            <w:vAlign w:val="center"/>
          </w:tcPr>
          <w:p w14:paraId="20617E52">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542AC4B2">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2770B902">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6F149042">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1000" w:type="dxa"/>
            <w:tcBorders>
              <w:top w:val="single" w:color="auto" w:sz="4" w:space="0"/>
              <w:left w:val="single" w:color="auto" w:sz="4" w:space="0"/>
              <w:bottom w:val="single" w:color="auto" w:sz="4" w:space="0"/>
              <w:right w:val="single" w:color="auto" w:sz="4" w:space="0"/>
            </w:tcBorders>
            <w:vAlign w:val="center"/>
          </w:tcPr>
          <w:p w14:paraId="5385F961">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369" w:type="dxa"/>
            <w:tcBorders>
              <w:top w:val="single" w:color="auto" w:sz="4" w:space="0"/>
              <w:left w:val="single" w:color="auto" w:sz="4" w:space="0"/>
              <w:bottom w:val="single" w:color="auto" w:sz="4" w:space="0"/>
              <w:right w:val="single" w:color="auto" w:sz="4" w:space="0"/>
            </w:tcBorders>
            <w:vAlign w:val="center"/>
          </w:tcPr>
          <w:p w14:paraId="0414DC6F">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676" w:type="dxa"/>
            <w:tcBorders>
              <w:top w:val="single" w:color="auto" w:sz="4" w:space="0"/>
              <w:left w:val="single" w:color="auto" w:sz="4" w:space="0"/>
              <w:bottom w:val="single" w:color="auto" w:sz="4" w:space="0"/>
              <w:right w:val="single" w:color="auto" w:sz="4" w:space="0"/>
            </w:tcBorders>
            <w:vAlign w:val="center"/>
          </w:tcPr>
          <w:p w14:paraId="25520BD8">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590" w:type="dxa"/>
            <w:tcBorders>
              <w:top w:val="single" w:color="auto" w:sz="4" w:space="0"/>
              <w:left w:val="single" w:color="auto" w:sz="4" w:space="0"/>
              <w:bottom w:val="single" w:color="auto" w:sz="4" w:space="0"/>
              <w:right w:val="single" w:color="auto" w:sz="4" w:space="0"/>
            </w:tcBorders>
            <w:vAlign w:val="center"/>
          </w:tcPr>
          <w:p w14:paraId="4521C494">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135" w:type="dxa"/>
            <w:tcBorders>
              <w:top w:val="single" w:color="auto" w:sz="4" w:space="0"/>
              <w:left w:val="single" w:color="auto" w:sz="4" w:space="0"/>
              <w:bottom w:val="single" w:color="auto" w:sz="4" w:space="0"/>
              <w:right w:val="single" w:color="auto" w:sz="4" w:space="0"/>
            </w:tcBorders>
            <w:vAlign w:val="center"/>
          </w:tcPr>
          <w:p w14:paraId="2C848F89">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6" w:type="dxa"/>
            <w:tcBorders>
              <w:top w:val="single" w:color="auto" w:sz="4" w:space="0"/>
              <w:left w:val="single" w:color="auto" w:sz="4" w:space="0"/>
              <w:bottom w:val="single" w:color="auto" w:sz="4" w:space="0"/>
              <w:right w:val="single" w:color="auto" w:sz="4" w:space="0"/>
            </w:tcBorders>
            <w:vAlign w:val="center"/>
          </w:tcPr>
          <w:p w14:paraId="75C6B859">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7" w:type="dxa"/>
            <w:tcBorders>
              <w:top w:val="single" w:color="auto" w:sz="4" w:space="0"/>
              <w:left w:val="single" w:color="auto" w:sz="4" w:space="0"/>
              <w:bottom w:val="single" w:color="auto" w:sz="4" w:space="0"/>
              <w:right w:val="single" w:color="auto" w:sz="4" w:space="0"/>
            </w:tcBorders>
            <w:vAlign w:val="center"/>
          </w:tcPr>
          <w:p w14:paraId="15C0F3F7">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1A7AE895">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1091" w:type="dxa"/>
            <w:tcBorders>
              <w:top w:val="single" w:color="auto" w:sz="4" w:space="0"/>
              <w:left w:val="single" w:color="auto" w:sz="4" w:space="0"/>
              <w:bottom w:val="single" w:color="auto" w:sz="4" w:space="0"/>
              <w:right w:val="single" w:color="auto" w:sz="4" w:space="0"/>
            </w:tcBorders>
            <w:vAlign w:val="center"/>
          </w:tcPr>
          <w:p w14:paraId="68B4D27E">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vAlign w:val="center"/>
          </w:tcPr>
          <w:p w14:paraId="03CCBD48">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r>
      <w:tr w14:paraId="2126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tcBorders>
              <w:top w:val="single" w:color="auto" w:sz="4" w:space="0"/>
              <w:left w:val="single" w:color="auto" w:sz="4" w:space="0"/>
              <w:bottom w:val="single" w:color="auto" w:sz="4" w:space="0"/>
              <w:right w:val="single" w:color="auto" w:sz="4" w:space="0"/>
            </w:tcBorders>
            <w:vAlign w:val="center"/>
          </w:tcPr>
          <w:p w14:paraId="61658F25">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5</w:t>
            </w:r>
          </w:p>
        </w:tc>
        <w:tc>
          <w:tcPr>
            <w:tcW w:w="1229" w:type="dxa"/>
            <w:tcBorders>
              <w:top w:val="single" w:color="auto" w:sz="4" w:space="0"/>
              <w:left w:val="single" w:color="auto" w:sz="4" w:space="0"/>
              <w:bottom w:val="single" w:color="auto" w:sz="4" w:space="0"/>
              <w:right w:val="single" w:color="auto" w:sz="4" w:space="0"/>
            </w:tcBorders>
            <w:vAlign w:val="center"/>
          </w:tcPr>
          <w:p w14:paraId="59DB4C88">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796" w:type="dxa"/>
            <w:tcBorders>
              <w:top w:val="single" w:color="auto" w:sz="4" w:space="0"/>
              <w:left w:val="single" w:color="auto" w:sz="4" w:space="0"/>
              <w:bottom w:val="single" w:color="auto" w:sz="4" w:space="0"/>
              <w:right w:val="single" w:color="auto" w:sz="4" w:space="0"/>
            </w:tcBorders>
            <w:vAlign w:val="center"/>
          </w:tcPr>
          <w:p w14:paraId="085DB447">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514" w:type="dxa"/>
            <w:tcBorders>
              <w:top w:val="single" w:color="auto" w:sz="4" w:space="0"/>
              <w:left w:val="single" w:color="auto" w:sz="4" w:space="0"/>
              <w:bottom w:val="single" w:color="auto" w:sz="4" w:space="0"/>
              <w:right w:val="single" w:color="auto" w:sz="4" w:space="0"/>
            </w:tcBorders>
            <w:vAlign w:val="center"/>
          </w:tcPr>
          <w:p w14:paraId="0ED68D7E">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334C651F">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16041518">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21ECAB4A">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1000" w:type="dxa"/>
            <w:tcBorders>
              <w:top w:val="single" w:color="auto" w:sz="4" w:space="0"/>
              <w:left w:val="single" w:color="auto" w:sz="4" w:space="0"/>
              <w:bottom w:val="single" w:color="auto" w:sz="4" w:space="0"/>
              <w:right w:val="single" w:color="auto" w:sz="4" w:space="0"/>
            </w:tcBorders>
            <w:vAlign w:val="center"/>
          </w:tcPr>
          <w:p w14:paraId="26DF1F99">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369" w:type="dxa"/>
            <w:tcBorders>
              <w:top w:val="single" w:color="auto" w:sz="4" w:space="0"/>
              <w:left w:val="single" w:color="auto" w:sz="4" w:space="0"/>
              <w:bottom w:val="single" w:color="auto" w:sz="4" w:space="0"/>
              <w:right w:val="single" w:color="auto" w:sz="4" w:space="0"/>
            </w:tcBorders>
            <w:vAlign w:val="center"/>
          </w:tcPr>
          <w:p w14:paraId="6A224B42">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676" w:type="dxa"/>
            <w:tcBorders>
              <w:top w:val="single" w:color="auto" w:sz="4" w:space="0"/>
              <w:left w:val="single" w:color="auto" w:sz="4" w:space="0"/>
              <w:bottom w:val="single" w:color="auto" w:sz="4" w:space="0"/>
              <w:right w:val="single" w:color="auto" w:sz="4" w:space="0"/>
            </w:tcBorders>
            <w:vAlign w:val="center"/>
          </w:tcPr>
          <w:p w14:paraId="74B918BC">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590" w:type="dxa"/>
            <w:tcBorders>
              <w:top w:val="single" w:color="auto" w:sz="4" w:space="0"/>
              <w:left w:val="single" w:color="auto" w:sz="4" w:space="0"/>
              <w:bottom w:val="single" w:color="auto" w:sz="4" w:space="0"/>
              <w:right w:val="single" w:color="auto" w:sz="4" w:space="0"/>
            </w:tcBorders>
            <w:vAlign w:val="center"/>
          </w:tcPr>
          <w:p w14:paraId="2ED09F6E">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135" w:type="dxa"/>
            <w:tcBorders>
              <w:top w:val="single" w:color="auto" w:sz="4" w:space="0"/>
              <w:left w:val="single" w:color="auto" w:sz="4" w:space="0"/>
              <w:bottom w:val="single" w:color="auto" w:sz="4" w:space="0"/>
              <w:right w:val="single" w:color="auto" w:sz="4" w:space="0"/>
            </w:tcBorders>
            <w:vAlign w:val="center"/>
          </w:tcPr>
          <w:p w14:paraId="33610CD2">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6" w:type="dxa"/>
            <w:tcBorders>
              <w:top w:val="single" w:color="auto" w:sz="4" w:space="0"/>
              <w:left w:val="single" w:color="auto" w:sz="4" w:space="0"/>
              <w:bottom w:val="single" w:color="auto" w:sz="4" w:space="0"/>
              <w:right w:val="single" w:color="auto" w:sz="4" w:space="0"/>
            </w:tcBorders>
            <w:vAlign w:val="center"/>
          </w:tcPr>
          <w:p w14:paraId="5F0F711C">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7" w:type="dxa"/>
            <w:tcBorders>
              <w:top w:val="single" w:color="auto" w:sz="4" w:space="0"/>
              <w:left w:val="single" w:color="auto" w:sz="4" w:space="0"/>
              <w:bottom w:val="single" w:color="auto" w:sz="4" w:space="0"/>
              <w:right w:val="single" w:color="auto" w:sz="4" w:space="0"/>
            </w:tcBorders>
            <w:vAlign w:val="center"/>
          </w:tcPr>
          <w:p w14:paraId="01F01B3D">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3299B194">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1091" w:type="dxa"/>
            <w:tcBorders>
              <w:top w:val="single" w:color="auto" w:sz="4" w:space="0"/>
              <w:left w:val="single" w:color="auto" w:sz="4" w:space="0"/>
              <w:bottom w:val="single" w:color="auto" w:sz="4" w:space="0"/>
              <w:right w:val="single" w:color="auto" w:sz="4" w:space="0"/>
            </w:tcBorders>
            <w:vAlign w:val="center"/>
          </w:tcPr>
          <w:p w14:paraId="2D16265A">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vAlign w:val="center"/>
          </w:tcPr>
          <w:p w14:paraId="1970B9C2">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r>
      <w:tr w14:paraId="34DAC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tcBorders>
              <w:top w:val="single" w:color="auto" w:sz="4" w:space="0"/>
              <w:left w:val="single" w:color="auto" w:sz="4" w:space="0"/>
              <w:bottom w:val="single" w:color="auto" w:sz="4" w:space="0"/>
              <w:right w:val="single" w:color="auto" w:sz="4" w:space="0"/>
            </w:tcBorders>
            <w:vAlign w:val="center"/>
          </w:tcPr>
          <w:p w14:paraId="5CBAA45A">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6</w:t>
            </w:r>
          </w:p>
        </w:tc>
        <w:tc>
          <w:tcPr>
            <w:tcW w:w="1229" w:type="dxa"/>
            <w:tcBorders>
              <w:top w:val="single" w:color="auto" w:sz="4" w:space="0"/>
              <w:left w:val="single" w:color="auto" w:sz="4" w:space="0"/>
              <w:bottom w:val="single" w:color="auto" w:sz="4" w:space="0"/>
              <w:right w:val="single" w:color="auto" w:sz="4" w:space="0"/>
            </w:tcBorders>
            <w:vAlign w:val="center"/>
          </w:tcPr>
          <w:p w14:paraId="539C20A5">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796" w:type="dxa"/>
            <w:tcBorders>
              <w:top w:val="single" w:color="auto" w:sz="4" w:space="0"/>
              <w:left w:val="single" w:color="auto" w:sz="4" w:space="0"/>
              <w:bottom w:val="single" w:color="auto" w:sz="4" w:space="0"/>
              <w:right w:val="single" w:color="auto" w:sz="4" w:space="0"/>
            </w:tcBorders>
            <w:vAlign w:val="center"/>
          </w:tcPr>
          <w:p w14:paraId="278BD4AB">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514" w:type="dxa"/>
            <w:tcBorders>
              <w:top w:val="single" w:color="auto" w:sz="4" w:space="0"/>
              <w:left w:val="single" w:color="auto" w:sz="4" w:space="0"/>
              <w:bottom w:val="single" w:color="auto" w:sz="4" w:space="0"/>
              <w:right w:val="single" w:color="auto" w:sz="4" w:space="0"/>
            </w:tcBorders>
            <w:vAlign w:val="center"/>
          </w:tcPr>
          <w:p w14:paraId="043BEEAA">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55A2EBB0">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1298D523">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1388DA72">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1000" w:type="dxa"/>
            <w:tcBorders>
              <w:top w:val="single" w:color="auto" w:sz="4" w:space="0"/>
              <w:left w:val="single" w:color="auto" w:sz="4" w:space="0"/>
              <w:bottom w:val="single" w:color="auto" w:sz="4" w:space="0"/>
              <w:right w:val="single" w:color="auto" w:sz="4" w:space="0"/>
            </w:tcBorders>
            <w:vAlign w:val="center"/>
          </w:tcPr>
          <w:p w14:paraId="48773350">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369" w:type="dxa"/>
            <w:tcBorders>
              <w:top w:val="single" w:color="auto" w:sz="4" w:space="0"/>
              <w:left w:val="single" w:color="auto" w:sz="4" w:space="0"/>
              <w:bottom w:val="single" w:color="auto" w:sz="4" w:space="0"/>
              <w:right w:val="single" w:color="auto" w:sz="4" w:space="0"/>
            </w:tcBorders>
            <w:vAlign w:val="center"/>
          </w:tcPr>
          <w:p w14:paraId="5A5D2556">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676" w:type="dxa"/>
            <w:tcBorders>
              <w:top w:val="single" w:color="auto" w:sz="4" w:space="0"/>
              <w:left w:val="single" w:color="auto" w:sz="4" w:space="0"/>
              <w:bottom w:val="single" w:color="auto" w:sz="4" w:space="0"/>
              <w:right w:val="single" w:color="auto" w:sz="4" w:space="0"/>
            </w:tcBorders>
            <w:vAlign w:val="center"/>
          </w:tcPr>
          <w:p w14:paraId="2695E98C">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590" w:type="dxa"/>
            <w:tcBorders>
              <w:top w:val="single" w:color="auto" w:sz="4" w:space="0"/>
              <w:left w:val="single" w:color="auto" w:sz="4" w:space="0"/>
              <w:bottom w:val="single" w:color="auto" w:sz="4" w:space="0"/>
              <w:right w:val="single" w:color="auto" w:sz="4" w:space="0"/>
            </w:tcBorders>
            <w:vAlign w:val="center"/>
          </w:tcPr>
          <w:p w14:paraId="38B7374E">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135" w:type="dxa"/>
            <w:tcBorders>
              <w:top w:val="single" w:color="auto" w:sz="4" w:space="0"/>
              <w:left w:val="single" w:color="auto" w:sz="4" w:space="0"/>
              <w:bottom w:val="single" w:color="auto" w:sz="4" w:space="0"/>
              <w:right w:val="single" w:color="auto" w:sz="4" w:space="0"/>
            </w:tcBorders>
            <w:vAlign w:val="center"/>
          </w:tcPr>
          <w:p w14:paraId="0BBA95AA">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6" w:type="dxa"/>
            <w:tcBorders>
              <w:top w:val="single" w:color="auto" w:sz="4" w:space="0"/>
              <w:left w:val="single" w:color="auto" w:sz="4" w:space="0"/>
              <w:bottom w:val="single" w:color="auto" w:sz="4" w:space="0"/>
              <w:right w:val="single" w:color="auto" w:sz="4" w:space="0"/>
            </w:tcBorders>
            <w:vAlign w:val="center"/>
          </w:tcPr>
          <w:p w14:paraId="79B72F7F">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7" w:type="dxa"/>
            <w:tcBorders>
              <w:top w:val="single" w:color="auto" w:sz="4" w:space="0"/>
              <w:left w:val="single" w:color="auto" w:sz="4" w:space="0"/>
              <w:bottom w:val="single" w:color="auto" w:sz="4" w:space="0"/>
              <w:right w:val="single" w:color="auto" w:sz="4" w:space="0"/>
            </w:tcBorders>
            <w:vAlign w:val="center"/>
          </w:tcPr>
          <w:p w14:paraId="5E05F0F7">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64726790">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1091" w:type="dxa"/>
            <w:tcBorders>
              <w:top w:val="single" w:color="auto" w:sz="4" w:space="0"/>
              <w:left w:val="single" w:color="auto" w:sz="4" w:space="0"/>
              <w:bottom w:val="single" w:color="auto" w:sz="4" w:space="0"/>
              <w:right w:val="single" w:color="auto" w:sz="4" w:space="0"/>
            </w:tcBorders>
            <w:vAlign w:val="center"/>
          </w:tcPr>
          <w:p w14:paraId="5F3870B3">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vAlign w:val="center"/>
          </w:tcPr>
          <w:p w14:paraId="2784E62D">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r>
      <w:tr w14:paraId="4E08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tcBorders>
              <w:top w:val="single" w:color="auto" w:sz="4" w:space="0"/>
              <w:left w:val="single" w:color="auto" w:sz="4" w:space="0"/>
              <w:bottom w:val="single" w:color="auto" w:sz="4" w:space="0"/>
              <w:right w:val="single" w:color="auto" w:sz="4" w:space="0"/>
            </w:tcBorders>
            <w:vAlign w:val="center"/>
          </w:tcPr>
          <w:p w14:paraId="22E61B51">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7</w:t>
            </w:r>
          </w:p>
        </w:tc>
        <w:tc>
          <w:tcPr>
            <w:tcW w:w="1229" w:type="dxa"/>
            <w:tcBorders>
              <w:top w:val="single" w:color="auto" w:sz="4" w:space="0"/>
              <w:left w:val="single" w:color="auto" w:sz="4" w:space="0"/>
              <w:bottom w:val="single" w:color="auto" w:sz="4" w:space="0"/>
              <w:right w:val="single" w:color="auto" w:sz="4" w:space="0"/>
            </w:tcBorders>
            <w:vAlign w:val="center"/>
          </w:tcPr>
          <w:p w14:paraId="6D1422DC">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796" w:type="dxa"/>
            <w:tcBorders>
              <w:top w:val="single" w:color="auto" w:sz="4" w:space="0"/>
              <w:left w:val="single" w:color="auto" w:sz="4" w:space="0"/>
              <w:bottom w:val="single" w:color="auto" w:sz="4" w:space="0"/>
              <w:right w:val="single" w:color="auto" w:sz="4" w:space="0"/>
            </w:tcBorders>
            <w:vAlign w:val="center"/>
          </w:tcPr>
          <w:p w14:paraId="6B99ABCD">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514" w:type="dxa"/>
            <w:tcBorders>
              <w:top w:val="single" w:color="auto" w:sz="4" w:space="0"/>
              <w:left w:val="single" w:color="auto" w:sz="4" w:space="0"/>
              <w:bottom w:val="single" w:color="auto" w:sz="4" w:space="0"/>
              <w:right w:val="single" w:color="auto" w:sz="4" w:space="0"/>
            </w:tcBorders>
            <w:vAlign w:val="center"/>
          </w:tcPr>
          <w:p w14:paraId="5F484B81">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3E3CE9F6">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2A70AD38">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6CA1D020">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1000" w:type="dxa"/>
            <w:tcBorders>
              <w:top w:val="single" w:color="auto" w:sz="4" w:space="0"/>
              <w:left w:val="single" w:color="auto" w:sz="4" w:space="0"/>
              <w:bottom w:val="single" w:color="auto" w:sz="4" w:space="0"/>
              <w:right w:val="single" w:color="auto" w:sz="4" w:space="0"/>
            </w:tcBorders>
            <w:vAlign w:val="center"/>
          </w:tcPr>
          <w:p w14:paraId="42E277F7">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369" w:type="dxa"/>
            <w:tcBorders>
              <w:top w:val="single" w:color="auto" w:sz="4" w:space="0"/>
              <w:left w:val="single" w:color="auto" w:sz="4" w:space="0"/>
              <w:bottom w:val="single" w:color="auto" w:sz="4" w:space="0"/>
              <w:right w:val="single" w:color="auto" w:sz="4" w:space="0"/>
            </w:tcBorders>
            <w:vAlign w:val="center"/>
          </w:tcPr>
          <w:p w14:paraId="1328FBF8">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676" w:type="dxa"/>
            <w:tcBorders>
              <w:top w:val="single" w:color="auto" w:sz="4" w:space="0"/>
              <w:left w:val="single" w:color="auto" w:sz="4" w:space="0"/>
              <w:bottom w:val="single" w:color="auto" w:sz="4" w:space="0"/>
              <w:right w:val="single" w:color="auto" w:sz="4" w:space="0"/>
            </w:tcBorders>
            <w:vAlign w:val="center"/>
          </w:tcPr>
          <w:p w14:paraId="43653041">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590" w:type="dxa"/>
            <w:tcBorders>
              <w:top w:val="single" w:color="auto" w:sz="4" w:space="0"/>
              <w:left w:val="single" w:color="auto" w:sz="4" w:space="0"/>
              <w:bottom w:val="single" w:color="auto" w:sz="4" w:space="0"/>
              <w:right w:val="single" w:color="auto" w:sz="4" w:space="0"/>
            </w:tcBorders>
            <w:vAlign w:val="center"/>
          </w:tcPr>
          <w:p w14:paraId="6589C240">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135" w:type="dxa"/>
            <w:tcBorders>
              <w:top w:val="single" w:color="auto" w:sz="4" w:space="0"/>
              <w:left w:val="single" w:color="auto" w:sz="4" w:space="0"/>
              <w:bottom w:val="single" w:color="auto" w:sz="4" w:space="0"/>
              <w:right w:val="single" w:color="auto" w:sz="4" w:space="0"/>
            </w:tcBorders>
            <w:vAlign w:val="center"/>
          </w:tcPr>
          <w:p w14:paraId="266ED76F">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6" w:type="dxa"/>
            <w:tcBorders>
              <w:top w:val="single" w:color="auto" w:sz="4" w:space="0"/>
              <w:left w:val="single" w:color="auto" w:sz="4" w:space="0"/>
              <w:bottom w:val="single" w:color="auto" w:sz="4" w:space="0"/>
              <w:right w:val="single" w:color="auto" w:sz="4" w:space="0"/>
            </w:tcBorders>
            <w:vAlign w:val="center"/>
          </w:tcPr>
          <w:p w14:paraId="2059F642">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7" w:type="dxa"/>
            <w:tcBorders>
              <w:top w:val="single" w:color="auto" w:sz="4" w:space="0"/>
              <w:left w:val="single" w:color="auto" w:sz="4" w:space="0"/>
              <w:bottom w:val="single" w:color="auto" w:sz="4" w:space="0"/>
              <w:right w:val="single" w:color="auto" w:sz="4" w:space="0"/>
            </w:tcBorders>
            <w:vAlign w:val="center"/>
          </w:tcPr>
          <w:p w14:paraId="19D01925">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010681F8">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1091" w:type="dxa"/>
            <w:tcBorders>
              <w:top w:val="single" w:color="auto" w:sz="4" w:space="0"/>
              <w:left w:val="single" w:color="auto" w:sz="4" w:space="0"/>
              <w:bottom w:val="single" w:color="auto" w:sz="4" w:space="0"/>
              <w:right w:val="single" w:color="auto" w:sz="4" w:space="0"/>
            </w:tcBorders>
            <w:vAlign w:val="center"/>
          </w:tcPr>
          <w:p w14:paraId="10C9C48B">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vAlign w:val="center"/>
          </w:tcPr>
          <w:p w14:paraId="616CB2C3">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r>
      <w:tr w14:paraId="11982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tcBorders>
              <w:top w:val="single" w:color="auto" w:sz="4" w:space="0"/>
              <w:left w:val="single" w:color="auto" w:sz="4" w:space="0"/>
              <w:bottom w:val="single" w:color="auto" w:sz="4" w:space="0"/>
              <w:right w:val="single" w:color="auto" w:sz="4" w:space="0"/>
            </w:tcBorders>
            <w:vAlign w:val="center"/>
          </w:tcPr>
          <w:p w14:paraId="7084DEFE">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8</w:t>
            </w:r>
          </w:p>
        </w:tc>
        <w:tc>
          <w:tcPr>
            <w:tcW w:w="1229" w:type="dxa"/>
            <w:tcBorders>
              <w:top w:val="single" w:color="auto" w:sz="4" w:space="0"/>
              <w:left w:val="single" w:color="auto" w:sz="4" w:space="0"/>
              <w:bottom w:val="single" w:color="auto" w:sz="4" w:space="0"/>
              <w:right w:val="single" w:color="auto" w:sz="4" w:space="0"/>
            </w:tcBorders>
            <w:vAlign w:val="center"/>
          </w:tcPr>
          <w:p w14:paraId="5973C075">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796" w:type="dxa"/>
            <w:tcBorders>
              <w:top w:val="single" w:color="auto" w:sz="4" w:space="0"/>
              <w:left w:val="single" w:color="auto" w:sz="4" w:space="0"/>
              <w:bottom w:val="single" w:color="auto" w:sz="4" w:space="0"/>
              <w:right w:val="single" w:color="auto" w:sz="4" w:space="0"/>
            </w:tcBorders>
            <w:vAlign w:val="center"/>
          </w:tcPr>
          <w:p w14:paraId="14CF82BA">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514" w:type="dxa"/>
            <w:tcBorders>
              <w:top w:val="single" w:color="auto" w:sz="4" w:space="0"/>
              <w:left w:val="single" w:color="auto" w:sz="4" w:space="0"/>
              <w:bottom w:val="single" w:color="auto" w:sz="4" w:space="0"/>
              <w:right w:val="single" w:color="auto" w:sz="4" w:space="0"/>
            </w:tcBorders>
            <w:vAlign w:val="center"/>
          </w:tcPr>
          <w:p w14:paraId="4F7DC061">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6C9DC657">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3EB14CEB">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3B531446">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1000" w:type="dxa"/>
            <w:tcBorders>
              <w:top w:val="single" w:color="auto" w:sz="4" w:space="0"/>
              <w:left w:val="single" w:color="auto" w:sz="4" w:space="0"/>
              <w:bottom w:val="single" w:color="auto" w:sz="4" w:space="0"/>
              <w:right w:val="single" w:color="auto" w:sz="4" w:space="0"/>
            </w:tcBorders>
            <w:vAlign w:val="center"/>
          </w:tcPr>
          <w:p w14:paraId="35A4A82B">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369" w:type="dxa"/>
            <w:tcBorders>
              <w:top w:val="single" w:color="auto" w:sz="4" w:space="0"/>
              <w:left w:val="single" w:color="auto" w:sz="4" w:space="0"/>
              <w:bottom w:val="single" w:color="auto" w:sz="4" w:space="0"/>
              <w:right w:val="single" w:color="auto" w:sz="4" w:space="0"/>
            </w:tcBorders>
            <w:vAlign w:val="center"/>
          </w:tcPr>
          <w:p w14:paraId="39CF7733">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676" w:type="dxa"/>
            <w:tcBorders>
              <w:top w:val="single" w:color="auto" w:sz="4" w:space="0"/>
              <w:left w:val="single" w:color="auto" w:sz="4" w:space="0"/>
              <w:bottom w:val="single" w:color="auto" w:sz="4" w:space="0"/>
              <w:right w:val="single" w:color="auto" w:sz="4" w:space="0"/>
            </w:tcBorders>
            <w:vAlign w:val="center"/>
          </w:tcPr>
          <w:p w14:paraId="5A0F4C7E">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590" w:type="dxa"/>
            <w:tcBorders>
              <w:top w:val="single" w:color="auto" w:sz="4" w:space="0"/>
              <w:left w:val="single" w:color="auto" w:sz="4" w:space="0"/>
              <w:bottom w:val="single" w:color="auto" w:sz="4" w:space="0"/>
              <w:right w:val="single" w:color="auto" w:sz="4" w:space="0"/>
            </w:tcBorders>
            <w:vAlign w:val="center"/>
          </w:tcPr>
          <w:p w14:paraId="558760EE">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135" w:type="dxa"/>
            <w:tcBorders>
              <w:top w:val="single" w:color="auto" w:sz="4" w:space="0"/>
              <w:left w:val="single" w:color="auto" w:sz="4" w:space="0"/>
              <w:bottom w:val="single" w:color="auto" w:sz="4" w:space="0"/>
              <w:right w:val="single" w:color="auto" w:sz="4" w:space="0"/>
            </w:tcBorders>
            <w:vAlign w:val="center"/>
          </w:tcPr>
          <w:p w14:paraId="024C963D">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6" w:type="dxa"/>
            <w:tcBorders>
              <w:top w:val="single" w:color="auto" w:sz="4" w:space="0"/>
              <w:left w:val="single" w:color="auto" w:sz="4" w:space="0"/>
              <w:bottom w:val="single" w:color="auto" w:sz="4" w:space="0"/>
              <w:right w:val="single" w:color="auto" w:sz="4" w:space="0"/>
            </w:tcBorders>
            <w:vAlign w:val="center"/>
          </w:tcPr>
          <w:p w14:paraId="2D854B1B">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7" w:type="dxa"/>
            <w:tcBorders>
              <w:top w:val="single" w:color="auto" w:sz="4" w:space="0"/>
              <w:left w:val="single" w:color="auto" w:sz="4" w:space="0"/>
              <w:bottom w:val="single" w:color="auto" w:sz="4" w:space="0"/>
              <w:right w:val="single" w:color="auto" w:sz="4" w:space="0"/>
            </w:tcBorders>
            <w:vAlign w:val="center"/>
          </w:tcPr>
          <w:p w14:paraId="235797D1">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647131A9">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1091" w:type="dxa"/>
            <w:tcBorders>
              <w:top w:val="single" w:color="auto" w:sz="4" w:space="0"/>
              <w:left w:val="single" w:color="auto" w:sz="4" w:space="0"/>
              <w:bottom w:val="single" w:color="auto" w:sz="4" w:space="0"/>
              <w:right w:val="single" w:color="auto" w:sz="4" w:space="0"/>
            </w:tcBorders>
            <w:vAlign w:val="center"/>
          </w:tcPr>
          <w:p w14:paraId="391EB735">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vAlign w:val="center"/>
          </w:tcPr>
          <w:p w14:paraId="319307B0">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r>
      <w:tr w14:paraId="150E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tcBorders>
              <w:top w:val="single" w:color="auto" w:sz="4" w:space="0"/>
              <w:left w:val="single" w:color="auto" w:sz="4" w:space="0"/>
              <w:bottom w:val="single" w:color="auto" w:sz="4" w:space="0"/>
              <w:right w:val="single" w:color="auto" w:sz="4" w:space="0"/>
            </w:tcBorders>
            <w:vAlign w:val="center"/>
          </w:tcPr>
          <w:p w14:paraId="0040F6C8">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9</w:t>
            </w:r>
          </w:p>
        </w:tc>
        <w:tc>
          <w:tcPr>
            <w:tcW w:w="1229" w:type="dxa"/>
            <w:tcBorders>
              <w:top w:val="single" w:color="auto" w:sz="4" w:space="0"/>
              <w:left w:val="single" w:color="auto" w:sz="4" w:space="0"/>
              <w:bottom w:val="single" w:color="auto" w:sz="4" w:space="0"/>
              <w:right w:val="single" w:color="auto" w:sz="4" w:space="0"/>
            </w:tcBorders>
            <w:vAlign w:val="center"/>
          </w:tcPr>
          <w:p w14:paraId="62CCD9BC">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796" w:type="dxa"/>
            <w:tcBorders>
              <w:top w:val="single" w:color="auto" w:sz="4" w:space="0"/>
              <w:left w:val="single" w:color="auto" w:sz="4" w:space="0"/>
              <w:bottom w:val="single" w:color="auto" w:sz="4" w:space="0"/>
              <w:right w:val="single" w:color="auto" w:sz="4" w:space="0"/>
            </w:tcBorders>
            <w:vAlign w:val="center"/>
          </w:tcPr>
          <w:p w14:paraId="67104923">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514" w:type="dxa"/>
            <w:tcBorders>
              <w:top w:val="single" w:color="auto" w:sz="4" w:space="0"/>
              <w:left w:val="single" w:color="auto" w:sz="4" w:space="0"/>
              <w:bottom w:val="single" w:color="auto" w:sz="4" w:space="0"/>
              <w:right w:val="single" w:color="auto" w:sz="4" w:space="0"/>
            </w:tcBorders>
            <w:vAlign w:val="center"/>
          </w:tcPr>
          <w:p w14:paraId="18B96FC0">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40195D7D">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6742768A">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2E838482">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1000" w:type="dxa"/>
            <w:tcBorders>
              <w:top w:val="single" w:color="auto" w:sz="4" w:space="0"/>
              <w:left w:val="single" w:color="auto" w:sz="4" w:space="0"/>
              <w:bottom w:val="single" w:color="auto" w:sz="4" w:space="0"/>
              <w:right w:val="single" w:color="auto" w:sz="4" w:space="0"/>
            </w:tcBorders>
            <w:vAlign w:val="center"/>
          </w:tcPr>
          <w:p w14:paraId="2A87F3B9">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369" w:type="dxa"/>
            <w:tcBorders>
              <w:top w:val="single" w:color="auto" w:sz="4" w:space="0"/>
              <w:left w:val="single" w:color="auto" w:sz="4" w:space="0"/>
              <w:bottom w:val="single" w:color="auto" w:sz="4" w:space="0"/>
              <w:right w:val="single" w:color="auto" w:sz="4" w:space="0"/>
            </w:tcBorders>
            <w:vAlign w:val="center"/>
          </w:tcPr>
          <w:p w14:paraId="6EE5BA02">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676" w:type="dxa"/>
            <w:tcBorders>
              <w:top w:val="single" w:color="auto" w:sz="4" w:space="0"/>
              <w:left w:val="single" w:color="auto" w:sz="4" w:space="0"/>
              <w:bottom w:val="single" w:color="auto" w:sz="4" w:space="0"/>
              <w:right w:val="single" w:color="auto" w:sz="4" w:space="0"/>
            </w:tcBorders>
            <w:vAlign w:val="center"/>
          </w:tcPr>
          <w:p w14:paraId="0BD9FB99">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590" w:type="dxa"/>
            <w:tcBorders>
              <w:top w:val="single" w:color="auto" w:sz="4" w:space="0"/>
              <w:left w:val="single" w:color="auto" w:sz="4" w:space="0"/>
              <w:bottom w:val="single" w:color="auto" w:sz="4" w:space="0"/>
              <w:right w:val="single" w:color="auto" w:sz="4" w:space="0"/>
            </w:tcBorders>
            <w:vAlign w:val="center"/>
          </w:tcPr>
          <w:p w14:paraId="3C687526">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135" w:type="dxa"/>
            <w:tcBorders>
              <w:top w:val="single" w:color="auto" w:sz="4" w:space="0"/>
              <w:left w:val="single" w:color="auto" w:sz="4" w:space="0"/>
              <w:bottom w:val="single" w:color="auto" w:sz="4" w:space="0"/>
              <w:right w:val="single" w:color="auto" w:sz="4" w:space="0"/>
            </w:tcBorders>
            <w:vAlign w:val="center"/>
          </w:tcPr>
          <w:p w14:paraId="1A17C516">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6" w:type="dxa"/>
            <w:tcBorders>
              <w:top w:val="single" w:color="auto" w:sz="4" w:space="0"/>
              <w:left w:val="single" w:color="auto" w:sz="4" w:space="0"/>
              <w:bottom w:val="single" w:color="auto" w:sz="4" w:space="0"/>
              <w:right w:val="single" w:color="auto" w:sz="4" w:space="0"/>
            </w:tcBorders>
            <w:vAlign w:val="center"/>
          </w:tcPr>
          <w:p w14:paraId="7B20BF63">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7" w:type="dxa"/>
            <w:tcBorders>
              <w:top w:val="single" w:color="auto" w:sz="4" w:space="0"/>
              <w:left w:val="single" w:color="auto" w:sz="4" w:space="0"/>
              <w:bottom w:val="single" w:color="auto" w:sz="4" w:space="0"/>
              <w:right w:val="single" w:color="auto" w:sz="4" w:space="0"/>
            </w:tcBorders>
            <w:vAlign w:val="center"/>
          </w:tcPr>
          <w:p w14:paraId="00838D22">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13E9E1DC">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1091" w:type="dxa"/>
            <w:tcBorders>
              <w:top w:val="single" w:color="auto" w:sz="4" w:space="0"/>
              <w:left w:val="single" w:color="auto" w:sz="4" w:space="0"/>
              <w:bottom w:val="single" w:color="auto" w:sz="4" w:space="0"/>
              <w:right w:val="single" w:color="auto" w:sz="4" w:space="0"/>
            </w:tcBorders>
            <w:vAlign w:val="center"/>
          </w:tcPr>
          <w:p w14:paraId="67274D5D">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vAlign w:val="center"/>
          </w:tcPr>
          <w:p w14:paraId="57E6143C">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r>
      <w:tr w14:paraId="596D0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tcBorders>
              <w:top w:val="single" w:color="auto" w:sz="4" w:space="0"/>
              <w:left w:val="single" w:color="auto" w:sz="4" w:space="0"/>
              <w:bottom w:val="single" w:color="auto" w:sz="4" w:space="0"/>
              <w:right w:val="single" w:color="auto" w:sz="4" w:space="0"/>
            </w:tcBorders>
            <w:vAlign w:val="center"/>
          </w:tcPr>
          <w:p w14:paraId="52133E86">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
              </w:rPr>
              <w:t>…</w:t>
            </w:r>
          </w:p>
        </w:tc>
        <w:tc>
          <w:tcPr>
            <w:tcW w:w="1229" w:type="dxa"/>
            <w:tcBorders>
              <w:top w:val="single" w:color="auto" w:sz="4" w:space="0"/>
              <w:left w:val="single" w:color="auto" w:sz="4" w:space="0"/>
              <w:bottom w:val="single" w:color="auto" w:sz="4" w:space="0"/>
              <w:right w:val="single" w:color="auto" w:sz="4" w:space="0"/>
            </w:tcBorders>
            <w:vAlign w:val="center"/>
          </w:tcPr>
          <w:p w14:paraId="7761EA63">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796" w:type="dxa"/>
            <w:tcBorders>
              <w:top w:val="single" w:color="auto" w:sz="4" w:space="0"/>
              <w:left w:val="single" w:color="auto" w:sz="4" w:space="0"/>
              <w:bottom w:val="single" w:color="auto" w:sz="4" w:space="0"/>
              <w:right w:val="single" w:color="auto" w:sz="4" w:space="0"/>
            </w:tcBorders>
            <w:vAlign w:val="center"/>
          </w:tcPr>
          <w:p w14:paraId="1819CEC5">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514" w:type="dxa"/>
            <w:tcBorders>
              <w:top w:val="single" w:color="auto" w:sz="4" w:space="0"/>
              <w:left w:val="single" w:color="auto" w:sz="4" w:space="0"/>
              <w:bottom w:val="single" w:color="auto" w:sz="4" w:space="0"/>
              <w:right w:val="single" w:color="auto" w:sz="4" w:space="0"/>
            </w:tcBorders>
            <w:vAlign w:val="center"/>
          </w:tcPr>
          <w:p w14:paraId="7E1F1CA9">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4BBDE879">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5F8CA27D">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7B24C6C5">
            <w:pPr>
              <w:keepNext w:val="0"/>
              <w:keepLines w:val="0"/>
              <w:widowControl w:val="0"/>
              <w:suppressLineNumbers w:val="0"/>
              <w:spacing w:before="0" w:beforeAutospacing="0" w:after="0" w:afterAutospacing="0" w:line="240" w:lineRule="exact"/>
              <w:ind w:left="0" w:leftChars="0" w:right="0" w:rightChars="0"/>
              <w:jc w:val="center"/>
              <w:rPr>
                <w:rFonts w:ascii="宋体" w:hAnsi="宋体" w:cs="宋体"/>
                <w:color w:val="auto"/>
                <w:szCs w:val="21"/>
                <w:highlight w:val="none"/>
              </w:rPr>
            </w:pPr>
          </w:p>
        </w:tc>
        <w:tc>
          <w:tcPr>
            <w:tcW w:w="1000" w:type="dxa"/>
            <w:tcBorders>
              <w:top w:val="single" w:color="auto" w:sz="4" w:space="0"/>
              <w:left w:val="single" w:color="auto" w:sz="4" w:space="0"/>
              <w:bottom w:val="single" w:color="auto" w:sz="4" w:space="0"/>
              <w:right w:val="single" w:color="auto" w:sz="4" w:space="0"/>
            </w:tcBorders>
            <w:vAlign w:val="center"/>
          </w:tcPr>
          <w:p w14:paraId="482F0215">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369" w:type="dxa"/>
            <w:tcBorders>
              <w:top w:val="single" w:color="auto" w:sz="4" w:space="0"/>
              <w:left w:val="single" w:color="auto" w:sz="4" w:space="0"/>
              <w:bottom w:val="single" w:color="auto" w:sz="4" w:space="0"/>
              <w:right w:val="single" w:color="auto" w:sz="4" w:space="0"/>
            </w:tcBorders>
            <w:vAlign w:val="center"/>
          </w:tcPr>
          <w:p w14:paraId="79FA2DC9">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676" w:type="dxa"/>
            <w:tcBorders>
              <w:top w:val="single" w:color="auto" w:sz="4" w:space="0"/>
              <w:left w:val="single" w:color="auto" w:sz="4" w:space="0"/>
              <w:bottom w:val="single" w:color="auto" w:sz="4" w:space="0"/>
              <w:right w:val="single" w:color="auto" w:sz="4" w:space="0"/>
            </w:tcBorders>
            <w:vAlign w:val="center"/>
          </w:tcPr>
          <w:p w14:paraId="1E01E399">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590" w:type="dxa"/>
            <w:tcBorders>
              <w:top w:val="single" w:color="auto" w:sz="4" w:space="0"/>
              <w:left w:val="single" w:color="auto" w:sz="4" w:space="0"/>
              <w:bottom w:val="single" w:color="auto" w:sz="4" w:space="0"/>
              <w:right w:val="single" w:color="auto" w:sz="4" w:space="0"/>
            </w:tcBorders>
            <w:vAlign w:val="center"/>
          </w:tcPr>
          <w:p w14:paraId="29ED084E">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135" w:type="dxa"/>
            <w:tcBorders>
              <w:top w:val="single" w:color="auto" w:sz="4" w:space="0"/>
              <w:left w:val="single" w:color="auto" w:sz="4" w:space="0"/>
              <w:bottom w:val="single" w:color="auto" w:sz="4" w:space="0"/>
              <w:right w:val="single" w:color="auto" w:sz="4" w:space="0"/>
            </w:tcBorders>
            <w:vAlign w:val="center"/>
          </w:tcPr>
          <w:p w14:paraId="765CE906">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6" w:type="dxa"/>
            <w:tcBorders>
              <w:top w:val="single" w:color="auto" w:sz="4" w:space="0"/>
              <w:left w:val="single" w:color="auto" w:sz="4" w:space="0"/>
              <w:bottom w:val="single" w:color="auto" w:sz="4" w:space="0"/>
              <w:right w:val="single" w:color="auto" w:sz="4" w:space="0"/>
            </w:tcBorders>
            <w:vAlign w:val="center"/>
          </w:tcPr>
          <w:p w14:paraId="38322285">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67" w:type="dxa"/>
            <w:tcBorders>
              <w:top w:val="single" w:color="auto" w:sz="4" w:space="0"/>
              <w:left w:val="single" w:color="auto" w:sz="4" w:space="0"/>
              <w:bottom w:val="single" w:color="auto" w:sz="4" w:space="0"/>
              <w:right w:val="single" w:color="auto" w:sz="4" w:space="0"/>
            </w:tcBorders>
            <w:vAlign w:val="center"/>
          </w:tcPr>
          <w:p w14:paraId="106CE443">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1884CFF9">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1091" w:type="dxa"/>
            <w:tcBorders>
              <w:top w:val="single" w:color="auto" w:sz="4" w:space="0"/>
              <w:left w:val="single" w:color="auto" w:sz="4" w:space="0"/>
              <w:bottom w:val="single" w:color="auto" w:sz="4" w:space="0"/>
              <w:right w:val="single" w:color="auto" w:sz="4" w:space="0"/>
            </w:tcBorders>
            <w:vAlign w:val="center"/>
          </w:tcPr>
          <w:p w14:paraId="42F9AE8F">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vAlign w:val="center"/>
          </w:tcPr>
          <w:p w14:paraId="100E29E6">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p>
        </w:tc>
      </w:tr>
    </w:tbl>
    <w:p w14:paraId="3DE726D7">
      <w:pPr>
        <w:keepNext w:val="0"/>
        <w:keepLines w:val="0"/>
        <w:widowControl w:val="0"/>
        <w:suppressLineNumbers w:val="0"/>
        <w:spacing w:before="0" w:beforeAutospacing="0" w:after="0" w:afterAutospacing="0" w:line="400" w:lineRule="atLeast"/>
        <w:ind w:left="630" w:right="0" w:hanging="630" w:hangingChars="300"/>
        <w:jc w:val="both"/>
        <w:rPr>
          <w:rFonts w:hint="eastAsia"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
        </w:rPr>
        <w:t>注：1</w:t>
      </w:r>
      <w:r>
        <w:rPr>
          <w:rFonts w:hint="eastAsia" w:ascii="宋体" w:hAnsi="宋体" w:cs="宋体"/>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执业、职业单位指拟投入的项目管理机构人员目前是否在投标人处注册执业或岗位登记。</w:t>
      </w:r>
    </w:p>
    <w:p w14:paraId="7FC2666F">
      <w:pPr>
        <w:keepNext w:val="0"/>
        <w:keepLines w:val="0"/>
        <w:widowControl w:val="0"/>
        <w:suppressLineNumbers w:val="0"/>
        <w:spacing w:before="0" w:beforeAutospacing="0" w:after="0" w:afterAutospacing="0" w:line="420" w:lineRule="exact"/>
        <w:ind w:left="0" w:right="0" w:firstLine="420" w:firstLineChars="200"/>
        <w:jc w:val="both"/>
        <w:rPr>
          <w:rFonts w:hint="eastAsia"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
        </w:rPr>
        <w:t>2</w:t>
      </w:r>
      <w:r>
        <w:rPr>
          <w:rFonts w:hint="eastAsia" w:ascii="宋体" w:hAnsi="宋体" w:cs="宋体"/>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附项目管理机构主要人员社会保险证明。社会保险证明中缴费单位应与投标单位一致。</w:t>
      </w:r>
    </w:p>
    <w:p w14:paraId="032596AC">
      <w:pPr>
        <w:rPr>
          <w:color w:val="auto"/>
          <w:highlight w:val="none"/>
        </w:rPr>
        <w:sectPr>
          <w:footerReference r:id="rId71"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7F0050B">
      <w:pPr>
        <w:pStyle w:val="37"/>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ascii="宋体" w:hAnsi="宋体"/>
          <w:color w:val="auto"/>
          <w:szCs w:val="21"/>
          <w:highlight w:val="none"/>
        </w:rPr>
      </w:pPr>
      <w:bookmarkStart w:id="2333" w:name="_Toc122603081"/>
      <w:bookmarkStart w:id="2334" w:name="_Toc256000221"/>
      <w:r>
        <w:rPr>
          <w:rFonts w:hint="default" w:cs="宋体"/>
          <w:color w:val="auto"/>
          <w:szCs w:val="24"/>
          <w:highlight w:val="none"/>
        </w:rPr>
        <w:t>1-5</w:t>
      </w:r>
      <w:r>
        <w:rPr>
          <w:rFonts w:hint="eastAsia" w:cs="宋体"/>
          <w:color w:val="auto"/>
          <w:szCs w:val="24"/>
          <w:highlight w:val="none"/>
          <w:lang w:val="en-US" w:eastAsia="zh-CN"/>
        </w:rPr>
        <w:t xml:space="preserve"> </w:t>
      </w:r>
      <w:r>
        <w:rPr>
          <w:rFonts w:hint="default" w:cs="宋体"/>
          <w:color w:val="auto"/>
          <w:szCs w:val="24"/>
          <w:highlight w:val="none"/>
        </w:rPr>
        <w:t>主要人员</w:t>
      </w:r>
      <w:r>
        <w:rPr>
          <w:rFonts w:hint="eastAsia" w:cs="宋体"/>
          <w:color w:val="auto"/>
          <w:szCs w:val="24"/>
          <w:highlight w:val="none"/>
        </w:rPr>
        <w:t>简历表</w:t>
      </w:r>
      <w:bookmarkEnd w:id="2333"/>
      <w:bookmarkEnd w:id="2334"/>
    </w:p>
    <w:tbl>
      <w:tblPr>
        <w:tblStyle w:val="2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985"/>
        <w:gridCol w:w="1091"/>
        <w:gridCol w:w="1211"/>
        <w:gridCol w:w="2021"/>
        <w:gridCol w:w="2055"/>
      </w:tblGrid>
      <w:tr w14:paraId="03F4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2" w:type="dxa"/>
            <w:tcBorders>
              <w:top w:val="single" w:color="auto" w:sz="4" w:space="0"/>
              <w:left w:val="single" w:color="auto" w:sz="4" w:space="0"/>
              <w:bottom w:val="single" w:color="auto" w:sz="4" w:space="0"/>
              <w:right w:val="single" w:color="auto" w:sz="4" w:space="0"/>
            </w:tcBorders>
            <w:vAlign w:val="center"/>
          </w:tcPr>
          <w:p w14:paraId="124757FE">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姓  名</w:t>
            </w:r>
          </w:p>
        </w:tc>
        <w:tc>
          <w:tcPr>
            <w:tcW w:w="986" w:type="dxa"/>
            <w:tcBorders>
              <w:top w:val="single" w:color="auto" w:sz="4" w:space="0"/>
              <w:left w:val="single" w:color="auto" w:sz="4" w:space="0"/>
              <w:bottom w:val="single" w:color="auto" w:sz="4" w:space="0"/>
              <w:right w:val="single" w:color="auto" w:sz="4" w:space="0"/>
            </w:tcBorders>
            <w:vAlign w:val="center"/>
          </w:tcPr>
          <w:p w14:paraId="43BE31FA">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49EEE6A1">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年  龄</w:t>
            </w:r>
          </w:p>
        </w:tc>
        <w:tc>
          <w:tcPr>
            <w:tcW w:w="1212" w:type="dxa"/>
            <w:tcBorders>
              <w:top w:val="single" w:color="auto" w:sz="4" w:space="0"/>
              <w:left w:val="single" w:color="auto" w:sz="4" w:space="0"/>
              <w:bottom w:val="single" w:color="auto" w:sz="4" w:space="0"/>
              <w:right w:val="single" w:color="auto" w:sz="4" w:space="0"/>
            </w:tcBorders>
            <w:vAlign w:val="center"/>
          </w:tcPr>
          <w:p w14:paraId="63132033">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22" w:type="dxa"/>
            <w:tcBorders>
              <w:top w:val="single" w:color="auto" w:sz="4" w:space="0"/>
              <w:left w:val="single" w:color="auto" w:sz="4" w:space="0"/>
              <w:bottom w:val="single" w:color="auto" w:sz="4" w:space="0"/>
              <w:right w:val="single" w:color="auto" w:sz="4" w:space="0"/>
            </w:tcBorders>
            <w:vAlign w:val="center"/>
          </w:tcPr>
          <w:p w14:paraId="57F2CD83">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学历</w:t>
            </w:r>
          </w:p>
        </w:tc>
        <w:tc>
          <w:tcPr>
            <w:tcW w:w="2056" w:type="dxa"/>
            <w:tcBorders>
              <w:top w:val="single" w:color="auto" w:sz="4" w:space="0"/>
              <w:left w:val="single" w:color="auto" w:sz="4" w:space="0"/>
              <w:bottom w:val="single" w:color="auto" w:sz="4" w:space="0"/>
              <w:right w:val="single" w:color="auto" w:sz="4" w:space="0"/>
            </w:tcBorders>
            <w:vAlign w:val="center"/>
          </w:tcPr>
          <w:p w14:paraId="6521BFD5">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416D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2" w:type="dxa"/>
            <w:tcBorders>
              <w:top w:val="single" w:color="auto" w:sz="4" w:space="0"/>
              <w:left w:val="single" w:color="auto" w:sz="4" w:space="0"/>
              <w:bottom w:val="single" w:color="auto" w:sz="4" w:space="0"/>
              <w:right w:val="single" w:color="auto" w:sz="4" w:space="0"/>
            </w:tcBorders>
            <w:vAlign w:val="center"/>
          </w:tcPr>
          <w:p w14:paraId="7B4110DB">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职  称</w:t>
            </w:r>
          </w:p>
        </w:tc>
        <w:tc>
          <w:tcPr>
            <w:tcW w:w="986" w:type="dxa"/>
            <w:tcBorders>
              <w:top w:val="single" w:color="auto" w:sz="4" w:space="0"/>
              <w:left w:val="single" w:color="auto" w:sz="4" w:space="0"/>
              <w:bottom w:val="single" w:color="auto" w:sz="4" w:space="0"/>
              <w:right w:val="single" w:color="auto" w:sz="4" w:space="0"/>
            </w:tcBorders>
            <w:vAlign w:val="center"/>
          </w:tcPr>
          <w:p w14:paraId="6128EA21">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304502F9">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职  务</w:t>
            </w:r>
          </w:p>
        </w:tc>
        <w:tc>
          <w:tcPr>
            <w:tcW w:w="1212" w:type="dxa"/>
            <w:tcBorders>
              <w:top w:val="single" w:color="auto" w:sz="4" w:space="0"/>
              <w:left w:val="single" w:color="auto" w:sz="4" w:space="0"/>
              <w:bottom w:val="single" w:color="auto" w:sz="4" w:space="0"/>
              <w:right w:val="single" w:color="auto" w:sz="4" w:space="0"/>
            </w:tcBorders>
            <w:vAlign w:val="center"/>
          </w:tcPr>
          <w:p w14:paraId="66854728">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22" w:type="dxa"/>
            <w:tcBorders>
              <w:top w:val="single" w:color="auto" w:sz="4" w:space="0"/>
              <w:left w:val="single" w:color="auto" w:sz="4" w:space="0"/>
              <w:bottom w:val="single" w:color="auto" w:sz="4" w:space="0"/>
              <w:right w:val="single" w:color="auto" w:sz="4" w:space="0"/>
            </w:tcBorders>
            <w:vAlign w:val="center"/>
          </w:tcPr>
          <w:p w14:paraId="584F3B85">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拟在本工程任职</w:t>
            </w:r>
          </w:p>
        </w:tc>
        <w:tc>
          <w:tcPr>
            <w:tcW w:w="2056" w:type="dxa"/>
            <w:tcBorders>
              <w:top w:val="single" w:color="auto" w:sz="4" w:space="0"/>
              <w:left w:val="single" w:color="auto" w:sz="4" w:space="0"/>
              <w:bottom w:val="single" w:color="auto" w:sz="4" w:space="0"/>
              <w:right w:val="single" w:color="auto" w:sz="4" w:space="0"/>
            </w:tcBorders>
            <w:vAlign w:val="center"/>
          </w:tcPr>
          <w:p w14:paraId="4D33E3FA">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6A28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2" w:type="dxa"/>
            <w:tcBorders>
              <w:top w:val="single" w:color="auto" w:sz="4" w:space="0"/>
              <w:left w:val="single" w:color="auto" w:sz="4" w:space="0"/>
              <w:bottom w:val="single" w:color="auto" w:sz="4" w:space="0"/>
              <w:right w:val="single" w:color="auto" w:sz="4" w:space="0"/>
            </w:tcBorders>
            <w:vAlign w:val="center"/>
          </w:tcPr>
          <w:p w14:paraId="1BA54B81">
            <w:pPr>
              <w:keepNext w:val="0"/>
              <w:keepLines w:val="0"/>
              <w:suppressLineNumbers w:val="0"/>
              <w:spacing w:before="0" w:beforeAutospacing="0" w:after="0" w:afterAutospacing="0"/>
              <w:ind w:left="0" w:right="0"/>
              <w:jc w:val="center"/>
              <w:rPr>
                <w:rFonts w:hint="default" w:ascii="宋体" w:hAnsi="宋体" w:cs="宋体"/>
                <w:color w:val="auto"/>
                <w:szCs w:val="21"/>
                <w:highlight w:val="none"/>
                <w:lang w:bidi="ar"/>
              </w:rPr>
            </w:pPr>
            <w:r>
              <w:rPr>
                <w:rFonts w:hint="eastAsia" w:ascii="宋体" w:hAnsi="宋体" w:cs="宋体"/>
                <w:color w:val="auto"/>
                <w:szCs w:val="21"/>
                <w:highlight w:val="none"/>
                <w:lang w:bidi="ar"/>
              </w:rPr>
              <w:t>毕业</w:t>
            </w:r>
          </w:p>
          <w:p w14:paraId="32420AFC">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学校</w:t>
            </w:r>
          </w:p>
        </w:tc>
        <w:tc>
          <w:tcPr>
            <w:tcW w:w="7368" w:type="dxa"/>
            <w:gridSpan w:val="5"/>
            <w:tcBorders>
              <w:top w:val="single" w:color="auto" w:sz="4" w:space="0"/>
              <w:left w:val="single" w:color="auto" w:sz="4" w:space="0"/>
              <w:bottom w:val="single" w:color="auto" w:sz="4" w:space="0"/>
              <w:right w:val="single" w:color="auto" w:sz="4" w:space="0"/>
            </w:tcBorders>
            <w:vAlign w:val="center"/>
          </w:tcPr>
          <w:p w14:paraId="59871F6F">
            <w:pPr>
              <w:keepNext w:val="0"/>
              <w:keepLines w:val="0"/>
              <w:suppressLineNumbers w:val="0"/>
              <w:spacing w:before="0" w:beforeAutospacing="0" w:after="0" w:afterAutospacing="0"/>
              <w:ind w:left="0" w:right="0" w:firstLine="840" w:firstLineChars="400"/>
              <w:rPr>
                <w:rFonts w:hint="default" w:ascii="宋体" w:hAnsi="宋体" w:cs="宋体"/>
                <w:color w:val="auto"/>
                <w:szCs w:val="21"/>
                <w:highlight w:val="none"/>
              </w:rPr>
            </w:pPr>
            <w:r>
              <w:rPr>
                <w:rFonts w:hint="eastAsia" w:ascii="宋体" w:hAnsi="宋体" w:cs="宋体"/>
                <w:color w:val="auto"/>
                <w:szCs w:val="21"/>
                <w:highlight w:val="none"/>
                <w:lang w:bidi="ar"/>
              </w:rPr>
              <w:t>年毕业于                  学校            专业</w:t>
            </w:r>
          </w:p>
        </w:tc>
      </w:tr>
      <w:tr w14:paraId="37EA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20" w:type="dxa"/>
            <w:gridSpan w:val="6"/>
            <w:tcBorders>
              <w:top w:val="single" w:color="auto" w:sz="4" w:space="0"/>
              <w:left w:val="single" w:color="auto" w:sz="4" w:space="0"/>
              <w:bottom w:val="single" w:color="auto" w:sz="4" w:space="0"/>
              <w:right w:val="single" w:color="auto" w:sz="4" w:space="0"/>
            </w:tcBorders>
            <w:vAlign w:val="center"/>
          </w:tcPr>
          <w:p w14:paraId="25BC3D9F">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主要工作经历</w:t>
            </w:r>
          </w:p>
        </w:tc>
      </w:tr>
      <w:tr w14:paraId="4592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2" w:type="dxa"/>
            <w:tcBorders>
              <w:top w:val="single" w:color="auto" w:sz="4" w:space="0"/>
              <w:left w:val="single" w:color="auto" w:sz="4" w:space="0"/>
              <w:bottom w:val="single" w:color="auto" w:sz="4" w:space="0"/>
              <w:right w:val="single" w:color="auto" w:sz="4" w:space="0"/>
            </w:tcBorders>
            <w:vAlign w:val="center"/>
          </w:tcPr>
          <w:p w14:paraId="6914E3AA">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时  间</w:t>
            </w:r>
          </w:p>
        </w:tc>
        <w:tc>
          <w:tcPr>
            <w:tcW w:w="3290" w:type="dxa"/>
            <w:gridSpan w:val="3"/>
            <w:tcBorders>
              <w:top w:val="single" w:color="auto" w:sz="4" w:space="0"/>
              <w:left w:val="single" w:color="auto" w:sz="4" w:space="0"/>
              <w:bottom w:val="single" w:color="auto" w:sz="4" w:space="0"/>
              <w:right w:val="single" w:color="auto" w:sz="4" w:space="0"/>
            </w:tcBorders>
            <w:vAlign w:val="center"/>
          </w:tcPr>
          <w:p w14:paraId="1CE8B8AF">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参加过的类似项目名称</w:t>
            </w:r>
          </w:p>
        </w:tc>
        <w:tc>
          <w:tcPr>
            <w:tcW w:w="2022" w:type="dxa"/>
            <w:tcBorders>
              <w:top w:val="single" w:color="auto" w:sz="4" w:space="0"/>
              <w:left w:val="single" w:color="auto" w:sz="4" w:space="0"/>
              <w:bottom w:val="single" w:color="auto" w:sz="4" w:space="0"/>
              <w:right w:val="single" w:color="auto" w:sz="4" w:space="0"/>
            </w:tcBorders>
            <w:vAlign w:val="center"/>
          </w:tcPr>
          <w:p w14:paraId="0D120644">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工程概况说明</w:t>
            </w:r>
          </w:p>
        </w:tc>
        <w:tc>
          <w:tcPr>
            <w:tcW w:w="2056" w:type="dxa"/>
            <w:tcBorders>
              <w:top w:val="single" w:color="auto" w:sz="4" w:space="0"/>
              <w:left w:val="single" w:color="auto" w:sz="4" w:space="0"/>
              <w:bottom w:val="single" w:color="auto" w:sz="4" w:space="0"/>
              <w:right w:val="single" w:color="auto" w:sz="4" w:space="0"/>
            </w:tcBorders>
            <w:vAlign w:val="center"/>
          </w:tcPr>
          <w:p w14:paraId="40492DCB">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委托人及联系电话</w:t>
            </w:r>
          </w:p>
        </w:tc>
      </w:tr>
      <w:tr w14:paraId="3E574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2" w:type="dxa"/>
            <w:tcBorders>
              <w:top w:val="single" w:color="auto" w:sz="4" w:space="0"/>
              <w:left w:val="single" w:color="auto" w:sz="4" w:space="0"/>
              <w:bottom w:val="single" w:color="auto" w:sz="4" w:space="0"/>
              <w:right w:val="single" w:color="auto" w:sz="4" w:space="0"/>
            </w:tcBorders>
            <w:vAlign w:val="center"/>
          </w:tcPr>
          <w:p w14:paraId="22A50419">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3290" w:type="dxa"/>
            <w:gridSpan w:val="3"/>
            <w:tcBorders>
              <w:top w:val="single" w:color="auto" w:sz="4" w:space="0"/>
              <w:left w:val="single" w:color="auto" w:sz="4" w:space="0"/>
              <w:bottom w:val="single" w:color="auto" w:sz="4" w:space="0"/>
              <w:right w:val="single" w:color="auto" w:sz="4" w:space="0"/>
            </w:tcBorders>
            <w:vAlign w:val="center"/>
          </w:tcPr>
          <w:p w14:paraId="0DE003DC">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22" w:type="dxa"/>
            <w:tcBorders>
              <w:top w:val="single" w:color="auto" w:sz="4" w:space="0"/>
              <w:left w:val="single" w:color="auto" w:sz="4" w:space="0"/>
              <w:bottom w:val="single" w:color="auto" w:sz="4" w:space="0"/>
              <w:right w:val="single" w:color="auto" w:sz="4" w:space="0"/>
            </w:tcBorders>
            <w:vAlign w:val="center"/>
          </w:tcPr>
          <w:p w14:paraId="79528867">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56" w:type="dxa"/>
            <w:tcBorders>
              <w:top w:val="single" w:color="auto" w:sz="4" w:space="0"/>
              <w:left w:val="single" w:color="auto" w:sz="4" w:space="0"/>
              <w:bottom w:val="single" w:color="auto" w:sz="4" w:space="0"/>
              <w:right w:val="single" w:color="auto" w:sz="4" w:space="0"/>
            </w:tcBorders>
            <w:vAlign w:val="center"/>
          </w:tcPr>
          <w:p w14:paraId="78712BE7">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262D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2" w:type="dxa"/>
            <w:tcBorders>
              <w:top w:val="single" w:color="auto" w:sz="4" w:space="0"/>
              <w:left w:val="single" w:color="auto" w:sz="4" w:space="0"/>
              <w:bottom w:val="single" w:color="auto" w:sz="4" w:space="0"/>
              <w:right w:val="single" w:color="auto" w:sz="4" w:space="0"/>
            </w:tcBorders>
            <w:vAlign w:val="center"/>
          </w:tcPr>
          <w:p w14:paraId="53801574">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3290" w:type="dxa"/>
            <w:gridSpan w:val="3"/>
            <w:tcBorders>
              <w:top w:val="single" w:color="auto" w:sz="4" w:space="0"/>
              <w:left w:val="single" w:color="auto" w:sz="4" w:space="0"/>
              <w:bottom w:val="single" w:color="auto" w:sz="4" w:space="0"/>
              <w:right w:val="single" w:color="auto" w:sz="4" w:space="0"/>
            </w:tcBorders>
            <w:vAlign w:val="center"/>
          </w:tcPr>
          <w:p w14:paraId="7D9B197B">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22" w:type="dxa"/>
            <w:tcBorders>
              <w:top w:val="single" w:color="auto" w:sz="4" w:space="0"/>
              <w:left w:val="single" w:color="auto" w:sz="4" w:space="0"/>
              <w:bottom w:val="single" w:color="auto" w:sz="4" w:space="0"/>
              <w:right w:val="single" w:color="auto" w:sz="4" w:space="0"/>
            </w:tcBorders>
            <w:vAlign w:val="center"/>
          </w:tcPr>
          <w:p w14:paraId="3B97EC30">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56" w:type="dxa"/>
            <w:tcBorders>
              <w:top w:val="single" w:color="auto" w:sz="4" w:space="0"/>
              <w:left w:val="single" w:color="auto" w:sz="4" w:space="0"/>
              <w:bottom w:val="single" w:color="auto" w:sz="4" w:space="0"/>
              <w:right w:val="single" w:color="auto" w:sz="4" w:space="0"/>
            </w:tcBorders>
            <w:vAlign w:val="center"/>
          </w:tcPr>
          <w:p w14:paraId="6556EA1B">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7BD0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2" w:type="dxa"/>
            <w:tcBorders>
              <w:top w:val="single" w:color="auto" w:sz="4" w:space="0"/>
              <w:left w:val="single" w:color="auto" w:sz="4" w:space="0"/>
              <w:bottom w:val="single" w:color="auto" w:sz="4" w:space="0"/>
              <w:right w:val="single" w:color="auto" w:sz="4" w:space="0"/>
            </w:tcBorders>
            <w:vAlign w:val="center"/>
          </w:tcPr>
          <w:p w14:paraId="747F52DF">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3290" w:type="dxa"/>
            <w:gridSpan w:val="3"/>
            <w:tcBorders>
              <w:top w:val="single" w:color="auto" w:sz="4" w:space="0"/>
              <w:left w:val="single" w:color="auto" w:sz="4" w:space="0"/>
              <w:bottom w:val="single" w:color="auto" w:sz="4" w:space="0"/>
              <w:right w:val="single" w:color="auto" w:sz="4" w:space="0"/>
            </w:tcBorders>
            <w:vAlign w:val="center"/>
          </w:tcPr>
          <w:p w14:paraId="18B0C0DD">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22" w:type="dxa"/>
            <w:tcBorders>
              <w:top w:val="single" w:color="auto" w:sz="4" w:space="0"/>
              <w:left w:val="single" w:color="auto" w:sz="4" w:space="0"/>
              <w:bottom w:val="single" w:color="auto" w:sz="4" w:space="0"/>
              <w:right w:val="single" w:color="auto" w:sz="4" w:space="0"/>
            </w:tcBorders>
            <w:vAlign w:val="center"/>
          </w:tcPr>
          <w:p w14:paraId="4E22F353">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56" w:type="dxa"/>
            <w:tcBorders>
              <w:top w:val="single" w:color="auto" w:sz="4" w:space="0"/>
              <w:left w:val="single" w:color="auto" w:sz="4" w:space="0"/>
              <w:bottom w:val="single" w:color="auto" w:sz="4" w:space="0"/>
              <w:right w:val="single" w:color="auto" w:sz="4" w:space="0"/>
            </w:tcBorders>
            <w:vAlign w:val="center"/>
          </w:tcPr>
          <w:p w14:paraId="2C7D4CFF">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7DC9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2" w:type="dxa"/>
            <w:tcBorders>
              <w:top w:val="single" w:color="auto" w:sz="4" w:space="0"/>
              <w:left w:val="single" w:color="auto" w:sz="4" w:space="0"/>
              <w:bottom w:val="single" w:color="auto" w:sz="4" w:space="0"/>
              <w:right w:val="single" w:color="auto" w:sz="4" w:space="0"/>
            </w:tcBorders>
            <w:vAlign w:val="center"/>
          </w:tcPr>
          <w:p w14:paraId="20F56D03">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3290" w:type="dxa"/>
            <w:gridSpan w:val="3"/>
            <w:tcBorders>
              <w:top w:val="single" w:color="auto" w:sz="4" w:space="0"/>
              <w:left w:val="single" w:color="auto" w:sz="4" w:space="0"/>
              <w:bottom w:val="single" w:color="auto" w:sz="4" w:space="0"/>
              <w:right w:val="single" w:color="auto" w:sz="4" w:space="0"/>
            </w:tcBorders>
            <w:vAlign w:val="center"/>
          </w:tcPr>
          <w:p w14:paraId="6B370EC2">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22" w:type="dxa"/>
            <w:tcBorders>
              <w:top w:val="single" w:color="auto" w:sz="4" w:space="0"/>
              <w:left w:val="single" w:color="auto" w:sz="4" w:space="0"/>
              <w:bottom w:val="single" w:color="auto" w:sz="4" w:space="0"/>
              <w:right w:val="single" w:color="auto" w:sz="4" w:space="0"/>
            </w:tcBorders>
            <w:vAlign w:val="center"/>
          </w:tcPr>
          <w:p w14:paraId="226011E7">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56" w:type="dxa"/>
            <w:tcBorders>
              <w:top w:val="single" w:color="auto" w:sz="4" w:space="0"/>
              <w:left w:val="single" w:color="auto" w:sz="4" w:space="0"/>
              <w:bottom w:val="single" w:color="auto" w:sz="4" w:space="0"/>
              <w:right w:val="single" w:color="auto" w:sz="4" w:space="0"/>
            </w:tcBorders>
            <w:vAlign w:val="center"/>
          </w:tcPr>
          <w:p w14:paraId="0993A9EA">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7841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2" w:type="dxa"/>
            <w:tcBorders>
              <w:top w:val="single" w:color="auto" w:sz="4" w:space="0"/>
              <w:left w:val="single" w:color="auto" w:sz="4" w:space="0"/>
              <w:bottom w:val="single" w:color="auto" w:sz="4" w:space="0"/>
              <w:right w:val="single" w:color="auto" w:sz="4" w:space="0"/>
            </w:tcBorders>
            <w:vAlign w:val="center"/>
          </w:tcPr>
          <w:p w14:paraId="4A368863">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3290" w:type="dxa"/>
            <w:gridSpan w:val="3"/>
            <w:tcBorders>
              <w:top w:val="single" w:color="auto" w:sz="4" w:space="0"/>
              <w:left w:val="single" w:color="auto" w:sz="4" w:space="0"/>
              <w:bottom w:val="single" w:color="auto" w:sz="4" w:space="0"/>
              <w:right w:val="single" w:color="auto" w:sz="4" w:space="0"/>
            </w:tcBorders>
            <w:vAlign w:val="center"/>
          </w:tcPr>
          <w:p w14:paraId="3923E532">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22" w:type="dxa"/>
            <w:tcBorders>
              <w:top w:val="single" w:color="auto" w:sz="4" w:space="0"/>
              <w:left w:val="single" w:color="auto" w:sz="4" w:space="0"/>
              <w:bottom w:val="single" w:color="auto" w:sz="4" w:space="0"/>
              <w:right w:val="single" w:color="auto" w:sz="4" w:space="0"/>
            </w:tcBorders>
            <w:vAlign w:val="center"/>
          </w:tcPr>
          <w:p w14:paraId="6B03E3EB">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56" w:type="dxa"/>
            <w:tcBorders>
              <w:top w:val="single" w:color="auto" w:sz="4" w:space="0"/>
              <w:left w:val="single" w:color="auto" w:sz="4" w:space="0"/>
              <w:bottom w:val="single" w:color="auto" w:sz="4" w:space="0"/>
              <w:right w:val="single" w:color="auto" w:sz="4" w:space="0"/>
            </w:tcBorders>
            <w:vAlign w:val="center"/>
          </w:tcPr>
          <w:p w14:paraId="16B22BED">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5C95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2" w:type="dxa"/>
            <w:tcBorders>
              <w:top w:val="single" w:color="auto" w:sz="4" w:space="0"/>
              <w:left w:val="single" w:color="auto" w:sz="4" w:space="0"/>
              <w:bottom w:val="single" w:color="auto" w:sz="4" w:space="0"/>
              <w:right w:val="single" w:color="auto" w:sz="4" w:space="0"/>
            </w:tcBorders>
            <w:vAlign w:val="center"/>
          </w:tcPr>
          <w:p w14:paraId="21C53BE8">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3290" w:type="dxa"/>
            <w:gridSpan w:val="3"/>
            <w:tcBorders>
              <w:top w:val="single" w:color="auto" w:sz="4" w:space="0"/>
              <w:left w:val="single" w:color="auto" w:sz="4" w:space="0"/>
              <w:bottom w:val="single" w:color="auto" w:sz="4" w:space="0"/>
              <w:right w:val="single" w:color="auto" w:sz="4" w:space="0"/>
            </w:tcBorders>
            <w:vAlign w:val="center"/>
          </w:tcPr>
          <w:p w14:paraId="5B99412C">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22" w:type="dxa"/>
            <w:tcBorders>
              <w:top w:val="single" w:color="auto" w:sz="4" w:space="0"/>
              <w:left w:val="single" w:color="auto" w:sz="4" w:space="0"/>
              <w:bottom w:val="single" w:color="auto" w:sz="4" w:space="0"/>
              <w:right w:val="single" w:color="auto" w:sz="4" w:space="0"/>
            </w:tcBorders>
            <w:vAlign w:val="center"/>
          </w:tcPr>
          <w:p w14:paraId="00ECA7A6">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56" w:type="dxa"/>
            <w:tcBorders>
              <w:top w:val="single" w:color="auto" w:sz="4" w:space="0"/>
              <w:left w:val="single" w:color="auto" w:sz="4" w:space="0"/>
              <w:bottom w:val="single" w:color="auto" w:sz="4" w:space="0"/>
              <w:right w:val="single" w:color="auto" w:sz="4" w:space="0"/>
            </w:tcBorders>
            <w:vAlign w:val="center"/>
          </w:tcPr>
          <w:p w14:paraId="266D727F">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24BE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2" w:type="dxa"/>
            <w:tcBorders>
              <w:top w:val="single" w:color="auto" w:sz="4" w:space="0"/>
              <w:left w:val="single" w:color="auto" w:sz="4" w:space="0"/>
              <w:bottom w:val="single" w:color="auto" w:sz="4" w:space="0"/>
              <w:right w:val="single" w:color="auto" w:sz="4" w:space="0"/>
            </w:tcBorders>
            <w:vAlign w:val="center"/>
          </w:tcPr>
          <w:p w14:paraId="42658F52">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3290" w:type="dxa"/>
            <w:gridSpan w:val="3"/>
            <w:tcBorders>
              <w:top w:val="single" w:color="auto" w:sz="4" w:space="0"/>
              <w:left w:val="single" w:color="auto" w:sz="4" w:space="0"/>
              <w:bottom w:val="single" w:color="auto" w:sz="4" w:space="0"/>
              <w:right w:val="single" w:color="auto" w:sz="4" w:space="0"/>
            </w:tcBorders>
            <w:vAlign w:val="center"/>
          </w:tcPr>
          <w:p w14:paraId="4C20269A">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22" w:type="dxa"/>
            <w:tcBorders>
              <w:top w:val="single" w:color="auto" w:sz="4" w:space="0"/>
              <w:left w:val="single" w:color="auto" w:sz="4" w:space="0"/>
              <w:bottom w:val="single" w:color="auto" w:sz="4" w:space="0"/>
              <w:right w:val="single" w:color="auto" w:sz="4" w:space="0"/>
            </w:tcBorders>
            <w:vAlign w:val="center"/>
          </w:tcPr>
          <w:p w14:paraId="25423C3B">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56" w:type="dxa"/>
            <w:tcBorders>
              <w:top w:val="single" w:color="auto" w:sz="4" w:space="0"/>
              <w:left w:val="single" w:color="auto" w:sz="4" w:space="0"/>
              <w:bottom w:val="single" w:color="auto" w:sz="4" w:space="0"/>
              <w:right w:val="single" w:color="auto" w:sz="4" w:space="0"/>
            </w:tcBorders>
            <w:vAlign w:val="center"/>
          </w:tcPr>
          <w:p w14:paraId="729D442F">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04F7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2" w:type="dxa"/>
            <w:tcBorders>
              <w:top w:val="single" w:color="auto" w:sz="4" w:space="0"/>
              <w:left w:val="single" w:color="auto" w:sz="4" w:space="0"/>
              <w:bottom w:val="single" w:color="auto" w:sz="4" w:space="0"/>
              <w:right w:val="single" w:color="auto" w:sz="4" w:space="0"/>
            </w:tcBorders>
            <w:vAlign w:val="center"/>
          </w:tcPr>
          <w:p w14:paraId="6DCDFBB9">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3290" w:type="dxa"/>
            <w:gridSpan w:val="3"/>
            <w:tcBorders>
              <w:top w:val="single" w:color="auto" w:sz="4" w:space="0"/>
              <w:left w:val="single" w:color="auto" w:sz="4" w:space="0"/>
              <w:bottom w:val="single" w:color="auto" w:sz="4" w:space="0"/>
              <w:right w:val="single" w:color="auto" w:sz="4" w:space="0"/>
            </w:tcBorders>
            <w:vAlign w:val="center"/>
          </w:tcPr>
          <w:p w14:paraId="0CD6EE48">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22" w:type="dxa"/>
            <w:tcBorders>
              <w:top w:val="single" w:color="auto" w:sz="4" w:space="0"/>
              <w:left w:val="single" w:color="auto" w:sz="4" w:space="0"/>
              <w:bottom w:val="single" w:color="auto" w:sz="4" w:space="0"/>
              <w:right w:val="single" w:color="auto" w:sz="4" w:space="0"/>
            </w:tcBorders>
            <w:vAlign w:val="center"/>
          </w:tcPr>
          <w:p w14:paraId="2AC9CB48">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56" w:type="dxa"/>
            <w:tcBorders>
              <w:top w:val="single" w:color="auto" w:sz="4" w:space="0"/>
              <w:left w:val="single" w:color="auto" w:sz="4" w:space="0"/>
              <w:bottom w:val="single" w:color="auto" w:sz="4" w:space="0"/>
              <w:right w:val="single" w:color="auto" w:sz="4" w:space="0"/>
            </w:tcBorders>
            <w:vAlign w:val="center"/>
          </w:tcPr>
          <w:p w14:paraId="4E8ADFBA">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4EF89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2" w:type="dxa"/>
            <w:tcBorders>
              <w:top w:val="single" w:color="auto" w:sz="4" w:space="0"/>
              <w:left w:val="single" w:color="auto" w:sz="4" w:space="0"/>
              <w:bottom w:val="single" w:color="auto" w:sz="4" w:space="0"/>
              <w:right w:val="single" w:color="auto" w:sz="4" w:space="0"/>
            </w:tcBorders>
            <w:vAlign w:val="center"/>
          </w:tcPr>
          <w:p w14:paraId="7AF2B484">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3290" w:type="dxa"/>
            <w:gridSpan w:val="3"/>
            <w:tcBorders>
              <w:top w:val="single" w:color="auto" w:sz="4" w:space="0"/>
              <w:left w:val="single" w:color="auto" w:sz="4" w:space="0"/>
              <w:bottom w:val="single" w:color="auto" w:sz="4" w:space="0"/>
              <w:right w:val="single" w:color="auto" w:sz="4" w:space="0"/>
            </w:tcBorders>
            <w:vAlign w:val="center"/>
          </w:tcPr>
          <w:p w14:paraId="7C7EF297">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22" w:type="dxa"/>
            <w:tcBorders>
              <w:top w:val="single" w:color="auto" w:sz="4" w:space="0"/>
              <w:left w:val="single" w:color="auto" w:sz="4" w:space="0"/>
              <w:bottom w:val="single" w:color="auto" w:sz="4" w:space="0"/>
              <w:right w:val="single" w:color="auto" w:sz="4" w:space="0"/>
            </w:tcBorders>
            <w:vAlign w:val="center"/>
          </w:tcPr>
          <w:p w14:paraId="5499DF1A">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2056" w:type="dxa"/>
            <w:tcBorders>
              <w:top w:val="single" w:color="auto" w:sz="4" w:space="0"/>
              <w:left w:val="single" w:color="auto" w:sz="4" w:space="0"/>
              <w:bottom w:val="single" w:color="auto" w:sz="4" w:space="0"/>
              <w:right w:val="single" w:color="auto" w:sz="4" w:space="0"/>
            </w:tcBorders>
            <w:vAlign w:val="center"/>
          </w:tcPr>
          <w:p w14:paraId="265A80D3">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bl>
    <w:p w14:paraId="571DAC0C">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注：“主要人员简历表”中的项目经理应附项目经理证、身份证、职称证、学历证、养老保险证明，管理过的项目业绩须附合同协议书；设计、施工、采购负责人应附身份证、职称证、学历证、养老保险，以及设计、施工负责人的执业资格证书，管理过的项目业绩须附证明其所任技术职务的企业文件或用户证明；其他主要人员应附职称证（执业证或上岗证书）、养老保险证明。</w:t>
      </w:r>
    </w:p>
    <w:p w14:paraId="03BA2B25">
      <w:pPr>
        <w:rPr>
          <w:color w:val="auto"/>
          <w:highlight w:val="none"/>
        </w:rPr>
        <w:sectPr>
          <w:footerReference r:id="rId7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5250CFC">
      <w:pPr>
        <w:pStyle w:val="37"/>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ascii="宋体" w:hAnsi="宋体"/>
          <w:color w:val="auto"/>
          <w:szCs w:val="21"/>
          <w:highlight w:val="none"/>
        </w:rPr>
      </w:pPr>
      <w:bookmarkStart w:id="2335" w:name="_Toc256000222"/>
      <w:r>
        <w:rPr>
          <w:rFonts w:hint="default" w:cs="宋体"/>
          <w:color w:val="auto"/>
          <w:szCs w:val="24"/>
          <w:highlight w:val="none"/>
        </w:rPr>
        <w:t>1-6</w:t>
      </w:r>
      <w:r>
        <w:rPr>
          <w:rFonts w:hint="eastAsia" w:cs="宋体"/>
          <w:color w:val="auto"/>
          <w:szCs w:val="24"/>
          <w:highlight w:val="none"/>
          <w:lang w:val="en-US" w:eastAsia="zh-CN"/>
        </w:rPr>
        <w:t xml:space="preserve"> </w:t>
      </w:r>
      <w:r>
        <w:rPr>
          <w:rFonts w:hint="default" w:cs="宋体"/>
          <w:color w:val="auto"/>
          <w:szCs w:val="24"/>
          <w:highlight w:val="none"/>
        </w:rPr>
        <w:t>其他主要项目管理人员简历表</w:t>
      </w:r>
      <w:bookmarkEnd w:id="2335"/>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2735"/>
        <w:gridCol w:w="1725"/>
        <w:gridCol w:w="2735"/>
      </w:tblGrid>
      <w:tr w14:paraId="1CB7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tcBorders>
              <w:top w:val="single" w:color="auto" w:sz="4" w:space="0"/>
              <w:left w:val="single" w:color="auto" w:sz="4" w:space="0"/>
              <w:bottom w:val="single" w:color="auto" w:sz="4" w:space="0"/>
              <w:right w:val="single" w:color="auto" w:sz="4" w:space="0"/>
            </w:tcBorders>
            <w:vAlign w:val="center"/>
          </w:tcPr>
          <w:p w14:paraId="673BB9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岗位名称</w:t>
            </w:r>
          </w:p>
          <w:p w14:paraId="179331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val="en-US" w:eastAsia="zh-CN" w:bidi="ar"/>
              </w:rPr>
              <w:t>职务</w:t>
            </w:r>
            <w:r>
              <w:rPr>
                <w:rFonts w:hint="eastAsia" w:ascii="宋体" w:hAnsi="宋体" w:cs="宋体"/>
                <w:color w:val="auto"/>
                <w:szCs w:val="21"/>
                <w:highlight w:val="none"/>
                <w:lang w:eastAsia="zh-CN" w:bidi="ar"/>
              </w:rPr>
              <w:t>）</w:t>
            </w:r>
          </w:p>
        </w:tc>
        <w:tc>
          <w:tcPr>
            <w:tcW w:w="7560" w:type="dxa"/>
            <w:gridSpan w:val="3"/>
            <w:tcBorders>
              <w:top w:val="single" w:color="auto" w:sz="4" w:space="0"/>
              <w:left w:val="single" w:color="auto" w:sz="4" w:space="0"/>
              <w:bottom w:val="single" w:color="auto" w:sz="4" w:space="0"/>
              <w:right w:val="single" w:color="auto" w:sz="4" w:space="0"/>
            </w:tcBorders>
            <w:vAlign w:val="center"/>
          </w:tcPr>
          <w:p w14:paraId="205FE387">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5C3C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tcBorders>
              <w:top w:val="single" w:color="auto" w:sz="4" w:space="0"/>
              <w:left w:val="single" w:color="auto" w:sz="4" w:space="0"/>
              <w:bottom w:val="single" w:color="auto" w:sz="4" w:space="0"/>
              <w:right w:val="single" w:color="auto" w:sz="4" w:space="0"/>
            </w:tcBorders>
            <w:vAlign w:val="center"/>
          </w:tcPr>
          <w:p w14:paraId="027160F1">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姓    名</w:t>
            </w:r>
          </w:p>
        </w:tc>
        <w:tc>
          <w:tcPr>
            <w:tcW w:w="2880" w:type="dxa"/>
            <w:tcBorders>
              <w:top w:val="single" w:color="auto" w:sz="4" w:space="0"/>
              <w:left w:val="single" w:color="auto" w:sz="4" w:space="0"/>
              <w:bottom w:val="single" w:color="auto" w:sz="4" w:space="0"/>
              <w:right w:val="single" w:color="auto" w:sz="4" w:space="0"/>
            </w:tcBorders>
            <w:vAlign w:val="center"/>
          </w:tcPr>
          <w:p w14:paraId="43562EEB">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50F742A3">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年    龄</w:t>
            </w:r>
          </w:p>
        </w:tc>
        <w:tc>
          <w:tcPr>
            <w:tcW w:w="2880" w:type="dxa"/>
            <w:tcBorders>
              <w:top w:val="single" w:color="auto" w:sz="4" w:space="0"/>
              <w:left w:val="single" w:color="auto" w:sz="4" w:space="0"/>
              <w:bottom w:val="single" w:color="auto" w:sz="4" w:space="0"/>
              <w:right w:val="single" w:color="auto" w:sz="4" w:space="0"/>
            </w:tcBorders>
            <w:vAlign w:val="center"/>
          </w:tcPr>
          <w:p w14:paraId="0C314B10">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6088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tcBorders>
              <w:top w:val="single" w:color="auto" w:sz="4" w:space="0"/>
              <w:left w:val="single" w:color="auto" w:sz="4" w:space="0"/>
              <w:bottom w:val="single" w:color="auto" w:sz="4" w:space="0"/>
              <w:right w:val="single" w:color="auto" w:sz="4" w:space="0"/>
            </w:tcBorders>
            <w:vAlign w:val="center"/>
          </w:tcPr>
          <w:p w14:paraId="7BEE72F1">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性    别</w:t>
            </w:r>
          </w:p>
        </w:tc>
        <w:tc>
          <w:tcPr>
            <w:tcW w:w="2880" w:type="dxa"/>
            <w:tcBorders>
              <w:top w:val="single" w:color="auto" w:sz="4" w:space="0"/>
              <w:left w:val="single" w:color="auto" w:sz="4" w:space="0"/>
              <w:bottom w:val="single" w:color="auto" w:sz="4" w:space="0"/>
              <w:right w:val="single" w:color="auto" w:sz="4" w:space="0"/>
            </w:tcBorders>
            <w:vAlign w:val="center"/>
          </w:tcPr>
          <w:p w14:paraId="561C75C7">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13950898">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毕业学校</w:t>
            </w:r>
          </w:p>
        </w:tc>
        <w:tc>
          <w:tcPr>
            <w:tcW w:w="2880" w:type="dxa"/>
            <w:tcBorders>
              <w:top w:val="single" w:color="auto" w:sz="4" w:space="0"/>
              <w:left w:val="single" w:color="auto" w:sz="4" w:space="0"/>
              <w:bottom w:val="single" w:color="auto" w:sz="4" w:space="0"/>
              <w:right w:val="single" w:color="auto" w:sz="4" w:space="0"/>
            </w:tcBorders>
            <w:vAlign w:val="center"/>
          </w:tcPr>
          <w:p w14:paraId="2A0540E3">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46B7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tcBorders>
              <w:top w:val="single" w:color="auto" w:sz="4" w:space="0"/>
              <w:left w:val="single" w:color="auto" w:sz="4" w:space="0"/>
              <w:bottom w:val="single" w:color="auto" w:sz="4" w:space="0"/>
              <w:right w:val="single" w:color="auto" w:sz="4" w:space="0"/>
            </w:tcBorders>
            <w:vAlign w:val="center"/>
          </w:tcPr>
          <w:p w14:paraId="03716480">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学历和专业</w:t>
            </w:r>
          </w:p>
        </w:tc>
        <w:tc>
          <w:tcPr>
            <w:tcW w:w="2880" w:type="dxa"/>
            <w:tcBorders>
              <w:top w:val="single" w:color="auto" w:sz="4" w:space="0"/>
              <w:left w:val="single" w:color="auto" w:sz="4" w:space="0"/>
              <w:bottom w:val="single" w:color="auto" w:sz="4" w:space="0"/>
              <w:right w:val="single" w:color="auto" w:sz="4" w:space="0"/>
            </w:tcBorders>
            <w:vAlign w:val="center"/>
          </w:tcPr>
          <w:p w14:paraId="1E82BDB9">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5BFF4DC6">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毕业时间</w:t>
            </w:r>
          </w:p>
        </w:tc>
        <w:tc>
          <w:tcPr>
            <w:tcW w:w="2880" w:type="dxa"/>
            <w:tcBorders>
              <w:top w:val="single" w:color="auto" w:sz="4" w:space="0"/>
              <w:left w:val="single" w:color="auto" w:sz="4" w:space="0"/>
              <w:bottom w:val="single" w:color="auto" w:sz="4" w:space="0"/>
              <w:right w:val="single" w:color="auto" w:sz="4" w:space="0"/>
            </w:tcBorders>
            <w:vAlign w:val="center"/>
          </w:tcPr>
          <w:p w14:paraId="4C0D191E">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3BC4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tcBorders>
              <w:top w:val="single" w:color="auto" w:sz="4" w:space="0"/>
              <w:left w:val="single" w:color="auto" w:sz="4" w:space="0"/>
              <w:bottom w:val="single" w:color="auto" w:sz="4" w:space="0"/>
              <w:right w:val="single" w:color="auto" w:sz="4" w:space="0"/>
            </w:tcBorders>
            <w:vAlign w:val="center"/>
          </w:tcPr>
          <w:p w14:paraId="784051B5">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执业/岗位资格</w:t>
            </w:r>
          </w:p>
        </w:tc>
        <w:tc>
          <w:tcPr>
            <w:tcW w:w="2880" w:type="dxa"/>
            <w:tcBorders>
              <w:top w:val="single" w:color="auto" w:sz="4" w:space="0"/>
              <w:left w:val="single" w:color="auto" w:sz="4" w:space="0"/>
              <w:bottom w:val="single" w:color="auto" w:sz="4" w:space="0"/>
              <w:right w:val="single" w:color="auto" w:sz="4" w:space="0"/>
            </w:tcBorders>
            <w:vAlign w:val="center"/>
          </w:tcPr>
          <w:p w14:paraId="08102263">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59D10FB4">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专业职称</w:t>
            </w:r>
          </w:p>
        </w:tc>
        <w:tc>
          <w:tcPr>
            <w:tcW w:w="2880" w:type="dxa"/>
            <w:tcBorders>
              <w:top w:val="single" w:color="auto" w:sz="4" w:space="0"/>
              <w:left w:val="single" w:color="auto" w:sz="4" w:space="0"/>
              <w:bottom w:val="single" w:color="auto" w:sz="4" w:space="0"/>
              <w:right w:val="single" w:color="auto" w:sz="4" w:space="0"/>
            </w:tcBorders>
            <w:vAlign w:val="center"/>
          </w:tcPr>
          <w:p w14:paraId="6599965F">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4272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tcBorders>
              <w:top w:val="single" w:color="auto" w:sz="4" w:space="0"/>
              <w:left w:val="single" w:color="auto" w:sz="4" w:space="0"/>
              <w:bottom w:val="single" w:color="auto" w:sz="4" w:space="0"/>
              <w:right w:val="single" w:color="auto" w:sz="4" w:space="0"/>
            </w:tcBorders>
            <w:vAlign w:val="center"/>
          </w:tcPr>
          <w:p w14:paraId="08CD478B">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执业/岗位</w:t>
            </w:r>
          </w:p>
          <w:p w14:paraId="5F17F684">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证书编号</w:t>
            </w:r>
          </w:p>
        </w:tc>
        <w:tc>
          <w:tcPr>
            <w:tcW w:w="2880" w:type="dxa"/>
            <w:tcBorders>
              <w:top w:val="single" w:color="auto" w:sz="4" w:space="0"/>
              <w:left w:val="single" w:color="auto" w:sz="4" w:space="0"/>
              <w:bottom w:val="single" w:color="auto" w:sz="4" w:space="0"/>
              <w:right w:val="single" w:color="auto" w:sz="4" w:space="0"/>
            </w:tcBorders>
            <w:vAlign w:val="center"/>
          </w:tcPr>
          <w:p w14:paraId="2AC636F5">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539E7E0D">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bidi="ar"/>
              </w:rPr>
              <w:t>专业工作年限</w:t>
            </w:r>
          </w:p>
        </w:tc>
        <w:tc>
          <w:tcPr>
            <w:tcW w:w="2880" w:type="dxa"/>
            <w:tcBorders>
              <w:top w:val="single" w:color="auto" w:sz="4" w:space="0"/>
              <w:left w:val="single" w:color="auto" w:sz="4" w:space="0"/>
              <w:bottom w:val="single" w:color="auto" w:sz="4" w:space="0"/>
              <w:right w:val="single" w:color="auto" w:sz="4" w:space="0"/>
            </w:tcBorders>
            <w:vAlign w:val="center"/>
          </w:tcPr>
          <w:p w14:paraId="428C3D9F">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p w14:paraId="31B05AD8">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2EA79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3" w:hRule="atLeast"/>
        </w:trPr>
        <w:tc>
          <w:tcPr>
            <w:tcW w:w="1368" w:type="dxa"/>
            <w:tcBorders>
              <w:top w:val="single" w:color="auto" w:sz="4" w:space="0"/>
              <w:left w:val="single" w:color="auto" w:sz="4" w:space="0"/>
              <w:bottom w:val="single" w:color="auto" w:sz="4" w:space="0"/>
              <w:right w:val="single" w:color="auto" w:sz="4" w:space="0"/>
            </w:tcBorders>
            <w:vAlign w:val="center"/>
          </w:tcPr>
          <w:p w14:paraId="17623D68">
            <w:pPr>
              <w:keepNext w:val="0"/>
              <w:keepLines w:val="0"/>
              <w:suppressLineNumbers w:val="0"/>
              <w:spacing w:before="0" w:beforeAutospacing="0" w:after="0" w:afterAutospacing="0"/>
              <w:ind w:left="0" w:right="0" w:firstLine="210" w:firstLineChars="100"/>
              <w:jc w:val="center"/>
              <w:rPr>
                <w:rFonts w:hint="default" w:ascii="宋体" w:hAnsi="宋体" w:cs="宋体"/>
                <w:color w:val="auto"/>
                <w:szCs w:val="21"/>
                <w:highlight w:val="none"/>
              </w:rPr>
            </w:pPr>
            <w:r>
              <w:rPr>
                <w:rFonts w:hint="eastAsia" w:ascii="宋体" w:hAnsi="宋体" w:cs="宋体"/>
                <w:color w:val="auto"/>
                <w:szCs w:val="21"/>
                <w:highlight w:val="none"/>
                <w:lang w:bidi="ar"/>
              </w:rPr>
              <w:t>主</w:t>
            </w:r>
          </w:p>
          <w:p w14:paraId="4F015482">
            <w:pPr>
              <w:keepNext w:val="0"/>
              <w:keepLines w:val="0"/>
              <w:suppressLineNumbers w:val="0"/>
              <w:spacing w:before="0" w:beforeAutospacing="0" w:after="0" w:afterAutospacing="0"/>
              <w:ind w:left="0" w:right="0" w:firstLine="210" w:firstLineChars="100"/>
              <w:jc w:val="center"/>
              <w:rPr>
                <w:rFonts w:hint="default" w:ascii="宋体" w:hAnsi="宋体" w:cs="宋体"/>
                <w:color w:val="auto"/>
                <w:szCs w:val="21"/>
                <w:highlight w:val="none"/>
              </w:rPr>
            </w:pPr>
            <w:r>
              <w:rPr>
                <w:rFonts w:hint="eastAsia" w:ascii="宋体" w:hAnsi="宋体" w:cs="宋体"/>
                <w:color w:val="auto"/>
                <w:szCs w:val="21"/>
                <w:highlight w:val="none"/>
                <w:lang w:bidi="ar"/>
              </w:rPr>
              <w:t>要</w:t>
            </w:r>
          </w:p>
          <w:p w14:paraId="34D717D3">
            <w:pPr>
              <w:keepNext w:val="0"/>
              <w:keepLines w:val="0"/>
              <w:suppressLineNumbers w:val="0"/>
              <w:spacing w:before="0" w:beforeAutospacing="0" w:after="0" w:afterAutospacing="0"/>
              <w:ind w:left="0" w:right="0" w:firstLine="210" w:firstLineChars="100"/>
              <w:jc w:val="center"/>
              <w:rPr>
                <w:rFonts w:hint="default" w:ascii="宋体" w:hAnsi="宋体" w:cs="宋体"/>
                <w:color w:val="auto"/>
                <w:szCs w:val="21"/>
                <w:highlight w:val="none"/>
              </w:rPr>
            </w:pPr>
            <w:r>
              <w:rPr>
                <w:rFonts w:hint="eastAsia" w:ascii="宋体" w:hAnsi="宋体" w:cs="宋体"/>
                <w:color w:val="auto"/>
                <w:szCs w:val="21"/>
                <w:highlight w:val="none"/>
                <w:lang w:bidi="ar"/>
              </w:rPr>
              <w:t>工</w:t>
            </w:r>
          </w:p>
          <w:p w14:paraId="37A18738">
            <w:pPr>
              <w:keepNext w:val="0"/>
              <w:keepLines w:val="0"/>
              <w:suppressLineNumbers w:val="0"/>
              <w:spacing w:before="0" w:beforeAutospacing="0" w:after="0" w:afterAutospacing="0"/>
              <w:ind w:left="0" w:right="0" w:firstLine="210" w:firstLineChars="100"/>
              <w:jc w:val="center"/>
              <w:rPr>
                <w:rFonts w:hint="default" w:ascii="宋体" w:hAnsi="宋体" w:cs="宋体"/>
                <w:color w:val="auto"/>
                <w:szCs w:val="21"/>
                <w:highlight w:val="none"/>
              </w:rPr>
            </w:pPr>
            <w:r>
              <w:rPr>
                <w:rFonts w:hint="eastAsia" w:ascii="宋体" w:hAnsi="宋体" w:cs="宋体"/>
                <w:color w:val="auto"/>
                <w:szCs w:val="21"/>
                <w:highlight w:val="none"/>
                <w:lang w:bidi="ar"/>
              </w:rPr>
              <w:t>作</w:t>
            </w:r>
          </w:p>
          <w:p w14:paraId="14D46C6A">
            <w:pPr>
              <w:keepNext w:val="0"/>
              <w:keepLines w:val="0"/>
              <w:suppressLineNumbers w:val="0"/>
              <w:spacing w:before="0" w:beforeAutospacing="0" w:after="0" w:afterAutospacing="0"/>
              <w:ind w:left="0" w:right="0" w:firstLine="210" w:firstLineChars="100"/>
              <w:jc w:val="center"/>
              <w:rPr>
                <w:rFonts w:hint="default" w:ascii="宋体" w:hAnsi="宋体" w:cs="宋体"/>
                <w:color w:val="auto"/>
                <w:szCs w:val="21"/>
                <w:highlight w:val="none"/>
              </w:rPr>
            </w:pPr>
            <w:r>
              <w:rPr>
                <w:rFonts w:hint="eastAsia" w:ascii="宋体" w:hAnsi="宋体" w:cs="宋体"/>
                <w:color w:val="auto"/>
                <w:szCs w:val="21"/>
                <w:highlight w:val="none"/>
                <w:lang w:bidi="ar"/>
              </w:rPr>
              <w:t>业</w:t>
            </w:r>
          </w:p>
          <w:p w14:paraId="7A9DA94B">
            <w:pPr>
              <w:keepNext w:val="0"/>
              <w:keepLines w:val="0"/>
              <w:suppressLineNumbers w:val="0"/>
              <w:spacing w:before="0" w:beforeAutospacing="0" w:after="0" w:afterAutospacing="0"/>
              <w:ind w:left="0" w:right="0" w:firstLine="210" w:firstLineChars="100"/>
              <w:jc w:val="center"/>
              <w:rPr>
                <w:rFonts w:hint="default" w:ascii="宋体" w:hAnsi="宋体" w:cs="宋体"/>
                <w:color w:val="auto"/>
                <w:szCs w:val="21"/>
                <w:highlight w:val="none"/>
              </w:rPr>
            </w:pPr>
            <w:r>
              <w:rPr>
                <w:rFonts w:hint="eastAsia" w:ascii="宋体" w:hAnsi="宋体" w:cs="宋体"/>
                <w:color w:val="auto"/>
                <w:szCs w:val="21"/>
                <w:highlight w:val="none"/>
                <w:lang w:bidi="ar"/>
              </w:rPr>
              <w:t>绩</w:t>
            </w:r>
          </w:p>
          <w:p w14:paraId="5C40D85B">
            <w:pPr>
              <w:keepNext w:val="0"/>
              <w:keepLines w:val="0"/>
              <w:suppressLineNumbers w:val="0"/>
              <w:spacing w:before="0" w:beforeAutospacing="0" w:after="0" w:afterAutospacing="0"/>
              <w:ind w:left="0" w:right="0" w:firstLine="210" w:firstLineChars="100"/>
              <w:jc w:val="center"/>
              <w:rPr>
                <w:rFonts w:hint="default" w:ascii="宋体" w:hAnsi="宋体" w:cs="宋体"/>
                <w:color w:val="auto"/>
                <w:szCs w:val="21"/>
                <w:highlight w:val="none"/>
              </w:rPr>
            </w:pPr>
            <w:r>
              <w:rPr>
                <w:rFonts w:hint="eastAsia" w:ascii="宋体" w:hAnsi="宋体" w:cs="宋体"/>
                <w:color w:val="auto"/>
                <w:szCs w:val="21"/>
                <w:highlight w:val="none"/>
                <w:lang w:bidi="ar"/>
              </w:rPr>
              <w:t>及</w:t>
            </w:r>
          </w:p>
          <w:p w14:paraId="78869604">
            <w:pPr>
              <w:keepNext w:val="0"/>
              <w:keepLines w:val="0"/>
              <w:suppressLineNumbers w:val="0"/>
              <w:spacing w:before="0" w:beforeAutospacing="0" w:after="0" w:afterAutospacing="0"/>
              <w:ind w:left="0" w:right="0" w:firstLine="210" w:firstLineChars="100"/>
              <w:jc w:val="center"/>
              <w:rPr>
                <w:rFonts w:hint="default" w:ascii="宋体" w:hAnsi="宋体" w:cs="宋体"/>
                <w:color w:val="auto"/>
                <w:szCs w:val="21"/>
                <w:highlight w:val="none"/>
              </w:rPr>
            </w:pPr>
            <w:r>
              <w:rPr>
                <w:rFonts w:hint="eastAsia" w:ascii="宋体" w:hAnsi="宋体" w:cs="宋体"/>
                <w:color w:val="auto"/>
                <w:szCs w:val="21"/>
                <w:highlight w:val="none"/>
                <w:lang w:bidi="ar"/>
              </w:rPr>
              <w:t>担</w:t>
            </w:r>
          </w:p>
          <w:p w14:paraId="2A6DA573">
            <w:pPr>
              <w:keepNext w:val="0"/>
              <w:keepLines w:val="0"/>
              <w:suppressLineNumbers w:val="0"/>
              <w:spacing w:before="0" w:beforeAutospacing="0" w:after="0" w:afterAutospacing="0"/>
              <w:ind w:left="0" w:right="0" w:firstLine="210" w:firstLineChars="100"/>
              <w:jc w:val="center"/>
              <w:rPr>
                <w:rFonts w:hint="default" w:ascii="宋体" w:hAnsi="宋体" w:cs="宋体"/>
                <w:color w:val="auto"/>
                <w:szCs w:val="21"/>
                <w:highlight w:val="none"/>
              </w:rPr>
            </w:pPr>
            <w:r>
              <w:rPr>
                <w:rFonts w:hint="eastAsia" w:ascii="宋体" w:hAnsi="宋体" w:cs="宋体"/>
                <w:color w:val="auto"/>
                <w:szCs w:val="21"/>
                <w:highlight w:val="none"/>
                <w:lang w:bidi="ar"/>
              </w:rPr>
              <w:t>任</w:t>
            </w:r>
          </w:p>
          <w:p w14:paraId="00F73870">
            <w:pPr>
              <w:keepNext w:val="0"/>
              <w:keepLines w:val="0"/>
              <w:suppressLineNumbers w:val="0"/>
              <w:spacing w:before="0" w:beforeAutospacing="0" w:after="0" w:afterAutospacing="0"/>
              <w:ind w:left="0" w:right="0" w:firstLine="210" w:firstLineChars="100"/>
              <w:jc w:val="center"/>
              <w:rPr>
                <w:rFonts w:hint="default" w:ascii="宋体" w:hAnsi="宋体" w:cs="宋体"/>
                <w:color w:val="auto"/>
                <w:szCs w:val="21"/>
                <w:highlight w:val="none"/>
              </w:rPr>
            </w:pPr>
            <w:r>
              <w:rPr>
                <w:rFonts w:hint="eastAsia" w:ascii="宋体" w:hAnsi="宋体" w:cs="宋体"/>
                <w:color w:val="auto"/>
                <w:szCs w:val="21"/>
                <w:highlight w:val="none"/>
                <w:lang w:bidi="ar"/>
              </w:rPr>
              <w:t>的</w:t>
            </w:r>
          </w:p>
          <w:p w14:paraId="3487EDD8">
            <w:pPr>
              <w:keepNext w:val="0"/>
              <w:keepLines w:val="0"/>
              <w:suppressLineNumbers w:val="0"/>
              <w:spacing w:before="0" w:beforeAutospacing="0" w:after="0" w:afterAutospacing="0"/>
              <w:ind w:left="0" w:right="0" w:firstLine="210" w:firstLineChars="100"/>
              <w:jc w:val="center"/>
              <w:rPr>
                <w:rFonts w:hint="default" w:ascii="宋体" w:hAnsi="宋体" w:cs="宋体"/>
                <w:color w:val="auto"/>
                <w:szCs w:val="21"/>
                <w:highlight w:val="none"/>
              </w:rPr>
            </w:pPr>
            <w:r>
              <w:rPr>
                <w:rFonts w:hint="eastAsia" w:ascii="宋体" w:hAnsi="宋体" w:cs="宋体"/>
                <w:color w:val="auto"/>
                <w:szCs w:val="21"/>
                <w:highlight w:val="none"/>
                <w:lang w:bidi="ar"/>
              </w:rPr>
              <w:t>主</w:t>
            </w:r>
          </w:p>
          <w:p w14:paraId="714E8DE6">
            <w:pPr>
              <w:keepNext w:val="0"/>
              <w:keepLines w:val="0"/>
              <w:suppressLineNumbers w:val="0"/>
              <w:spacing w:before="0" w:beforeAutospacing="0" w:after="0" w:afterAutospacing="0"/>
              <w:ind w:left="0" w:right="0" w:firstLine="210" w:firstLineChars="100"/>
              <w:jc w:val="center"/>
              <w:rPr>
                <w:rFonts w:hint="default" w:ascii="宋体" w:hAnsi="宋体" w:cs="宋体"/>
                <w:color w:val="auto"/>
                <w:szCs w:val="21"/>
                <w:highlight w:val="none"/>
              </w:rPr>
            </w:pPr>
            <w:r>
              <w:rPr>
                <w:rFonts w:hint="eastAsia" w:ascii="宋体" w:hAnsi="宋体" w:cs="宋体"/>
                <w:color w:val="auto"/>
                <w:szCs w:val="21"/>
                <w:highlight w:val="none"/>
                <w:lang w:bidi="ar"/>
              </w:rPr>
              <w:t>要</w:t>
            </w:r>
          </w:p>
          <w:p w14:paraId="5EA996E4">
            <w:pPr>
              <w:keepNext w:val="0"/>
              <w:keepLines w:val="0"/>
              <w:suppressLineNumbers w:val="0"/>
              <w:spacing w:before="0" w:beforeAutospacing="0" w:after="0" w:afterAutospacing="0"/>
              <w:ind w:left="0" w:right="0" w:firstLine="210" w:firstLineChars="100"/>
              <w:jc w:val="center"/>
              <w:rPr>
                <w:rFonts w:hint="default" w:ascii="宋体" w:hAnsi="宋体" w:cs="宋体"/>
                <w:color w:val="auto"/>
                <w:szCs w:val="21"/>
                <w:highlight w:val="none"/>
              </w:rPr>
            </w:pPr>
            <w:r>
              <w:rPr>
                <w:rFonts w:hint="eastAsia" w:ascii="宋体" w:hAnsi="宋体" w:cs="宋体"/>
                <w:color w:val="auto"/>
                <w:szCs w:val="21"/>
                <w:highlight w:val="none"/>
                <w:lang w:bidi="ar"/>
              </w:rPr>
              <w:t>工</w:t>
            </w:r>
          </w:p>
          <w:p w14:paraId="3BEC0DE4">
            <w:pPr>
              <w:keepNext w:val="0"/>
              <w:keepLines w:val="0"/>
              <w:suppressLineNumbers w:val="0"/>
              <w:spacing w:before="0" w:beforeAutospacing="0" w:after="0" w:afterAutospacing="0"/>
              <w:ind w:left="0" w:right="0" w:firstLine="210" w:firstLineChars="100"/>
              <w:jc w:val="center"/>
              <w:rPr>
                <w:rFonts w:hint="default" w:ascii="宋体" w:hAnsi="宋体" w:cs="宋体"/>
                <w:color w:val="auto"/>
                <w:szCs w:val="21"/>
                <w:highlight w:val="none"/>
              </w:rPr>
            </w:pPr>
            <w:r>
              <w:rPr>
                <w:rFonts w:hint="eastAsia" w:ascii="宋体" w:hAnsi="宋体" w:cs="宋体"/>
                <w:color w:val="auto"/>
                <w:szCs w:val="21"/>
                <w:highlight w:val="none"/>
                <w:lang w:bidi="ar"/>
              </w:rPr>
              <w:t>作</w:t>
            </w:r>
          </w:p>
        </w:tc>
        <w:tc>
          <w:tcPr>
            <w:tcW w:w="7560" w:type="dxa"/>
            <w:gridSpan w:val="3"/>
            <w:tcBorders>
              <w:top w:val="single" w:color="auto" w:sz="4" w:space="0"/>
              <w:left w:val="single" w:color="auto" w:sz="4" w:space="0"/>
              <w:bottom w:val="single" w:color="auto" w:sz="4" w:space="0"/>
              <w:right w:val="single" w:color="auto" w:sz="4" w:space="0"/>
            </w:tcBorders>
            <w:vAlign w:val="center"/>
          </w:tcPr>
          <w:p w14:paraId="0B545D75">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bl>
    <w:p w14:paraId="72CDAF95">
      <w:pPr>
        <w:ind w:left="630" w:leftChars="100" w:hanging="420" w:hangingChars="200"/>
        <w:rPr>
          <w:rFonts w:ascii="宋体" w:hAnsi="宋体" w:cs="宋体"/>
          <w:color w:val="auto"/>
          <w:szCs w:val="21"/>
          <w:highlight w:val="none"/>
          <w:lang w:bidi="ar"/>
        </w:rPr>
      </w:pPr>
      <w:r>
        <w:rPr>
          <w:rFonts w:hint="eastAsia" w:ascii="宋体" w:hAnsi="宋体" w:cs="宋体"/>
          <w:color w:val="auto"/>
          <w:szCs w:val="21"/>
          <w:highlight w:val="none"/>
          <w:lang w:bidi="ar"/>
        </w:rPr>
        <w:t>注：提供其他主要项目管理人员的相关证书、职称证书（如有）、学历证书（如有）。</w:t>
      </w:r>
    </w:p>
    <w:p w14:paraId="6DB86746">
      <w:pPr>
        <w:rPr>
          <w:color w:val="auto"/>
          <w:highlight w:val="none"/>
        </w:rPr>
        <w:sectPr>
          <w:footerReference r:id="rId7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D7A2799">
      <w:pPr>
        <w:pStyle w:val="37"/>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ascii="黑体" w:hAnsi="宋体"/>
          <w:color w:val="auto"/>
          <w:highlight w:val="none"/>
        </w:rPr>
      </w:pPr>
      <w:bookmarkStart w:id="2336" w:name="_Toc256000223"/>
      <w:r>
        <w:rPr>
          <w:rFonts w:hint="default" w:cs="宋体"/>
          <w:color w:val="auto"/>
          <w:szCs w:val="24"/>
          <w:highlight w:val="none"/>
        </w:rPr>
        <w:t>1-7</w:t>
      </w:r>
      <w:r>
        <w:rPr>
          <w:rFonts w:hint="eastAsia" w:cs="宋体"/>
          <w:color w:val="auto"/>
          <w:szCs w:val="24"/>
          <w:highlight w:val="none"/>
          <w:lang w:val="en-US" w:eastAsia="zh-CN"/>
        </w:rPr>
        <w:t xml:space="preserve"> </w:t>
      </w:r>
      <w:r>
        <w:rPr>
          <w:rFonts w:hint="eastAsia" w:cs="宋体"/>
          <w:color w:val="auto"/>
          <w:szCs w:val="24"/>
          <w:highlight w:val="none"/>
        </w:rPr>
        <w:t>拟投入本项目的主要施工设备表</w:t>
      </w:r>
      <w:bookmarkEnd w:id="2336"/>
    </w:p>
    <w:tbl>
      <w:tblPr>
        <w:tblStyle w:val="2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86"/>
        <w:gridCol w:w="761"/>
        <w:gridCol w:w="990"/>
        <w:gridCol w:w="672"/>
        <w:gridCol w:w="738"/>
        <w:gridCol w:w="1212"/>
        <w:gridCol w:w="874"/>
        <w:gridCol w:w="1055"/>
        <w:gridCol w:w="691"/>
      </w:tblGrid>
      <w:tr w14:paraId="3BB9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13556795">
            <w:pPr>
              <w:spacing w:line="440" w:lineRule="exact"/>
              <w:rPr>
                <w:color w:val="auto"/>
                <w:szCs w:val="21"/>
                <w:highlight w:val="none"/>
              </w:rPr>
            </w:pPr>
            <w:r>
              <w:rPr>
                <w:color w:val="auto"/>
                <w:szCs w:val="21"/>
                <w:highlight w:val="none"/>
              </w:rPr>
              <w:t>序号</w:t>
            </w:r>
          </w:p>
        </w:tc>
        <w:tc>
          <w:tcPr>
            <w:tcW w:w="1086" w:type="dxa"/>
            <w:vAlign w:val="center"/>
          </w:tcPr>
          <w:p w14:paraId="786EDB04">
            <w:pPr>
              <w:spacing w:line="440" w:lineRule="exact"/>
              <w:jc w:val="center"/>
              <w:rPr>
                <w:color w:val="auto"/>
                <w:szCs w:val="21"/>
                <w:highlight w:val="none"/>
              </w:rPr>
            </w:pPr>
            <w:r>
              <w:rPr>
                <w:color w:val="auto"/>
                <w:szCs w:val="21"/>
                <w:highlight w:val="none"/>
              </w:rPr>
              <w:t>设备名称</w:t>
            </w:r>
          </w:p>
        </w:tc>
        <w:tc>
          <w:tcPr>
            <w:tcW w:w="761" w:type="dxa"/>
            <w:vAlign w:val="center"/>
          </w:tcPr>
          <w:p w14:paraId="38EBFC4A">
            <w:pPr>
              <w:spacing w:line="440" w:lineRule="exact"/>
              <w:jc w:val="center"/>
              <w:rPr>
                <w:color w:val="auto"/>
                <w:szCs w:val="21"/>
                <w:highlight w:val="none"/>
              </w:rPr>
            </w:pPr>
            <w:r>
              <w:rPr>
                <w:color w:val="auto"/>
                <w:szCs w:val="21"/>
                <w:highlight w:val="none"/>
              </w:rPr>
              <w:t>型号</w:t>
            </w:r>
          </w:p>
          <w:p w14:paraId="69F5420D">
            <w:pPr>
              <w:spacing w:line="440" w:lineRule="exact"/>
              <w:jc w:val="center"/>
              <w:rPr>
                <w:color w:val="auto"/>
                <w:szCs w:val="21"/>
                <w:highlight w:val="none"/>
              </w:rPr>
            </w:pPr>
            <w:r>
              <w:rPr>
                <w:color w:val="auto"/>
                <w:szCs w:val="21"/>
                <w:highlight w:val="none"/>
              </w:rPr>
              <w:t>规格</w:t>
            </w:r>
          </w:p>
        </w:tc>
        <w:tc>
          <w:tcPr>
            <w:tcW w:w="990" w:type="dxa"/>
            <w:vAlign w:val="center"/>
          </w:tcPr>
          <w:p w14:paraId="74E45684">
            <w:pPr>
              <w:spacing w:line="440" w:lineRule="exact"/>
              <w:jc w:val="center"/>
              <w:rPr>
                <w:color w:val="auto"/>
                <w:szCs w:val="21"/>
                <w:highlight w:val="none"/>
              </w:rPr>
            </w:pPr>
            <w:r>
              <w:rPr>
                <w:color w:val="auto"/>
                <w:szCs w:val="21"/>
                <w:highlight w:val="none"/>
              </w:rPr>
              <w:t>数量</w:t>
            </w:r>
          </w:p>
        </w:tc>
        <w:tc>
          <w:tcPr>
            <w:tcW w:w="672" w:type="dxa"/>
            <w:vAlign w:val="center"/>
          </w:tcPr>
          <w:p w14:paraId="55157FCE">
            <w:pPr>
              <w:spacing w:line="440" w:lineRule="exact"/>
              <w:jc w:val="center"/>
              <w:rPr>
                <w:color w:val="auto"/>
                <w:szCs w:val="21"/>
                <w:highlight w:val="none"/>
              </w:rPr>
            </w:pPr>
            <w:r>
              <w:rPr>
                <w:color w:val="auto"/>
                <w:szCs w:val="21"/>
                <w:highlight w:val="none"/>
              </w:rPr>
              <w:t>国别</w:t>
            </w:r>
          </w:p>
          <w:p w14:paraId="73E5F6C2">
            <w:pPr>
              <w:spacing w:line="440" w:lineRule="exact"/>
              <w:jc w:val="center"/>
              <w:rPr>
                <w:color w:val="auto"/>
                <w:szCs w:val="21"/>
                <w:highlight w:val="none"/>
              </w:rPr>
            </w:pPr>
            <w:r>
              <w:rPr>
                <w:color w:val="auto"/>
                <w:szCs w:val="21"/>
                <w:highlight w:val="none"/>
              </w:rPr>
              <w:t>产地</w:t>
            </w:r>
          </w:p>
        </w:tc>
        <w:tc>
          <w:tcPr>
            <w:tcW w:w="738" w:type="dxa"/>
            <w:vAlign w:val="center"/>
          </w:tcPr>
          <w:p w14:paraId="34A0A5EA">
            <w:pPr>
              <w:spacing w:line="440" w:lineRule="exact"/>
              <w:jc w:val="center"/>
              <w:rPr>
                <w:color w:val="auto"/>
                <w:szCs w:val="21"/>
                <w:highlight w:val="none"/>
              </w:rPr>
            </w:pPr>
            <w:r>
              <w:rPr>
                <w:color w:val="auto"/>
                <w:szCs w:val="21"/>
                <w:highlight w:val="none"/>
              </w:rPr>
              <w:t>制造</w:t>
            </w:r>
          </w:p>
          <w:p w14:paraId="4C5E9996">
            <w:pPr>
              <w:spacing w:line="440" w:lineRule="exact"/>
              <w:jc w:val="center"/>
              <w:rPr>
                <w:color w:val="auto"/>
                <w:szCs w:val="21"/>
                <w:highlight w:val="none"/>
              </w:rPr>
            </w:pPr>
            <w:r>
              <w:rPr>
                <w:color w:val="auto"/>
                <w:szCs w:val="21"/>
                <w:highlight w:val="none"/>
              </w:rPr>
              <w:t>年份</w:t>
            </w:r>
          </w:p>
        </w:tc>
        <w:tc>
          <w:tcPr>
            <w:tcW w:w="1212" w:type="dxa"/>
            <w:vAlign w:val="center"/>
          </w:tcPr>
          <w:p w14:paraId="7A979677">
            <w:pPr>
              <w:spacing w:line="440" w:lineRule="exact"/>
              <w:jc w:val="center"/>
              <w:rPr>
                <w:color w:val="auto"/>
                <w:szCs w:val="21"/>
                <w:highlight w:val="none"/>
              </w:rPr>
            </w:pPr>
            <w:r>
              <w:rPr>
                <w:color w:val="auto"/>
                <w:szCs w:val="21"/>
                <w:highlight w:val="none"/>
              </w:rPr>
              <w:t>额定功率（</w:t>
            </w:r>
            <w:r>
              <w:rPr>
                <w:rFonts w:hint="eastAsia"/>
                <w:color w:val="auto"/>
                <w:szCs w:val="21"/>
                <w:highlight w:val="none"/>
              </w:rPr>
              <w:t>k</w:t>
            </w:r>
            <w:r>
              <w:rPr>
                <w:color w:val="auto"/>
                <w:szCs w:val="21"/>
                <w:highlight w:val="none"/>
              </w:rPr>
              <w:t>W）</w:t>
            </w:r>
          </w:p>
        </w:tc>
        <w:tc>
          <w:tcPr>
            <w:tcW w:w="874" w:type="dxa"/>
            <w:vAlign w:val="center"/>
          </w:tcPr>
          <w:p w14:paraId="53BDEC51">
            <w:pPr>
              <w:spacing w:line="440" w:lineRule="exact"/>
              <w:jc w:val="center"/>
              <w:rPr>
                <w:color w:val="auto"/>
                <w:szCs w:val="21"/>
                <w:highlight w:val="none"/>
              </w:rPr>
            </w:pPr>
            <w:r>
              <w:rPr>
                <w:color w:val="auto"/>
                <w:szCs w:val="21"/>
                <w:highlight w:val="none"/>
              </w:rPr>
              <w:t>生产</w:t>
            </w:r>
          </w:p>
          <w:p w14:paraId="58148B42">
            <w:pPr>
              <w:spacing w:line="440" w:lineRule="exact"/>
              <w:jc w:val="center"/>
              <w:rPr>
                <w:color w:val="auto"/>
                <w:szCs w:val="21"/>
                <w:highlight w:val="none"/>
              </w:rPr>
            </w:pPr>
            <w:r>
              <w:rPr>
                <w:color w:val="auto"/>
                <w:szCs w:val="21"/>
                <w:highlight w:val="none"/>
              </w:rPr>
              <w:t>能力</w:t>
            </w:r>
          </w:p>
        </w:tc>
        <w:tc>
          <w:tcPr>
            <w:tcW w:w="1055" w:type="dxa"/>
            <w:vAlign w:val="center"/>
          </w:tcPr>
          <w:p w14:paraId="436364BA">
            <w:pPr>
              <w:spacing w:line="440" w:lineRule="exact"/>
              <w:jc w:val="center"/>
              <w:rPr>
                <w:color w:val="auto"/>
                <w:szCs w:val="21"/>
                <w:highlight w:val="none"/>
              </w:rPr>
            </w:pPr>
            <w:r>
              <w:rPr>
                <w:color w:val="auto"/>
                <w:szCs w:val="21"/>
                <w:highlight w:val="none"/>
              </w:rPr>
              <w:t>用于施工部位</w:t>
            </w:r>
          </w:p>
        </w:tc>
        <w:tc>
          <w:tcPr>
            <w:tcW w:w="691" w:type="dxa"/>
            <w:vAlign w:val="center"/>
          </w:tcPr>
          <w:p w14:paraId="046F9F84">
            <w:pPr>
              <w:spacing w:line="440" w:lineRule="exact"/>
              <w:jc w:val="center"/>
              <w:rPr>
                <w:color w:val="auto"/>
                <w:szCs w:val="21"/>
                <w:highlight w:val="none"/>
              </w:rPr>
            </w:pPr>
            <w:r>
              <w:rPr>
                <w:color w:val="auto"/>
                <w:szCs w:val="21"/>
                <w:highlight w:val="none"/>
              </w:rPr>
              <w:t>备注</w:t>
            </w:r>
          </w:p>
        </w:tc>
      </w:tr>
      <w:tr w14:paraId="7586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7EB57414">
            <w:pPr>
              <w:spacing w:line="440" w:lineRule="exact"/>
              <w:jc w:val="center"/>
              <w:rPr>
                <w:color w:val="auto"/>
                <w:szCs w:val="21"/>
                <w:highlight w:val="none"/>
              </w:rPr>
            </w:pPr>
          </w:p>
        </w:tc>
        <w:tc>
          <w:tcPr>
            <w:tcW w:w="1086" w:type="dxa"/>
            <w:vAlign w:val="center"/>
          </w:tcPr>
          <w:p w14:paraId="68EBC6CE">
            <w:pPr>
              <w:spacing w:line="440" w:lineRule="exact"/>
              <w:jc w:val="center"/>
              <w:rPr>
                <w:color w:val="auto"/>
                <w:szCs w:val="21"/>
                <w:highlight w:val="none"/>
              </w:rPr>
            </w:pPr>
          </w:p>
        </w:tc>
        <w:tc>
          <w:tcPr>
            <w:tcW w:w="761" w:type="dxa"/>
            <w:vAlign w:val="center"/>
          </w:tcPr>
          <w:p w14:paraId="5A7F9E6A">
            <w:pPr>
              <w:spacing w:line="440" w:lineRule="exact"/>
              <w:jc w:val="center"/>
              <w:rPr>
                <w:color w:val="auto"/>
                <w:szCs w:val="21"/>
                <w:highlight w:val="none"/>
              </w:rPr>
            </w:pPr>
          </w:p>
        </w:tc>
        <w:tc>
          <w:tcPr>
            <w:tcW w:w="990" w:type="dxa"/>
            <w:vAlign w:val="center"/>
          </w:tcPr>
          <w:p w14:paraId="620599D5">
            <w:pPr>
              <w:spacing w:line="440" w:lineRule="exact"/>
              <w:jc w:val="center"/>
              <w:rPr>
                <w:color w:val="auto"/>
                <w:szCs w:val="21"/>
                <w:highlight w:val="none"/>
              </w:rPr>
            </w:pPr>
          </w:p>
        </w:tc>
        <w:tc>
          <w:tcPr>
            <w:tcW w:w="672" w:type="dxa"/>
            <w:vAlign w:val="center"/>
          </w:tcPr>
          <w:p w14:paraId="233DC495">
            <w:pPr>
              <w:spacing w:line="440" w:lineRule="exact"/>
              <w:jc w:val="center"/>
              <w:rPr>
                <w:color w:val="auto"/>
                <w:szCs w:val="21"/>
                <w:highlight w:val="none"/>
              </w:rPr>
            </w:pPr>
          </w:p>
        </w:tc>
        <w:tc>
          <w:tcPr>
            <w:tcW w:w="738" w:type="dxa"/>
            <w:vAlign w:val="center"/>
          </w:tcPr>
          <w:p w14:paraId="5A199964">
            <w:pPr>
              <w:spacing w:line="440" w:lineRule="exact"/>
              <w:jc w:val="center"/>
              <w:rPr>
                <w:color w:val="auto"/>
                <w:szCs w:val="21"/>
                <w:highlight w:val="none"/>
              </w:rPr>
            </w:pPr>
          </w:p>
        </w:tc>
        <w:tc>
          <w:tcPr>
            <w:tcW w:w="1212" w:type="dxa"/>
            <w:vAlign w:val="center"/>
          </w:tcPr>
          <w:p w14:paraId="3A69C519">
            <w:pPr>
              <w:spacing w:line="440" w:lineRule="exact"/>
              <w:jc w:val="center"/>
              <w:rPr>
                <w:color w:val="auto"/>
                <w:szCs w:val="21"/>
                <w:highlight w:val="none"/>
              </w:rPr>
            </w:pPr>
          </w:p>
        </w:tc>
        <w:tc>
          <w:tcPr>
            <w:tcW w:w="874" w:type="dxa"/>
            <w:vAlign w:val="center"/>
          </w:tcPr>
          <w:p w14:paraId="535ECA02">
            <w:pPr>
              <w:spacing w:line="440" w:lineRule="exact"/>
              <w:jc w:val="center"/>
              <w:rPr>
                <w:color w:val="auto"/>
                <w:szCs w:val="21"/>
                <w:highlight w:val="none"/>
              </w:rPr>
            </w:pPr>
          </w:p>
        </w:tc>
        <w:tc>
          <w:tcPr>
            <w:tcW w:w="1055" w:type="dxa"/>
            <w:vAlign w:val="center"/>
          </w:tcPr>
          <w:p w14:paraId="3E3400D1">
            <w:pPr>
              <w:spacing w:line="440" w:lineRule="exact"/>
              <w:jc w:val="center"/>
              <w:rPr>
                <w:color w:val="auto"/>
                <w:szCs w:val="21"/>
                <w:highlight w:val="none"/>
              </w:rPr>
            </w:pPr>
          </w:p>
        </w:tc>
        <w:tc>
          <w:tcPr>
            <w:tcW w:w="691" w:type="dxa"/>
            <w:vAlign w:val="center"/>
          </w:tcPr>
          <w:p w14:paraId="0B3A8BF7">
            <w:pPr>
              <w:spacing w:line="440" w:lineRule="exact"/>
              <w:jc w:val="center"/>
              <w:rPr>
                <w:color w:val="auto"/>
                <w:szCs w:val="21"/>
                <w:highlight w:val="none"/>
              </w:rPr>
            </w:pPr>
          </w:p>
        </w:tc>
      </w:tr>
      <w:tr w14:paraId="3956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2CDFDB0F">
            <w:pPr>
              <w:spacing w:line="440" w:lineRule="exact"/>
              <w:jc w:val="center"/>
              <w:rPr>
                <w:color w:val="auto"/>
                <w:szCs w:val="21"/>
                <w:highlight w:val="none"/>
              </w:rPr>
            </w:pPr>
          </w:p>
        </w:tc>
        <w:tc>
          <w:tcPr>
            <w:tcW w:w="1086" w:type="dxa"/>
            <w:vAlign w:val="center"/>
          </w:tcPr>
          <w:p w14:paraId="302C7B86">
            <w:pPr>
              <w:spacing w:line="440" w:lineRule="exact"/>
              <w:jc w:val="center"/>
              <w:rPr>
                <w:color w:val="auto"/>
                <w:szCs w:val="21"/>
                <w:highlight w:val="none"/>
              </w:rPr>
            </w:pPr>
          </w:p>
        </w:tc>
        <w:tc>
          <w:tcPr>
            <w:tcW w:w="761" w:type="dxa"/>
            <w:vAlign w:val="center"/>
          </w:tcPr>
          <w:p w14:paraId="171D5F92">
            <w:pPr>
              <w:spacing w:line="440" w:lineRule="exact"/>
              <w:jc w:val="center"/>
              <w:rPr>
                <w:color w:val="auto"/>
                <w:szCs w:val="21"/>
                <w:highlight w:val="none"/>
              </w:rPr>
            </w:pPr>
          </w:p>
        </w:tc>
        <w:tc>
          <w:tcPr>
            <w:tcW w:w="990" w:type="dxa"/>
            <w:vAlign w:val="center"/>
          </w:tcPr>
          <w:p w14:paraId="0999B1B1">
            <w:pPr>
              <w:spacing w:line="440" w:lineRule="exact"/>
              <w:jc w:val="center"/>
              <w:rPr>
                <w:color w:val="auto"/>
                <w:szCs w:val="21"/>
                <w:highlight w:val="none"/>
              </w:rPr>
            </w:pPr>
          </w:p>
        </w:tc>
        <w:tc>
          <w:tcPr>
            <w:tcW w:w="672" w:type="dxa"/>
            <w:vAlign w:val="center"/>
          </w:tcPr>
          <w:p w14:paraId="168559D0">
            <w:pPr>
              <w:spacing w:line="440" w:lineRule="exact"/>
              <w:jc w:val="center"/>
              <w:rPr>
                <w:color w:val="auto"/>
                <w:szCs w:val="21"/>
                <w:highlight w:val="none"/>
              </w:rPr>
            </w:pPr>
          </w:p>
        </w:tc>
        <w:tc>
          <w:tcPr>
            <w:tcW w:w="738" w:type="dxa"/>
            <w:vAlign w:val="center"/>
          </w:tcPr>
          <w:p w14:paraId="6C7BCCBC">
            <w:pPr>
              <w:spacing w:line="440" w:lineRule="exact"/>
              <w:jc w:val="center"/>
              <w:rPr>
                <w:color w:val="auto"/>
                <w:szCs w:val="21"/>
                <w:highlight w:val="none"/>
              </w:rPr>
            </w:pPr>
          </w:p>
        </w:tc>
        <w:tc>
          <w:tcPr>
            <w:tcW w:w="1212" w:type="dxa"/>
            <w:vAlign w:val="center"/>
          </w:tcPr>
          <w:p w14:paraId="5CD761D1">
            <w:pPr>
              <w:spacing w:line="440" w:lineRule="exact"/>
              <w:jc w:val="center"/>
              <w:rPr>
                <w:color w:val="auto"/>
                <w:szCs w:val="21"/>
                <w:highlight w:val="none"/>
              </w:rPr>
            </w:pPr>
          </w:p>
        </w:tc>
        <w:tc>
          <w:tcPr>
            <w:tcW w:w="874" w:type="dxa"/>
            <w:vAlign w:val="center"/>
          </w:tcPr>
          <w:p w14:paraId="50A07DE8">
            <w:pPr>
              <w:spacing w:line="440" w:lineRule="exact"/>
              <w:jc w:val="center"/>
              <w:rPr>
                <w:color w:val="auto"/>
                <w:szCs w:val="21"/>
                <w:highlight w:val="none"/>
              </w:rPr>
            </w:pPr>
          </w:p>
        </w:tc>
        <w:tc>
          <w:tcPr>
            <w:tcW w:w="1055" w:type="dxa"/>
            <w:vAlign w:val="center"/>
          </w:tcPr>
          <w:p w14:paraId="62F7A9A0">
            <w:pPr>
              <w:spacing w:line="440" w:lineRule="exact"/>
              <w:jc w:val="center"/>
              <w:rPr>
                <w:color w:val="auto"/>
                <w:szCs w:val="21"/>
                <w:highlight w:val="none"/>
              </w:rPr>
            </w:pPr>
          </w:p>
        </w:tc>
        <w:tc>
          <w:tcPr>
            <w:tcW w:w="691" w:type="dxa"/>
            <w:vAlign w:val="center"/>
          </w:tcPr>
          <w:p w14:paraId="55727FB8">
            <w:pPr>
              <w:spacing w:line="440" w:lineRule="exact"/>
              <w:jc w:val="center"/>
              <w:rPr>
                <w:color w:val="auto"/>
                <w:szCs w:val="21"/>
                <w:highlight w:val="none"/>
              </w:rPr>
            </w:pPr>
          </w:p>
        </w:tc>
      </w:tr>
      <w:tr w14:paraId="5DA56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3564CFBF">
            <w:pPr>
              <w:spacing w:line="440" w:lineRule="exact"/>
              <w:jc w:val="center"/>
              <w:rPr>
                <w:color w:val="auto"/>
                <w:szCs w:val="21"/>
                <w:highlight w:val="none"/>
              </w:rPr>
            </w:pPr>
          </w:p>
        </w:tc>
        <w:tc>
          <w:tcPr>
            <w:tcW w:w="1086" w:type="dxa"/>
          </w:tcPr>
          <w:p w14:paraId="4FA08FF1">
            <w:pPr>
              <w:spacing w:line="440" w:lineRule="exact"/>
              <w:jc w:val="center"/>
              <w:rPr>
                <w:color w:val="auto"/>
                <w:szCs w:val="21"/>
                <w:highlight w:val="none"/>
              </w:rPr>
            </w:pPr>
          </w:p>
        </w:tc>
        <w:tc>
          <w:tcPr>
            <w:tcW w:w="761" w:type="dxa"/>
          </w:tcPr>
          <w:p w14:paraId="63BB68C1">
            <w:pPr>
              <w:spacing w:line="440" w:lineRule="exact"/>
              <w:jc w:val="center"/>
              <w:rPr>
                <w:color w:val="auto"/>
                <w:szCs w:val="21"/>
                <w:highlight w:val="none"/>
              </w:rPr>
            </w:pPr>
          </w:p>
        </w:tc>
        <w:tc>
          <w:tcPr>
            <w:tcW w:w="990" w:type="dxa"/>
          </w:tcPr>
          <w:p w14:paraId="481FA460">
            <w:pPr>
              <w:spacing w:line="440" w:lineRule="exact"/>
              <w:jc w:val="center"/>
              <w:rPr>
                <w:color w:val="auto"/>
                <w:szCs w:val="21"/>
                <w:highlight w:val="none"/>
              </w:rPr>
            </w:pPr>
          </w:p>
        </w:tc>
        <w:tc>
          <w:tcPr>
            <w:tcW w:w="672" w:type="dxa"/>
          </w:tcPr>
          <w:p w14:paraId="29A3CEB5">
            <w:pPr>
              <w:spacing w:line="440" w:lineRule="exact"/>
              <w:jc w:val="center"/>
              <w:rPr>
                <w:color w:val="auto"/>
                <w:szCs w:val="21"/>
                <w:highlight w:val="none"/>
              </w:rPr>
            </w:pPr>
          </w:p>
        </w:tc>
        <w:tc>
          <w:tcPr>
            <w:tcW w:w="738" w:type="dxa"/>
          </w:tcPr>
          <w:p w14:paraId="4454C633">
            <w:pPr>
              <w:spacing w:line="440" w:lineRule="exact"/>
              <w:jc w:val="center"/>
              <w:rPr>
                <w:color w:val="auto"/>
                <w:szCs w:val="21"/>
                <w:highlight w:val="none"/>
              </w:rPr>
            </w:pPr>
          </w:p>
        </w:tc>
        <w:tc>
          <w:tcPr>
            <w:tcW w:w="1212" w:type="dxa"/>
          </w:tcPr>
          <w:p w14:paraId="48BA439D">
            <w:pPr>
              <w:spacing w:line="440" w:lineRule="exact"/>
              <w:jc w:val="center"/>
              <w:rPr>
                <w:color w:val="auto"/>
                <w:szCs w:val="21"/>
                <w:highlight w:val="none"/>
              </w:rPr>
            </w:pPr>
          </w:p>
        </w:tc>
        <w:tc>
          <w:tcPr>
            <w:tcW w:w="874" w:type="dxa"/>
          </w:tcPr>
          <w:p w14:paraId="58A36CA2">
            <w:pPr>
              <w:spacing w:line="440" w:lineRule="exact"/>
              <w:jc w:val="center"/>
              <w:rPr>
                <w:color w:val="auto"/>
                <w:szCs w:val="21"/>
                <w:highlight w:val="none"/>
              </w:rPr>
            </w:pPr>
          </w:p>
        </w:tc>
        <w:tc>
          <w:tcPr>
            <w:tcW w:w="1055" w:type="dxa"/>
          </w:tcPr>
          <w:p w14:paraId="06071C5F">
            <w:pPr>
              <w:spacing w:line="440" w:lineRule="exact"/>
              <w:jc w:val="center"/>
              <w:rPr>
                <w:color w:val="auto"/>
                <w:szCs w:val="21"/>
                <w:highlight w:val="none"/>
              </w:rPr>
            </w:pPr>
          </w:p>
        </w:tc>
        <w:tc>
          <w:tcPr>
            <w:tcW w:w="691" w:type="dxa"/>
          </w:tcPr>
          <w:p w14:paraId="20186E33">
            <w:pPr>
              <w:spacing w:line="440" w:lineRule="exact"/>
              <w:jc w:val="center"/>
              <w:rPr>
                <w:color w:val="auto"/>
                <w:szCs w:val="21"/>
                <w:highlight w:val="none"/>
              </w:rPr>
            </w:pPr>
          </w:p>
        </w:tc>
      </w:tr>
      <w:tr w14:paraId="5C0D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168BD0A7">
            <w:pPr>
              <w:spacing w:line="440" w:lineRule="exact"/>
              <w:jc w:val="center"/>
              <w:rPr>
                <w:color w:val="auto"/>
                <w:szCs w:val="21"/>
                <w:highlight w:val="none"/>
              </w:rPr>
            </w:pPr>
          </w:p>
        </w:tc>
        <w:tc>
          <w:tcPr>
            <w:tcW w:w="1086" w:type="dxa"/>
          </w:tcPr>
          <w:p w14:paraId="1927D08F">
            <w:pPr>
              <w:spacing w:line="440" w:lineRule="exact"/>
              <w:jc w:val="center"/>
              <w:rPr>
                <w:color w:val="auto"/>
                <w:szCs w:val="21"/>
                <w:highlight w:val="none"/>
              </w:rPr>
            </w:pPr>
          </w:p>
        </w:tc>
        <w:tc>
          <w:tcPr>
            <w:tcW w:w="761" w:type="dxa"/>
          </w:tcPr>
          <w:p w14:paraId="791BE3B3">
            <w:pPr>
              <w:spacing w:line="440" w:lineRule="exact"/>
              <w:jc w:val="center"/>
              <w:rPr>
                <w:color w:val="auto"/>
                <w:szCs w:val="21"/>
                <w:highlight w:val="none"/>
              </w:rPr>
            </w:pPr>
          </w:p>
        </w:tc>
        <w:tc>
          <w:tcPr>
            <w:tcW w:w="990" w:type="dxa"/>
          </w:tcPr>
          <w:p w14:paraId="3575DF93">
            <w:pPr>
              <w:spacing w:line="440" w:lineRule="exact"/>
              <w:jc w:val="center"/>
              <w:rPr>
                <w:color w:val="auto"/>
                <w:szCs w:val="21"/>
                <w:highlight w:val="none"/>
              </w:rPr>
            </w:pPr>
          </w:p>
        </w:tc>
        <w:tc>
          <w:tcPr>
            <w:tcW w:w="672" w:type="dxa"/>
          </w:tcPr>
          <w:p w14:paraId="7751FB71">
            <w:pPr>
              <w:spacing w:line="440" w:lineRule="exact"/>
              <w:jc w:val="center"/>
              <w:rPr>
                <w:color w:val="auto"/>
                <w:szCs w:val="21"/>
                <w:highlight w:val="none"/>
              </w:rPr>
            </w:pPr>
          </w:p>
        </w:tc>
        <w:tc>
          <w:tcPr>
            <w:tcW w:w="738" w:type="dxa"/>
          </w:tcPr>
          <w:p w14:paraId="0E507A9D">
            <w:pPr>
              <w:spacing w:line="440" w:lineRule="exact"/>
              <w:jc w:val="center"/>
              <w:rPr>
                <w:color w:val="auto"/>
                <w:szCs w:val="21"/>
                <w:highlight w:val="none"/>
              </w:rPr>
            </w:pPr>
          </w:p>
        </w:tc>
        <w:tc>
          <w:tcPr>
            <w:tcW w:w="1212" w:type="dxa"/>
          </w:tcPr>
          <w:p w14:paraId="1B0D77BA">
            <w:pPr>
              <w:spacing w:line="440" w:lineRule="exact"/>
              <w:jc w:val="center"/>
              <w:rPr>
                <w:color w:val="auto"/>
                <w:szCs w:val="21"/>
                <w:highlight w:val="none"/>
              </w:rPr>
            </w:pPr>
          </w:p>
        </w:tc>
        <w:tc>
          <w:tcPr>
            <w:tcW w:w="874" w:type="dxa"/>
          </w:tcPr>
          <w:p w14:paraId="103278A7">
            <w:pPr>
              <w:spacing w:line="440" w:lineRule="exact"/>
              <w:jc w:val="center"/>
              <w:rPr>
                <w:color w:val="auto"/>
                <w:szCs w:val="21"/>
                <w:highlight w:val="none"/>
              </w:rPr>
            </w:pPr>
          </w:p>
        </w:tc>
        <w:tc>
          <w:tcPr>
            <w:tcW w:w="1055" w:type="dxa"/>
          </w:tcPr>
          <w:p w14:paraId="2527BB5A">
            <w:pPr>
              <w:spacing w:line="440" w:lineRule="exact"/>
              <w:jc w:val="center"/>
              <w:rPr>
                <w:color w:val="auto"/>
                <w:szCs w:val="21"/>
                <w:highlight w:val="none"/>
              </w:rPr>
            </w:pPr>
          </w:p>
        </w:tc>
        <w:tc>
          <w:tcPr>
            <w:tcW w:w="691" w:type="dxa"/>
          </w:tcPr>
          <w:p w14:paraId="5CAA26A5">
            <w:pPr>
              <w:spacing w:line="440" w:lineRule="exact"/>
              <w:jc w:val="center"/>
              <w:rPr>
                <w:color w:val="auto"/>
                <w:szCs w:val="21"/>
                <w:highlight w:val="none"/>
              </w:rPr>
            </w:pPr>
          </w:p>
        </w:tc>
      </w:tr>
      <w:tr w14:paraId="381C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3346EE79">
            <w:pPr>
              <w:spacing w:line="440" w:lineRule="exact"/>
              <w:jc w:val="center"/>
              <w:rPr>
                <w:color w:val="auto"/>
                <w:szCs w:val="21"/>
                <w:highlight w:val="none"/>
              </w:rPr>
            </w:pPr>
          </w:p>
        </w:tc>
        <w:tc>
          <w:tcPr>
            <w:tcW w:w="1086" w:type="dxa"/>
          </w:tcPr>
          <w:p w14:paraId="4B360704">
            <w:pPr>
              <w:spacing w:line="440" w:lineRule="exact"/>
              <w:jc w:val="center"/>
              <w:rPr>
                <w:color w:val="auto"/>
                <w:szCs w:val="21"/>
                <w:highlight w:val="none"/>
              </w:rPr>
            </w:pPr>
          </w:p>
        </w:tc>
        <w:tc>
          <w:tcPr>
            <w:tcW w:w="761" w:type="dxa"/>
          </w:tcPr>
          <w:p w14:paraId="07E2F0EC">
            <w:pPr>
              <w:spacing w:line="440" w:lineRule="exact"/>
              <w:jc w:val="center"/>
              <w:rPr>
                <w:color w:val="auto"/>
                <w:szCs w:val="21"/>
                <w:highlight w:val="none"/>
              </w:rPr>
            </w:pPr>
          </w:p>
        </w:tc>
        <w:tc>
          <w:tcPr>
            <w:tcW w:w="990" w:type="dxa"/>
          </w:tcPr>
          <w:p w14:paraId="36209FE7">
            <w:pPr>
              <w:spacing w:line="440" w:lineRule="exact"/>
              <w:jc w:val="center"/>
              <w:rPr>
                <w:color w:val="auto"/>
                <w:szCs w:val="21"/>
                <w:highlight w:val="none"/>
              </w:rPr>
            </w:pPr>
          </w:p>
        </w:tc>
        <w:tc>
          <w:tcPr>
            <w:tcW w:w="672" w:type="dxa"/>
          </w:tcPr>
          <w:p w14:paraId="234234D5">
            <w:pPr>
              <w:spacing w:line="440" w:lineRule="exact"/>
              <w:jc w:val="center"/>
              <w:rPr>
                <w:color w:val="auto"/>
                <w:szCs w:val="21"/>
                <w:highlight w:val="none"/>
              </w:rPr>
            </w:pPr>
          </w:p>
        </w:tc>
        <w:tc>
          <w:tcPr>
            <w:tcW w:w="738" w:type="dxa"/>
          </w:tcPr>
          <w:p w14:paraId="342FC095">
            <w:pPr>
              <w:spacing w:line="440" w:lineRule="exact"/>
              <w:jc w:val="center"/>
              <w:rPr>
                <w:color w:val="auto"/>
                <w:szCs w:val="21"/>
                <w:highlight w:val="none"/>
              </w:rPr>
            </w:pPr>
          </w:p>
        </w:tc>
        <w:tc>
          <w:tcPr>
            <w:tcW w:w="1212" w:type="dxa"/>
          </w:tcPr>
          <w:p w14:paraId="48962D37">
            <w:pPr>
              <w:spacing w:line="440" w:lineRule="exact"/>
              <w:jc w:val="center"/>
              <w:rPr>
                <w:color w:val="auto"/>
                <w:szCs w:val="21"/>
                <w:highlight w:val="none"/>
              </w:rPr>
            </w:pPr>
          </w:p>
        </w:tc>
        <w:tc>
          <w:tcPr>
            <w:tcW w:w="874" w:type="dxa"/>
          </w:tcPr>
          <w:p w14:paraId="0038DD1E">
            <w:pPr>
              <w:spacing w:line="440" w:lineRule="exact"/>
              <w:jc w:val="center"/>
              <w:rPr>
                <w:color w:val="auto"/>
                <w:szCs w:val="21"/>
                <w:highlight w:val="none"/>
              </w:rPr>
            </w:pPr>
          </w:p>
        </w:tc>
        <w:tc>
          <w:tcPr>
            <w:tcW w:w="1055" w:type="dxa"/>
          </w:tcPr>
          <w:p w14:paraId="5E2F0B0F">
            <w:pPr>
              <w:spacing w:line="440" w:lineRule="exact"/>
              <w:jc w:val="center"/>
              <w:rPr>
                <w:color w:val="auto"/>
                <w:szCs w:val="21"/>
                <w:highlight w:val="none"/>
              </w:rPr>
            </w:pPr>
          </w:p>
        </w:tc>
        <w:tc>
          <w:tcPr>
            <w:tcW w:w="691" w:type="dxa"/>
          </w:tcPr>
          <w:p w14:paraId="15DA4C55">
            <w:pPr>
              <w:spacing w:line="440" w:lineRule="exact"/>
              <w:jc w:val="center"/>
              <w:rPr>
                <w:color w:val="auto"/>
                <w:szCs w:val="21"/>
                <w:highlight w:val="none"/>
              </w:rPr>
            </w:pPr>
          </w:p>
        </w:tc>
      </w:tr>
      <w:tr w14:paraId="18AD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1D8718E2">
            <w:pPr>
              <w:spacing w:line="440" w:lineRule="exact"/>
              <w:jc w:val="center"/>
              <w:rPr>
                <w:color w:val="auto"/>
                <w:szCs w:val="21"/>
                <w:highlight w:val="none"/>
              </w:rPr>
            </w:pPr>
          </w:p>
        </w:tc>
        <w:tc>
          <w:tcPr>
            <w:tcW w:w="1086" w:type="dxa"/>
          </w:tcPr>
          <w:p w14:paraId="652242DA">
            <w:pPr>
              <w:spacing w:line="440" w:lineRule="exact"/>
              <w:jc w:val="center"/>
              <w:rPr>
                <w:color w:val="auto"/>
                <w:szCs w:val="21"/>
                <w:highlight w:val="none"/>
              </w:rPr>
            </w:pPr>
          </w:p>
        </w:tc>
        <w:tc>
          <w:tcPr>
            <w:tcW w:w="761" w:type="dxa"/>
          </w:tcPr>
          <w:p w14:paraId="7E83D59E">
            <w:pPr>
              <w:spacing w:line="440" w:lineRule="exact"/>
              <w:jc w:val="center"/>
              <w:rPr>
                <w:color w:val="auto"/>
                <w:szCs w:val="21"/>
                <w:highlight w:val="none"/>
              </w:rPr>
            </w:pPr>
          </w:p>
        </w:tc>
        <w:tc>
          <w:tcPr>
            <w:tcW w:w="990" w:type="dxa"/>
          </w:tcPr>
          <w:p w14:paraId="12532DAC">
            <w:pPr>
              <w:spacing w:line="440" w:lineRule="exact"/>
              <w:jc w:val="center"/>
              <w:rPr>
                <w:color w:val="auto"/>
                <w:szCs w:val="21"/>
                <w:highlight w:val="none"/>
              </w:rPr>
            </w:pPr>
          </w:p>
        </w:tc>
        <w:tc>
          <w:tcPr>
            <w:tcW w:w="672" w:type="dxa"/>
          </w:tcPr>
          <w:p w14:paraId="7FA4F9C2">
            <w:pPr>
              <w:spacing w:line="440" w:lineRule="exact"/>
              <w:jc w:val="center"/>
              <w:rPr>
                <w:color w:val="auto"/>
                <w:szCs w:val="21"/>
                <w:highlight w:val="none"/>
              </w:rPr>
            </w:pPr>
          </w:p>
        </w:tc>
        <w:tc>
          <w:tcPr>
            <w:tcW w:w="738" w:type="dxa"/>
          </w:tcPr>
          <w:p w14:paraId="5A67F091">
            <w:pPr>
              <w:spacing w:line="440" w:lineRule="exact"/>
              <w:jc w:val="center"/>
              <w:rPr>
                <w:color w:val="auto"/>
                <w:szCs w:val="21"/>
                <w:highlight w:val="none"/>
              </w:rPr>
            </w:pPr>
          </w:p>
        </w:tc>
        <w:tc>
          <w:tcPr>
            <w:tcW w:w="1212" w:type="dxa"/>
          </w:tcPr>
          <w:p w14:paraId="432A42FC">
            <w:pPr>
              <w:spacing w:line="440" w:lineRule="exact"/>
              <w:jc w:val="center"/>
              <w:rPr>
                <w:color w:val="auto"/>
                <w:szCs w:val="21"/>
                <w:highlight w:val="none"/>
              </w:rPr>
            </w:pPr>
          </w:p>
        </w:tc>
        <w:tc>
          <w:tcPr>
            <w:tcW w:w="874" w:type="dxa"/>
          </w:tcPr>
          <w:p w14:paraId="62226BC9">
            <w:pPr>
              <w:spacing w:line="440" w:lineRule="exact"/>
              <w:jc w:val="center"/>
              <w:rPr>
                <w:color w:val="auto"/>
                <w:szCs w:val="21"/>
                <w:highlight w:val="none"/>
              </w:rPr>
            </w:pPr>
          </w:p>
        </w:tc>
        <w:tc>
          <w:tcPr>
            <w:tcW w:w="1055" w:type="dxa"/>
          </w:tcPr>
          <w:p w14:paraId="4835A49C">
            <w:pPr>
              <w:spacing w:line="440" w:lineRule="exact"/>
              <w:jc w:val="center"/>
              <w:rPr>
                <w:color w:val="auto"/>
                <w:szCs w:val="21"/>
                <w:highlight w:val="none"/>
              </w:rPr>
            </w:pPr>
          </w:p>
        </w:tc>
        <w:tc>
          <w:tcPr>
            <w:tcW w:w="691" w:type="dxa"/>
          </w:tcPr>
          <w:p w14:paraId="3DB92929">
            <w:pPr>
              <w:spacing w:line="440" w:lineRule="exact"/>
              <w:jc w:val="center"/>
              <w:rPr>
                <w:color w:val="auto"/>
                <w:szCs w:val="21"/>
                <w:highlight w:val="none"/>
              </w:rPr>
            </w:pPr>
          </w:p>
        </w:tc>
      </w:tr>
      <w:tr w14:paraId="6392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0ECB8008">
            <w:pPr>
              <w:spacing w:line="440" w:lineRule="exact"/>
              <w:jc w:val="center"/>
              <w:rPr>
                <w:color w:val="auto"/>
                <w:szCs w:val="21"/>
                <w:highlight w:val="none"/>
              </w:rPr>
            </w:pPr>
          </w:p>
        </w:tc>
        <w:tc>
          <w:tcPr>
            <w:tcW w:w="1086" w:type="dxa"/>
          </w:tcPr>
          <w:p w14:paraId="3B11063A">
            <w:pPr>
              <w:spacing w:line="440" w:lineRule="exact"/>
              <w:jc w:val="center"/>
              <w:rPr>
                <w:color w:val="auto"/>
                <w:szCs w:val="21"/>
                <w:highlight w:val="none"/>
              </w:rPr>
            </w:pPr>
          </w:p>
        </w:tc>
        <w:tc>
          <w:tcPr>
            <w:tcW w:w="761" w:type="dxa"/>
          </w:tcPr>
          <w:p w14:paraId="5E4FE1AA">
            <w:pPr>
              <w:spacing w:line="440" w:lineRule="exact"/>
              <w:jc w:val="center"/>
              <w:rPr>
                <w:color w:val="auto"/>
                <w:szCs w:val="21"/>
                <w:highlight w:val="none"/>
              </w:rPr>
            </w:pPr>
          </w:p>
        </w:tc>
        <w:tc>
          <w:tcPr>
            <w:tcW w:w="990" w:type="dxa"/>
          </w:tcPr>
          <w:p w14:paraId="203C118A">
            <w:pPr>
              <w:spacing w:line="440" w:lineRule="exact"/>
              <w:jc w:val="center"/>
              <w:rPr>
                <w:color w:val="auto"/>
                <w:szCs w:val="21"/>
                <w:highlight w:val="none"/>
              </w:rPr>
            </w:pPr>
          </w:p>
        </w:tc>
        <w:tc>
          <w:tcPr>
            <w:tcW w:w="672" w:type="dxa"/>
          </w:tcPr>
          <w:p w14:paraId="272FD5EE">
            <w:pPr>
              <w:spacing w:line="440" w:lineRule="exact"/>
              <w:jc w:val="center"/>
              <w:rPr>
                <w:color w:val="auto"/>
                <w:szCs w:val="21"/>
                <w:highlight w:val="none"/>
              </w:rPr>
            </w:pPr>
          </w:p>
        </w:tc>
        <w:tc>
          <w:tcPr>
            <w:tcW w:w="738" w:type="dxa"/>
          </w:tcPr>
          <w:p w14:paraId="5D355B7B">
            <w:pPr>
              <w:spacing w:line="440" w:lineRule="exact"/>
              <w:jc w:val="center"/>
              <w:rPr>
                <w:color w:val="auto"/>
                <w:szCs w:val="21"/>
                <w:highlight w:val="none"/>
              </w:rPr>
            </w:pPr>
          </w:p>
        </w:tc>
        <w:tc>
          <w:tcPr>
            <w:tcW w:w="1212" w:type="dxa"/>
          </w:tcPr>
          <w:p w14:paraId="0CA2DC80">
            <w:pPr>
              <w:spacing w:line="440" w:lineRule="exact"/>
              <w:jc w:val="center"/>
              <w:rPr>
                <w:color w:val="auto"/>
                <w:szCs w:val="21"/>
                <w:highlight w:val="none"/>
              </w:rPr>
            </w:pPr>
          </w:p>
        </w:tc>
        <w:tc>
          <w:tcPr>
            <w:tcW w:w="874" w:type="dxa"/>
          </w:tcPr>
          <w:p w14:paraId="2C664440">
            <w:pPr>
              <w:spacing w:line="440" w:lineRule="exact"/>
              <w:jc w:val="center"/>
              <w:rPr>
                <w:color w:val="auto"/>
                <w:szCs w:val="21"/>
                <w:highlight w:val="none"/>
              </w:rPr>
            </w:pPr>
          </w:p>
        </w:tc>
        <w:tc>
          <w:tcPr>
            <w:tcW w:w="1055" w:type="dxa"/>
          </w:tcPr>
          <w:p w14:paraId="02861A83">
            <w:pPr>
              <w:spacing w:line="440" w:lineRule="exact"/>
              <w:jc w:val="center"/>
              <w:rPr>
                <w:color w:val="auto"/>
                <w:szCs w:val="21"/>
                <w:highlight w:val="none"/>
              </w:rPr>
            </w:pPr>
          </w:p>
        </w:tc>
        <w:tc>
          <w:tcPr>
            <w:tcW w:w="691" w:type="dxa"/>
          </w:tcPr>
          <w:p w14:paraId="65CE2F21">
            <w:pPr>
              <w:spacing w:line="440" w:lineRule="exact"/>
              <w:jc w:val="center"/>
              <w:rPr>
                <w:color w:val="auto"/>
                <w:szCs w:val="21"/>
                <w:highlight w:val="none"/>
              </w:rPr>
            </w:pPr>
          </w:p>
        </w:tc>
      </w:tr>
      <w:tr w14:paraId="6F0A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77C11498">
            <w:pPr>
              <w:spacing w:line="440" w:lineRule="exact"/>
              <w:jc w:val="center"/>
              <w:rPr>
                <w:color w:val="auto"/>
                <w:szCs w:val="21"/>
                <w:highlight w:val="none"/>
              </w:rPr>
            </w:pPr>
          </w:p>
        </w:tc>
        <w:tc>
          <w:tcPr>
            <w:tcW w:w="1086" w:type="dxa"/>
          </w:tcPr>
          <w:p w14:paraId="32C9845E">
            <w:pPr>
              <w:spacing w:line="440" w:lineRule="exact"/>
              <w:jc w:val="center"/>
              <w:rPr>
                <w:color w:val="auto"/>
                <w:szCs w:val="21"/>
                <w:highlight w:val="none"/>
              </w:rPr>
            </w:pPr>
          </w:p>
        </w:tc>
        <w:tc>
          <w:tcPr>
            <w:tcW w:w="761" w:type="dxa"/>
          </w:tcPr>
          <w:p w14:paraId="0728F654">
            <w:pPr>
              <w:spacing w:line="440" w:lineRule="exact"/>
              <w:jc w:val="center"/>
              <w:rPr>
                <w:color w:val="auto"/>
                <w:szCs w:val="21"/>
                <w:highlight w:val="none"/>
              </w:rPr>
            </w:pPr>
          </w:p>
        </w:tc>
        <w:tc>
          <w:tcPr>
            <w:tcW w:w="990" w:type="dxa"/>
          </w:tcPr>
          <w:p w14:paraId="4EF6B332">
            <w:pPr>
              <w:spacing w:line="440" w:lineRule="exact"/>
              <w:jc w:val="center"/>
              <w:rPr>
                <w:color w:val="auto"/>
                <w:szCs w:val="21"/>
                <w:highlight w:val="none"/>
              </w:rPr>
            </w:pPr>
          </w:p>
        </w:tc>
        <w:tc>
          <w:tcPr>
            <w:tcW w:w="672" w:type="dxa"/>
          </w:tcPr>
          <w:p w14:paraId="54BFD036">
            <w:pPr>
              <w:spacing w:line="440" w:lineRule="exact"/>
              <w:jc w:val="center"/>
              <w:rPr>
                <w:color w:val="auto"/>
                <w:szCs w:val="21"/>
                <w:highlight w:val="none"/>
              </w:rPr>
            </w:pPr>
          </w:p>
        </w:tc>
        <w:tc>
          <w:tcPr>
            <w:tcW w:w="738" w:type="dxa"/>
          </w:tcPr>
          <w:p w14:paraId="21450B4E">
            <w:pPr>
              <w:spacing w:line="440" w:lineRule="exact"/>
              <w:jc w:val="center"/>
              <w:rPr>
                <w:color w:val="auto"/>
                <w:szCs w:val="21"/>
                <w:highlight w:val="none"/>
              </w:rPr>
            </w:pPr>
          </w:p>
        </w:tc>
        <w:tc>
          <w:tcPr>
            <w:tcW w:w="1212" w:type="dxa"/>
          </w:tcPr>
          <w:p w14:paraId="299A0477">
            <w:pPr>
              <w:spacing w:line="440" w:lineRule="exact"/>
              <w:jc w:val="center"/>
              <w:rPr>
                <w:color w:val="auto"/>
                <w:szCs w:val="21"/>
                <w:highlight w:val="none"/>
              </w:rPr>
            </w:pPr>
          </w:p>
        </w:tc>
        <w:tc>
          <w:tcPr>
            <w:tcW w:w="874" w:type="dxa"/>
          </w:tcPr>
          <w:p w14:paraId="7041A5B9">
            <w:pPr>
              <w:spacing w:line="440" w:lineRule="exact"/>
              <w:jc w:val="center"/>
              <w:rPr>
                <w:color w:val="auto"/>
                <w:szCs w:val="21"/>
                <w:highlight w:val="none"/>
              </w:rPr>
            </w:pPr>
          </w:p>
        </w:tc>
        <w:tc>
          <w:tcPr>
            <w:tcW w:w="1055" w:type="dxa"/>
          </w:tcPr>
          <w:p w14:paraId="66F43DFF">
            <w:pPr>
              <w:spacing w:line="440" w:lineRule="exact"/>
              <w:jc w:val="center"/>
              <w:rPr>
                <w:color w:val="auto"/>
                <w:szCs w:val="21"/>
                <w:highlight w:val="none"/>
              </w:rPr>
            </w:pPr>
          </w:p>
        </w:tc>
        <w:tc>
          <w:tcPr>
            <w:tcW w:w="691" w:type="dxa"/>
          </w:tcPr>
          <w:p w14:paraId="573E5ABE">
            <w:pPr>
              <w:spacing w:line="440" w:lineRule="exact"/>
              <w:jc w:val="center"/>
              <w:rPr>
                <w:color w:val="auto"/>
                <w:szCs w:val="21"/>
                <w:highlight w:val="none"/>
              </w:rPr>
            </w:pPr>
          </w:p>
        </w:tc>
      </w:tr>
      <w:tr w14:paraId="0DBD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58BC672D">
            <w:pPr>
              <w:spacing w:line="440" w:lineRule="exact"/>
              <w:jc w:val="center"/>
              <w:rPr>
                <w:color w:val="auto"/>
                <w:szCs w:val="21"/>
                <w:highlight w:val="none"/>
              </w:rPr>
            </w:pPr>
          </w:p>
        </w:tc>
        <w:tc>
          <w:tcPr>
            <w:tcW w:w="1086" w:type="dxa"/>
          </w:tcPr>
          <w:p w14:paraId="6D6F7830">
            <w:pPr>
              <w:spacing w:line="440" w:lineRule="exact"/>
              <w:jc w:val="center"/>
              <w:rPr>
                <w:color w:val="auto"/>
                <w:szCs w:val="21"/>
                <w:highlight w:val="none"/>
              </w:rPr>
            </w:pPr>
          </w:p>
        </w:tc>
        <w:tc>
          <w:tcPr>
            <w:tcW w:w="761" w:type="dxa"/>
          </w:tcPr>
          <w:p w14:paraId="41496479">
            <w:pPr>
              <w:spacing w:line="440" w:lineRule="exact"/>
              <w:jc w:val="center"/>
              <w:rPr>
                <w:color w:val="auto"/>
                <w:szCs w:val="21"/>
                <w:highlight w:val="none"/>
              </w:rPr>
            </w:pPr>
          </w:p>
        </w:tc>
        <w:tc>
          <w:tcPr>
            <w:tcW w:w="990" w:type="dxa"/>
          </w:tcPr>
          <w:p w14:paraId="7DC1C998">
            <w:pPr>
              <w:spacing w:line="440" w:lineRule="exact"/>
              <w:jc w:val="center"/>
              <w:rPr>
                <w:color w:val="auto"/>
                <w:szCs w:val="21"/>
                <w:highlight w:val="none"/>
              </w:rPr>
            </w:pPr>
          </w:p>
        </w:tc>
        <w:tc>
          <w:tcPr>
            <w:tcW w:w="672" w:type="dxa"/>
          </w:tcPr>
          <w:p w14:paraId="03181313">
            <w:pPr>
              <w:spacing w:line="440" w:lineRule="exact"/>
              <w:jc w:val="center"/>
              <w:rPr>
                <w:color w:val="auto"/>
                <w:szCs w:val="21"/>
                <w:highlight w:val="none"/>
              </w:rPr>
            </w:pPr>
          </w:p>
        </w:tc>
        <w:tc>
          <w:tcPr>
            <w:tcW w:w="738" w:type="dxa"/>
          </w:tcPr>
          <w:p w14:paraId="1E6CC1D9">
            <w:pPr>
              <w:spacing w:line="440" w:lineRule="exact"/>
              <w:jc w:val="center"/>
              <w:rPr>
                <w:color w:val="auto"/>
                <w:szCs w:val="21"/>
                <w:highlight w:val="none"/>
              </w:rPr>
            </w:pPr>
          </w:p>
        </w:tc>
        <w:tc>
          <w:tcPr>
            <w:tcW w:w="1212" w:type="dxa"/>
          </w:tcPr>
          <w:p w14:paraId="0375EFCA">
            <w:pPr>
              <w:spacing w:line="440" w:lineRule="exact"/>
              <w:jc w:val="center"/>
              <w:rPr>
                <w:color w:val="auto"/>
                <w:szCs w:val="21"/>
                <w:highlight w:val="none"/>
              </w:rPr>
            </w:pPr>
          </w:p>
        </w:tc>
        <w:tc>
          <w:tcPr>
            <w:tcW w:w="874" w:type="dxa"/>
          </w:tcPr>
          <w:p w14:paraId="5778005E">
            <w:pPr>
              <w:spacing w:line="440" w:lineRule="exact"/>
              <w:jc w:val="center"/>
              <w:rPr>
                <w:color w:val="auto"/>
                <w:szCs w:val="21"/>
                <w:highlight w:val="none"/>
              </w:rPr>
            </w:pPr>
          </w:p>
        </w:tc>
        <w:tc>
          <w:tcPr>
            <w:tcW w:w="1055" w:type="dxa"/>
          </w:tcPr>
          <w:p w14:paraId="01DD0200">
            <w:pPr>
              <w:spacing w:line="440" w:lineRule="exact"/>
              <w:jc w:val="center"/>
              <w:rPr>
                <w:color w:val="auto"/>
                <w:szCs w:val="21"/>
                <w:highlight w:val="none"/>
              </w:rPr>
            </w:pPr>
          </w:p>
        </w:tc>
        <w:tc>
          <w:tcPr>
            <w:tcW w:w="691" w:type="dxa"/>
          </w:tcPr>
          <w:p w14:paraId="66CC9AF2">
            <w:pPr>
              <w:spacing w:line="440" w:lineRule="exact"/>
              <w:jc w:val="center"/>
              <w:rPr>
                <w:color w:val="auto"/>
                <w:szCs w:val="21"/>
                <w:highlight w:val="none"/>
              </w:rPr>
            </w:pPr>
          </w:p>
        </w:tc>
      </w:tr>
      <w:tr w14:paraId="3195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2247805A">
            <w:pPr>
              <w:spacing w:line="440" w:lineRule="exact"/>
              <w:jc w:val="center"/>
              <w:rPr>
                <w:color w:val="auto"/>
                <w:szCs w:val="21"/>
                <w:highlight w:val="none"/>
              </w:rPr>
            </w:pPr>
          </w:p>
        </w:tc>
        <w:tc>
          <w:tcPr>
            <w:tcW w:w="1086" w:type="dxa"/>
          </w:tcPr>
          <w:p w14:paraId="395750A7">
            <w:pPr>
              <w:spacing w:line="440" w:lineRule="exact"/>
              <w:jc w:val="center"/>
              <w:rPr>
                <w:color w:val="auto"/>
                <w:szCs w:val="21"/>
                <w:highlight w:val="none"/>
              </w:rPr>
            </w:pPr>
          </w:p>
        </w:tc>
        <w:tc>
          <w:tcPr>
            <w:tcW w:w="761" w:type="dxa"/>
          </w:tcPr>
          <w:p w14:paraId="3BEF71E9">
            <w:pPr>
              <w:spacing w:line="440" w:lineRule="exact"/>
              <w:jc w:val="center"/>
              <w:rPr>
                <w:color w:val="auto"/>
                <w:szCs w:val="21"/>
                <w:highlight w:val="none"/>
              </w:rPr>
            </w:pPr>
          </w:p>
        </w:tc>
        <w:tc>
          <w:tcPr>
            <w:tcW w:w="990" w:type="dxa"/>
          </w:tcPr>
          <w:p w14:paraId="754D535D">
            <w:pPr>
              <w:spacing w:line="440" w:lineRule="exact"/>
              <w:jc w:val="center"/>
              <w:rPr>
                <w:color w:val="auto"/>
                <w:szCs w:val="21"/>
                <w:highlight w:val="none"/>
              </w:rPr>
            </w:pPr>
          </w:p>
        </w:tc>
        <w:tc>
          <w:tcPr>
            <w:tcW w:w="672" w:type="dxa"/>
          </w:tcPr>
          <w:p w14:paraId="4B56A4AB">
            <w:pPr>
              <w:spacing w:line="440" w:lineRule="exact"/>
              <w:jc w:val="center"/>
              <w:rPr>
                <w:color w:val="auto"/>
                <w:szCs w:val="21"/>
                <w:highlight w:val="none"/>
              </w:rPr>
            </w:pPr>
          </w:p>
        </w:tc>
        <w:tc>
          <w:tcPr>
            <w:tcW w:w="738" w:type="dxa"/>
          </w:tcPr>
          <w:p w14:paraId="75C78143">
            <w:pPr>
              <w:spacing w:line="440" w:lineRule="exact"/>
              <w:jc w:val="center"/>
              <w:rPr>
                <w:color w:val="auto"/>
                <w:szCs w:val="21"/>
                <w:highlight w:val="none"/>
              </w:rPr>
            </w:pPr>
          </w:p>
        </w:tc>
        <w:tc>
          <w:tcPr>
            <w:tcW w:w="1212" w:type="dxa"/>
          </w:tcPr>
          <w:p w14:paraId="10A393F5">
            <w:pPr>
              <w:spacing w:line="440" w:lineRule="exact"/>
              <w:jc w:val="center"/>
              <w:rPr>
                <w:color w:val="auto"/>
                <w:szCs w:val="21"/>
                <w:highlight w:val="none"/>
              </w:rPr>
            </w:pPr>
          </w:p>
        </w:tc>
        <w:tc>
          <w:tcPr>
            <w:tcW w:w="874" w:type="dxa"/>
          </w:tcPr>
          <w:p w14:paraId="1AE688DA">
            <w:pPr>
              <w:spacing w:line="440" w:lineRule="exact"/>
              <w:jc w:val="center"/>
              <w:rPr>
                <w:color w:val="auto"/>
                <w:szCs w:val="21"/>
                <w:highlight w:val="none"/>
              </w:rPr>
            </w:pPr>
          </w:p>
        </w:tc>
        <w:tc>
          <w:tcPr>
            <w:tcW w:w="1055" w:type="dxa"/>
          </w:tcPr>
          <w:p w14:paraId="29F2E8D3">
            <w:pPr>
              <w:spacing w:line="440" w:lineRule="exact"/>
              <w:jc w:val="center"/>
              <w:rPr>
                <w:color w:val="auto"/>
                <w:szCs w:val="21"/>
                <w:highlight w:val="none"/>
              </w:rPr>
            </w:pPr>
          </w:p>
        </w:tc>
        <w:tc>
          <w:tcPr>
            <w:tcW w:w="691" w:type="dxa"/>
          </w:tcPr>
          <w:p w14:paraId="7C7D4020">
            <w:pPr>
              <w:spacing w:line="440" w:lineRule="exact"/>
              <w:jc w:val="center"/>
              <w:rPr>
                <w:color w:val="auto"/>
                <w:szCs w:val="21"/>
                <w:highlight w:val="none"/>
              </w:rPr>
            </w:pPr>
          </w:p>
        </w:tc>
      </w:tr>
      <w:tr w14:paraId="3ACD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3930EED2">
            <w:pPr>
              <w:spacing w:line="440" w:lineRule="exact"/>
              <w:jc w:val="center"/>
              <w:rPr>
                <w:color w:val="auto"/>
                <w:szCs w:val="21"/>
                <w:highlight w:val="none"/>
              </w:rPr>
            </w:pPr>
          </w:p>
        </w:tc>
        <w:tc>
          <w:tcPr>
            <w:tcW w:w="1086" w:type="dxa"/>
          </w:tcPr>
          <w:p w14:paraId="2970E0CF">
            <w:pPr>
              <w:spacing w:line="440" w:lineRule="exact"/>
              <w:jc w:val="center"/>
              <w:rPr>
                <w:color w:val="auto"/>
                <w:szCs w:val="21"/>
                <w:highlight w:val="none"/>
              </w:rPr>
            </w:pPr>
          </w:p>
        </w:tc>
        <w:tc>
          <w:tcPr>
            <w:tcW w:w="761" w:type="dxa"/>
          </w:tcPr>
          <w:p w14:paraId="53541771">
            <w:pPr>
              <w:spacing w:line="440" w:lineRule="exact"/>
              <w:jc w:val="center"/>
              <w:rPr>
                <w:color w:val="auto"/>
                <w:szCs w:val="21"/>
                <w:highlight w:val="none"/>
              </w:rPr>
            </w:pPr>
          </w:p>
        </w:tc>
        <w:tc>
          <w:tcPr>
            <w:tcW w:w="990" w:type="dxa"/>
          </w:tcPr>
          <w:p w14:paraId="77A72553">
            <w:pPr>
              <w:spacing w:line="440" w:lineRule="exact"/>
              <w:jc w:val="center"/>
              <w:rPr>
                <w:color w:val="auto"/>
                <w:szCs w:val="21"/>
                <w:highlight w:val="none"/>
              </w:rPr>
            </w:pPr>
          </w:p>
        </w:tc>
        <w:tc>
          <w:tcPr>
            <w:tcW w:w="672" w:type="dxa"/>
          </w:tcPr>
          <w:p w14:paraId="189D5278">
            <w:pPr>
              <w:spacing w:line="440" w:lineRule="exact"/>
              <w:jc w:val="center"/>
              <w:rPr>
                <w:color w:val="auto"/>
                <w:szCs w:val="21"/>
                <w:highlight w:val="none"/>
              </w:rPr>
            </w:pPr>
          </w:p>
        </w:tc>
        <w:tc>
          <w:tcPr>
            <w:tcW w:w="738" w:type="dxa"/>
          </w:tcPr>
          <w:p w14:paraId="192A498D">
            <w:pPr>
              <w:spacing w:line="440" w:lineRule="exact"/>
              <w:jc w:val="center"/>
              <w:rPr>
                <w:color w:val="auto"/>
                <w:szCs w:val="21"/>
                <w:highlight w:val="none"/>
              </w:rPr>
            </w:pPr>
          </w:p>
        </w:tc>
        <w:tc>
          <w:tcPr>
            <w:tcW w:w="1212" w:type="dxa"/>
          </w:tcPr>
          <w:p w14:paraId="0376E746">
            <w:pPr>
              <w:spacing w:line="440" w:lineRule="exact"/>
              <w:jc w:val="center"/>
              <w:rPr>
                <w:color w:val="auto"/>
                <w:szCs w:val="21"/>
                <w:highlight w:val="none"/>
              </w:rPr>
            </w:pPr>
          </w:p>
        </w:tc>
        <w:tc>
          <w:tcPr>
            <w:tcW w:w="874" w:type="dxa"/>
          </w:tcPr>
          <w:p w14:paraId="6D342C5B">
            <w:pPr>
              <w:spacing w:line="440" w:lineRule="exact"/>
              <w:jc w:val="center"/>
              <w:rPr>
                <w:color w:val="auto"/>
                <w:szCs w:val="21"/>
                <w:highlight w:val="none"/>
              </w:rPr>
            </w:pPr>
          </w:p>
        </w:tc>
        <w:tc>
          <w:tcPr>
            <w:tcW w:w="1055" w:type="dxa"/>
          </w:tcPr>
          <w:p w14:paraId="3E77B298">
            <w:pPr>
              <w:spacing w:line="440" w:lineRule="exact"/>
              <w:jc w:val="center"/>
              <w:rPr>
                <w:color w:val="auto"/>
                <w:szCs w:val="21"/>
                <w:highlight w:val="none"/>
              </w:rPr>
            </w:pPr>
          </w:p>
        </w:tc>
        <w:tc>
          <w:tcPr>
            <w:tcW w:w="691" w:type="dxa"/>
          </w:tcPr>
          <w:p w14:paraId="6D9792CA">
            <w:pPr>
              <w:spacing w:line="440" w:lineRule="exact"/>
              <w:jc w:val="center"/>
              <w:rPr>
                <w:color w:val="auto"/>
                <w:szCs w:val="21"/>
                <w:highlight w:val="none"/>
              </w:rPr>
            </w:pPr>
          </w:p>
        </w:tc>
      </w:tr>
      <w:tr w14:paraId="0529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1D524FDD">
            <w:pPr>
              <w:spacing w:line="440" w:lineRule="exact"/>
              <w:jc w:val="center"/>
              <w:rPr>
                <w:color w:val="auto"/>
                <w:szCs w:val="21"/>
                <w:highlight w:val="none"/>
              </w:rPr>
            </w:pPr>
          </w:p>
        </w:tc>
        <w:tc>
          <w:tcPr>
            <w:tcW w:w="1086" w:type="dxa"/>
          </w:tcPr>
          <w:p w14:paraId="23D329F6">
            <w:pPr>
              <w:spacing w:line="440" w:lineRule="exact"/>
              <w:jc w:val="center"/>
              <w:rPr>
                <w:color w:val="auto"/>
                <w:szCs w:val="21"/>
                <w:highlight w:val="none"/>
              </w:rPr>
            </w:pPr>
          </w:p>
        </w:tc>
        <w:tc>
          <w:tcPr>
            <w:tcW w:w="761" w:type="dxa"/>
          </w:tcPr>
          <w:p w14:paraId="7A3F1E8D">
            <w:pPr>
              <w:spacing w:line="440" w:lineRule="exact"/>
              <w:jc w:val="center"/>
              <w:rPr>
                <w:color w:val="auto"/>
                <w:szCs w:val="21"/>
                <w:highlight w:val="none"/>
              </w:rPr>
            </w:pPr>
          </w:p>
        </w:tc>
        <w:tc>
          <w:tcPr>
            <w:tcW w:w="990" w:type="dxa"/>
          </w:tcPr>
          <w:p w14:paraId="4EA119CE">
            <w:pPr>
              <w:spacing w:line="440" w:lineRule="exact"/>
              <w:jc w:val="center"/>
              <w:rPr>
                <w:color w:val="auto"/>
                <w:szCs w:val="21"/>
                <w:highlight w:val="none"/>
              </w:rPr>
            </w:pPr>
          </w:p>
        </w:tc>
        <w:tc>
          <w:tcPr>
            <w:tcW w:w="672" w:type="dxa"/>
          </w:tcPr>
          <w:p w14:paraId="350CDAB6">
            <w:pPr>
              <w:spacing w:line="440" w:lineRule="exact"/>
              <w:jc w:val="center"/>
              <w:rPr>
                <w:color w:val="auto"/>
                <w:szCs w:val="21"/>
                <w:highlight w:val="none"/>
              </w:rPr>
            </w:pPr>
          </w:p>
        </w:tc>
        <w:tc>
          <w:tcPr>
            <w:tcW w:w="738" w:type="dxa"/>
          </w:tcPr>
          <w:p w14:paraId="342F4311">
            <w:pPr>
              <w:spacing w:line="440" w:lineRule="exact"/>
              <w:jc w:val="center"/>
              <w:rPr>
                <w:color w:val="auto"/>
                <w:szCs w:val="21"/>
                <w:highlight w:val="none"/>
              </w:rPr>
            </w:pPr>
          </w:p>
        </w:tc>
        <w:tc>
          <w:tcPr>
            <w:tcW w:w="1212" w:type="dxa"/>
          </w:tcPr>
          <w:p w14:paraId="6EDF1682">
            <w:pPr>
              <w:spacing w:line="440" w:lineRule="exact"/>
              <w:jc w:val="center"/>
              <w:rPr>
                <w:color w:val="auto"/>
                <w:szCs w:val="21"/>
                <w:highlight w:val="none"/>
              </w:rPr>
            </w:pPr>
          </w:p>
        </w:tc>
        <w:tc>
          <w:tcPr>
            <w:tcW w:w="874" w:type="dxa"/>
          </w:tcPr>
          <w:p w14:paraId="4794BD59">
            <w:pPr>
              <w:spacing w:line="440" w:lineRule="exact"/>
              <w:jc w:val="center"/>
              <w:rPr>
                <w:color w:val="auto"/>
                <w:szCs w:val="21"/>
                <w:highlight w:val="none"/>
              </w:rPr>
            </w:pPr>
          </w:p>
        </w:tc>
        <w:tc>
          <w:tcPr>
            <w:tcW w:w="1055" w:type="dxa"/>
          </w:tcPr>
          <w:p w14:paraId="05A7F352">
            <w:pPr>
              <w:spacing w:line="440" w:lineRule="exact"/>
              <w:jc w:val="center"/>
              <w:rPr>
                <w:color w:val="auto"/>
                <w:szCs w:val="21"/>
                <w:highlight w:val="none"/>
              </w:rPr>
            </w:pPr>
          </w:p>
        </w:tc>
        <w:tc>
          <w:tcPr>
            <w:tcW w:w="691" w:type="dxa"/>
          </w:tcPr>
          <w:p w14:paraId="7C726B86">
            <w:pPr>
              <w:spacing w:line="440" w:lineRule="exact"/>
              <w:jc w:val="center"/>
              <w:rPr>
                <w:color w:val="auto"/>
                <w:szCs w:val="21"/>
                <w:highlight w:val="none"/>
              </w:rPr>
            </w:pPr>
          </w:p>
        </w:tc>
      </w:tr>
      <w:tr w14:paraId="37DE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3B11890A">
            <w:pPr>
              <w:spacing w:line="440" w:lineRule="exact"/>
              <w:jc w:val="center"/>
              <w:rPr>
                <w:color w:val="auto"/>
                <w:szCs w:val="21"/>
                <w:highlight w:val="none"/>
              </w:rPr>
            </w:pPr>
          </w:p>
        </w:tc>
        <w:tc>
          <w:tcPr>
            <w:tcW w:w="1086" w:type="dxa"/>
          </w:tcPr>
          <w:p w14:paraId="17C21F7A">
            <w:pPr>
              <w:spacing w:line="440" w:lineRule="exact"/>
              <w:jc w:val="center"/>
              <w:rPr>
                <w:color w:val="auto"/>
                <w:szCs w:val="21"/>
                <w:highlight w:val="none"/>
              </w:rPr>
            </w:pPr>
          </w:p>
        </w:tc>
        <w:tc>
          <w:tcPr>
            <w:tcW w:w="761" w:type="dxa"/>
          </w:tcPr>
          <w:p w14:paraId="0C5C1D79">
            <w:pPr>
              <w:spacing w:line="440" w:lineRule="exact"/>
              <w:jc w:val="center"/>
              <w:rPr>
                <w:color w:val="auto"/>
                <w:szCs w:val="21"/>
                <w:highlight w:val="none"/>
              </w:rPr>
            </w:pPr>
          </w:p>
        </w:tc>
        <w:tc>
          <w:tcPr>
            <w:tcW w:w="990" w:type="dxa"/>
          </w:tcPr>
          <w:p w14:paraId="6FC56A68">
            <w:pPr>
              <w:spacing w:line="440" w:lineRule="exact"/>
              <w:jc w:val="center"/>
              <w:rPr>
                <w:color w:val="auto"/>
                <w:szCs w:val="21"/>
                <w:highlight w:val="none"/>
              </w:rPr>
            </w:pPr>
          </w:p>
        </w:tc>
        <w:tc>
          <w:tcPr>
            <w:tcW w:w="672" w:type="dxa"/>
          </w:tcPr>
          <w:p w14:paraId="291DBFC1">
            <w:pPr>
              <w:spacing w:line="440" w:lineRule="exact"/>
              <w:jc w:val="center"/>
              <w:rPr>
                <w:color w:val="auto"/>
                <w:szCs w:val="21"/>
                <w:highlight w:val="none"/>
              </w:rPr>
            </w:pPr>
          </w:p>
        </w:tc>
        <w:tc>
          <w:tcPr>
            <w:tcW w:w="738" w:type="dxa"/>
          </w:tcPr>
          <w:p w14:paraId="4A6540CC">
            <w:pPr>
              <w:spacing w:line="440" w:lineRule="exact"/>
              <w:jc w:val="center"/>
              <w:rPr>
                <w:color w:val="auto"/>
                <w:szCs w:val="21"/>
                <w:highlight w:val="none"/>
              </w:rPr>
            </w:pPr>
          </w:p>
        </w:tc>
        <w:tc>
          <w:tcPr>
            <w:tcW w:w="1212" w:type="dxa"/>
          </w:tcPr>
          <w:p w14:paraId="40DCE451">
            <w:pPr>
              <w:spacing w:line="440" w:lineRule="exact"/>
              <w:jc w:val="center"/>
              <w:rPr>
                <w:color w:val="auto"/>
                <w:szCs w:val="21"/>
                <w:highlight w:val="none"/>
              </w:rPr>
            </w:pPr>
          </w:p>
        </w:tc>
        <w:tc>
          <w:tcPr>
            <w:tcW w:w="874" w:type="dxa"/>
          </w:tcPr>
          <w:p w14:paraId="7BD30EB6">
            <w:pPr>
              <w:spacing w:line="440" w:lineRule="exact"/>
              <w:jc w:val="center"/>
              <w:rPr>
                <w:color w:val="auto"/>
                <w:szCs w:val="21"/>
                <w:highlight w:val="none"/>
              </w:rPr>
            </w:pPr>
          </w:p>
        </w:tc>
        <w:tc>
          <w:tcPr>
            <w:tcW w:w="1055" w:type="dxa"/>
          </w:tcPr>
          <w:p w14:paraId="0DA2C5FB">
            <w:pPr>
              <w:spacing w:line="440" w:lineRule="exact"/>
              <w:jc w:val="center"/>
              <w:rPr>
                <w:color w:val="auto"/>
                <w:szCs w:val="21"/>
                <w:highlight w:val="none"/>
              </w:rPr>
            </w:pPr>
          </w:p>
        </w:tc>
        <w:tc>
          <w:tcPr>
            <w:tcW w:w="691" w:type="dxa"/>
          </w:tcPr>
          <w:p w14:paraId="04191C5E">
            <w:pPr>
              <w:spacing w:line="440" w:lineRule="exact"/>
              <w:jc w:val="center"/>
              <w:rPr>
                <w:color w:val="auto"/>
                <w:szCs w:val="21"/>
                <w:highlight w:val="none"/>
              </w:rPr>
            </w:pPr>
          </w:p>
        </w:tc>
      </w:tr>
      <w:tr w14:paraId="2444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367FF45F">
            <w:pPr>
              <w:spacing w:line="440" w:lineRule="exact"/>
              <w:jc w:val="center"/>
              <w:rPr>
                <w:color w:val="auto"/>
                <w:szCs w:val="21"/>
                <w:highlight w:val="none"/>
              </w:rPr>
            </w:pPr>
          </w:p>
        </w:tc>
        <w:tc>
          <w:tcPr>
            <w:tcW w:w="1086" w:type="dxa"/>
          </w:tcPr>
          <w:p w14:paraId="63699305">
            <w:pPr>
              <w:spacing w:line="440" w:lineRule="exact"/>
              <w:jc w:val="center"/>
              <w:rPr>
                <w:color w:val="auto"/>
                <w:szCs w:val="21"/>
                <w:highlight w:val="none"/>
              </w:rPr>
            </w:pPr>
          </w:p>
        </w:tc>
        <w:tc>
          <w:tcPr>
            <w:tcW w:w="761" w:type="dxa"/>
          </w:tcPr>
          <w:p w14:paraId="5C18C31B">
            <w:pPr>
              <w:spacing w:line="440" w:lineRule="exact"/>
              <w:jc w:val="center"/>
              <w:rPr>
                <w:color w:val="auto"/>
                <w:szCs w:val="21"/>
                <w:highlight w:val="none"/>
              </w:rPr>
            </w:pPr>
          </w:p>
        </w:tc>
        <w:tc>
          <w:tcPr>
            <w:tcW w:w="990" w:type="dxa"/>
          </w:tcPr>
          <w:p w14:paraId="0BAB1ADA">
            <w:pPr>
              <w:spacing w:line="440" w:lineRule="exact"/>
              <w:jc w:val="center"/>
              <w:rPr>
                <w:color w:val="auto"/>
                <w:szCs w:val="21"/>
                <w:highlight w:val="none"/>
              </w:rPr>
            </w:pPr>
          </w:p>
        </w:tc>
        <w:tc>
          <w:tcPr>
            <w:tcW w:w="672" w:type="dxa"/>
          </w:tcPr>
          <w:p w14:paraId="2C017214">
            <w:pPr>
              <w:spacing w:line="440" w:lineRule="exact"/>
              <w:jc w:val="center"/>
              <w:rPr>
                <w:color w:val="auto"/>
                <w:szCs w:val="21"/>
                <w:highlight w:val="none"/>
              </w:rPr>
            </w:pPr>
          </w:p>
        </w:tc>
        <w:tc>
          <w:tcPr>
            <w:tcW w:w="738" w:type="dxa"/>
          </w:tcPr>
          <w:p w14:paraId="27189D54">
            <w:pPr>
              <w:spacing w:line="440" w:lineRule="exact"/>
              <w:jc w:val="center"/>
              <w:rPr>
                <w:color w:val="auto"/>
                <w:szCs w:val="21"/>
                <w:highlight w:val="none"/>
              </w:rPr>
            </w:pPr>
          </w:p>
        </w:tc>
        <w:tc>
          <w:tcPr>
            <w:tcW w:w="1212" w:type="dxa"/>
          </w:tcPr>
          <w:p w14:paraId="0BBF0512">
            <w:pPr>
              <w:spacing w:line="440" w:lineRule="exact"/>
              <w:jc w:val="center"/>
              <w:rPr>
                <w:color w:val="auto"/>
                <w:szCs w:val="21"/>
                <w:highlight w:val="none"/>
              </w:rPr>
            </w:pPr>
          </w:p>
        </w:tc>
        <w:tc>
          <w:tcPr>
            <w:tcW w:w="874" w:type="dxa"/>
          </w:tcPr>
          <w:p w14:paraId="218713F0">
            <w:pPr>
              <w:spacing w:line="440" w:lineRule="exact"/>
              <w:jc w:val="center"/>
              <w:rPr>
                <w:color w:val="auto"/>
                <w:szCs w:val="21"/>
                <w:highlight w:val="none"/>
              </w:rPr>
            </w:pPr>
          </w:p>
        </w:tc>
        <w:tc>
          <w:tcPr>
            <w:tcW w:w="1055" w:type="dxa"/>
          </w:tcPr>
          <w:p w14:paraId="78BF5257">
            <w:pPr>
              <w:spacing w:line="440" w:lineRule="exact"/>
              <w:jc w:val="center"/>
              <w:rPr>
                <w:color w:val="auto"/>
                <w:szCs w:val="21"/>
                <w:highlight w:val="none"/>
              </w:rPr>
            </w:pPr>
          </w:p>
        </w:tc>
        <w:tc>
          <w:tcPr>
            <w:tcW w:w="691" w:type="dxa"/>
          </w:tcPr>
          <w:p w14:paraId="6C30C163">
            <w:pPr>
              <w:spacing w:line="440" w:lineRule="exact"/>
              <w:jc w:val="center"/>
              <w:rPr>
                <w:color w:val="auto"/>
                <w:szCs w:val="21"/>
                <w:highlight w:val="none"/>
              </w:rPr>
            </w:pPr>
          </w:p>
        </w:tc>
      </w:tr>
      <w:tr w14:paraId="7174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0C48CBB9">
            <w:pPr>
              <w:spacing w:line="440" w:lineRule="exact"/>
              <w:jc w:val="center"/>
              <w:rPr>
                <w:color w:val="auto"/>
                <w:szCs w:val="21"/>
                <w:highlight w:val="none"/>
              </w:rPr>
            </w:pPr>
          </w:p>
        </w:tc>
        <w:tc>
          <w:tcPr>
            <w:tcW w:w="1086" w:type="dxa"/>
          </w:tcPr>
          <w:p w14:paraId="6DCBCBA1">
            <w:pPr>
              <w:spacing w:line="440" w:lineRule="exact"/>
              <w:jc w:val="center"/>
              <w:rPr>
                <w:color w:val="auto"/>
                <w:szCs w:val="21"/>
                <w:highlight w:val="none"/>
              </w:rPr>
            </w:pPr>
          </w:p>
        </w:tc>
        <w:tc>
          <w:tcPr>
            <w:tcW w:w="761" w:type="dxa"/>
          </w:tcPr>
          <w:p w14:paraId="3C91CEF7">
            <w:pPr>
              <w:spacing w:line="440" w:lineRule="exact"/>
              <w:jc w:val="center"/>
              <w:rPr>
                <w:color w:val="auto"/>
                <w:szCs w:val="21"/>
                <w:highlight w:val="none"/>
              </w:rPr>
            </w:pPr>
          </w:p>
        </w:tc>
        <w:tc>
          <w:tcPr>
            <w:tcW w:w="990" w:type="dxa"/>
          </w:tcPr>
          <w:p w14:paraId="01AD569D">
            <w:pPr>
              <w:spacing w:line="440" w:lineRule="exact"/>
              <w:jc w:val="center"/>
              <w:rPr>
                <w:color w:val="auto"/>
                <w:szCs w:val="21"/>
                <w:highlight w:val="none"/>
              </w:rPr>
            </w:pPr>
          </w:p>
        </w:tc>
        <w:tc>
          <w:tcPr>
            <w:tcW w:w="672" w:type="dxa"/>
          </w:tcPr>
          <w:p w14:paraId="494482B8">
            <w:pPr>
              <w:spacing w:line="440" w:lineRule="exact"/>
              <w:jc w:val="center"/>
              <w:rPr>
                <w:color w:val="auto"/>
                <w:szCs w:val="21"/>
                <w:highlight w:val="none"/>
              </w:rPr>
            </w:pPr>
          </w:p>
        </w:tc>
        <w:tc>
          <w:tcPr>
            <w:tcW w:w="738" w:type="dxa"/>
          </w:tcPr>
          <w:p w14:paraId="41BF28CD">
            <w:pPr>
              <w:spacing w:line="440" w:lineRule="exact"/>
              <w:jc w:val="center"/>
              <w:rPr>
                <w:color w:val="auto"/>
                <w:szCs w:val="21"/>
                <w:highlight w:val="none"/>
              </w:rPr>
            </w:pPr>
          </w:p>
        </w:tc>
        <w:tc>
          <w:tcPr>
            <w:tcW w:w="1212" w:type="dxa"/>
          </w:tcPr>
          <w:p w14:paraId="02FBC9DC">
            <w:pPr>
              <w:spacing w:line="440" w:lineRule="exact"/>
              <w:jc w:val="center"/>
              <w:rPr>
                <w:color w:val="auto"/>
                <w:szCs w:val="21"/>
                <w:highlight w:val="none"/>
              </w:rPr>
            </w:pPr>
          </w:p>
        </w:tc>
        <w:tc>
          <w:tcPr>
            <w:tcW w:w="874" w:type="dxa"/>
          </w:tcPr>
          <w:p w14:paraId="7FE895F5">
            <w:pPr>
              <w:spacing w:line="440" w:lineRule="exact"/>
              <w:jc w:val="center"/>
              <w:rPr>
                <w:color w:val="auto"/>
                <w:szCs w:val="21"/>
                <w:highlight w:val="none"/>
              </w:rPr>
            </w:pPr>
          </w:p>
        </w:tc>
        <w:tc>
          <w:tcPr>
            <w:tcW w:w="1055" w:type="dxa"/>
          </w:tcPr>
          <w:p w14:paraId="58A4E3EC">
            <w:pPr>
              <w:spacing w:line="440" w:lineRule="exact"/>
              <w:jc w:val="center"/>
              <w:rPr>
                <w:color w:val="auto"/>
                <w:szCs w:val="21"/>
                <w:highlight w:val="none"/>
              </w:rPr>
            </w:pPr>
          </w:p>
        </w:tc>
        <w:tc>
          <w:tcPr>
            <w:tcW w:w="691" w:type="dxa"/>
          </w:tcPr>
          <w:p w14:paraId="67098A77">
            <w:pPr>
              <w:spacing w:line="440" w:lineRule="exact"/>
              <w:jc w:val="center"/>
              <w:rPr>
                <w:color w:val="auto"/>
                <w:szCs w:val="21"/>
                <w:highlight w:val="none"/>
              </w:rPr>
            </w:pPr>
          </w:p>
        </w:tc>
      </w:tr>
      <w:tr w14:paraId="1002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05190619">
            <w:pPr>
              <w:spacing w:line="440" w:lineRule="exact"/>
              <w:jc w:val="center"/>
              <w:rPr>
                <w:color w:val="auto"/>
                <w:szCs w:val="21"/>
                <w:highlight w:val="none"/>
              </w:rPr>
            </w:pPr>
          </w:p>
        </w:tc>
        <w:tc>
          <w:tcPr>
            <w:tcW w:w="1086" w:type="dxa"/>
          </w:tcPr>
          <w:p w14:paraId="79D3262C">
            <w:pPr>
              <w:spacing w:line="440" w:lineRule="exact"/>
              <w:jc w:val="center"/>
              <w:rPr>
                <w:color w:val="auto"/>
                <w:szCs w:val="21"/>
                <w:highlight w:val="none"/>
              </w:rPr>
            </w:pPr>
          </w:p>
        </w:tc>
        <w:tc>
          <w:tcPr>
            <w:tcW w:w="761" w:type="dxa"/>
          </w:tcPr>
          <w:p w14:paraId="2CA14C57">
            <w:pPr>
              <w:spacing w:line="440" w:lineRule="exact"/>
              <w:jc w:val="center"/>
              <w:rPr>
                <w:color w:val="auto"/>
                <w:szCs w:val="21"/>
                <w:highlight w:val="none"/>
              </w:rPr>
            </w:pPr>
          </w:p>
        </w:tc>
        <w:tc>
          <w:tcPr>
            <w:tcW w:w="990" w:type="dxa"/>
          </w:tcPr>
          <w:p w14:paraId="294F7790">
            <w:pPr>
              <w:spacing w:line="440" w:lineRule="exact"/>
              <w:jc w:val="center"/>
              <w:rPr>
                <w:color w:val="auto"/>
                <w:szCs w:val="21"/>
                <w:highlight w:val="none"/>
              </w:rPr>
            </w:pPr>
          </w:p>
        </w:tc>
        <w:tc>
          <w:tcPr>
            <w:tcW w:w="672" w:type="dxa"/>
          </w:tcPr>
          <w:p w14:paraId="2B6FA3F9">
            <w:pPr>
              <w:spacing w:line="440" w:lineRule="exact"/>
              <w:jc w:val="center"/>
              <w:rPr>
                <w:color w:val="auto"/>
                <w:szCs w:val="21"/>
                <w:highlight w:val="none"/>
              </w:rPr>
            </w:pPr>
          </w:p>
        </w:tc>
        <w:tc>
          <w:tcPr>
            <w:tcW w:w="738" w:type="dxa"/>
          </w:tcPr>
          <w:p w14:paraId="1E1EEDB1">
            <w:pPr>
              <w:spacing w:line="440" w:lineRule="exact"/>
              <w:jc w:val="center"/>
              <w:rPr>
                <w:color w:val="auto"/>
                <w:szCs w:val="21"/>
                <w:highlight w:val="none"/>
              </w:rPr>
            </w:pPr>
          </w:p>
        </w:tc>
        <w:tc>
          <w:tcPr>
            <w:tcW w:w="1212" w:type="dxa"/>
          </w:tcPr>
          <w:p w14:paraId="19013B4B">
            <w:pPr>
              <w:spacing w:line="440" w:lineRule="exact"/>
              <w:jc w:val="center"/>
              <w:rPr>
                <w:color w:val="auto"/>
                <w:szCs w:val="21"/>
                <w:highlight w:val="none"/>
              </w:rPr>
            </w:pPr>
          </w:p>
        </w:tc>
        <w:tc>
          <w:tcPr>
            <w:tcW w:w="874" w:type="dxa"/>
          </w:tcPr>
          <w:p w14:paraId="7F2224A5">
            <w:pPr>
              <w:spacing w:line="440" w:lineRule="exact"/>
              <w:jc w:val="center"/>
              <w:rPr>
                <w:color w:val="auto"/>
                <w:szCs w:val="21"/>
                <w:highlight w:val="none"/>
              </w:rPr>
            </w:pPr>
          </w:p>
        </w:tc>
        <w:tc>
          <w:tcPr>
            <w:tcW w:w="1055" w:type="dxa"/>
          </w:tcPr>
          <w:p w14:paraId="20CE9237">
            <w:pPr>
              <w:spacing w:line="440" w:lineRule="exact"/>
              <w:jc w:val="center"/>
              <w:rPr>
                <w:color w:val="auto"/>
                <w:szCs w:val="21"/>
                <w:highlight w:val="none"/>
              </w:rPr>
            </w:pPr>
          </w:p>
        </w:tc>
        <w:tc>
          <w:tcPr>
            <w:tcW w:w="691" w:type="dxa"/>
          </w:tcPr>
          <w:p w14:paraId="01BA18C7">
            <w:pPr>
              <w:spacing w:line="440" w:lineRule="exact"/>
              <w:jc w:val="center"/>
              <w:rPr>
                <w:color w:val="auto"/>
                <w:szCs w:val="21"/>
                <w:highlight w:val="none"/>
              </w:rPr>
            </w:pPr>
          </w:p>
        </w:tc>
      </w:tr>
      <w:tr w14:paraId="5B65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631F61B3">
            <w:pPr>
              <w:spacing w:line="440" w:lineRule="exact"/>
              <w:jc w:val="center"/>
              <w:rPr>
                <w:color w:val="auto"/>
                <w:szCs w:val="21"/>
                <w:highlight w:val="none"/>
              </w:rPr>
            </w:pPr>
          </w:p>
        </w:tc>
        <w:tc>
          <w:tcPr>
            <w:tcW w:w="1086" w:type="dxa"/>
          </w:tcPr>
          <w:p w14:paraId="06189E58">
            <w:pPr>
              <w:spacing w:line="440" w:lineRule="exact"/>
              <w:jc w:val="center"/>
              <w:rPr>
                <w:color w:val="auto"/>
                <w:szCs w:val="21"/>
                <w:highlight w:val="none"/>
              </w:rPr>
            </w:pPr>
          </w:p>
        </w:tc>
        <w:tc>
          <w:tcPr>
            <w:tcW w:w="761" w:type="dxa"/>
          </w:tcPr>
          <w:p w14:paraId="5DEBEA06">
            <w:pPr>
              <w:spacing w:line="440" w:lineRule="exact"/>
              <w:jc w:val="center"/>
              <w:rPr>
                <w:color w:val="auto"/>
                <w:szCs w:val="21"/>
                <w:highlight w:val="none"/>
              </w:rPr>
            </w:pPr>
          </w:p>
        </w:tc>
        <w:tc>
          <w:tcPr>
            <w:tcW w:w="990" w:type="dxa"/>
          </w:tcPr>
          <w:p w14:paraId="24A06D4F">
            <w:pPr>
              <w:spacing w:line="440" w:lineRule="exact"/>
              <w:jc w:val="center"/>
              <w:rPr>
                <w:color w:val="auto"/>
                <w:szCs w:val="21"/>
                <w:highlight w:val="none"/>
              </w:rPr>
            </w:pPr>
          </w:p>
        </w:tc>
        <w:tc>
          <w:tcPr>
            <w:tcW w:w="672" w:type="dxa"/>
          </w:tcPr>
          <w:p w14:paraId="0632F5FE">
            <w:pPr>
              <w:spacing w:line="440" w:lineRule="exact"/>
              <w:jc w:val="center"/>
              <w:rPr>
                <w:color w:val="auto"/>
                <w:szCs w:val="21"/>
                <w:highlight w:val="none"/>
              </w:rPr>
            </w:pPr>
          </w:p>
        </w:tc>
        <w:tc>
          <w:tcPr>
            <w:tcW w:w="738" w:type="dxa"/>
          </w:tcPr>
          <w:p w14:paraId="6A14C943">
            <w:pPr>
              <w:spacing w:line="440" w:lineRule="exact"/>
              <w:jc w:val="center"/>
              <w:rPr>
                <w:color w:val="auto"/>
                <w:szCs w:val="21"/>
                <w:highlight w:val="none"/>
              </w:rPr>
            </w:pPr>
          </w:p>
        </w:tc>
        <w:tc>
          <w:tcPr>
            <w:tcW w:w="1212" w:type="dxa"/>
          </w:tcPr>
          <w:p w14:paraId="1F910BD8">
            <w:pPr>
              <w:spacing w:line="440" w:lineRule="exact"/>
              <w:jc w:val="center"/>
              <w:rPr>
                <w:color w:val="auto"/>
                <w:szCs w:val="21"/>
                <w:highlight w:val="none"/>
              </w:rPr>
            </w:pPr>
          </w:p>
        </w:tc>
        <w:tc>
          <w:tcPr>
            <w:tcW w:w="874" w:type="dxa"/>
          </w:tcPr>
          <w:p w14:paraId="2396F5E2">
            <w:pPr>
              <w:spacing w:line="440" w:lineRule="exact"/>
              <w:jc w:val="center"/>
              <w:rPr>
                <w:color w:val="auto"/>
                <w:szCs w:val="21"/>
                <w:highlight w:val="none"/>
              </w:rPr>
            </w:pPr>
          </w:p>
        </w:tc>
        <w:tc>
          <w:tcPr>
            <w:tcW w:w="1055" w:type="dxa"/>
          </w:tcPr>
          <w:p w14:paraId="15714170">
            <w:pPr>
              <w:spacing w:line="440" w:lineRule="exact"/>
              <w:jc w:val="center"/>
              <w:rPr>
                <w:color w:val="auto"/>
                <w:szCs w:val="21"/>
                <w:highlight w:val="none"/>
              </w:rPr>
            </w:pPr>
          </w:p>
        </w:tc>
        <w:tc>
          <w:tcPr>
            <w:tcW w:w="691" w:type="dxa"/>
          </w:tcPr>
          <w:p w14:paraId="24B18500">
            <w:pPr>
              <w:spacing w:line="440" w:lineRule="exact"/>
              <w:jc w:val="center"/>
              <w:rPr>
                <w:color w:val="auto"/>
                <w:szCs w:val="21"/>
                <w:highlight w:val="none"/>
              </w:rPr>
            </w:pPr>
          </w:p>
        </w:tc>
      </w:tr>
      <w:tr w14:paraId="45EF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3B4AFA7D">
            <w:pPr>
              <w:spacing w:line="440" w:lineRule="exact"/>
              <w:jc w:val="center"/>
              <w:rPr>
                <w:color w:val="auto"/>
                <w:szCs w:val="21"/>
                <w:highlight w:val="none"/>
              </w:rPr>
            </w:pPr>
          </w:p>
        </w:tc>
        <w:tc>
          <w:tcPr>
            <w:tcW w:w="1086" w:type="dxa"/>
          </w:tcPr>
          <w:p w14:paraId="38D35DF2">
            <w:pPr>
              <w:spacing w:line="440" w:lineRule="exact"/>
              <w:jc w:val="center"/>
              <w:rPr>
                <w:color w:val="auto"/>
                <w:szCs w:val="21"/>
                <w:highlight w:val="none"/>
              </w:rPr>
            </w:pPr>
          </w:p>
        </w:tc>
        <w:tc>
          <w:tcPr>
            <w:tcW w:w="761" w:type="dxa"/>
          </w:tcPr>
          <w:p w14:paraId="567C8A91">
            <w:pPr>
              <w:spacing w:line="440" w:lineRule="exact"/>
              <w:jc w:val="center"/>
              <w:rPr>
                <w:color w:val="auto"/>
                <w:szCs w:val="21"/>
                <w:highlight w:val="none"/>
              </w:rPr>
            </w:pPr>
          </w:p>
        </w:tc>
        <w:tc>
          <w:tcPr>
            <w:tcW w:w="990" w:type="dxa"/>
          </w:tcPr>
          <w:p w14:paraId="45F3FE35">
            <w:pPr>
              <w:spacing w:line="440" w:lineRule="exact"/>
              <w:jc w:val="center"/>
              <w:rPr>
                <w:color w:val="auto"/>
                <w:szCs w:val="21"/>
                <w:highlight w:val="none"/>
              </w:rPr>
            </w:pPr>
          </w:p>
        </w:tc>
        <w:tc>
          <w:tcPr>
            <w:tcW w:w="672" w:type="dxa"/>
          </w:tcPr>
          <w:p w14:paraId="648E0B19">
            <w:pPr>
              <w:spacing w:line="440" w:lineRule="exact"/>
              <w:jc w:val="center"/>
              <w:rPr>
                <w:color w:val="auto"/>
                <w:szCs w:val="21"/>
                <w:highlight w:val="none"/>
              </w:rPr>
            </w:pPr>
          </w:p>
        </w:tc>
        <w:tc>
          <w:tcPr>
            <w:tcW w:w="738" w:type="dxa"/>
          </w:tcPr>
          <w:p w14:paraId="13C41D1C">
            <w:pPr>
              <w:spacing w:line="440" w:lineRule="exact"/>
              <w:jc w:val="center"/>
              <w:rPr>
                <w:color w:val="auto"/>
                <w:szCs w:val="21"/>
                <w:highlight w:val="none"/>
              </w:rPr>
            </w:pPr>
          </w:p>
        </w:tc>
        <w:tc>
          <w:tcPr>
            <w:tcW w:w="1212" w:type="dxa"/>
          </w:tcPr>
          <w:p w14:paraId="22B797B6">
            <w:pPr>
              <w:spacing w:line="440" w:lineRule="exact"/>
              <w:jc w:val="center"/>
              <w:rPr>
                <w:color w:val="auto"/>
                <w:szCs w:val="21"/>
                <w:highlight w:val="none"/>
              </w:rPr>
            </w:pPr>
          </w:p>
        </w:tc>
        <w:tc>
          <w:tcPr>
            <w:tcW w:w="874" w:type="dxa"/>
          </w:tcPr>
          <w:p w14:paraId="7A399F7E">
            <w:pPr>
              <w:spacing w:line="440" w:lineRule="exact"/>
              <w:jc w:val="center"/>
              <w:rPr>
                <w:color w:val="auto"/>
                <w:szCs w:val="21"/>
                <w:highlight w:val="none"/>
              </w:rPr>
            </w:pPr>
          </w:p>
        </w:tc>
        <w:tc>
          <w:tcPr>
            <w:tcW w:w="1055" w:type="dxa"/>
          </w:tcPr>
          <w:p w14:paraId="6F450BF4">
            <w:pPr>
              <w:spacing w:line="440" w:lineRule="exact"/>
              <w:jc w:val="center"/>
              <w:rPr>
                <w:color w:val="auto"/>
                <w:szCs w:val="21"/>
                <w:highlight w:val="none"/>
              </w:rPr>
            </w:pPr>
          </w:p>
        </w:tc>
        <w:tc>
          <w:tcPr>
            <w:tcW w:w="691" w:type="dxa"/>
          </w:tcPr>
          <w:p w14:paraId="18E7CF4E">
            <w:pPr>
              <w:spacing w:line="440" w:lineRule="exact"/>
              <w:jc w:val="center"/>
              <w:rPr>
                <w:color w:val="auto"/>
                <w:szCs w:val="21"/>
                <w:highlight w:val="none"/>
              </w:rPr>
            </w:pPr>
          </w:p>
        </w:tc>
      </w:tr>
      <w:tr w14:paraId="669A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4B3ABE30">
            <w:pPr>
              <w:spacing w:line="440" w:lineRule="exact"/>
              <w:jc w:val="center"/>
              <w:rPr>
                <w:color w:val="auto"/>
                <w:szCs w:val="21"/>
                <w:highlight w:val="none"/>
              </w:rPr>
            </w:pPr>
          </w:p>
        </w:tc>
        <w:tc>
          <w:tcPr>
            <w:tcW w:w="1086" w:type="dxa"/>
          </w:tcPr>
          <w:p w14:paraId="6F4DA20C">
            <w:pPr>
              <w:spacing w:line="440" w:lineRule="exact"/>
              <w:jc w:val="center"/>
              <w:rPr>
                <w:color w:val="auto"/>
                <w:szCs w:val="21"/>
                <w:highlight w:val="none"/>
              </w:rPr>
            </w:pPr>
          </w:p>
        </w:tc>
        <w:tc>
          <w:tcPr>
            <w:tcW w:w="761" w:type="dxa"/>
          </w:tcPr>
          <w:p w14:paraId="0CA09B2A">
            <w:pPr>
              <w:spacing w:line="440" w:lineRule="exact"/>
              <w:jc w:val="center"/>
              <w:rPr>
                <w:color w:val="auto"/>
                <w:szCs w:val="21"/>
                <w:highlight w:val="none"/>
              </w:rPr>
            </w:pPr>
          </w:p>
        </w:tc>
        <w:tc>
          <w:tcPr>
            <w:tcW w:w="990" w:type="dxa"/>
          </w:tcPr>
          <w:p w14:paraId="31B350D7">
            <w:pPr>
              <w:spacing w:line="440" w:lineRule="exact"/>
              <w:jc w:val="center"/>
              <w:rPr>
                <w:color w:val="auto"/>
                <w:szCs w:val="21"/>
                <w:highlight w:val="none"/>
              </w:rPr>
            </w:pPr>
          </w:p>
        </w:tc>
        <w:tc>
          <w:tcPr>
            <w:tcW w:w="672" w:type="dxa"/>
          </w:tcPr>
          <w:p w14:paraId="003CDEDF">
            <w:pPr>
              <w:spacing w:line="440" w:lineRule="exact"/>
              <w:jc w:val="center"/>
              <w:rPr>
                <w:color w:val="auto"/>
                <w:szCs w:val="21"/>
                <w:highlight w:val="none"/>
              </w:rPr>
            </w:pPr>
          </w:p>
        </w:tc>
        <w:tc>
          <w:tcPr>
            <w:tcW w:w="738" w:type="dxa"/>
          </w:tcPr>
          <w:p w14:paraId="6425E35C">
            <w:pPr>
              <w:spacing w:line="440" w:lineRule="exact"/>
              <w:jc w:val="center"/>
              <w:rPr>
                <w:color w:val="auto"/>
                <w:szCs w:val="21"/>
                <w:highlight w:val="none"/>
              </w:rPr>
            </w:pPr>
          </w:p>
        </w:tc>
        <w:tc>
          <w:tcPr>
            <w:tcW w:w="1212" w:type="dxa"/>
          </w:tcPr>
          <w:p w14:paraId="672AFEE7">
            <w:pPr>
              <w:spacing w:line="440" w:lineRule="exact"/>
              <w:jc w:val="center"/>
              <w:rPr>
                <w:color w:val="auto"/>
                <w:szCs w:val="21"/>
                <w:highlight w:val="none"/>
              </w:rPr>
            </w:pPr>
          </w:p>
        </w:tc>
        <w:tc>
          <w:tcPr>
            <w:tcW w:w="874" w:type="dxa"/>
          </w:tcPr>
          <w:p w14:paraId="72107690">
            <w:pPr>
              <w:spacing w:line="440" w:lineRule="exact"/>
              <w:jc w:val="center"/>
              <w:rPr>
                <w:color w:val="auto"/>
                <w:szCs w:val="21"/>
                <w:highlight w:val="none"/>
              </w:rPr>
            </w:pPr>
          </w:p>
        </w:tc>
        <w:tc>
          <w:tcPr>
            <w:tcW w:w="1055" w:type="dxa"/>
          </w:tcPr>
          <w:p w14:paraId="2D11EC97">
            <w:pPr>
              <w:spacing w:line="440" w:lineRule="exact"/>
              <w:jc w:val="center"/>
              <w:rPr>
                <w:color w:val="auto"/>
                <w:szCs w:val="21"/>
                <w:highlight w:val="none"/>
              </w:rPr>
            </w:pPr>
          </w:p>
        </w:tc>
        <w:tc>
          <w:tcPr>
            <w:tcW w:w="691" w:type="dxa"/>
          </w:tcPr>
          <w:p w14:paraId="66C53539">
            <w:pPr>
              <w:spacing w:line="440" w:lineRule="exact"/>
              <w:jc w:val="center"/>
              <w:rPr>
                <w:color w:val="auto"/>
                <w:szCs w:val="21"/>
                <w:highlight w:val="none"/>
              </w:rPr>
            </w:pPr>
          </w:p>
        </w:tc>
      </w:tr>
      <w:tr w14:paraId="1705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19E2392F">
            <w:pPr>
              <w:spacing w:line="440" w:lineRule="exact"/>
              <w:jc w:val="center"/>
              <w:rPr>
                <w:color w:val="auto"/>
                <w:szCs w:val="21"/>
                <w:highlight w:val="none"/>
              </w:rPr>
            </w:pPr>
          </w:p>
        </w:tc>
        <w:tc>
          <w:tcPr>
            <w:tcW w:w="1086" w:type="dxa"/>
          </w:tcPr>
          <w:p w14:paraId="62CE3C38">
            <w:pPr>
              <w:spacing w:line="440" w:lineRule="exact"/>
              <w:jc w:val="center"/>
              <w:rPr>
                <w:color w:val="auto"/>
                <w:szCs w:val="21"/>
                <w:highlight w:val="none"/>
              </w:rPr>
            </w:pPr>
          </w:p>
        </w:tc>
        <w:tc>
          <w:tcPr>
            <w:tcW w:w="761" w:type="dxa"/>
          </w:tcPr>
          <w:p w14:paraId="59665D9B">
            <w:pPr>
              <w:spacing w:line="440" w:lineRule="exact"/>
              <w:jc w:val="center"/>
              <w:rPr>
                <w:color w:val="auto"/>
                <w:szCs w:val="21"/>
                <w:highlight w:val="none"/>
              </w:rPr>
            </w:pPr>
          </w:p>
        </w:tc>
        <w:tc>
          <w:tcPr>
            <w:tcW w:w="990" w:type="dxa"/>
          </w:tcPr>
          <w:p w14:paraId="5F3E115E">
            <w:pPr>
              <w:spacing w:line="440" w:lineRule="exact"/>
              <w:jc w:val="center"/>
              <w:rPr>
                <w:color w:val="auto"/>
                <w:szCs w:val="21"/>
                <w:highlight w:val="none"/>
              </w:rPr>
            </w:pPr>
          </w:p>
        </w:tc>
        <w:tc>
          <w:tcPr>
            <w:tcW w:w="672" w:type="dxa"/>
          </w:tcPr>
          <w:p w14:paraId="779364AD">
            <w:pPr>
              <w:spacing w:line="440" w:lineRule="exact"/>
              <w:jc w:val="center"/>
              <w:rPr>
                <w:color w:val="auto"/>
                <w:szCs w:val="21"/>
                <w:highlight w:val="none"/>
              </w:rPr>
            </w:pPr>
          </w:p>
        </w:tc>
        <w:tc>
          <w:tcPr>
            <w:tcW w:w="738" w:type="dxa"/>
          </w:tcPr>
          <w:p w14:paraId="0C4CEFF3">
            <w:pPr>
              <w:spacing w:line="440" w:lineRule="exact"/>
              <w:jc w:val="center"/>
              <w:rPr>
                <w:color w:val="auto"/>
                <w:szCs w:val="21"/>
                <w:highlight w:val="none"/>
              </w:rPr>
            </w:pPr>
          </w:p>
        </w:tc>
        <w:tc>
          <w:tcPr>
            <w:tcW w:w="1212" w:type="dxa"/>
          </w:tcPr>
          <w:p w14:paraId="136998D1">
            <w:pPr>
              <w:spacing w:line="440" w:lineRule="exact"/>
              <w:jc w:val="center"/>
              <w:rPr>
                <w:color w:val="auto"/>
                <w:szCs w:val="21"/>
                <w:highlight w:val="none"/>
              </w:rPr>
            </w:pPr>
          </w:p>
        </w:tc>
        <w:tc>
          <w:tcPr>
            <w:tcW w:w="874" w:type="dxa"/>
          </w:tcPr>
          <w:p w14:paraId="498D58D9">
            <w:pPr>
              <w:spacing w:line="440" w:lineRule="exact"/>
              <w:jc w:val="center"/>
              <w:rPr>
                <w:color w:val="auto"/>
                <w:szCs w:val="21"/>
                <w:highlight w:val="none"/>
              </w:rPr>
            </w:pPr>
          </w:p>
        </w:tc>
        <w:tc>
          <w:tcPr>
            <w:tcW w:w="1055" w:type="dxa"/>
          </w:tcPr>
          <w:p w14:paraId="6C93A7DE">
            <w:pPr>
              <w:spacing w:line="440" w:lineRule="exact"/>
              <w:jc w:val="center"/>
              <w:rPr>
                <w:color w:val="auto"/>
                <w:szCs w:val="21"/>
                <w:highlight w:val="none"/>
              </w:rPr>
            </w:pPr>
          </w:p>
        </w:tc>
        <w:tc>
          <w:tcPr>
            <w:tcW w:w="691" w:type="dxa"/>
          </w:tcPr>
          <w:p w14:paraId="787D3CDB">
            <w:pPr>
              <w:spacing w:line="440" w:lineRule="exact"/>
              <w:jc w:val="center"/>
              <w:rPr>
                <w:color w:val="auto"/>
                <w:szCs w:val="21"/>
                <w:highlight w:val="none"/>
              </w:rPr>
            </w:pPr>
          </w:p>
        </w:tc>
      </w:tr>
      <w:tr w14:paraId="3D1F5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7F483D89">
            <w:pPr>
              <w:spacing w:line="440" w:lineRule="exact"/>
              <w:jc w:val="center"/>
              <w:rPr>
                <w:color w:val="auto"/>
                <w:szCs w:val="21"/>
                <w:highlight w:val="none"/>
              </w:rPr>
            </w:pPr>
          </w:p>
        </w:tc>
        <w:tc>
          <w:tcPr>
            <w:tcW w:w="1086" w:type="dxa"/>
          </w:tcPr>
          <w:p w14:paraId="6A6CC36D">
            <w:pPr>
              <w:spacing w:line="440" w:lineRule="exact"/>
              <w:jc w:val="center"/>
              <w:rPr>
                <w:color w:val="auto"/>
                <w:szCs w:val="21"/>
                <w:highlight w:val="none"/>
              </w:rPr>
            </w:pPr>
          </w:p>
        </w:tc>
        <w:tc>
          <w:tcPr>
            <w:tcW w:w="761" w:type="dxa"/>
          </w:tcPr>
          <w:p w14:paraId="6A61558E">
            <w:pPr>
              <w:spacing w:line="440" w:lineRule="exact"/>
              <w:jc w:val="center"/>
              <w:rPr>
                <w:color w:val="auto"/>
                <w:szCs w:val="21"/>
                <w:highlight w:val="none"/>
              </w:rPr>
            </w:pPr>
          </w:p>
        </w:tc>
        <w:tc>
          <w:tcPr>
            <w:tcW w:w="990" w:type="dxa"/>
          </w:tcPr>
          <w:p w14:paraId="1B8EC774">
            <w:pPr>
              <w:spacing w:line="440" w:lineRule="exact"/>
              <w:jc w:val="center"/>
              <w:rPr>
                <w:color w:val="auto"/>
                <w:szCs w:val="21"/>
                <w:highlight w:val="none"/>
              </w:rPr>
            </w:pPr>
          </w:p>
        </w:tc>
        <w:tc>
          <w:tcPr>
            <w:tcW w:w="672" w:type="dxa"/>
          </w:tcPr>
          <w:p w14:paraId="32F9CC0F">
            <w:pPr>
              <w:spacing w:line="440" w:lineRule="exact"/>
              <w:jc w:val="center"/>
              <w:rPr>
                <w:color w:val="auto"/>
                <w:szCs w:val="21"/>
                <w:highlight w:val="none"/>
              </w:rPr>
            </w:pPr>
          </w:p>
        </w:tc>
        <w:tc>
          <w:tcPr>
            <w:tcW w:w="738" w:type="dxa"/>
          </w:tcPr>
          <w:p w14:paraId="048EEEF8">
            <w:pPr>
              <w:spacing w:line="440" w:lineRule="exact"/>
              <w:jc w:val="center"/>
              <w:rPr>
                <w:color w:val="auto"/>
                <w:szCs w:val="21"/>
                <w:highlight w:val="none"/>
              </w:rPr>
            </w:pPr>
          </w:p>
        </w:tc>
        <w:tc>
          <w:tcPr>
            <w:tcW w:w="1212" w:type="dxa"/>
          </w:tcPr>
          <w:p w14:paraId="00E68B5B">
            <w:pPr>
              <w:spacing w:line="440" w:lineRule="exact"/>
              <w:jc w:val="center"/>
              <w:rPr>
                <w:color w:val="auto"/>
                <w:szCs w:val="21"/>
                <w:highlight w:val="none"/>
              </w:rPr>
            </w:pPr>
          </w:p>
        </w:tc>
        <w:tc>
          <w:tcPr>
            <w:tcW w:w="874" w:type="dxa"/>
          </w:tcPr>
          <w:p w14:paraId="5CFD63CF">
            <w:pPr>
              <w:spacing w:line="440" w:lineRule="exact"/>
              <w:jc w:val="center"/>
              <w:rPr>
                <w:color w:val="auto"/>
                <w:szCs w:val="21"/>
                <w:highlight w:val="none"/>
              </w:rPr>
            </w:pPr>
          </w:p>
        </w:tc>
        <w:tc>
          <w:tcPr>
            <w:tcW w:w="1055" w:type="dxa"/>
          </w:tcPr>
          <w:p w14:paraId="5ACC774F">
            <w:pPr>
              <w:spacing w:line="440" w:lineRule="exact"/>
              <w:jc w:val="center"/>
              <w:rPr>
                <w:color w:val="auto"/>
                <w:szCs w:val="21"/>
                <w:highlight w:val="none"/>
              </w:rPr>
            </w:pPr>
          </w:p>
        </w:tc>
        <w:tc>
          <w:tcPr>
            <w:tcW w:w="691" w:type="dxa"/>
          </w:tcPr>
          <w:p w14:paraId="16AC79F1">
            <w:pPr>
              <w:spacing w:line="440" w:lineRule="exact"/>
              <w:jc w:val="center"/>
              <w:rPr>
                <w:color w:val="auto"/>
                <w:szCs w:val="21"/>
                <w:highlight w:val="none"/>
              </w:rPr>
            </w:pPr>
          </w:p>
        </w:tc>
      </w:tr>
      <w:tr w14:paraId="2DB4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23D8656A">
            <w:pPr>
              <w:spacing w:line="440" w:lineRule="exact"/>
              <w:jc w:val="center"/>
              <w:rPr>
                <w:color w:val="auto"/>
                <w:szCs w:val="21"/>
                <w:highlight w:val="none"/>
              </w:rPr>
            </w:pPr>
          </w:p>
        </w:tc>
        <w:tc>
          <w:tcPr>
            <w:tcW w:w="1086" w:type="dxa"/>
          </w:tcPr>
          <w:p w14:paraId="505CEA36">
            <w:pPr>
              <w:spacing w:line="440" w:lineRule="exact"/>
              <w:jc w:val="center"/>
              <w:rPr>
                <w:color w:val="auto"/>
                <w:szCs w:val="21"/>
                <w:highlight w:val="none"/>
              </w:rPr>
            </w:pPr>
          </w:p>
        </w:tc>
        <w:tc>
          <w:tcPr>
            <w:tcW w:w="761" w:type="dxa"/>
          </w:tcPr>
          <w:p w14:paraId="7D5BBA80">
            <w:pPr>
              <w:spacing w:line="440" w:lineRule="exact"/>
              <w:jc w:val="center"/>
              <w:rPr>
                <w:color w:val="auto"/>
                <w:szCs w:val="21"/>
                <w:highlight w:val="none"/>
              </w:rPr>
            </w:pPr>
          </w:p>
        </w:tc>
        <w:tc>
          <w:tcPr>
            <w:tcW w:w="990" w:type="dxa"/>
          </w:tcPr>
          <w:p w14:paraId="2FEAF528">
            <w:pPr>
              <w:spacing w:line="440" w:lineRule="exact"/>
              <w:jc w:val="center"/>
              <w:rPr>
                <w:color w:val="auto"/>
                <w:szCs w:val="21"/>
                <w:highlight w:val="none"/>
              </w:rPr>
            </w:pPr>
          </w:p>
        </w:tc>
        <w:tc>
          <w:tcPr>
            <w:tcW w:w="672" w:type="dxa"/>
          </w:tcPr>
          <w:p w14:paraId="1AAE0C86">
            <w:pPr>
              <w:spacing w:line="440" w:lineRule="exact"/>
              <w:jc w:val="center"/>
              <w:rPr>
                <w:color w:val="auto"/>
                <w:szCs w:val="21"/>
                <w:highlight w:val="none"/>
              </w:rPr>
            </w:pPr>
          </w:p>
        </w:tc>
        <w:tc>
          <w:tcPr>
            <w:tcW w:w="738" w:type="dxa"/>
          </w:tcPr>
          <w:p w14:paraId="00C2B244">
            <w:pPr>
              <w:spacing w:line="440" w:lineRule="exact"/>
              <w:jc w:val="center"/>
              <w:rPr>
                <w:color w:val="auto"/>
                <w:szCs w:val="21"/>
                <w:highlight w:val="none"/>
              </w:rPr>
            </w:pPr>
          </w:p>
        </w:tc>
        <w:tc>
          <w:tcPr>
            <w:tcW w:w="1212" w:type="dxa"/>
          </w:tcPr>
          <w:p w14:paraId="7C05E250">
            <w:pPr>
              <w:spacing w:line="440" w:lineRule="exact"/>
              <w:jc w:val="center"/>
              <w:rPr>
                <w:color w:val="auto"/>
                <w:szCs w:val="21"/>
                <w:highlight w:val="none"/>
              </w:rPr>
            </w:pPr>
          </w:p>
        </w:tc>
        <w:tc>
          <w:tcPr>
            <w:tcW w:w="874" w:type="dxa"/>
          </w:tcPr>
          <w:p w14:paraId="472F983D">
            <w:pPr>
              <w:spacing w:line="440" w:lineRule="exact"/>
              <w:jc w:val="center"/>
              <w:rPr>
                <w:color w:val="auto"/>
                <w:szCs w:val="21"/>
                <w:highlight w:val="none"/>
              </w:rPr>
            </w:pPr>
          </w:p>
        </w:tc>
        <w:tc>
          <w:tcPr>
            <w:tcW w:w="1055" w:type="dxa"/>
          </w:tcPr>
          <w:p w14:paraId="5002F9BE">
            <w:pPr>
              <w:spacing w:line="440" w:lineRule="exact"/>
              <w:jc w:val="center"/>
              <w:rPr>
                <w:color w:val="auto"/>
                <w:szCs w:val="21"/>
                <w:highlight w:val="none"/>
              </w:rPr>
            </w:pPr>
          </w:p>
        </w:tc>
        <w:tc>
          <w:tcPr>
            <w:tcW w:w="691" w:type="dxa"/>
          </w:tcPr>
          <w:p w14:paraId="647FC124">
            <w:pPr>
              <w:spacing w:line="440" w:lineRule="exact"/>
              <w:jc w:val="center"/>
              <w:rPr>
                <w:color w:val="auto"/>
                <w:szCs w:val="21"/>
                <w:highlight w:val="none"/>
              </w:rPr>
            </w:pPr>
          </w:p>
        </w:tc>
      </w:tr>
      <w:tr w14:paraId="1D1E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0D79B878">
            <w:pPr>
              <w:spacing w:line="440" w:lineRule="exact"/>
              <w:jc w:val="center"/>
              <w:rPr>
                <w:color w:val="auto"/>
                <w:szCs w:val="21"/>
                <w:highlight w:val="none"/>
              </w:rPr>
            </w:pPr>
          </w:p>
        </w:tc>
        <w:tc>
          <w:tcPr>
            <w:tcW w:w="1086" w:type="dxa"/>
          </w:tcPr>
          <w:p w14:paraId="6C3F3754">
            <w:pPr>
              <w:spacing w:line="440" w:lineRule="exact"/>
              <w:jc w:val="center"/>
              <w:rPr>
                <w:color w:val="auto"/>
                <w:szCs w:val="21"/>
                <w:highlight w:val="none"/>
              </w:rPr>
            </w:pPr>
          </w:p>
        </w:tc>
        <w:tc>
          <w:tcPr>
            <w:tcW w:w="761" w:type="dxa"/>
          </w:tcPr>
          <w:p w14:paraId="69DA0D54">
            <w:pPr>
              <w:spacing w:line="440" w:lineRule="exact"/>
              <w:jc w:val="center"/>
              <w:rPr>
                <w:color w:val="auto"/>
                <w:szCs w:val="21"/>
                <w:highlight w:val="none"/>
              </w:rPr>
            </w:pPr>
          </w:p>
        </w:tc>
        <w:tc>
          <w:tcPr>
            <w:tcW w:w="990" w:type="dxa"/>
          </w:tcPr>
          <w:p w14:paraId="13D6A665">
            <w:pPr>
              <w:spacing w:line="440" w:lineRule="exact"/>
              <w:jc w:val="center"/>
              <w:rPr>
                <w:color w:val="auto"/>
                <w:szCs w:val="21"/>
                <w:highlight w:val="none"/>
              </w:rPr>
            </w:pPr>
          </w:p>
        </w:tc>
        <w:tc>
          <w:tcPr>
            <w:tcW w:w="672" w:type="dxa"/>
          </w:tcPr>
          <w:p w14:paraId="134981DF">
            <w:pPr>
              <w:spacing w:line="440" w:lineRule="exact"/>
              <w:jc w:val="center"/>
              <w:rPr>
                <w:color w:val="auto"/>
                <w:szCs w:val="21"/>
                <w:highlight w:val="none"/>
              </w:rPr>
            </w:pPr>
          </w:p>
        </w:tc>
        <w:tc>
          <w:tcPr>
            <w:tcW w:w="738" w:type="dxa"/>
          </w:tcPr>
          <w:p w14:paraId="7713272C">
            <w:pPr>
              <w:spacing w:line="440" w:lineRule="exact"/>
              <w:jc w:val="center"/>
              <w:rPr>
                <w:color w:val="auto"/>
                <w:szCs w:val="21"/>
                <w:highlight w:val="none"/>
              </w:rPr>
            </w:pPr>
          </w:p>
        </w:tc>
        <w:tc>
          <w:tcPr>
            <w:tcW w:w="1212" w:type="dxa"/>
          </w:tcPr>
          <w:p w14:paraId="0CA5A60F">
            <w:pPr>
              <w:spacing w:line="440" w:lineRule="exact"/>
              <w:jc w:val="center"/>
              <w:rPr>
                <w:color w:val="auto"/>
                <w:szCs w:val="21"/>
                <w:highlight w:val="none"/>
              </w:rPr>
            </w:pPr>
          </w:p>
        </w:tc>
        <w:tc>
          <w:tcPr>
            <w:tcW w:w="874" w:type="dxa"/>
          </w:tcPr>
          <w:p w14:paraId="5F733C32">
            <w:pPr>
              <w:spacing w:line="440" w:lineRule="exact"/>
              <w:jc w:val="center"/>
              <w:rPr>
                <w:color w:val="auto"/>
                <w:szCs w:val="21"/>
                <w:highlight w:val="none"/>
              </w:rPr>
            </w:pPr>
          </w:p>
        </w:tc>
        <w:tc>
          <w:tcPr>
            <w:tcW w:w="1055" w:type="dxa"/>
          </w:tcPr>
          <w:p w14:paraId="732DD684">
            <w:pPr>
              <w:spacing w:line="440" w:lineRule="exact"/>
              <w:jc w:val="center"/>
              <w:rPr>
                <w:color w:val="auto"/>
                <w:szCs w:val="21"/>
                <w:highlight w:val="none"/>
              </w:rPr>
            </w:pPr>
          </w:p>
        </w:tc>
        <w:tc>
          <w:tcPr>
            <w:tcW w:w="691" w:type="dxa"/>
          </w:tcPr>
          <w:p w14:paraId="699E0A2D">
            <w:pPr>
              <w:spacing w:line="440" w:lineRule="exact"/>
              <w:jc w:val="center"/>
              <w:rPr>
                <w:color w:val="auto"/>
                <w:szCs w:val="21"/>
                <w:highlight w:val="none"/>
              </w:rPr>
            </w:pPr>
          </w:p>
        </w:tc>
      </w:tr>
    </w:tbl>
    <w:p w14:paraId="508893B4">
      <w:pPr>
        <w:rPr>
          <w:rFonts w:hint="default" w:cs="宋体"/>
          <w:color w:val="auto"/>
          <w:szCs w:val="24"/>
          <w:highlight w:val="none"/>
        </w:rPr>
      </w:pPr>
      <w:bookmarkStart w:id="2337" w:name="_Toc256000224"/>
      <w:r>
        <w:rPr>
          <w:rFonts w:hint="default" w:cs="宋体"/>
          <w:color w:val="auto"/>
          <w:szCs w:val="24"/>
          <w:highlight w:val="none"/>
        </w:rPr>
        <w:br w:type="page"/>
      </w:r>
    </w:p>
    <w:p w14:paraId="131D542A">
      <w:pPr>
        <w:pStyle w:val="37"/>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ascii="黑体" w:hAnsi="宋体"/>
          <w:color w:val="auto"/>
          <w:highlight w:val="none"/>
        </w:rPr>
      </w:pPr>
      <w:r>
        <w:rPr>
          <w:rFonts w:hint="default" w:cs="宋体"/>
          <w:color w:val="auto"/>
          <w:szCs w:val="24"/>
          <w:highlight w:val="none"/>
        </w:rPr>
        <w:t>1-8</w:t>
      </w:r>
      <w:r>
        <w:rPr>
          <w:rFonts w:hint="eastAsia" w:cs="宋体"/>
          <w:color w:val="auto"/>
          <w:szCs w:val="24"/>
          <w:highlight w:val="none"/>
          <w:lang w:val="en-US" w:eastAsia="zh-CN"/>
        </w:rPr>
        <w:t xml:space="preserve"> </w:t>
      </w:r>
      <w:r>
        <w:rPr>
          <w:rFonts w:hint="eastAsia" w:cs="宋体"/>
          <w:color w:val="auto"/>
          <w:szCs w:val="24"/>
          <w:highlight w:val="none"/>
        </w:rPr>
        <w:t>拟配备本项目的试验和检测仪器设备表</w:t>
      </w:r>
      <w:bookmarkEnd w:id="2337"/>
    </w:p>
    <w:tbl>
      <w:tblPr>
        <w:tblStyle w:val="2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087"/>
        <w:gridCol w:w="760"/>
        <w:gridCol w:w="991"/>
        <w:gridCol w:w="672"/>
        <w:gridCol w:w="738"/>
        <w:gridCol w:w="1212"/>
        <w:gridCol w:w="1653"/>
        <w:gridCol w:w="688"/>
      </w:tblGrid>
      <w:tr w14:paraId="0199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4438BFB9">
            <w:pPr>
              <w:spacing w:line="440" w:lineRule="exact"/>
              <w:rPr>
                <w:color w:val="auto"/>
                <w:szCs w:val="21"/>
                <w:highlight w:val="none"/>
              </w:rPr>
            </w:pPr>
            <w:r>
              <w:rPr>
                <w:color w:val="auto"/>
                <w:szCs w:val="21"/>
                <w:highlight w:val="none"/>
              </w:rPr>
              <w:t>序号</w:t>
            </w:r>
          </w:p>
        </w:tc>
        <w:tc>
          <w:tcPr>
            <w:tcW w:w="1087" w:type="dxa"/>
            <w:vAlign w:val="center"/>
          </w:tcPr>
          <w:p w14:paraId="6FB42B98">
            <w:pPr>
              <w:spacing w:line="440" w:lineRule="exact"/>
              <w:jc w:val="center"/>
              <w:rPr>
                <w:color w:val="auto"/>
                <w:szCs w:val="21"/>
                <w:highlight w:val="none"/>
              </w:rPr>
            </w:pPr>
            <w:r>
              <w:rPr>
                <w:color w:val="auto"/>
                <w:szCs w:val="21"/>
                <w:highlight w:val="none"/>
              </w:rPr>
              <w:t>仪器设备名称</w:t>
            </w:r>
          </w:p>
        </w:tc>
        <w:tc>
          <w:tcPr>
            <w:tcW w:w="760" w:type="dxa"/>
            <w:vAlign w:val="center"/>
          </w:tcPr>
          <w:p w14:paraId="2C172828">
            <w:pPr>
              <w:spacing w:line="440" w:lineRule="exact"/>
              <w:jc w:val="center"/>
              <w:rPr>
                <w:color w:val="auto"/>
                <w:szCs w:val="21"/>
                <w:highlight w:val="none"/>
              </w:rPr>
            </w:pPr>
            <w:r>
              <w:rPr>
                <w:color w:val="auto"/>
                <w:szCs w:val="21"/>
                <w:highlight w:val="none"/>
              </w:rPr>
              <w:t>型号</w:t>
            </w:r>
          </w:p>
          <w:p w14:paraId="6DE86444">
            <w:pPr>
              <w:spacing w:line="440" w:lineRule="exact"/>
              <w:jc w:val="center"/>
              <w:rPr>
                <w:color w:val="auto"/>
                <w:szCs w:val="21"/>
                <w:highlight w:val="none"/>
              </w:rPr>
            </w:pPr>
            <w:r>
              <w:rPr>
                <w:color w:val="auto"/>
                <w:szCs w:val="21"/>
                <w:highlight w:val="none"/>
              </w:rPr>
              <w:t>规格</w:t>
            </w:r>
          </w:p>
        </w:tc>
        <w:tc>
          <w:tcPr>
            <w:tcW w:w="991" w:type="dxa"/>
            <w:vAlign w:val="center"/>
          </w:tcPr>
          <w:p w14:paraId="1214288F">
            <w:pPr>
              <w:spacing w:line="440" w:lineRule="exact"/>
              <w:jc w:val="center"/>
              <w:rPr>
                <w:color w:val="auto"/>
                <w:szCs w:val="21"/>
                <w:highlight w:val="none"/>
              </w:rPr>
            </w:pPr>
            <w:r>
              <w:rPr>
                <w:color w:val="auto"/>
                <w:szCs w:val="21"/>
                <w:highlight w:val="none"/>
              </w:rPr>
              <w:t>数量</w:t>
            </w:r>
          </w:p>
        </w:tc>
        <w:tc>
          <w:tcPr>
            <w:tcW w:w="672" w:type="dxa"/>
            <w:vAlign w:val="center"/>
          </w:tcPr>
          <w:p w14:paraId="7F416CDB">
            <w:pPr>
              <w:spacing w:line="440" w:lineRule="exact"/>
              <w:jc w:val="center"/>
              <w:rPr>
                <w:color w:val="auto"/>
                <w:szCs w:val="21"/>
                <w:highlight w:val="none"/>
              </w:rPr>
            </w:pPr>
            <w:r>
              <w:rPr>
                <w:color w:val="auto"/>
                <w:szCs w:val="21"/>
                <w:highlight w:val="none"/>
              </w:rPr>
              <w:t>国别</w:t>
            </w:r>
          </w:p>
          <w:p w14:paraId="1C862B95">
            <w:pPr>
              <w:spacing w:line="440" w:lineRule="exact"/>
              <w:jc w:val="center"/>
              <w:rPr>
                <w:color w:val="auto"/>
                <w:szCs w:val="21"/>
                <w:highlight w:val="none"/>
              </w:rPr>
            </w:pPr>
            <w:r>
              <w:rPr>
                <w:color w:val="auto"/>
                <w:szCs w:val="21"/>
                <w:highlight w:val="none"/>
              </w:rPr>
              <w:t>产地</w:t>
            </w:r>
          </w:p>
        </w:tc>
        <w:tc>
          <w:tcPr>
            <w:tcW w:w="738" w:type="dxa"/>
            <w:vAlign w:val="center"/>
          </w:tcPr>
          <w:p w14:paraId="6D2E39A7">
            <w:pPr>
              <w:spacing w:line="440" w:lineRule="exact"/>
              <w:jc w:val="center"/>
              <w:rPr>
                <w:color w:val="auto"/>
                <w:szCs w:val="21"/>
                <w:highlight w:val="none"/>
              </w:rPr>
            </w:pPr>
            <w:r>
              <w:rPr>
                <w:color w:val="auto"/>
                <w:szCs w:val="21"/>
                <w:highlight w:val="none"/>
              </w:rPr>
              <w:t>制造</w:t>
            </w:r>
          </w:p>
          <w:p w14:paraId="34ABC775">
            <w:pPr>
              <w:spacing w:line="440" w:lineRule="exact"/>
              <w:jc w:val="center"/>
              <w:rPr>
                <w:color w:val="auto"/>
                <w:szCs w:val="21"/>
                <w:highlight w:val="none"/>
              </w:rPr>
            </w:pPr>
            <w:r>
              <w:rPr>
                <w:color w:val="auto"/>
                <w:szCs w:val="21"/>
                <w:highlight w:val="none"/>
              </w:rPr>
              <w:t>年份</w:t>
            </w:r>
          </w:p>
        </w:tc>
        <w:tc>
          <w:tcPr>
            <w:tcW w:w="1212" w:type="dxa"/>
            <w:vAlign w:val="center"/>
          </w:tcPr>
          <w:p w14:paraId="5FDAE292">
            <w:pPr>
              <w:spacing w:line="440" w:lineRule="exact"/>
              <w:jc w:val="center"/>
              <w:rPr>
                <w:color w:val="auto"/>
                <w:szCs w:val="21"/>
                <w:highlight w:val="none"/>
              </w:rPr>
            </w:pPr>
            <w:r>
              <w:rPr>
                <w:color w:val="auto"/>
                <w:szCs w:val="21"/>
                <w:highlight w:val="none"/>
              </w:rPr>
              <w:t>已使用台时数</w:t>
            </w:r>
          </w:p>
        </w:tc>
        <w:tc>
          <w:tcPr>
            <w:tcW w:w="1653" w:type="dxa"/>
            <w:vAlign w:val="center"/>
          </w:tcPr>
          <w:p w14:paraId="63A15B33">
            <w:pPr>
              <w:spacing w:line="440" w:lineRule="exact"/>
              <w:jc w:val="center"/>
              <w:rPr>
                <w:color w:val="auto"/>
                <w:szCs w:val="21"/>
                <w:highlight w:val="none"/>
              </w:rPr>
            </w:pPr>
            <w:r>
              <w:rPr>
                <w:color w:val="auto"/>
                <w:szCs w:val="21"/>
                <w:highlight w:val="none"/>
              </w:rPr>
              <w:t>用途</w:t>
            </w:r>
          </w:p>
        </w:tc>
        <w:tc>
          <w:tcPr>
            <w:tcW w:w="688" w:type="dxa"/>
            <w:vAlign w:val="center"/>
          </w:tcPr>
          <w:p w14:paraId="225D75FA">
            <w:pPr>
              <w:spacing w:line="440" w:lineRule="exact"/>
              <w:jc w:val="center"/>
              <w:rPr>
                <w:color w:val="auto"/>
                <w:szCs w:val="21"/>
                <w:highlight w:val="none"/>
              </w:rPr>
            </w:pPr>
            <w:r>
              <w:rPr>
                <w:color w:val="auto"/>
                <w:szCs w:val="21"/>
                <w:highlight w:val="none"/>
              </w:rPr>
              <w:t>备注</w:t>
            </w:r>
          </w:p>
        </w:tc>
      </w:tr>
      <w:tr w14:paraId="31AC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2379354">
            <w:pPr>
              <w:spacing w:line="440" w:lineRule="exact"/>
              <w:jc w:val="center"/>
              <w:rPr>
                <w:color w:val="auto"/>
                <w:szCs w:val="21"/>
                <w:highlight w:val="none"/>
              </w:rPr>
            </w:pPr>
          </w:p>
        </w:tc>
        <w:tc>
          <w:tcPr>
            <w:tcW w:w="1087" w:type="dxa"/>
            <w:vAlign w:val="center"/>
          </w:tcPr>
          <w:p w14:paraId="3D8198AF">
            <w:pPr>
              <w:spacing w:line="440" w:lineRule="exact"/>
              <w:jc w:val="center"/>
              <w:rPr>
                <w:color w:val="auto"/>
                <w:szCs w:val="21"/>
                <w:highlight w:val="none"/>
              </w:rPr>
            </w:pPr>
          </w:p>
        </w:tc>
        <w:tc>
          <w:tcPr>
            <w:tcW w:w="760" w:type="dxa"/>
            <w:vAlign w:val="center"/>
          </w:tcPr>
          <w:p w14:paraId="636C9555">
            <w:pPr>
              <w:spacing w:line="440" w:lineRule="exact"/>
              <w:jc w:val="center"/>
              <w:rPr>
                <w:color w:val="auto"/>
                <w:szCs w:val="21"/>
                <w:highlight w:val="none"/>
              </w:rPr>
            </w:pPr>
          </w:p>
        </w:tc>
        <w:tc>
          <w:tcPr>
            <w:tcW w:w="991" w:type="dxa"/>
            <w:vAlign w:val="center"/>
          </w:tcPr>
          <w:p w14:paraId="3678F77B">
            <w:pPr>
              <w:spacing w:line="440" w:lineRule="exact"/>
              <w:jc w:val="center"/>
              <w:rPr>
                <w:color w:val="auto"/>
                <w:szCs w:val="21"/>
                <w:highlight w:val="none"/>
              </w:rPr>
            </w:pPr>
          </w:p>
        </w:tc>
        <w:tc>
          <w:tcPr>
            <w:tcW w:w="672" w:type="dxa"/>
            <w:vAlign w:val="center"/>
          </w:tcPr>
          <w:p w14:paraId="4180326E">
            <w:pPr>
              <w:spacing w:line="440" w:lineRule="exact"/>
              <w:jc w:val="center"/>
              <w:rPr>
                <w:color w:val="auto"/>
                <w:szCs w:val="21"/>
                <w:highlight w:val="none"/>
              </w:rPr>
            </w:pPr>
          </w:p>
        </w:tc>
        <w:tc>
          <w:tcPr>
            <w:tcW w:w="738" w:type="dxa"/>
            <w:vAlign w:val="center"/>
          </w:tcPr>
          <w:p w14:paraId="1263EC49">
            <w:pPr>
              <w:spacing w:line="440" w:lineRule="exact"/>
              <w:jc w:val="center"/>
              <w:rPr>
                <w:color w:val="auto"/>
                <w:szCs w:val="21"/>
                <w:highlight w:val="none"/>
              </w:rPr>
            </w:pPr>
          </w:p>
        </w:tc>
        <w:tc>
          <w:tcPr>
            <w:tcW w:w="1212" w:type="dxa"/>
            <w:vAlign w:val="center"/>
          </w:tcPr>
          <w:p w14:paraId="34131BC6">
            <w:pPr>
              <w:spacing w:line="440" w:lineRule="exact"/>
              <w:jc w:val="center"/>
              <w:rPr>
                <w:color w:val="auto"/>
                <w:szCs w:val="21"/>
                <w:highlight w:val="none"/>
              </w:rPr>
            </w:pPr>
          </w:p>
        </w:tc>
        <w:tc>
          <w:tcPr>
            <w:tcW w:w="1653" w:type="dxa"/>
            <w:vAlign w:val="center"/>
          </w:tcPr>
          <w:p w14:paraId="2006D87C">
            <w:pPr>
              <w:spacing w:line="440" w:lineRule="exact"/>
              <w:jc w:val="center"/>
              <w:rPr>
                <w:color w:val="auto"/>
                <w:szCs w:val="21"/>
                <w:highlight w:val="none"/>
              </w:rPr>
            </w:pPr>
          </w:p>
        </w:tc>
        <w:tc>
          <w:tcPr>
            <w:tcW w:w="688" w:type="dxa"/>
            <w:vAlign w:val="center"/>
          </w:tcPr>
          <w:p w14:paraId="62160B4D">
            <w:pPr>
              <w:spacing w:line="440" w:lineRule="exact"/>
              <w:jc w:val="center"/>
              <w:rPr>
                <w:color w:val="auto"/>
                <w:szCs w:val="21"/>
                <w:highlight w:val="none"/>
              </w:rPr>
            </w:pPr>
          </w:p>
        </w:tc>
      </w:tr>
      <w:tr w14:paraId="64D0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7CB8FEDB">
            <w:pPr>
              <w:spacing w:line="440" w:lineRule="exact"/>
              <w:jc w:val="center"/>
              <w:rPr>
                <w:color w:val="auto"/>
                <w:szCs w:val="21"/>
                <w:highlight w:val="none"/>
              </w:rPr>
            </w:pPr>
          </w:p>
        </w:tc>
        <w:tc>
          <w:tcPr>
            <w:tcW w:w="1087" w:type="dxa"/>
            <w:vAlign w:val="center"/>
          </w:tcPr>
          <w:p w14:paraId="1C75FDAA">
            <w:pPr>
              <w:spacing w:line="440" w:lineRule="exact"/>
              <w:jc w:val="center"/>
              <w:rPr>
                <w:color w:val="auto"/>
                <w:szCs w:val="21"/>
                <w:highlight w:val="none"/>
              </w:rPr>
            </w:pPr>
          </w:p>
        </w:tc>
        <w:tc>
          <w:tcPr>
            <w:tcW w:w="760" w:type="dxa"/>
            <w:vAlign w:val="center"/>
          </w:tcPr>
          <w:p w14:paraId="0FC4286B">
            <w:pPr>
              <w:spacing w:line="440" w:lineRule="exact"/>
              <w:jc w:val="center"/>
              <w:rPr>
                <w:color w:val="auto"/>
                <w:szCs w:val="21"/>
                <w:highlight w:val="none"/>
              </w:rPr>
            </w:pPr>
          </w:p>
        </w:tc>
        <w:tc>
          <w:tcPr>
            <w:tcW w:w="991" w:type="dxa"/>
            <w:vAlign w:val="center"/>
          </w:tcPr>
          <w:p w14:paraId="6725D992">
            <w:pPr>
              <w:spacing w:line="440" w:lineRule="exact"/>
              <w:jc w:val="center"/>
              <w:rPr>
                <w:color w:val="auto"/>
                <w:szCs w:val="21"/>
                <w:highlight w:val="none"/>
              </w:rPr>
            </w:pPr>
          </w:p>
        </w:tc>
        <w:tc>
          <w:tcPr>
            <w:tcW w:w="672" w:type="dxa"/>
            <w:vAlign w:val="center"/>
          </w:tcPr>
          <w:p w14:paraId="428D611B">
            <w:pPr>
              <w:spacing w:line="440" w:lineRule="exact"/>
              <w:jc w:val="center"/>
              <w:rPr>
                <w:color w:val="auto"/>
                <w:szCs w:val="21"/>
                <w:highlight w:val="none"/>
              </w:rPr>
            </w:pPr>
          </w:p>
        </w:tc>
        <w:tc>
          <w:tcPr>
            <w:tcW w:w="738" w:type="dxa"/>
            <w:vAlign w:val="center"/>
          </w:tcPr>
          <w:p w14:paraId="3FBF9AC6">
            <w:pPr>
              <w:spacing w:line="440" w:lineRule="exact"/>
              <w:jc w:val="center"/>
              <w:rPr>
                <w:color w:val="auto"/>
                <w:szCs w:val="21"/>
                <w:highlight w:val="none"/>
              </w:rPr>
            </w:pPr>
          </w:p>
        </w:tc>
        <w:tc>
          <w:tcPr>
            <w:tcW w:w="1212" w:type="dxa"/>
            <w:vAlign w:val="center"/>
          </w:tcPr>
          <w:p w14:paraId="5189D568">
            <w:pPr>
              <w:spacing w:line="440" w:lineRule="exact"/>
              <w:jc w:val="center"/>
              <w:rPr>
                <w:color w:val="auto"/>
                <w:szCs w:val="21"/>
                <w:highlight w:val="none"/>
              </w:rPr>
            </w:pPr>
          </w:p>
        </w:tc>
        <w:tc>
          <w:tcPr>
            <w:tcW w:w="1653" w:type="dxa"/>
            <w:vAlign w:val="center"/>
          </w:tcPr>
          <w:p w14:paraId="2A9F8103">
            <w:pPr>
              <w:spacing w:line="440" w:lineRule="exact"/>
              <w:jc w:val="center"/>
              <w:rPr>
                <w:color w:val="auto"/>
                <w:szCs w:val="21"/>
                <w:highlight w:val="none"/>
              </w:rPr>
            </w:pPr>
          </w:p>
        </w:tc>
        <w:tc>
          <w:tcPr>
            <w:tcW w:w="688" w:type="dxa"/>
            <w:vAlign w:val="center"/>
          </w:tcPr>
          <w:p w14:paraId="1A90B0E9">
            <w:pPr>
              <w:spacing w:line="440" w:lineRule="exact"/>
              <w:jc w:val="center"/>
              <w:rPr>
                <w:color w:val="auto"/>
                <w:szCs w:val="21"/>
                <w:highlight w:val="none"/>
              </w:rPr>
            </w:pPr>
          </w:p>
        </w:tc>
      </w:tr>
      <w:tr w14:paraId="6092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6" w:type="dxa"/>
          </w:tcPr>
          <w:p w14:paraId="5A883C18">
            <w:pPr>
              <w:spacing w:line="440" w:lineRule="exact"/>
              <w:jc w:val="center"/>
              <w:rPr>
                <w:color w:val="auto"/>
                <w:szCs w:val="21"/>
                <w:highlight w:val="none"/>
              </w:rPr>
            </w:pPr>
          </w:p>
        </w:tc>
        <w:tc>
          <w:tcPr>
            <w:tcW w:w="1087" w:type="dxa"/>
          </w:tcPr>
          <w:p w14:paraId="32738F78">
            <w:pPr>
              <w:spacing w:line="440" w:lineRule="exact"/>
              <w:jc w:val="center"/>
              <w:rPr>
                <w:color w:val="auto"/>
                <w:szCs w:val="21"/>
                <w:highlight w:val="none"/>
              </w:rPr>
            </w:pPr>
          </w:p>
        </w:tc>
        <w:tc>
          <w:tcPr>
            <w:tcW w:w="760" w:type="dxa"/>
          </w:tcPr>
          <w:p w14:paraId="00884765">
            <w:pPr>
              <w:spacing w:line="440" w:lineRule="exact"/>
              <w:jc w:val="center"/>
              <w:rPr>
                <w:color w:val="auto"/>
                <w:szCs w:val="21"/>
                <w:highlight w:val="none"/>
              </w:rPr>
            </w:pPr>
          </w:p>
        </w:tc>
        <w:tc>
          <w:tcPr>
            <w:tcW w:w="991" w:type="dxa"/>
          </w:tcPr>
          <w:p w14:paraId="3923BE0C">
            <w:pPr>
              <w:spacing w:line="440" w:lineRule="exact"/>
              <w:jc w:val="center"/>
              <w:rPr>
                <w:color w:val="auto"/>
                <w:szCs w:val="21"/>
                <w:highlight w:val="none"/>
              </w:rPr>
            </w:pPr>
          </w:p>
        </w:tc>
        <w:tc>
          <w:tcPr>
            <w:tcW w:w="672" w:type="dxa"/>
          </w:tcPr>
          <w:p w14:paraId="0A0D022E">
            <w:pPr>
              <w:spacing w:line="440" w:lineRule="exact"/>
              <w:jc w:val="center"/>
              <w:rPr>
                <w:color w:val="auto"/>
                <w:szCs w:val="21"/>
                <w:highlight w:val="none"/>
              </w:rPr>
            </w:pPr>
          </w:p>
        </w:tc>
        <w:tc>
          <w:tcPr>
            <w:tcW w:w="738" w:type="dxa"/>
          </w:tcPr>
          <w:p w14:paraId="673C2C38">
            <w:pPr>
              <w:spacing w:line="440" w:lineRule="exact"/>
              <w:jc w:val="center"/>
              <w:rPr>
                <w:color w:val="auto"/>
                <w:szCs w:val="21"/>
                <w:highlight w:val="none"/>
              </w:rPr>
            </w:pPr>
          </w:p>
        </w:tc>
        <w:tc>
          <w:tcPr>
            <w:tcW w:w="1212" w:type="dxa"/>
          </w:tcPr>
          <w:p w14:paraId="33BD1775">
            <w:pPr>
              <w:spacing w:line="440" w:lineRule="exact"/>
              <w:jc w:val="center"/>
              <w:rPr>
                <w:color w:val="auto"/>
                <w:szCs w:val="21"/>
                <w:highlight w:val="none"/>
              </w:rPr>
            </w:pPr>
          </w:p>
        </w:tc>
        <w:tc>
          <w:tcPr>
            <w:tcW w:w="1653" w:type="dxa"/>
          </w:tcPr>
          <w:p w14:paraId="027654ED">
            <w:pPr>
              <w:spacing w:line="440" w:lineRule="exact"/>
              <w:jc w:val="center"/>
              <w:rPr>
                <w:color w:val="auto"/>
                <w:szCs w:val="21"/>
                <w:highlight w:val="none"/>
              </w:rPr>
            </w:pPr>
          </w:p>
        </w:tc>
        <w:tc>
          <w:tcPr>
            <w:tcW w:w="688" w:type="dxa"/>
          </w:tcPr>
          <w:p w14:paraId="3C6D305C">
            <w:pPr>
              <w:spacing w:line="440" w:lineRule="exact"/>
              <w:jc w:val="center"/>
              <w:rPr>
                <w:color w:val="auto"/>
                <w:szCs w:val="21"/>
                <w:highlight w:val="none"/>
              </w:rPr>
            </w:pPr>
          </w:p>
        </w:tc>
      </w:tr>
      <w:tr w14:paraId="6FAF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4193277D">
            <w:pPr>
              <w:spacing w:line="440" w:lineRule="exact"/>
              <w:jc w:val="center"/>
              <w:rPr>
                <w:color w:val="auto"/>
                <w:szCs w:val="21"/>
                <w:highlight w:val="none"/>
              </w:rPr>
            </w:pPr>
          </w:p>
        </w:tc>
        <w:tc>
          <w:tcPr>
            <w:tcW w:w="1087" w:type="dxa"/>
          </w:tcPr>
          <w:p w14:paraId="414ACBF4">
            <w:pPr>
              <w:spacing w:line="440" w:lineRule="exact"/>
              <w:jc w:val="center"/>
              <w:rPr>
                <w:color w:val="auto"/>
                <w:szCs w:val="21"/>
                <w:highlight w:val="none"/>
              </w:rPr>
            </w:pPr>
          </w:p>
        </w:tc>
        <w:tc>
          <w:tcPr>
            <w:tcW w:w="760" w:type="dxa"/>
          </w:tcPr>
          <w:p w14:paraId="41E7960A">
            <w:pPr>
              <w:spacing w:line="440" w:lineRule="exact"/>
              <w:jc w:val="center"/>
              <w:rPr>
                <w:color w:val="auto"/>
                <w:szCs w:val="21"/>
                <w:highlight w:val="none"/>
              </w:rPr>
            </w:pPr>
          </w:p>
        </w:tc>
        <w:tc>
          <w:tcPr>
            <w:tcW w:w="991" w:type="dxa"/>
          </w:tcPr>
          <w:p w14:paraId="4D68D57F">
            <w:pPr>
              <w:spacing w:line="440" w:lineRule="exact"/>
              <w:jc w:val="center"/>
              <w:rPr>
                <w:color w:val="auto"/>
                <w:szCs w:val="21"/>
                <w:highlight w:val="none"/>
              </w:rPr>
            </w:pPr>
          </w:p>
        </w:tc>
        <w:tc>
          <w:tcPr>
            <w:tcW w:w="672" w:type="dxa"/>
          </w:tcPr>
          <w:p w14:paraId="16B5DAD6">
            <w:pPr>
              <w:spacing w:line="440" w:lineRule="exact"/>
              <w:jc w:val="center"/>
              <w:rPr>
                <w:color w:val="auto"/>
                <w:szCs w:val="21"/>
                <w:highlight w:val="none"/>
              </w:rPr>
            </w:pPr>
          </w:p>
        </w:tc>
        <w:tc>
          <w:tcPr>
            <w:tcW w:w="738" w:type="dxa"/>
          </w:tcPr>
          <w:p w14:paraId="098A1FEF">
            <w:pPr>
              <w:spacing w:line="440" w:lineRule="exact"/>
              <w:jc w:val="center"/>
              <w:rPr>
                <w:color w:val="auto"/>
                <w:szCs w:val="21"/>
                <w:highlight w:val="none"/>
              </w:rPr>
            </w:pPr>
          </w:p>
        </w:tc>
        <w:tc>
          <w:tcPr>
            <w:tcW w:w="1212" w:type="dxa"/>
          </w:tcPr>
          <w:p w14:paraId="025CA8EA">
            <w:pPr>
              <w:spacing w:line="440" w:lineRule="exact"/>
              <w:jc w:val="center"/>
              <w:rPr>
                <w:color w:val="auto"/>
                <w:szCs w:val="21"/>
                <w:highlight w:val="none"/>
              </w:rPr>
            </w:pPr>
          </w:p>
        </w:tc>
        <w:tc>
          <w:tcPr>
            <w:tcW w:w="1653" w:type="dxa"/>
          </w:tcPr>
          <w:p w14:paraId="7793FB90">
            <w:pPr>
              <w:spacing w:line="440" w:lineRule="exact"/>
              <w:jc w:val="center"/>
              <w:rPr>
                <w:color w:val="auto"/>
                <w:szCs w:val="21"/>
                <w:highlight w:val="none"/>
              </w:rPr>
            </w:pPr>
          </w:p>
        </w:tc>
        <w:tc>
          <w:tcPr>
            <w:tcW w:w="688" w:type="dxa"/>
          </w:tcPr>
          <w:p w14:paraId="396839BD">
            <w:pPr>
              <w:spacing w:line="440" w:lineRule="exact"/>
              <w:jc w:val="center"/>
              <w:rPr>
                <w:color w:val="auto"/>
                <w:szCs w:val="21"/>
                <w:highlight w:val="none"/>
              </w:rPr>
            </w:pPr>
          </w:p>
        </w:tc>
      </w:tr>
      <w:tr w14:paraId="463D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230ABA64">
            <w:pPr>
              <w:spacing w:line="440" w:lineRule="exact"/>
              <w:jc w:val="center"/>
              <w:rPr>
                <w:color w:val="auto"/>
                <w:szCs w:val="21"/>
                <w:highlight w:val="none"/>
              </w:rPr>
            </w:pPr>
          </w:p>
        </w:tc>
        <w:tc>
          <w:tcPr>
            <w:tcW w:w="1087" w:type="dxa"/>
          </w:tcPr>
          <w:p w14:paraId="7DC2DEB3">
            <w:pPr>
              <w:spacing w:line="440" w:lineRule="exact"/>
              <w:jc w:val="center"/>
              <w:rPr>
                <w:color w:val="auto"/>
                <w:szCs w:val="21"/>
                <w:highlight w:val="none"/>
              </w:rPr>
            </w:pPr>
          </w:p>
        </w:tc>
        <w:tc>
          <w:tcPr>
            <w:tcW w:w="760" w:type="dxa"/>
          </w:tcPr>
          <w:p w14:paraId="40F8018E">
            <w:pPr>
              <w:spacing w:line="440" w:lineRule="exact"/>
              <w:jc w:val="center"/>
              <w:rPr>
                <w:color w:val="auto"/>
                <w:szCs w:val="21"/>
                <w:highlight w:val="none"/>
              </w:rPr>
            </w:pPr>
          </w:p>
        </w:tc>
        <w:tc>
          <w:tcPr>
            <w:tcW w:w="991" w:type="dxa"/>
          </w:tcPr>
          <w:p w14:paraId="613FF6B8">
            <w:pPr>
              <w:spacing w:line="440" w:lineRule="exact"/>
              <w:jc w:val="center"/>
              <w:rPr>
                <w:color w:val="auto"/>
                <w:szCs w:val="21"/>
                <w:highlight w:val="none"/>
              </w:rPr>
            </w:pPr>
          </w:p>
        </w:tc>
        <w:tc>
          <w:tcPr>
            <w:tcW w:w="672" w:type="dxa"/>
          </w:tcPr>
          <w:p w14:paraId="075D872F">
            <w:pPr>
              <w:spacing w:line="440" w:lineRule="exact"/>
              <w:jc w:val="center"/>
              <w:rPr>
                <w:color w:val="auto"/>
                <w:szCs w:val="21"/>
                <w:highlight w:val="none"/>
              </w:rPr>
            </w:pPr>
          </w:p>
        </w:tc>
        <w:tc>
          <w:tcPr>
            <w:tcW w:w="738" w:type="dxa"/>
          </w:tcPr>
          <w:p w14:paraId="2D9305B3">
            <w:pPr>
              <w:spacing w:line="440" w:lineRule="exact"/>
              <w:jc w:val="center"/>
              <w:rPr>
                <w:color w:val="auto"/>
                <w:szCs w:val="21"/>
                <w:highlight w:val="none"/>
              </w:rPr>
            </w:pPr>
          </w:p>
        </w:tc>
        <w:tc>
          <w:tcPr>
            <w:tcW w:w="1212" w:type="dxa"/>
          </w:tcPr>
          <w:p w14:paraId="238DFB9A">
            <w:pPr>
              <w:spacing w:line="440" w:lineRule="exact"/>
              <w:jc w:val="center"/>
              <w:rPr>
                <w:color w:val="auto"/>
                <w:szCs w:val="21"/>
                <w:highlight w:val="none"/>
              </w:rPr>
            </w:pPr>
          </w:p>
        </w:tc>
        <w:tc>
          <w:tcPr>
            <w:tcW w:w="1653" w:type="dxa"/>
          </w:tcPr>
          <w:p w14:paraId="79AD63F9">
            <w:pPr>
              <w:spacing w:line="440" w:lineRule="exact"/>
              <w:jc w:val="center"/>
              <w:rPr>
                <w:color w:val="auto"/>
                <w:szCs w:val="21"/>
                <w:highlight w:val="none"/>
              </w:rPr>
            </w:pPr>
          </w:p>
        </w:tc>
        <w:tc>
          <w:tcPr>
            <w:tcW w:w="688" w:type="dxa"/>
          </w:tcPr>
          <w:p w14:paraId="5FCB7ADB">
            <w:pPr>
              <w:spacing w:line="440" w:lineRule="exact"/>
              <w:jc w:val="center"/>
              <w:rPr>
                <w:color w:val="auto"/>
                <w:szCs w:val="21"/>
                <w:highlight w:val="none"/>
              </w:rPr>
            </w:pPr>
          </w:p>
        </w:tc>
      </w:tr>
      <w:tr w14:paraId="0A72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63330785">
            <w:pPr>
              <w:spacing w:line="440" w:lineRule="exact"/>
              <w:jc w:val="center"/>
              <w:rPr>
                <w:color w:val="auto"/>
                <w:szCs w:val="21"/>
                <w:highlight w:val="none"/>
              </w:rPr>
            </w:pPr>
          </w:p>
        </w:tc>
        <w:tc>
          <w:tcPr>
            <w:tcW w:w="1087" w:type="dxa"/>
          </w:tcPr>
          <w:p w14:paraId="7001C459">
            <w:pPr>
              <w:spacing w:line="440" w:lineRule="exact"/>
              <w:jc w:val="center"/>
              <w:rPr>
                <w:color w:val="auto"/>
                <w:szCs w:val="21"/>
                <w:highlight w:val="none"/>
              </w:rPr>
            </w:pPr>
          </w:p>
        </w:tc>
        <w:tc>
          <w:tcPr>
            <w:tcW w:w="760" w:type="dxa"/>
          </w:tcPr>
          <w:p w14:paraId="6595211C">
            <w:pPr>
              <w:spacing w:line="440" w:lineRule="exact"/>
              <w:jc w:val="center"/>
              <w:rPr>
                <w:color w:val="auto"/>
                <w:szCs w:val="21"/>
                <w:highlight w:val="none"/>
              </w:rPr>
            </w:pPr>
          </w:p>
        </w:tc>
        <w:tc>
          <w:tcPr>
            <w:tcW w:w="991" w:type="dxa"/>
          </w:tcPr>
          <w:p w14:paraId="71307801">
            <w:pPr>
              <w:spacing w:line="440" w:lineRule="exact"/>
              <w:jc w:val="center"/>
              <w:rPr>
                <w:color w:val="auto"/>
                <w:szCs w:val="21"/>
                <w:highlight w:val="none"/>
              </w:rPr>
            </w:pPr>
          </w:p>
        </w:tc>
        <w:tc>
          <w:tcPr>
            <w:tcW w:w="672" w:type="dxa"/>
          </w:tcPr>
          <w:p w14:paraId="2D9655C6">
            <w:pPr>
              <w:spacing w:line="440" w:lineRule="exact"/>
              <w:jc w:val="center"/>
              <w:rPr>
                <w:color w:val="auto"/>
                <w:szCs w:val="21"/>
                <w:highlight w:val="none"/>
              </w:rPr>
            </w:pPr>
          </w:p>
        </w:tc>
        <w:tc>
          <w:tcPr>
            <w:tcW w:w="738" w:type="dxa"/>
          </w:tcPr>
          <w:p w14:paraId="34F78309">
            <w:pPr>
              <w:spacing w:line="440" w:lineRule="exact"/>
              <w:jc w:val="center"/>
              <w:rPr>
                <w:color w:val="auto"/>
                <w:szCs w:val="21"/>
                <w:highlight w:val="none"/>
              </w:rPr>
            </w:pPr>
          </w:p>
        </w:tc>
        <w:tc>
          <w:tcPr>
            <w:tcW w:w="1212" w:type="dxa"/>
          </w:tcPr>
          <w:p w14:paraId="2772CACB">
            <w:pPr>
              <w:spacing w:line="440" w:lineRule="exact"/>
              <w:jc w:val="center"/>
              <w:rPr>
                <w:color w:val="auto"/>
                <w:szCs w:val="21"/>
                <w:highlight w:val="none"/>
              </w:rPr>
            </w:pPr>
          </w:p>
        </w:tc>
        <w:tc>
          <w:tcPr>
            <w:tcW w:w="1653" w:type="dxa"/>
          </w:tcPr>
          <w:p w14:paraId="279290C2">
            <w:pPr>
              <w:spacing w:line="440" w:lineRule="exact"/>
              <w:jc w:val="center"/>
              <w:rPr>
                <w:color w:val="auto"/>
                <w:szCs w:val="21"/>
                <w:highlight w:val="none"/>
              </w:rPr>
            </w:pPr>
          </w:p>
        </w:tc>
        <w:tc>
          <w:tcPr>
            <w:tcW w:w="688" w:type="dxa"/>
          </w:tcPr>
          <w:p w14:paraId="6D33F58A">
            <w:pPr>
              <w:spacing w:line="440" w:lineRule="exact"/>
              <w:jc w:val="center"/>
              <w:rPr>
                <w:color w:val="auto"/>
                <w:szCs w:val="21"/>
                <w:highlight w:val="none"/>
              </w:rPr>
            </w:pPr>
          </w:p>
        </w:tc>
      </w:tr>
      <w:tr w14:paraId="403A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6CAB8C18">
            <w:pPr>
              <w:spacing w:line="440" w:lineRule="exact"/>
              <w:jc w:val="center"/>
              <w:rPr>
                <w:color w:val="auto"/>
                <w:szCs w:val="21"/>
                <w:highlight w:val="none"/>
              </w:rPr>
            </w:pPr>
          </w:p>
        </w:tc>
        <w:tc>
          <w:tcPr>
            <w:tcW w:w="1087" w:type="dxa"/>
          </w:tcPr>
          <w:p w14:paraId="7F34377B">
            <w:pPr>
              <w:spacing w:line="440" w:lineRule="exact"/>
              <w:jc w:val="center"/>
              <w:rPr>
                <w:color w:val="auto"/>
                <w:szCs w:val="21"/>
                <w:highlight w:val="none"/>
              </w:rPr>
            </w:pPr>
          </w:p>
        </w:tc>
        <w:tc>
          <w:tcPr>
            <w:tcW w:w="760" w:type="dxa"/>
          </w:tcPr>
          <w:p w14:paraId="01CF578E">
            <w:pPr>
              <w:spacing w:line="440" w:lineRule="exact"/>
              <w:jc w:val="center"/>
              <w:rPr>
                <w:color w:val="auto"/>
                <w:szCs w:val="21"/>
                <w:highlight w:val="none"/>
              </w:rPr>
            </w:pPr>
          </w:p>
        </w:tc>
        <w:tc>
          <w:tcPr>
            <w:tcW w:w="991" w:type="dxa"/>
          </w:tcPr>
          <w:p w14:paraId="50CD296F">
            <w:pPr>
              <w:spacing w:line="440" w:lineRule="exact"/>
              <w:jc w:val="center"/>
              <w:rPr>
                <w:color w:val="auto"/>
                <w:szCs w:val="21"/>
                <w:highlight w:val="none"/>
              </w:rPr>
            </w:pPr>
          </w:p>
        </w:tc>
        <w:tc>
          <w:tcPr>
            <w:tcW w:w="672" w:type="dxa"/>
          </w:tcPr>
          <w:p w14:paraId="3877400A">
            <w:pPr>
              <w:spacing w:line="440" w:lineRule="exact"/>
              <w:jc w:val="center"/>
              <w:rPr>
                <w:color w:val="auto"/>
                <w:szCs w:val="21"/>
                <w:highlight w:val="none"/>
              </w:rPr>
            </w:pPr>
          </w:p>
        </w:tc>
        <w:tc>
          <w:tcPr>
            <w:tcW w:w="738" w:type="dxa"/>
          </w:tcPr>
          <w:p w14:paraId="4E3B32D6">
            <w:pPr>
              <w:spacing w:line="440" w:lineRule="exact"/>
              <w:jc w:val="center"/>
              <w:rPr>
                <w:color w:val="auto"/>
                <w:szCs w:val="21"/>
                <w:highlight w:val="none"/>
              </w:rPr>
            </w:pPr>
          </w:p>
        </w:tc>
        <w:tc>
          <w:tcPr>
            <w:tcW w:w="1212" w:type="dxa"/>
          </w:tcPr>
          <w:p w14:paraId="31C62D1F">
            <w:pPr>
              <w:spacing w:line="440" w:lineRule="exact"/>
              <w:jc w:val="center"/>
              <w:rPr>
                <w:color w:val="auto"/>
                <w:szCs w:val="21"/>
                <w:highlight w:val="none"/>
              </w:rPr>
            </w:pPr>
          </w:p>
        </w:tc>
        <w:tc>
          <w:tcPr>
            <w:tcW w:w="1653" w:type="dxa"/>
          </w:tcPr>
          <w:p w14:paraId="4F6986CE">
            <w:pPr>
              <w:spacing w:line="440" w:lineRule="exact"/>
              <w:jc w:val="center"/>
              <w:rPr>
                <w:color w:val="auto"/>
                <w:szCs w:val="21"/>
                <w:highlight w:val="none"/>
              </w:rPr>
            </w:pPr>
          </w:p>
        </w:tc>
        <w:tc>
          <w:tcPr>
            <w:tcW w:w="688" w:type="dxa"/>
          </w:tcPr>
          <w:p w14:paraId="1A912CFD">
            <w:pPr>
              <w:spacing w:line="440" w:lineRule="exact"/>
              <w:jc w:val="center"/>
              <w:rPr>
                <w:color w:val="auto"/>
                <w:szCs w:val="21"/>
                <w:highlight w:val="none"/>
              </w:rPr>
            </w:pPr>
          </w:p>
        </w:tc>
      </w:tr>
      <w:tr w14:paraId="06FF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266EE241">
            <w:pPr>
              <w:spacing w:line="440" w:lineRule="exact"/>
              <w:jc w:val="center"/>
              <w:rPr>
                <w:color w:val="auto"/>
                <w:szCs w:val="21"/>
                <w:highlight w:val="none"/>
              </w:rPr>
            </w:pPr>
          </w:p>
        </w:tc>
        <w:tc>
          <w:tcPr>
            <w:tcW w:w="1087" w:type="dxa"/>
          </w:tcPr>
          <w:p w14:paraId="3DAA7644">
            <w:pPr>
              <w:spacing w:line="440" w:lineRule="exact"/>
              <w:jc w:val="center"/>
              <w:rPr>
                <w:color w:val="auto"/>
                <w:szCs w:val="21"/>
                <w:highlight w:val="none"/>
              </w:rPr>
            </w:pPr>
          </w:p>
        </w:tc>
        <w:tc>
          <w:tcPr>
            <w:tcW w:w="760" w:type="dxa"/>
          </w:tcPr>
          <w:p w14:paraId="18DBBEA5">
            <w:pPr>
              <w:spacing w:line="440" w:lineRule="exact"/>
              <w:jc w:val="center"/>
              <w:rPr>
                <w:color w:val="auto"/>
                <w:szCs w:val="21"/>
                <w:highlight w:val="none"/>
              </w:rPr>
            </w:pPr>
          </w:p>
        </w:tc>
        <w:tc>
          <w:tcPr>
            <w:tcW w:w="991" w:type="dxa"/>
          </w:tcPr>
          <w:p w14:paraId="3167D9E6">
            <w:pPr>
              <w:spacing w:line="440" w:lineRule="exact"/>
              <w:jc w:val="center"/>
              <w:rPr>
                <w:color w:val="auto"/>
                <w:szCs w:val="21"/>
                <w:highlight w:val="none"/>
              </w:rPr>
            </w:pPr>
          </w:p>
        </w:tc>
        <w:tc>
          <w:tcPr>
            <w:tcW w:w="672" w:type="dxa"/>
          </w:tcPr>
          <w:p w14:paraId="3DB49CE5">
            <w:pPr>
              <w:spacing w:line="440" w:lineRule="exact"/>
              <w:jc w:val="center"/>
              <w:rPr>
                <w:color w:val="auto"/>
                <w:szCs w:val="21"/>
                <w:highlight w:val="none"/>
              </w:rPr>
            </w:pPr>
          </w:p>
        </w:tc>
        <w:tc>
          <w:tcPr>
            <w:tcW w:w="738" w:type="dxa"/>
          </w:tcPr>
          <w:p w14:paraId="61318D05">
            <w:pPr>
              <w:spacing w:line="440" w:lineRule="exact"/>
              <w:jc w:val="center"/>
              <w:rPr>
                <w:color w:val="auto"/>
                <w:szCs w:val="21"/>
                <w:highlight w:val="none"/>
              </w:rPr>
            </w:pPr>
          </w:p>
        </w:tc>
        <w:tc>
          <w:tcPr>
            <w:tcW w:w="1212" w:type="dxa"/>
          </w:tcPr>
          <w:p w14:paraId="60016B59">
            <w:pPr>
              <w:spacing w:line="440" w:lineRule="exact"/>
              <w:jc w:val="center"/>
              <w:rPr>
                <w:color w:val="auto"/>
                <w:szCs w:val="21"/>
                <w:highlight w:val="none"/>
              </w:rPr>
            </w:pPr>
          </w:p>
        </w:tc>
        <w:tc>
          <w:tcPr>
            <w:tcW w:w="1653" w:type="dxa"/>
          </w:tcPr>
          <w:p w14:paraId="5E5F25FD">
            <w:pPr>
              <w:spacing w:line="440" w:lineRule="exact"/>
              <w:jc w:val="center"/>
              <w:rPr>
                <w:color w:val="auto"/>
                <w:szCs w:val="21"/>
                <w:highlight w:val="none"/>
              </w:rPr>
            </w:pPr>
          </w:p>
        </w:tc>
        <w:tc>
          <w:tcPr>
            <w:tcW w:w="688" w:type="dxa"/>
          </w:tcPr>
          <w:p w14:paraId="69C589DF">
            <w:pPr>
              <w:spacing w:line="440" w:lineRule="exact"/>
              <w:jc w:val="center"/>
              <w:rPr>
                <w:color w:val="auto"/>
                <w:szCs w:val="21"/>
                <w:highlight w:val="none"/>
              </w:rPr>
            </w:pPr>
          </w:p>
        </w:tc>
      </w:tr>
      <w:tr w14:paraId="4F97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44C9FB0C">
            <w:pPr>
              <w:spacing w:line="440" w:lineRule="exact"/>
              <w:jc w:val="center"/>
              <w:rPr>
                <w:color w:val="auto"/>
                <w:szCs w:val="21"/>
                <w:highlight w:val="none"/>
              </w:rPr>
            </w:pPr>
          </w:p>
        </w:tc>
        <w:tc>
          <w:tcPr>
            <w:tcW w:w="1087" w:type="dxa"/>
          </w:tcPr>
          <w:p w14:paraId="4BD1AF44">
            <w:pPr>
              <w:spacing w:line="440" w:lineRule="exact"/>
              <w:jc w:val="center"/>
              <w:rPr>
                <w:color w:val="auto"/>
                <w:szCs w:val="21"/>
                <w:highlight w:val="none"/>
              </w:rPr>
            </w:pPr>
          </w:p>
        </w:tc>
        <w:tc>
          <w:tcPr>
            <w:tcW w:w="760" w:type="dxa"/>
          </w:tcPr>
          <w:p w14:paraId="589F6A2B">
            <w:pPr>
              <w:spacing w:line="440" w:lineRule="exact"/>
              <w:jc w:val="center"/>
              <w:rPr>
                <w:color w:val="auto"/>
                <w:szCs w:val="21"/>
                <w:highlight w:val="none"/>
              </w:rPr>
            </w:pPr>
          </w:p>
        </w:tc>
        <w:tc>
          <w:tcPr>
            <w:tcW w:w="991" w:type="dxa"/>
          </w:tcPr>
          <w:p w14:paraId="3667B9AB">
            <w:pPr>
              <w:spacing w:line="440" w:lineRule="exact"/>
              <w:jc w:val="center"/>
              <w:rPr>
                <w:color w:val="auto"/>
                <w:szCs w:val="21"/>
                <w:highlight w:val="none"/>
              </w:rPr>
            </w:pPr>
          </w:p>
        </w:tc>
        <w:tc>
          <w:tcPr>
            <w:tcW w:w="672" w:type="dxa"/>
          </w:tcPr>
          <w:p w14:paraId="3D8259BE">
            <w:pPr>
              <w:spacing w:line="440" w:lineRule="exact"/>
              <w:jc w:val="center"/>
              <w:rPr>
                <w:color w:val="auto"/>
                <w:szCs w:val="21"/>
                <w:highlight w:val="none"/>
              </w:rPr>
            </w:pPr>
          </w:p>
        </w:tc>
        <w:tc>
          <w:tcPr>
            <w:tcW w:w="738" w:type="dxa"/>
          </w:tcPr>
          <w:p w14:paraId="3F78CCD5">
            <w:pPr>
              <w:spacing w:line="440" w:lineRule="exact"/>
              <w:jc w:val="center"/>
              <w:rPr>
                <w:color w:val="auto"/>
                <w:szCs w:val="21"/>
                <w:highlight w:val="none"/>
              </w:rPr>
            </w:pPr>
          </w:p>
        </w:tc>
        <w:tc>
          <w:tcPr>
            <w:tcW w:w="1212" w:type="dxa"/>
          </w:tcPr>
          <w:p w14:paraId="48829453">
            <w:pPr>
              <w:spacing w:line="440" w:lineRule="exact"/>
              <w:jc w:val="center"/>
              <w:rPr>
                <w:color w:val="auto"/>
                <w:szCs w:val="21"/>
                <w:highlight w:val="none"/>
              </w:rPr>
            </w:pPr>
          </w:p>
        </w:tc>
        <w:tc>
          <w:tcPr>
            <w:tcW w:w="1653" w:type="dxa"/>
          </w:tcPr>
          <w:p w14:paraId="1E33D5E4">
            <w:pPr>
              <w:spacing w:line="440" w:lineRule="exact"/>
              <w:jc w:val="center"/>
              <w:rPr>
                <w:color w:val="auto"/>
                <w:szCs w:val="21"/>
                <w:highlight w:val="none"/>
              </w:rPr>
            </w:pPr>
          </w:p>
        </w:tc>
        <w:tc>
          <w:tcPr>
            <w:tcW w:w="688" w:type="dxa"/>
          </w:tcPr>
          <w:p w14:paraId="32DCD0E6">
            <w:pPr>
              <w:spacing w:line="440" w:lineRule="exact"/>
              <w:jc w:val="center"/>
              <w:rPr>
                <w:color w:val="auto"/>
                <w:szCs w:val="21"/>
                <w:highlight w:val="none"/>
              </w:rPr>
            </w:pPr>
          </w:p>
        </w:tc>
      </w:tr>
      <w:tr w14:paraId="0A1D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7A677101">
            <w:pPr>
              <w:spacing w:line="440" w:lineRule="exact"/>
              <w:jc w:val="center"/>
              <w:rPr>
                <w:color w:val="auto"/>
                <w:szCs w:val="21"/>
                <w:highlight w:val="none"/>
              </w:rPr>
            </w:pPr>
          </w:p>
        </w:tc>
        <w:tc>
          <w:tcPr>
            <w:tcW w:w="1087" w:type="dxa"/>
          </w:tcPr>
          <w:p w14:paraId="0AE86281">
            <w:pPr>
              <w:spacing w:line="440" w:lineRule="exact"/>
              <w:jc w:val="center"/>
              <w:rPr>
                <w:color w:val="auto"/>
                <w:szCs w:val="21"/>
                <w:highlight w:val="none"/>
              </w:rPr>
            </w:pPr>
          </w:p>
        </w:tc>
        <w:tc>
          <w:tcPr>
            <w:tcW w:w="760" w:type="dxa"/>
          </w:tcPr>
          <w:p w14:paraId="4399A754">
            <w:pPr>
              <w:spacing w:line="440" w:lineRule="exact"/>
              <w:jc w:val="center"/>
              <w:rPr>
                <w:color w:val="auto"/>
                <w:szCs w:val="21"/>
                <w:highlight w:val="none"/>
              </w:rPr>
            </w:pPr>
          </w:p>
        </w:tc>
        <w:tc>
          <w:tcPr>
            <w:tcW w:w="991" w:type="dxa"/>
          </w:tcPr>
          <w:p w14:paraId="7CCCBFA1">
            <w:pPr>
              <w:spacing w:line="440" w:lineRule="exact"/>
              <w:jc w:val="center"/>
              <w:rPr>
                <w:color w:val="auto"/>
                <w:szCs w:val="21"/>
                <w:highlight w:val="none"/>
              </w:rPr>
            </w:pPr>
          </w:p>
        </w:tc>
        <w:tc>
          <w:tcPr>
            <w:tcW w:w="672" w:type="dxa"/>
          </w:tcPr>
          <w:p w14:paraId="1ED31CBD">
            <w:pPr>
              <w:spacing w:line="440" w:lineRule="exact"/>
              <w:jc w:val="center"/>
              <w:rPr>
                <w:color w:val="auto"/>
                <w:szCs w:val="21"/>
                <w:highlight w:val="none"/>
              </w:rPr>
            </w:pPr>
          </w:p>
        </w:tc>
        <w:tc>
          <w:tcPr>
            <w:tcW w:w="738" w:type="dxa"/>
          </w:tcPr>
          <w:p w14:paraId="72DBE273">
            <w:pPr>
              <w:spacing w:line="440" w:lineRule="exact"/>
              <w:jc w:val="center"/>
              <w:rPr>
                <w:color w:val="auto"/>
                <w:szCs w:val="21"/>
                <w:highlight w:val="none"/>
              </w:rPr>
            </w:pPr>
          </w:p>
        </w:tc>
        <w:tc>
          <w:tcPr>
            <w:tcW w:w="1212" w:type="dxa"/>
          </w:tcPr>
          <w:p w14:paraId="24692164">
            <w:pPr>
              <w:spacing w:line="440" w:lineRule="exact"/>
              <w:jc w:val="center"/>
              <w:rPr>
                <w:color w:val="auto"/>
                <w:szCs w:val="21"/>
                <w:highlight w:val="none"/>
              </w:rPr>
            </w:pPr>
          </w:p>
        </w:tc>
        <w:tc>
          <w:tcPr>
            <w:tcW w:w="1653" w:type="dxa"/>
          </w:tcPr>
          <w:p w14:paraId="311DC72E">
            <w:pPr>
              <w:spacing w:line="440" w:lineRule="exact"/>
              <w:jc w:val="center"/>
              <w:rPr>
                <w:color w:val="auto"/>
                <w:szCs w:val="21"/>
                <w:highlight w:val="none"/>
              </w:rPr>
            </w:pPr>
          </w:p>
        </w:tc>
        <w:tc>
          <w:tcPr>
            <w:tcW w:w="688" w:type="dxa"/>
          </w:tcPr>
          <w:p w14:paraId="047AA2A2">
            <w:pPr>
              <w:spacing w:line="440" w:lineRule="exact"/>
              <w:jc w:val="center"/>
              <w:rPr>
                <w:color w:val="auto"/>
                <w:szCs w:val="21"/>
                <w:highlight w:val="none"/>
              </w:rPr>
            </w:pPr>
          </w:p>
        </w:tc>
      </w:tr>
      <w:tr w14:paraId="6B57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7DDAB168">
            <w:pPr>
              <w:spacing w:line="440" w:lineRule="exact"/>
              <w:jc w:val="center"/>
              <w:rPr>
                <w:color w:val="auto"/>
                <w:szCs w:val="21"/>
                <w:highlight w:val="none"/>
              </w:rPr>
            </w:pPr>
          </w:p>
        </w:tc>
        <w:tc>
          <w:tcPr>
            <w:tcW w:w="1087" w:type="dxa"/>
          </w:tcPr>
          <w:p w14:paraId="68022DD4">
            <w:pPr>
              <w:spacing w:line="440" w:lineRule="exact"/>
              <w:jc w:val="center"/>
              <w:rPr>
                <w:color w:val="auto"/>
                <w:szCs w:val="21"/>
                <w:highlight w:val="none"/>
              </w:rPr>
            </w:pPr>
          </w:p>
        </w:tc>
        <w:tc>
          <w:tcPr>
            <w:tcW w:w="760" w:type="dxa"/>
          </w:tcPr>
          <w:p w14:paraId="092DC3E1">
            <w:pPr>
              <w:spacing w:line="440" w:lineRule="exact"/>
              <w:jc w:val="center"/>
              <w:rPr>
                <w:color w:val="auto"/>
                <w:szCs w:val="21"/>
                <w:highlight w:val="none"/>
              </w:rPr>
            </w:pPr>
          </w:p>
        </w:tc>
        <w:tc>
          <w:tcPr>
            <w:tcW w:w="991" w:type="dxa"/>
          </w:tcPr>
          <w:p w14:paraId="1AA071AC">
            <w:pPr>
              <w:spacing w:line="440" w:lineRule="exact"/>
              <w:jc w:val="center"/>
              <w:rPr>
                <w:color w:val="auto"/>
                <w:szCs w:val="21"/>
                <w:highlight w:val="none"/>
              </w:rPr>
            </w:pPr>
          </w:p>
        </w:tc>
        <w:tc>
          <w:tcPr>
            <w:tcW w:w="672" w:type="dxa"/>
          </w:tcPr>
          <w:p w14:paraId="20493D37">
            <w:pPr>
              <w:spacing w:line="440" w:lineRule="exact"/>
              <w:jc w:val="center"/>
              <w:rPr>
                <w:color w:val="auto"/>
                <w:szCs w:val="21"/>
                <w:highlight w:val="none"/>
              </w:rPr>
            </w:pPr>
          </w:p>
        </w:tc>
        <w:tc>
          <w:tcPr>
            <w:tcW w:w="738" w:type="dxa"/>
          </w:tcPr>
          <w:p w14:paraId="26B34B6C">
            <w:pPr>
              <w:spacing w:line="440" w:lineRule="exact"/>
              <w:jc w:val="center"/>
              <w:rPr>
                <w:color w:val="auto"/>
                <w:szCs w:val="21"/>
                <w:highlight w:val="none"/>
              </w:rPr>
            </w:pPr>
          </w:p>
        </w:tc>
        <w:tc>
          <w:tcPr>
            <w:tcW w:w="1212" w:type="dxa"/>
          </w:tcPr>
          <w:p w14:paraId="2371F8DB">
            <w:pPr>
              <w:spacing w:line="440" w:lineRule="exact"/>
              <w:jc w:val="center"/>
              <w:rPr>
                <w:color w:val="auto"/>
                <w:szCs w:val="21"/>
                <w:highlight w:val="none"/>
              </w:rPr>
            </w:pPr>
          </w:p>
        </w:tc>
        <w:tc>
          <w:tcPr>
            <w:tcW w:w="1653" w:type="dxa"/>
          </w:tcPr>
          <w:p w14:paraId="6B4DBB9E">
            <w:pPr>
              <w:spacing w:line="440" w:lineRule="exact"/>
              <w:jc w:val="center"/>
              <w:rPr>
                <w:color w:val="auto"/>
                <w:szCs w:val="21"/>
                <w:highlight w:val="none"/>
              </w:rPr>
            </w:pPr>
          </w:p>
        </w:tc>
        <w:tc>
          <w:tcPr>
            <w:tcW w:w="688" w:type="dxa"/>
          </w:tcPr>
          <w:p w14:paraId="7989FD56">
            <w:pPr>
              <w:spacing w:line="440" w:lineRule="exact"/>
              <w:jc w:val="center"/>
              <w:rPr>
                <w:color w:val="auto"/>
                <w:szCs w:val="21"/>
                <w:highlight w:val="none"/>
              </w:rPr>
            </w:pPr>
          </w:p>
        </w:tc>
      </w:tr>
      <w:tr w14:paraId="1B6A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3BD4F488">
            <w:pPr>
              <w:spacing w:line="440" w:lineRule="exact"/>
              <w:jc w:val="center"/>
              <w:rPr>
                <w:color w:val="auto"/>
                <w:szCs w:val="21"/>
                <w:highlight w:val="none"/>
              </w:rPr>
            </w:pPr>
          </w:p>
        </w:tc>
        <w:tc>
          <w:tcPr>
            <w:tcW w:w="1087" w:type="dxa"/>
          </w:tcPr>
          <w:p w14:paraId="22DDD6A2">
            <w:pPr>
              <w:spacing w:line="440" w:lineRule="exact"/>
              <w:jc w:val="center"/>
              <w:rPr>
                <w:color w:val="auto"/>
                <w:szCs w:val="21"/>
                <w:highlight w:val="none"/>
              </w:rPr>
            </w:pPr>
          </w:p>
        </w:tc>
        <w:tc>
          <w:tcPr>
            <w:tcW w:w="760" w:type="dxa"/>
          </w:tcPr>
          <w:p w14:paraId="65C81CF6">
            <w:pPr>
              <w:spacing w:line="440" w:lineRule="exact"/>
              <w:jc w:val="center"/>
              <w:rPr>
                <w:color w:val="auto"/>
                <w:szCs w:val="21"/>
                <w:highlight w:val="none"/>
              </w:rPr>
            </w:pPr>
          </w:p>
        </w:tc>
        <w:tc>
          <w:tcPr>
            <w:tcW w:w="991" w:type="dxa"/>
          </w:tcPr>
          <w:p w14:paraId="6C11C0E9">
            <w:pPr>
              <w:spacing w:line="440" w:lineRule="exact"/>
              <w:jc w:val="center"/>
              <w:rPr>
                <w:color w:val="auto"/>
                <w:szCs w:val="21"/>
                <w:highlight w:val="none"/>
              </w:rPr>
            </w:pPr>
          </w:p>
        </w:tc>
        <w:tc>
          <w:tcPr>
            <w:tcW w:w="672" w:type="dxa"/>
          </w:tcPr>
          <w:p w14:paraId="25E9BC8A">
            <w:pPr>
              <w:spacing w:line="440" w:lineRule="exact"/>
              <w:jc w:val="center"/>
              <w:rPr>
                <w:color w:val="auto"/>
                <w:szCs w:val="21"/>
                <w:highlight w:val="none"/>
              </w:rPr>
            </w:pPr>
          </w:p>
        </w:tc>
        <w:tc>
          <w:tcPr>
            <w:tcW w:w="738" w:type="dxa"/>
          </w:tcPr>
          <w:p w14:paraId="4F4823F1">
            <w:pPr>
              <w:spacing w:line="440" w:lineRule="exact"/>
              <w:jc w:val="center"/>
              <w:rPr>
                <w:color w:val="auto"/>
                <w:szCs w:val="21"/>
                <w:highlight w:val="none"/>
              </w:rPr>
            </w:pPr>
          </w:p>
        </w:tc>
        <w:tc>
          <w:tcPr>
            <w:tcW w:w="1212" w:type="dxa"/>
          </w:tcPr>
          <w:p w14:paraId="753897F6">
            <w:pPr>
              <w:spacing w:line="440" w:lineRule="exact"/>
              <w:jc w:val="center"/>
              <w:rPr>
                <w:color w:val="auto"/>
                <w:szCs w:val="21"/>
                <w:highlight w:val="none"/>
              </w:rPr>
            </w:pPr>
          </w:p>
        </w:tc>
        <w:tc>
          <w:tcPr>
            <w:tcW w:w="1653" w:type="dxa"/>
          </w:tcPr>
          <w:p w14:paraId="2BAA6C9E">
            <w:pPr>
              <w:spacing w:line="440" w:lineRule="exact"/>
              <w:jc w:val="center"/>
              <w:rPr>
                <w:color w:val="auto"/>
                <w:szCs w:val="21"/>
                <w:highlight w:val="none"/>
              </w:rPr>
            </w:pPr>
          </w:p>
        </w:tc>
        <w:tc>
          <w:tcPr>
            <w:tcW w:w="688" w:type="dxa"/>
          </w:tcPr>
          <w:p w14:paraId="6F95562F">
            <w:pPr>
              <w:spacing w:line="440" w:lineRule="exact"/>
              <w:jc w:val="center"/>
              <w:rPr>
                <w:color w:val="auto"/>
                <w:szCs w:val="21"/>
                <w:highlight w:val="none"/>
              </w:rPr>
            </w:pPr>
          </w:p>
        </w:tc>
      </w:tr>
      <w:tr w14:paraId="381B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7FC0F471">
            <w:pPr>
              <w:spacing w:line="440" w:lineRule="exact"/>
              <w:jc w:val="center"/>
              <w:rPr>
                <w:color w:val="auto"/>
                <w:szCs w:val="21"/>
                <w:highlight w:val="none"/>
              </w:rPr>
            </w:pPr>
          </w:p>
        </w:tc>
        <w:tc>
          <w:tcPr>
            <w:tcW w:w="1087" w:type="dxa"/>
          </w:tcPr>
          <w:p w14:paraId="5EC6576E">
            <w:pPr>
              <w:spacing w:line="440" w:lineRule="exact"/>
              <w:jc w:val="center"/>
              <w:rPr>
                <w:color w:val="auto"/>
                <w:szCs w:val="21"/>
                <w:highlight w:val="none"/>
              </w:rPr>
            </w:pPr>
          </w:p>
        </w:tc>
        <w:tc>
          <w:tcPr>
            <w:tcW w:w="760" w:type="dxa"/>
          </w:tcPr>
          <w:p w14:paraId="5DF5F42B">
            <w:pPr>
              <w:spacing w:line="440" w:lineRule="exact"/>
              <w:jc w:val="center"/>
              <w:rPr>
                <w:color w:val="auto"/>
                <w:szCs w:val="21"/>
                <w:highlight w:val="none"/>
              </w:rPr>
            </w:pPr>
          </w:p>
        </w:tc>
        <w:tc>
          <w:tcPr>
            <w:tcW w:w="991" w:type="dxa"/>
          </w:tcPr>
          <w:p w14:paraId="7308F528">
            <w:pPr>
              <w:spacing w:line="440" w:lineRule="exact"/>
              <w:jc w:val="center"/>
              <w:rPr>
                <w:color w:val="auto"/>
                <w:szCs w:val="21"/>
                <w:highlight w:val="none"/>
              </w:rPr>
            </w:pPr>
          </w:p>
        </w:tc>
        <w:tc>
          <w:tcPr>
            <w:tcW w:w="672" w:type="dxa"/>
          </w:tcPr>
          <w:p w14:paraId="00CCC4D0">
            <w:pPr>
              <w:spacing w:line="440" w:lineRule="exact"/>
              <w:jc w:val="center"/>
              <w:rPr>
                <w:color w:val="auto"/>
                <w:szCs w:val="21"/>
                <w:highlight w:val="none"/>
              </w:rPr>
            </w:pPr>
          </w:p>
        </w:tc>
        <w:tc>
          <w:tcPr>
            <w:tcW w:w="738" w:type="dxa"/>
          </w:tcPr>
          <w:p w14:paraId="52369021">
            <w:pPr>
              <w:spacing w:line="440" w:lineRule="exact"/>
              <w:jc w:val="center"/>
              <w:rPr>
                <w:color w:val="auto"/>
                <w:szCs w:val="21"/>
                <w:highlight w:val="none"/>
              </w:rPr>
            </w:pPr>
          </w:p>
        </w:tc>
        <w:tc>
          <w:tcPr>
            <w:tcW w:w="1212" w:type="dxa"/>
          </w:tcPr>
          <w:p w14:paraId="34BA0648">
            <w:pPr>
              <w:spacing w:line="440" w:lineRule="exact"/>
              <w:jc w:val="center"/>
              <w:rPr>
                <w:color w:val="auto"/>
                <w:szCs w:val="21"/>
                <w:highlight w:val="none"/>
              </w:rPr>
            </w:pPr>
          </w:p>
        </w:tc>
        <w:tc>
          <w:tcPr>
            <w:tcW w:w="1653" w:type="dxa"/>
          </w:tcPr>
          <w:p w14:paraId="22D4D6D3">
            <w:pPr>
              <w:spacing w:line="440" w:lineRule="exact"/>
              <w:jc w:val="center"/>
              <w:rPr>
                <w:color w:val="auto"/>
                <w:szCs w:val="21"/>
                <w:highlight w:val="none"/>
              </w:rPr>
            </w:pPr>
          </w:p>
        </w:tc>
        <w:tc>
          <w:tcPr>
            <w:tcW w:w="688" w:type="dxa"/>
          </w:tcPr>
          <w:p w14:paraId="65E47969">
            <w:pPr>
              <w:spacing w:line="440" w:lineRule="exact"/>
              <w:jc w:val="center"/>
              <w:rPr>
                <w:color w:val="auto"/>
                <w:szCs w:val="21"/>
                <w:highlight w:val="none"/>
              </w:rPr>
            </w:pPr>
          </w:p>
        </w:tc>
      </w:tr>
      <w:tr w14:paraId="739B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33B32598">
            <w:pPr>
              <w:spacing w:line="440" w:lineRule="exact"/>
              <w:jc w:val="center"/>
              <w:rPr>
                <w:color w:val="auto"/>
                <w:szCs w:val="21"/>
                <w:highlight w:val="none"/>
              </w:rPr>
            </w:pPr>
          </w:p>
        </w:tc>
        <w:tc>
          <w:tcPr>
            <w:tcW w:w="1087" w:type="dxa"/>
          </w:tcPr>
          <w:p w14:paraId="548F1CF1">
            <w:pPr>
              <w:spacing w:line="440" w:lineRule="exact"/>
              <w:jc w:val="center"/>
              <w:rPr>
                <w:color w:val="auto"/>
                <w:szCs w:val="21"/>
                <w:highlight w:val="none"/>
              </w:rPr>
            </w:pPr>
          </w:p>
        </w:tc>
        <w:tc>
          <w:tcPr>
            <w:tcW w:w="760" w:type="dxa"/>
          </w:tcPr>
          <w:p w14:paraId="29F2C326">
            <w:pPr>
              <w:spacing w:line="440" w:lineRule="exact"/>
              <w:jc w:val="center"/>
              <w:rPr>
                <w:color w:val="auto"/>
                <w:szCs w:val="21"/>
                <w:highlight w:val="none"/>
              </w:rPr>
            </w:pPr>
          </w:p>
        </w:tc>
        <w:tc>
          <w:tcPr>
            <w:tcW w:w="991" w:type="dxa"/>
          </w:tcPr>
          <w:p w14:paraId="210BC784">
            <w:pPr>
              <w:spacing w:line="440" w:lineRule="exact"/>
              <w:jc w:val="center"/>
              <w:rPr>
                <w:color w:val="auto"/>
                <w:szCs w:val="21"/>
                <w:highlight w:val="none"/>
              </w:rPr>
            </w:pPr>
          </w:p>
        </w:tc>
        <w:tc>
          <w:tcPr>
            <w:tcW w:w="672" w:type="dxa"/>
          </w:tcPr>
          <w:p w14:paraId="3571E367">
            <w:pPr>
              <w:spacing w:line="440" w:lineRule="exact"/>
              <w:jc w:val="center"/>
              <w:rPr>
                <w:color w:val="auto"/>
                <w:szCs w:val="21"/>
                <w:highlight w:val="none"/>
              </w:rPr>
            </w:pPr>
          </w:p>
        </w:tc>
        <w:tc>
          <w:tcPr>
            <w:tcW w:w="738" w:type="dxa"/>
          </w:tcPr>
          <w:p w14:paraId="1405B436">
            <w:pPr>
              <w:spacing w:line="440" w:lineRule="exact"/>
              <w:jc w:val="center"/>
              <w:rPr>
                <w:color w:val="auto"/>
                <w:szCs w:val="21"/>
                <w:highlight w:val="none"/>
              </w:rPr>
            </w:pPr>
          </w:p>
        </w:tc>
        <w:tc>
          <w:tcPr>
            <w:tcW w:w="1212" w:type="dxa"/>
          </w:tcPr>
          <w:p w14:paraId="327E23DA">
            <w:pPr>
              <w:spacing w:line="440" w:lineRule="exact"/>
              <w:jc w:val="center"/>
              <w:rPr>
                <w:color w:val="auto"/>
                <w:szCs w:val="21"/>
                <w:highlight w:val="none"/>
              </w:rPr>
            </w:pPr>
          </w:p>
        </w:tc>
        <w:tc>
          <w:tcPr>
            <w:tcW w:w="1653" w:type="dxa"/>
          </w:tcPr>
          <w:p w14:paraId="6D353BB4">
            <w:pPr>
              <w:spacing w:line="440" w:lineRule="exact"/>
              <w:jc w:val="center"/>
              <w:rPr>
                <w:color w:val="auto"/>
                <w:szCs w:val="21"/>
                <w:highlight w:val="none"/>
              </w:rPr>
            </w:pPr>
          </w:p>
        </w:tc>
        <w:tc>
          <w:tcPr>
            <w:tcW w:w="688" w:type="dxa"/>
          </w:tcPr>
          <w:p w14:paraId="644246C0">
            <w:pPr>
              <w:spacing w:line="440" w:lineRule="exact"/>
              <w:jc w:val="center"/>
              <w:rPr>
                <w:color w:val="auto"/>
                <w:szCs w:val="21"/>
                <w:highlight w:val="none"/>
              </w:rPr>
            </w:pPr>
          </w:p>
        </w:tc>
      </w:tr>
      <w:tr w14:paraId="6160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4F18C588">
            <w:pPr>
              <w:spacing w:line="440" w:lineRule="exact"/>
              <w:jc w:val="center"/>
              <w:rPr>
                <w:color w:val="auto"/>
                <w:szCs w:val="21"/>
                <w:highlight w:val="none"/>
              </w:rPr>
            </w:pPr>
          </w:p>
        </w:tc>
        <w:tc>
          <w:tcPr>
            <w:tcW w:w="1087" w:type="dxa"/>
          </w:tcPr>
          <w:p w14:paraId="2286D949">
            <w:pPr>
              <w:spacing w:line="440" w:lineRule="exact"/>
              <w:jc w:val="center"/>
              <w:rPr>
                <w:color w:val="auto"/>
                <w:szCs w:val="21"/>
                <w:highlight w:val="none"/>
              </w:rPr>
            </w:pPr>
          </w:p>
        </w:tc>
        <w:tc>
          <w:tcPr>
            <w:tcW w:w="760" w:type="dxa"/>
          </w:tcPr>
          <w:p w14:paraId="77648B87">
            <w:pPr>
              <w:spacing w:line="440" w:lineRule="exact"/>
              <w:jc w:val="center"/>
              <w:rPr>
                <w:color w:val="auto"/>
                <w:szCs w:val="21"/>
                <w:highlight w:val="none"/>
              </w:rPr>
            </w:pPr>
          </w:p>
        </w:tc>
        <w:tc>
          <w:tcPr>
            <w:tcW w:w="991" w:type="dxa"/>
          </w:tcPr>
          <w:p w14:paraId="411CDF02">
            <w:pPr>
              <w:spacing w:line="440" w:lineRule="exact"/>
              <w:jc w:val="center"/>
              <w:rPr>
                <w:color w:val="auto"/>
                <w:szCs w:val="21"/>
                <w:highlight w:val="none"/>
              </w:rPr>
            </w:pPr>
          </w:p>
        </w:tc>
        <w:tc>
          <w:tcPr>
            <w:tcW w:w="672" w:type="dxa"/>
          </w:tcPr>
          <w:p w14:paraId="370B99B9">
            <w:pPr>
              <w:spacing w:line="440" w:lineRule="exact"/>
              <w:jc w:val="center"/>
              <w:rPr>
                <w:color w:val="auto"/>
                <w:szCs w:val="21"/>
                <w:highlight w:val="none"/>
              </w:rPr>
            </w:pPr>
          </w:p>
        </w:tc>
        <w:tc>
          <w:tcPr>
            <w:tcW w:w="738" w:type="dxa"/>
          </w:tcPr>
          <w:p w14:paraId="3E682490">
            <w:pPr>
              <w:spacing w:line="440" w:lineRule="exact"/>
              <w:jc w:val="center"/>
              <w:rPr>
                <w:color w:val="auto"/>
                <w:szCs w:val="21"/>
                <w:highlight w:val="none"/>
              </w:rPr>
            </w:pPr>
          </w:p>
        </w:tc>
        <w:tc>
          <w:tcPr>
            <w:tcW w:w="1212" w:type="dxa"/>
          </w:tcPr>
          <w:p w14:paraId="298E3516">
            <w:pPr>
              <w:spacing w:line="440" w:lineRule="exact"/>
              <w:jc w:val="center"/>
              <w:rPr>
                <w:color w:val="auto"/>
                <w:szCs w:val="21"/>
                <w:highlight w:val="none"/>
              </w:rPr>
            </w:pPr>
          </w:p>
        </w:tc>
        <w:tc>
          <w:tcPr>
            <w:tcW w:w="1653" w:type="dxa"/>
          </w:tcPr>
          <w:p w14:paraId="1D4EA104">
            <w:pPr>
              <w:spacing w:line="440" w:lineRule="exact"/>
              <w:jc w:val="center"/>
              <w:rPr>
                <w:color w:val="auto"/>
                <w:szCs w:val="21"/>
                <w:highlight w:val="none"/>
              </w:rPr>
            </w:pPr>
          </w:p>
        </w:tc>
        <w:tc>
          <w:tcPr>
            <w:tcW w:w="688" w:type="dxa"/>
          </w:tcPr>
          <w:p w14:paraId="091CC2D4">
            <w:pPr>
              <w:spacing w:line="440" w:lineRule="exact"/>
              <w:jc w:val="center"/>
              <w:rPr>
                <w:color w:val="auto"/>
                <w:szCs w:val="21"/>
                <w:highlight w:val="none"/>
              </w:rPr>
            </w:pPr>
          </w:p>
        </w:tc>
      </w:tr>
      <w:tr w14:paraId="7FB3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60F73AF1">
            <w:pPr>
              <w:spacing w:line="440" w:lineRule="exact"/>
              <w:jc w:val="center"/>
              <w:rPr>
                <w:color w:val="auto"/>
                <w:szCs w:val="21"/>
                <w:highlight w:val="none"/>
              </w:rPr>
            </w:pPr>
          </w:p>
        </w:tc>
        <w:tc>
          <w:tcPr>
            <w:tcW w:w="1087" w:type="dxa"/>
          </w:tcPr>
          <w:p w14:paraId="3150C023">
            <w:pPr>
              <w:spacing w:line="440" w:lineRule="exact"/>
              <w:jc w:val="center"/>
              <w:rPr>
                <w:color w:val="auto"/>
                <w:szCs w:val="21"/>
                <w:highlight w:val="none"/>
              </w:rPr>
            </w:pPr>
          </w:p>
        </w:tc>
        <w:tc>
          <w:tcPr>
            <w:tcW w:w="760" w:type="dxa"/>
          </w:tcPr>
          <w:p w14:paraId="23C75DDD">
            <w:pPr>
              <w:spacing w:line="440" w:lineRule="exact"/>
              <w:jc w:val="center"/>
              <w:rPr>
                <w:color w:val="auto"/>
                <w:szCs w:val="21"/>
                <w:highlight w:val="none"/>
              </w:rPr>
            </w:pPr>
          </w:p>
        </w:tc>
        <w:tc>
          <w:tcPr>
            <w:tcW w:w="991" w:type="dxa"/>
          </w:tcPr>
          <w:p w14:paraId="2FFBEC65">
            <w:pPr>
              <w:spacing w:line="440" w:lineRule="exact"/>
              <w:jc w:val="center"/>
              <w:rPr>
                <w:color w:val="auto"/>
                <w:szCs w:val="21"/>
                <w:highlight w:val="none"/>
              </w:rPr>
            </w:pPr>
          </w:p>
        </w:tc>
        <w:tc>
          <w:tcPr>
            <w:tcW w:w="672" w:type="dxa"/>
          </w:tcPr>
          <w:p w14:paraId="5254ED9C">
            <w:pPr>
              <w:spacing w:line="440" w:lineRule="exact"/>
              <w:jc w:val="center"/>
              <w:rPr>
                <w:color w:val="auto"/>
                <w:szCs w:val="21"/>
                <w:highlight w:val="none"/>
              </w:rPr>
            </w:pPr>
          </w:p>
        </w:tc>
        <w:tc>
          <w:tcPr>
            <w:tcW w:w="738" w:type="dxa"/>
          </w:tcPr>
          <w:p w14:paraId="527D4BA7">
            <w:pPr>
              <w:spacing w:line="440" w:lineRule="exact"/>
              <w:jc w:val="center"/>
              <w:rPr>
                <w:color w:val="auto"/>
                <w:szCs w:val="21"/>
                <w:highlight w:val="none"/>
              </w:rPr>
            </w:pPr>
          </w:p>
        </w:tc>
        <w:tc>
          <w:tcPr>
            <w:tcW w:w="1212" w:type="dxa"/>
          </w:tcPr>
          <w:p w14:paraId="4BB55947">
            <w:pPr>
              <w:spacing w:line="440" w:lineRule="exact"/>
              <w:jc w:val="center"/>
              <w:rPr>
                <w:color w:val="auto"/>
                <w:szCs w:val="21"/>
                <w:highlight w:val="none"/>
              </w:rPr>
            </w:pPr>
          </w:p>
        </w:tc>
        <w:tc>
          <w:tcPr>
            <w:tcW w:w="1653" w:type="dxa"/>
          </w:tcPr>
          <w:p w14:paraId="790E20D9">
            <w:pPr>
              <w:spacing w:line="440" w:lineRule="exact"/>
              <w:jc w:val="center"/>
              <w:rPr>
                <w:color w:val="auto"/>
                <w:szCs w:val="21"/>
                <w:highlight w:val="none"/>
              </w:rPr>
            </w:pPr>
          </w:p>
        </w:tc>
        <w:tc>
          <w:tcPr>
            <w:tcW w:w="688" w:type="dxa"/>
          </w:tcPr>
          <w:p w14:paraId="38222637">
            <w:pPr>
              <w:spacing w:line="440" w:lineRule="exact"/>
              <w:jc w:val="center"/>
              <w:rPr>
                <w:color w:val="auto"/>
                <w:szCs w:val="21"/>
                <w:highlight w:val="none"/>
              </w:rPr>
            </w:pPr>
          </w:p>
        </w:tc>
      </w:tr>
      <w:tr w14:paraId="25CE8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71EA81E7">
            <w:pPr>
              <w:spacing w:line="440" w:lineRule="exact"/>
              <w:jc w:val="center"/>
              <w:rPr>
                <w:color w:val="auto"/>
                <w:szCs w:val="21"/>
                <w:highlight w:val="none"/>
              </w:rPr>
            </w:pPr>
          </w:p>
        </w:tc>
        <w:tc>
          <w:tcPr>
            <w:tcW w:w="1087" w:type="dxa"/>
          </w:tcPr>
          <w:p w14:paraId="6DDEA7D2">
            <w:pPr>
              <w:spacing w:line="440" w:lineRule="exact"/>
              <w:jc w:val="center"/>
              <w:rPr>
                <w:color w:val="auto"/>
                <w:szCs w:val="21"/>
                <w:highlight w:val="none"/>
              </w:rPr>
            </w:pPr>
          </w:p>
        </w:tc>
        <w:tc>
          <w:tcPr>
            <w:tcW w:w="760" w:type="dxa"/>
          </w:tcPr>
          <w:p w14:paraId="526FCB85">
            <w:pPr>
              <w:spacing w:line="440" w:lineRule="exact"/>
              <w:jc w:val="center"/>
              <w:rPr>
                <w:color w:val="auto"/>
                <w:szCs w:val="21"/>
                <w:highlight w:val="none"/>
              </w:rPr>
            </w:pPr>
          </w:p>
        </w:tc>
        <w:tc>
          <w:tcPr>
            <w:tcW w:w="991" w:type="dxa"/>
          </w:tcPr>
          <w:p w14:paraId="62D2A309">
            <w:pPr>
              <w:spacing w:line="440" w:lineRule="exact"/>
              <w:jc w:val="center"/>
              <w:rPr>
                <w:color w:val="auto"/>
                <w:szCs w:val="21"/>
                <w:highlight w:val="none"/>
              </w:rPr>
            </w:pPr>
          </w:p>
        </w:tc>
        <w:tc>
          <w:tcPr>
            <w:tcW w:w="672" w:type="dxa"/>
          </w:tcPr>
          <w:p w14:paraId="21FE2CB5">
            <w:pPr>
              <w:spacing w:line="440" w:lineRule="exact"/>
              <w:jc w:val="center"/>
              <w:rPr>
                <w:color w:val="auto"/>
                <w:szCs w:val="21"/>
                <w:highlight w:val="none"/>
              </w:rPr>
            </w:pPr>
          </w:p>
        </w:tc>
        <w:tc>
          <w:tcPr>
            <w:tcW w:w="738" w:type="dxa"/>
          </w:tcPr>
          <w:p w14:paraId="586DF0D9">
            <w:pPr>
              <w:spacing w:line="440" w:lineRule="exact"/>
              <w:jc w:val="center"/>
              <w:rPr>
                <w:color w:val="auto"/>
                <w:szCs w:val="21"/>
                <w:highlight w:val="none"/>
              </w:rPr>
            </w:pPr>
          </w:p>
        </w:tc>
        <w:tc>
          <w:tcPr>
            <w:tcW w:w="1212" w:type="dxa"/>
          </w:tcPr>
          <w:p w14:paraId="3638EC4E">
            <w:pPr>
              <w:spacing w:line="440" w:lineRule="exact"/>
              <w:jc w:val="center"/>
              <w:rPr>
                <w:color w:val="auto"/>
                <w:szCs w:val="21"/>
                <w:highlight w:val="none"/>
              </w:rPr>
            </w:pPr>
          </w:p>
        </w:tc>
        <w:tc>
          <w:tcPr>
            <w:tcW w:w="1653" w:type="dxa"/>
          </w:tcPr>
          <w:p w14:paraId="5F926D39">
            <w:pPr>
              <w:spacing w:line="440" w:lineRule="exact"/>
              <w:jc w:val="center"/>
              <w:rPr>
                <w:color w:val="auto"/>
                <w:szCs w:val="21"/>
                <w:highlight w:val="none"/>
              </w:rPr>
            </w:pPr>
          </w:p>
        </w:tc>
        <w:tc>
          <w:tcPr>
            <w:tcW w:w="688" w:type="dxa"/>
          </w:tcPr>
          <w:p w14:paraId="30086E33">
            <w:pPr>
              <w:spacing w:line="440" w:lineRule="exact"/>
              <w:jc w:val="center"/>
              <w:rPr>
                <w:color w:val="auto"/>
                <w:szCs w:val="21"/>
                <w:highlight w:val="none"/>
              </w:rPr>
            </w:pPr>
          </w:p>
        </w:tc>
      </w:tr>
      <w:tr w14:paraId="529D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076B9BEE">
            <w:pPr>
              <w:spacing w:line="440" w:lineRule="exact"/>
              <w:jc w:val="center"/>
              <w:rPr>
                <w:color w:val="auto"/>
                <w:szCs w:val="21"/>
                <w:highlight w:val="none"/>
              </w:rPr>
            </w:pPr>
          </w:p>
        </w:tc>
        <w:tc>
          <w:tcPr>
            <w:tcW w:w="1087" w:type="dxa"/>
          </w:tcPr>
          <w:p w14:paraId="587117D8">
            <w:pPr>
              <w:spacing w:line="440" w:lineRule="exact"/>
              <w:jc w:val="center"/>
              <w:rPr>
                <w:color w:val="auto"/>
                <w:szCs w:val="21"/>
                <w:highlight w:val="none"/>
              </w:rPr>
            </w:pPr>
          </w:p>
        </w:tc>
        <w:tc>
          <w:tcPr>
            <w:tcW w:w="760" w:type="dxa"/>
          </w:tcPr>
          <w:p w14:paraId="31BE2A3D">
            <w:pPr>
              <w:spacing w:line="440" w:lineRule="exact"/>
              <w:jc w:val="center"/>
              <w:rPr>
                <w:color w:val="auto"/>
                <w:szCs w:val="21"/>
                <w:highlight w:val="none"/>
              </w:rPr>
            </w:pPr>
          </w:p>
        </w:tc>
        <w:tc>
          <w:tcPr>
            <w:tcW w:w="991" w:type="dxa"/>
          </w:tcPr>
          <w:p w14:paraId="0AEA8CAA">
            <w:pPr>
              <w:spacing w:line="440" w:lineRule="exact"/>
              <w:jc w:val="center"/>
              <w:rPr>
                <w:color w:val="auto"/>
                <w:szCs w:val="21"/>
                <w:highlight w:val="none"/>
              </w:rPr>
            </w:pPr>
          </w:p>
        </w:tc>
        <w:tc>
          <w:tcPr>
            <w:tcW w:w="672" w:type="dxa"/>
          </w:tcPr>
          <w:p w14:paraId="20DA97CF">
            <w:pPr>
              <w:spacing w:line="440" w:lineRule="exact"/>
              <w:jc w:val="center"/>
              <w:rPr>
                <w:color w:val="auto"/>
                <w:szCs w:val="21"/>
                <w:highlight w:val="none"/>
              </w:rPr>
            </w:pPr>
          </w:p>
        </w:tc>
        <w:tc>
          <w:tcPr>
            <w:tcW w:w="738" w:type="dxa"/>
          </w:tcPr>
          <w:p w14:paraId="7F435386">
            <w:pPr>
              <w:spacing w:line="440" w:lineRule="exact"/>
              <w:jc w:val="center"/>
              <w:rPr>
                <w:color w:val="auto"/>
                <w:szCs w:val="21"/>
                <w:highlight w:val="none"/>
              </w:rPr>
            </w:pPr>
          </w:p>
        </w:tc>
        <w:tc>
          <w:tcPr>
            <w:tcW w:w="1212" w:type="dxa"/>
          </w:tcPr>
          <w:p w14:paraId="1D65CCE6">
            <w:pPr>
              <w:spacing w:line="440" w:lineRule="exact"/>
              <w:jc w:val="center"/>
              <w:rPr>
                <w:color w:val="auto"/>
                <w:szCs w:val="21"/>
                <w:highlight w:val="none"/>
              </w:rPr>
            </w:pPr>
          </w:p>
        </w:tc>
        <w:tc>
          <w:tcPr>
            <w:tcW w:w="1653" w:type="dxa"/>
          </w:tcPr>
          <w:p w14:paraId="338758B8">
            <w:pPr>
              <w:spacing w:line="440" w:lineRule="exact"/>
              <w:jc w:val="center"/>
              <w:rPr>
                <w:color w:val="auto"/>
                <w:szCs w:val="21"/>
                <w:highlight w:val="none"/>
              </w:rPr>
            </w:pPr>
          </w:p>
        </w:tc>
        <w:tc>
          <w:tcPr>
            <w:tcW w:w="688" w:type="dxa"/>
          </w:tcPr>
          <w:p w14:paraId="311A1781">
            <w:pPr>
              <w:spacing w:line="440" w:lineRule="exact"/>
              <w:jc w:val="center"/>
              <w:rPr>
                <w:color w:val="auto"/>
                <w:szCs w:val="21"/>
                <w:highlight w:val="none"/>
              </w:rPr>
            </w:pPr>
          </w:p>
        </w:tc>
      </w:tr>
      <w:tr w14:paraId="5FE2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5D132CD4">
            <w:pPr>
              <w:spacing w:line="440" w:lineRule="exact"/>
              <w:jc w:val="center"/>
              <w:rPr>
                <w:color w:val="auto"/>
                <w:szCs w:val="21"/>
                <w:highlight w:val="none"/>
              </w:rPr>
            </w:pPr>
          </w:p>
        </w:tc>
        <w:tc>
          <w:tcPr>
            <w:tcW w:w="1087" w:type="dxa"/>
          </w:tcPr>
          <w:p w14:paraId="264D1D13">
            <w:pPr>
              <w:spacing w:line="440" w:lineRule="exact"/>
              <w:jc w:val="center"/>
              <w:rPr>
                <w:color w:val="auto"/>
                <w:szCs w:val="21"/>
                <w:highlight w:val="none"/>
              </w:rPr>
            </w:pPr>
          </w:p>
        </w:tc>
        <w:tc>
          <w:tcPr>
            <w:tcW w:w="760" w:type="dxa"/>
          </w:tcPr>
          <w:p w14:paraId="1F9D6680">
            <w:pPr>
              <w:spacing w:line="440" w:lineRule="exact"/>
              <w:jc w:val="center"/>
              <w:rPr>
                <w:color w:val="auto"/>
                <w:szCs w:val="21"/>
                <w:highlight w:val="none"/>
              </w:rPr>
            </w:pPr>
          </w:p>
        </w:tc>
        <w:tc>
          <w:tcPr>
            <w:tcW w:w="991" w:type="dxa"/>
          </w:tcPr>
          <w:p w14:paraId="18E5E042">
            <w:pPr>
              <w:spacing w:line="440" w:lineRule="exact"/>
              <w:jc w:val="center"/>
              <w:rPr>
                <w:color w:val="auto"/>
                <w:szCs w:val="21"/>
                <w:highlight w:val="none"/>
              </w:rPr>
            </w:pPr>
          </w:p>
        </w:tc>
        <w:tc>
          <w:tcPr>
            <w:tcW w:w="672" w:type="dxa"/>
          </w:tcPr>
          <w:p w14:paraId="1C867A26">
            <w:pPr>
              <w:spacing w:line="440" w:lineRule="exact"/>
              <w:jc w:val="center"/>
              <w:rPr>
                <w:color w:val="auto"/>
                <w:szCs w:val="21"/>
                <w:highlight w:val="none"/>
              </w:rPr>
            </w:pPr>
          </w:p>
        </w:tc>
        <w:tc>
          <w:tcPr>
            <w:tcW w:w="738" w:type="dxa"/>
          </w:tcPr>
          <w:p w14:paraId="7E6C8DBC">
            <w:pPr>
              <w:spacing w:line="440" w:lineRule="exact"/>
              <w:jc w:val="center"/>
              <w:rPr>
                <w:color w:val="auto"/>
                <w:szCs w:val="21"/>
                <w:highlight w:val="none"/>
              </w:rPr>
            </w:pPr>
          </w:p>
        </w:tc>
        <w:tc>
          <w:tcPr>
            <w:tcW w:w="1212" w:type="dxa"/>
          </w:tcPr>
          <w:p w14:paraId="047FFAFB">
            <w:pPr>
              <w:spacing w:line="440" w:lineRule="exact"/>
              <w:jc w:val="center"/>
              <w:rPr>
                <w:color w:val="auto"/>
                <w:szCs w:val="21"/>
                <w:highlight w:val="none"/>
              </w:rPr>
            </w:pPr>
          </w:p>
        </w:tc>
        <w:tc>
          <w:tcPr>
            <w:tcW w:w="1653" w:type="dxa"/>
          </w:tcPr>
          <w:p w14:paraId="2ABF8908">
            <w:pPr>
              <w:spacing w:line="440" w:lineRule="exact"/>
              <w:jc w:val="center"/>
              <w:rPr>
                <w:color w:val="auto"/>
                <w:szCs w:val="21"/>
                <w:highlight w:val="none"/>
              </w:rPr>
            </w:pPr>
          </w:p>
        </w:tc>
        <w:tc>
          <w:tcPr>
            <w:tcW w:w="688" w:type="dxa"/>
          </w:tcPr>
          <w:p w14:paraId="07D2A489">
            <w:pPr>
              <w:spacing w:line="440" w:lineRule="exact"/>
              <w:jc w:val="center"/>
              <w:rPr>
                <w:color w:val="auto"/>
                <w:szCs w:val="21"/>
                <w:highlight w:val="none"/>
              </w:rPr>
            </w:pPr>
          </w:p>
        </w:tc>
      </w:tr>
      <w:tr w14:paraId="6F7A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5CACBBA2">
            <w:pPr>
              <w:spacing w:line="440" w:lineRule="exact"/>
              <w:jc w:val="center"/>
              <w:rPr>
                <w:color w:val="auto"/>
                <w:szCs w:val="21"/>
                <w:highlight w:val="none"/>
              </w:rPr>
            </w:pPr>
          </w:p>
        </w:tc>
        <w:tc>
          <w:tcPr>
            <w:tcW w:w="1087" w:type="dxa"/>
          </w:tcPr>
          <w:p w14:paraId="20B05358">
            <w:pPr>
              <w:spacing w:line="440" w:lineRule="exact"/>
              <w:jc w:val="center"/>
              <w:rPr>
                <w:color w:val="auto"/>
                <w:szCs w:val="21"/>
                <w:highlight w:val="none"/>
              </w:rPr>
            </w:pPr>
          </w:p>
        </w:tc>
        <w:tc>
          <w:tcPr>
            <w:tcW w:w="760" w:type="dxa"/>
          </w:tcPr>
          <w:p w14:paraId="32445EA6">
            <w:pPr>
              <w:spacing w:line="440" w:lineRule="exact"/>
              <w:jc w:val="center"/>
              <w:rPr>
                <w:color w:val="auto"/>
                <w:szCs w:val="21"/>
                <w:highlight w:val="none"/>
              </w:rPr>
            </w:pPr>
          </w:p>
        </w:tc>
        <w:tc>
          <w:tcPr>
            <w:tcW w:w="991" w:type="dxa"/>
          </w:tcPr>
          <w:p w14:paraId="6CC83FCC">
            <w:pPr>
              <w:spacing w:line="440" w:lineRule="exact"/>
              <w:jc w:val="center"/>
              <w:rPr>
                <w:color w:val="auto"/>
                <w:szCs w:val="21"/>
                <w:highlight w:val="none"/>
              </w:rPr>
            </w:pPr>
          </w:p>
        </w:tc>
        <w:tc>
          <w:tcPr>
            <w:tcW w:w="672" w:type="dxa"/>
          </w:tcPr>
          <w:p w14:paraId="6E51EE16">
            <w:pPr>
              <w:spacing w:line="440" w:lineRule="exact"/>
              <w:jc w:val="center"/>
              <w:rPr>
                <w:color w:val="auto"/>
                <w:szCs w:val="21"/>
                <w:highlight w:val="none"/>
              </w:rPr>
            </w:pPr>
          </w:p>
        </w:tc>
        <w:tc>
          <w:tcPr>
            <w:tcW w:w="738" w:type="dxa"/>
          </w:tcPr>
          <w:p w14:paraId="224DB5DA">
            <w:pPr>
              <w:spacing w:line="440" w:lineRule="exact"/>
              <w:jc w:val="center"/>
              <w:rPr>
                <w:color w:val="auto"/>
                <w:szCs w:val="21"/>
                <w:highlight w:val="none"/>
              </w:rPr>
            </w:pPr>
          </w:p>
        </w:tc>
        <w:tc>
          <w:tcPr>
            <w:tcW w:w="1212" w:type="dxa"/>
          </w:tcPr>
          <w:p w14:paraId="62A3B7C7">
            <w:pPr>
              <w:spacing w:line="440" w:lineRule="exact"/>
              <w:jc w:val="center"/>
              <w:rPr>
                <w:color w:val="auto"/>
                <w:szCs w:val="21"/>
                <w:highlight w:val="none"/>
              </w:rPr>
            </w:pPr>
          </w:p>
        </w:tc>
        <w:tc>
          <w:tcPr>
            <w:tcW w:w="1653" w:type="dxa"/>
          </w:tcPr>
          <w:p w14:paraId="3C25AAB1">
            <w:pPr>
              <w:spacing w:line="440" w:lineRule="exact"/>
              <w:jc w:val="center"/>
              <w:rPr>
                <w:color w:val="auto"/>
                <w:szCs w:val="21"/>
                <w:highlight w:val="none"/>
              </w:rPr>
            </w:pPr>
          </w:p>
        </w:tc>
        <w:tc>
          <w:tcPr>
            <w:tcW w:w="688" w:type="dxa"/>
          </w:tcPr>
          <w:p w14:paraId="39C84EC7">
            <w:pPr>
              <w:spacing w:line="440" w:lineRule="exact"/>
              <w:jc w:val="center"/>
              <w:rPr>
                <w:color w:val="auto"/>
                <w:szCs w:val="21"/>
                <w:highlight w:val="none"/>
              </w:rPr>
            </w:pPr>
          </w:p>
        </w:tc>
      </w:tr>
      <w:tr w14:paraId="58BB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285B64F7">
            <w:pPr>
              <w:spacing w:line="440" w:lineRule="exact"/>
              <w:jc w:val="center"/>
              <w:rPr>
                <w:color w:val="auto"/>
                <w:szCs w:val="21"/>
                <w:highlight w:val="none"/>
              </w:rPr>
            </w:pPr>
          </w:p>
        </w:tc>
        <w:tc>
          <w:tcPr>
            <w:tcW w:w="1087" w:type="dxa"/>
          </w:tcPr>
          <w:p w14:paraId="3A787741">
            <w:pPr>
              <w:spacing w:line="440" w:lineRule="exact"/>
              <w:jc w:val="center"/>
              <w:rPr>
                <w:color w:val="auto"/>
                <w:szCs w:val="21"/>
                <w:highlight w:val="none"/>
              </w:rPr>
            </w:pPr>
          </w:p>
        </w:tc>
        <w:tc>
          <w:tcPr>
            <w:tcW w:w="760" w:type="dxa"/>
          </w:tcPr>
          <w:p w14:paraId="751BF307">
            <w:pPr>
              <w:spacing w:line="440" w:lineRule="exact"/>
              <w:jc w:val="center"/>
              <w:rPr>
                <w:color w:val="auto"/>
                <w:szCs w:val="21"/>
                <w:highlight w:val="none"/>
              </w:rPr>
            </w:pPr>
          </w:p>
        </w:tc>
        <w:tc>
          <w:tcPr>
            <w:tcW w:w="991" w:type="dxa"/>
          </w:tcPr>
          <w:p w14:paraId="42A4DD2D">
            <w:pPr>
              <w:spacing w:line="440" w:lineRule="exact"/>
              <w:jc w:val="center"/>
              <w:rPr>
                <w:color w:val="auto"/>
                <w:szCs w:val="21"/>
                <w:highlight w:val="none"/>
              </w:rPr>
            </w:pPr>
          </w:p>
        </w:tc>
        <w:tc>
          <w:tcPr>
            <w:tcW w:w="672" w:type="dxa"/>
          </w:tcPr>
          <w:p w14:paraId="5EFCCDED">
            <w:pPr>
              <w:spacing w:line="440" w:lineRule="exact"/>
              <w:jc w:val="center"/>
              <w:rPr>
                <w:color w:val="auto"/>
                <w:szCs w:val="21"/>
                <w:highlight w:val="none"/>
              </w:rPr>
            </w:pPr>
          </w:p>
        </w:tc>
        <w:tc>
          <w:tcPr>
            <w:tcW w:w="738" w:type="dxa"/>
          </w:tcPr>
          <w:p w14:paraId="7147D382">
            <w:pPr>
              <w:spacing w:line="440" w:lineRule="exact"/>
              <w:jc w:val="center"/>
              <w:rPr>
                <w:color w:val="auto"/>
                <w:szCs w:val="21"/>
                <w:highlight w:val="none"/>
              </w:rPr>
            </w:pPr>
          </w:p>
        </w:tc>
        <w:tc>
          <w:tcPr>
            <w:tcW w:w="1212" w:type="dxa"/>
          </w:tcPr>
          <w:p w14:paraId="5798F3BA">
            <w:pPr>
              <w:spacing w:line="440" w:lineRule="exact"/>
              <w:jc w:val="center"/>
              <w:rPr>
                <w:color w:val="auto"/>
                <w:szCs w:val="21"/>
                <w:highlight w:val="none"/>
              </w:rPr>
            </w:pPr>
          </w:p>
        </w:tc>
        <w:tc>
          <w:tcPr>
            <w:tcW w:w="1653" w:type="dxa"/>
          </w:tcPr>
          <w:p w14:paraId="21326AC9">
            <w:pPr>
              <w:spacing w:line="440" w:lineRule="exact"/>
              <w:jc w:val="center"/>
              <w:rPr>
                <w:color w:val="auto"/>
                <w:szCs w:val="21"/>
                <w:highlight w:val="none"/>
              </w:rPr>
            </w:pPr>
          </w:p>
        </w:tc>
        <w:tc>
          <w:tcPr>
            <w:tcW w:w="688" w:type="dxa"/>
          </w:tcPr>
          <w:p w14:paraId="0871328F">
            <w:pPr>
              <w:spacing w:line="440" w:lineRule="exact"/>
              <w:jc w:val="center"/>
              <w:rPr>
                <w:color w:val="auto"/>
                <w:szCs w:val="21"/>
                <w:highlight w:val="none"/>
              </w:rPr>
            </w:pPr>
          </w:p>
        </w:tc>
      </w:tr>
      <w:tr w14:paraId="4AEC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4EA895BD">
            <w:pPr>
              <w:spacing w:line="440" w:lineRule="exact"/>
              <w:jc w:val="center"/>
              <w:rPr>
                <w:color w:val="auto"/>
                <w:szCs w:val="21"/>
                <w:highlight w:val="none"/>
              </w:rPr>
            </w:pPr>
          </w:p>
        </w:tc>
        <w:tc>
          <w:tcPr>
            <w:tcW w:w="1087" w:type="dxa"/>
          </w:tcPr>
          <w:p w14:paraId="20F1630A">
            <w:pPr>
              <w:spacing w:line="440" w:lineRule="exact"/>
              <w:jc w:val="center"/>
              <w:rPr>
                <w:color w:val="auto"/>
                <w:szCs w:val="21"/>
                <w:highlight w:val="none"/>
              </w:rPr>
            </w:pPr>
          </w:p>
        </w:tc>
        <w:tc>
          <w:tcPr>
            <w:tcW w:w="760" w:type="dxa"/>
          </w:tcPr>
          <w:p w14:paraId="36A5D216">
            <w:pPr>
              <w:spacing w:line="440" w:lineRule="exact"/>
              <w:jc w:val="center"/>
              <w:rPr>
                <w:color w:val="auto"/>
                <w:szCs w:val="21"/>
                <w:highlight w:val="none"/>
              </w:rPr>
            </w:pPr>
          </w:p>
        </w:tc>
        <w:tc>
          <w:tcPr>
            <w:tcW w:w="991" w:type="dxa"/>
          </w:tcPr>
          <w:p w14:paraId="1A6ECBBA">
            <w:pPr>
              <w:spacing w:line="440" w:lineRule="exact"/>
              <w:jc w:val="center"/>
              <w:rPr>
                <w:color w:val="auto"/>
                <w:szCs w:val="21"/>
                <w:highlight w:val="none"/>
              </w:rPr>
            </w:pPr>
          </w:p>
        </w:tc>
        <w:tc>
          <w:tcPr>
            <w:tcW w:w="672" w:type="dxa"/>
          </w:tcPr>
          <w:p w14:paraId="1AC99C03">
            <w:pPr>
              <w:spacing w:line="440" w:lineRule="exact"/>
              <w:jc w:val="center"/>
              <w:rPr>
                <w:color w:val="auto"/>
                <w:szCs w:val="21"/>
                <w:highlight w:val="none"/>
              </w:rPr>
            </w:pPr>
          </w:p>
        </w:tc>
        <w:tc>
          <w:tcPr>
            <w:tcW w:w="738" w:type="dxa"/>
          </w:tcPr>
          <w:p w14:paraId="7A1868EA">
            <w:pPr>
              <w:spacing w:line="440" w:lineRule="exact"/>
              <w:jc w:val="center"/>
              <w:rPr>
                <w:color w:val="auto"/>
                <w:szCs w:val="21"/>
                <w:highlight w:val="none"/>
              </w:rPr>
            </w:pPr>
          </w:p>
        </w:tc>
        <w:tc>
          <w:tcPr>
            <w:tcW w:w="1212" w:type="dxa"/>
          </w:tcPr>
          <w:p w14:paraId="2C7E3762">
            <w:pPr>
              <w:spacing w:line="440" w:lineRule="exact"/>
              <w:jc w:val="center"/>
              <w:rPr>
                <w:color w:val="auto"/>
                <w:szCs w:val="21"/>
                <w:highlight w:val="none"/>
              </w:rPr>
            </w:pPr>
          </w:p>
        </w:tc>
        <w:tc>
          <w:tcPr>
            <w:tcW w:w="1653" w:type="dxa"/>
          </w:tcPr>
          <w:p w14:paraId="6216D225">
            <w:pPr>
              <w:spacing w:line="440" w:lineRule="exact"/>
              <w:jc w:val="center"/>
              <w:rPr>
                <w:color w:val="auto"/>
                <w:szCs w:val="21"/>
                <w:highlight w:val="none"/>
              </w:rPr>
            </w:pPr>
          </w:p>
        </w:tc>
        <w:tc>
          <w:tcPr>
            <w:tcW w:w="688" w:type="dxa"/>
          </w:tcPr>
          <w:p w14:paraId="285CBF72">
            <w:pPr>
              <w:spacing w:line="440" w:lineRule="exact"/>
              <w:jc w:val="center"/>
              <w:rPr>
                <w:color w:val="auto"/>
                <w:szCs w:val="21"/>
                <w:highlight w:val="none"/>
              </w:rPr>
            </w:pPr>
          </w:p>
        </w:tc>
      </w:tr>
      <w:tr w14:paraId="1C80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46F66FBA">
            <w:pPr>
              <w:spacing w:line="440" w:lineRule="exact"/>
              <w:jc w:val="center"/>
              <w:rPr>
                <w:color w:val="auto"/>
                <w:szCs w:val="21"/>
                <w:highlight w:val="none"/>
              </w:rPr>
            </w:pPr>
          </w:p>
        </w:tc>
        <w:tc>
          <w:tcPr>
            <w:tcW w:w="1087" w:type="dxa"/>
          </w:tcPr>
          <w:p w14:paraId="2BD49C94">
            <w:pPr>
              <w:spacing w:line="440" w:lineRule="exact"/>
              <w:jc w:val="center"/>
              <w:rPr>
                <w:color w:val="auto"/>
                <w:szCs w:val="21"/>
                <w:highlight w:val="none"/>
              </w:rPr>
            </w:pPr>
          </w:p>
        </w:tc>
        <w:tc>
          <w:tcPr>
            <w:tcW w:w="760" w:type="dxa"/>
          </w:tcPr>
          <w:p w14:paraId="1D796BA9">
            <w:pPr>
              <w:spacing w:line="440" w:lineRule="exact"/>
              <w:jc w:val="center"/>
              <w:rPr>
                <w:color w:val="auto"/>
                <w:szCs w:val="21"/>
                <w:highlight w:val="none"/>
              </w:rPr>
            </w:pPr>
          </w:p>
        </w:tc>
        <w:tc>
          <w:tcPr>
            <w:tcW w:w="991" w:type="dxa"/>
          </w:tcPr>
          <w:p w14:paraId="5D63E68D">
            <w:pPr>
              <w:spacing w:line="440" w:lineRule="exact"/>
              <w:jc w:val="center"/>
              <w:rPr>
                <w:color w:val="auto"/>
                <w:szCs w:val="21"/>
                <w:highlight w:val="none"/>
              </w:rPr>
            </w:pPr>
          </w:p>
        </w:tc>
        <w:tc>
          <w:tcPr>
            <w:tcW w:w="672" w:type="dxa"/>
          </w:tcPr>
          <w:p w14:paraId="404EEA5D">
            <w:pPr>
              <w:spacing w:line="440" w:lineRule="exact"/>
              <w:jc w:val="center"/>
              <w:rPr>
                <w:color w:val="auto"/>
                <w:szCs w:val="21"/>
                <w:highlight w:val="none"/>
              </w:rPr>
            </w:pPr>
          </w:p>
        </w:tc>
        <w:tc>
          <w:tcPr>
            <w:tcW w:w="738" w:type="dxa"/>
          </w:tcPr>
          <w:p w14:paraId="290C5EC2">
            <w:pPr>
              <w:spacing w:line="440" w:lineRule="exact"/>
              <w:jc w:val="center"/>
              <w:rPr>
                <w:color w:val="auto"/>
                <w:szCs w:val="21"/>
                <w:highlight w:val="none"/>
              </w:rPr>
            </w:pPr>
          </w:p>
        </w:tc>
        <w:tc>
          <w:tcPr>
            <w:tcW w:w="1212" w:type="dxa"/>
          </w:tcPr>
          <w:p w14:paraId="071B3CD5">
            <w:pPr>
              <w:spacing w:line="440" w:lineRule="exact"/>
              <w:jc w:val="center"/>
              <w:rPr>
                <w:color w:val="auto"/>
                <w:szCs w:val="21"/>
                <w:highlight w:val="none"/>
              </w:rPr>
            </w:pPr>
          </w:p>
        </w:tc>
        <w:tc>
          <w:tcPr>
            <w:tcW w:w="1653" w:type="dxa"/>
          </w:tcPr>
          <w:p w14:paraId="36979562">
            <w:pPr>
              <w:spacing w:line="440" w:lineRule="exact"/>
              <w:jc w:val="center"/>
              <w:rPr>
                <w:color w:val="auto"/>
                <w:szCs w:val="21"/>
                <w:highlight w:val="none"/>
              </w:rPr>
            </w:pPr>
          </w:p>
        </w:tc>
        <w:tc>
          <w:tcPr>
            <w:tcW w:w="688" w:type="dxa"/>
          </w:tcPr>
          <w:p w14:paraId="7045D420">
            <w:pPr>
              <w:spacing w:line="440" w:lineRule="exact"/>
              <w:jc w:val="center"/>
              <w:rPr>
                <w:color w:val="auto"/>
                <w:szCs w:val="21"/>
                <w:highlight w:val="none"/>
              </w:rPr>
            </w:pPr>
          </w:p>
        </w:tc>
      </w:tr>
    </w:tbl>
    <w:p w14:paraId="4489919F">
      <w:pPr>
        <w:rPr>
          <w:rFonts w:hint="eastAsia"/>
          <w:color w:val="auto"/>
          <w:szCs w:val="24"/>
          <w:highlight w:val="none"/>
          <w:lang w:eastAsia="zh-CN"/>
        </w:rPr>
      </w:pPr>
      <w:bookmarkStart w:id="2338" w:name="_Toc122603091"/>
      <w:bookmarkStart w:id="2339" w:name="_Toc256000225"/>
      <w:bookmarkStart w:id="2340" w:name="_Toc30342"/>
      <w:r>
        <w:rPr>
          <w:rFonts w:hint="eastAsia"/>
          <w:color w:val="auto"/>
          <w:szCs w:val="24"/>
          <w:highlight w:val="none"/>
          <w:lang w:eastAsia="zh-CN"/>
        </w:rPr>
        <w:br w:type="page"/>
      </w:r>
    </w:p>
    <w:p w14:paraId="2948D71B">
      <w:pPr>
        <w:pStyle w:val="37"/>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color w:val="auto"/>
          <w:highlight w:val="none"/>
          <w:lang w:val="en-US" w:eastAsia="zh-CN"/>
        </w:rPr>
      </w:pPr>
      <w:r>
        <w:rPr>
          <w:rFonts w:hint="eastAsia"/>
          <w:color w:val="auto"/>
          <w:szCs w:val="24"/>
          <w:highlight w:val="none"/>
          <w:lang w:eastAsia="zh-CN"/>
        </w:rPr>
        <w:t>（</w:t>
      </w:r>
      <w:r>
        <w:rPr>
          <w:rFonts w:hint="default"/>
          <w:color w:val="auto"/>
          <w:szCs w:val="24"/>
          <w:highlight w:val="none"/>
        </w:rPr>
        <w:t>二</w:t>
      </w:r>
      <w:r>
        <w:rPr>
          <w:rFonts w:hint="eastAsia"/>
          <w:color w:val="auto"/>
          <w:szCs w:val="24"/>
          <w:highlight w:val="none"/>
          <w:lang w:eastAsia="zh-CN"/>
        </w:rPr>
        <w:t>）</w:t>
      </w:r>
      <w:r>
        <w:rPr>
          <w:rFonts w:hint="eastAsia"/>
          <w:color w:val="auto"/>
          <w:szCs w:val="24"/>
          <w:highlight w:val="none"/>
        </w:rPr>
        <w:t>近年财务状况</w:t>
      </w:r>
      <w:bookmarkEnd w:id="2338"/>
      <w:r>
        <w:rPr>
          <w:rFonts w:hint="eastAsia"/>
          <w:color w:val="auto"/>
          <w:szCs w:val="24"/>
          <w:highlight w:val="none"/>
          <w:lang w:val="en-US" w:eastAsia="zh-CN"/>
        </w:rPr>
        <w:t>表</w:t>
      </w:r>
      <w:bookmarkEnd w:id="2339"/>
      <w:bookmarkEnd w:id="2340"/>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35"/>
        <w:gridCol w:w="791"/>
        <w:gridCol w:w="1474"/>
        <w:gridCol w:w="1474"/>
        <w:gridCol w:w="1474"/>
        <w:gridCol w:w="1474"/>
      </w:tblGrid>
      <w:tr w14:paraId="33156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6F2ACF96">
            <w:pPr>
              <w:jc w:val="center"/>
              <w:rPr>
                <w:rFonts w:ascii="宋体" w:hAnsi="宋体"/>
                <w:b/>
                <w:bCs/>
                <w:color w:val="auto"/>
                <w:szCs w:val="21"/>
                <w:highlight w:val="none"/>
              </w:rPr>
            </w:pPr>
            <w:r>
              <w:rPr>
                <w:rFonts w:hint="eastAsia" w:ascii="宋体" w:hAnsi="宋体"/>
                <w:b/>
                <w:bCs/>
                <w:color w:val="auto"/>
                <w:szCs w:val="21"/>
                <w:highlight w:val="none"/>
              </w:rPr>
              <w:t>名称</w:t>
            </w:r>
          </w:p>
        </w:tc>
        <w:tc>
          <w:tcPr>
            <w:tcW w:w="815" w:type="dxa"/>
            <w:vAlign w:val="center"/>
          </w:tcPr>
          <w:p w14:paraId="15BFB14F">
            <w:pPr>
              <w:jc w:val="center"/>
              <w:rPr>
                <w:rFonts w:ascii="宋体" w:hAnsi="宋体"/>
                <w:b/>
                <w:bCs/>
                <w:color w:val="auto"/>
                <w:szCs w:val="21"/>
                <w:highlight w:val="none"/>
              </w:rPr>
            </w:pPr>
            <w:r>
              <w:rPr>
                <w:rFonts w:hint="eastAsia" w:ascii="宋体" w:hAnsi="宋体"/>
                <w:b/>
                <w:bCs/>
                <w:color w:val="auto"/>
                <w:szCs w:val="21"/>
                <w:highlight w:val="none"/>
              </w:rPr>
              <w:t>单位</w:t>
            </w:r>
          </w:p>
        </w:tc>
        <w:tc>
          <w:tcPr>
            <w:tcW w:w="1539" w:type="dxa"/>
            <w:vAlign w:val="center"/>
          </w:tcPr>
          <w:p w14:paraId="188B4D89">
            <w:pPr>
              <w:jc w:val="center"/>
              <w:rPr>
                <w:rFonts w:ascii="宋体" w:hAnsi="宋体"/>
                <w:b/>
                <w:bCs/>
                <w:color w:val="auto"/>
                <w:szCs w:val="21"/>
                <w:highlight w:val="none"/>
              </w:rPr>
            </w:pPr>
            <w:r>
              <w:rPr>
                <w:rFonts w:hint="eastAsia" w:ascii="宋体" w:hAnsi="宋体"/>
                <w:b/>
                <w:bCs/>
                <w:color w:val="auto"/>
                <w:szCs w:val="21"/>
                <w:highlight w:val="none"/>
              </w:rPr>
              <w:t>　</w:t>
            </w:r>
            <w:r>
              <w:rPr>
                <w:rFonts w:hint="eastAsia" w:ascii="宋体" w:hAnsi="宋体"/>
                <w:b/>
                <w:bCs/>
                <w:color w:val="auto"/>
                <w:szCs w:val="21"/>
                <w:highlight w:val="none"/>
                <w:u w:val="single"/>
              </w:rPr>
              <w:t>　　　</w:t>
            </w:r>
            <w:r>
              <w:rPr>
                <w:rFonts w:hint="eastAsia" w:ascii="宋体" w:hAnsi="宋体"/>
                <w:b/>
                <w:bCs/>
                <w:color w:val="auto"/>
                <w:szCs w:val="21"/>
                <w:highlight w:val="none"/>
              </w:rPr>
              <w:t>年</w:t>
            </w:r>
          </w:p>
        </w:tc>
        <w:tc>
          <w:tcPr>
            <w:tcW w:w="1539" w:type="dxa"/>
            <w:vAlign w:val="center"/>
          </w:tcPr>
          <w:p w14:paraId="6F46D21C">
            <w:pPr>
              <w:jc w:val="center"/>
              <w:rPr>
                <w:rFonts w:ascii="宋体" w:hAnsi="宋体"/>
                <w:b/>
                <w:bCs/>
                <w:color w:val="auto"/>
                <w:szCs w:val="21"/>
                <w:highlight w:val="none"/>
              </w:rPr>
            </w:pPr>
            <w:r>
              <w:rPr>
                <w:rFonts w:hint="eastAsia" w:ascii="宋体" w:hAnsi="宋体"/>
                <w:b/>
                <w:bCs/>
                <w:color w:val="auto"/>
                <w:szCs w:val="21"/>
                <w:highlight w:val="none"/>
              </w:rPr>
              <w:t>　</w:t>
            </w:r>
            <w:r>
              <w:rPr>
                <w:rFonts w:hint="eastAsia" w:ascii="宋体" w:hAnsi="宋体"/>
                <w:b/>
                <w:bCs/>
                <w:color w:val="auto"/>
                <w:szCs w:val="21"/>
                <w:highlight w:val="none"/>
                <w:u w:val="single"/>
              </w:rPr>
              <w:t>　　　</w:t>
            </w:r>
            <w:r>
              <w:rPr>
                <w:rFonts w:hint="eastAsia" w:ascii="宋体" w:hAnsi="宋体"/>
                <w:b/>
                <w:bCs/>
                <w:color w:val="auto"/>
                <w:szCs w:val="21"/>
                <w:highlight w:val="none"/>
              </w:rPr>
              <w:t>年</w:t>
            </w:r>
          </w:p>
        </w:tc>
        <w:tc>
          <w:tcPr>
            <w:tcW w:w="1539" w:type="dxa"/>
            <w:vAlign w:val="center"/>
          </w:tcPr>
          <w:p w14:paraId="57F15351">
            <w:pPr>
              <w:jc w:val="center"/>
              <w:rPr>
                <w:rFonts w:ascii="宋体" w:hAnsi="宋体"/>
                <w:b/>
                <w:bCs/>
                <w:color w:val="auto"/>
                <w:szCs w:val="21"/>
                <w:highlight w:val="none"/>
              </w:rPr>
            </w:pPr>
            <w:r>
              <w:rPr>
                <w:rFonts w:hint="eastAsia" w:ascii="宋体" w:hAnsi="宋体"/>
                <w:b/>
                <w:bCs/>
                <w:color w:val="auto"/>
                <w:szCs w:val="21"/>
                <w:highlight w:val="none"/>
                <w:u w:val="single"/>
              </w:rPr>
              <w:t>　　　</w:t>
            </w:r>
            <w:r>
              <w:rPr>
                <w:rFonts w:hint="eastAsia" w:ascii="宋体" w:hAnsi="宋体"/>
                <w:b/>
                <w:bCs/>
                <w:color w:val="auto"/>
                <w:szCs w:val="21"/>
                <w:highlight w:val="none"/>
              </w:rPr>
              <w:t>年</w:t>
            </w:r>
          </w:p>
        </w:tc>
        <w:tc>
          <w:tcPr>
            <w:tcW w:w="1539" w:type="dxa"/>
            <w:vAlign w:val="center"/>
          </w:tcPr>
          <w:p w14:paraId="68D87CAF">
            <w:pPr>
              <w:jc w:val="center"/>
              <w:rPr>
                <w:rFonts w:ascii="宋体" w:hAnsi="宋体"/>
                <w:b/>
                <w:bCs/>
                <w:color w:val="auto"/>
                <w:szCs w:val="21"/>
                <w:highlight w:val="none"/>
              </w:rPr>
            </w:pPr>
            <w:r>
              <w:rPr>
                <w:rFonts w:hint="eastAsia" w:ascii="宋体" w:hAnsi="宋体"/>
                <w:b/>
                <w:bCs/>
                <w:color w:val="auto"/>
                <w:szCs w:val="21"/>
                <w:highlight w:val="none"/>
              </w:rPr>
              <w:t>近年平均值　</w:t>
            </w:r>
          </w:p>
        </w:tc>
      </w:tr>
      <w:tr w14:paraId="326BE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591A55A8">
            <w:pPr>
              <w:rPr>
                <w:rFonts w:ascii="宋体" w:hAnsi="宋体"/>
                <w:color w:val="auto"/>
                <w:szCs w:val="21"/>
                <w:highlight w:val="none"/>
              </w:rPr>
            </w:pPr>
            <w:r>
              <w:rPr>
                <w:rFonts w:hint="eastAsia" w:ascii="宋体" w:hAnsi="宋体"/>
                <w:color w:val="auto"/>
                <w:szCs w:val="21"/>
                <w:highlight w:val="none"/>
              </w:rPr>
              <w:t>一．注册资金</w:t>
            </w:r>
          </w:p>
        </w:tc>
        <w:tc>
          <w:tcPr>
            <w:tcW w:w="815" w:type="dxa"/>
            <w:vAlign w:val="center"/>
          </w:tcPr>
          <w:p w14:paraId="74A9133D">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197250DF">
            <w:pPr>
              <w:jc w:val="center"/>
              <w:rPr>
                <w:rFonts w:ascii="宋体" w:hAnsi="宋体"/>
                <w:color w:val="auto"/>
                <w:szCs w:val="21"/>
                <w:highlight w:val="none"/>
              </w:rPr>
            </w:pPr>
          </w:p>
        </w:tc>
        <w:tc>
          <w:tcPr>
            <w:tcW w:w="1539" w:type="dxa"/>
            <w:vAlign w:val="center"/>
          </w:tcPr>
          <w:p w14:paraId="0445E075">
            <w:pPr>
              <w:jc w:val="center"/>
              <w:rPr>
                <w:rFonts w:ascii="宋体" w:hAnsi="宋体"/>
                <w:color w:val="auto"/>
                <w:szCs w:val="21"/>
                <w:highlight w:val="none"/>
              </w:rPr>
            </w:pPr>
          </w:p>
        </w:tc>
        <w:tc>
          <w:tcPr>
            <w:tcW w:w="1539" w:type="dxa"/>
            <w:vAlign w:val="center"/>
          </w:tcPr>
          <w:p w14:paraId="3B057928">
            <w:pPr>
              <w:jc w:val="center"/>
              <w:rPr>
                <w:rFonts w:ascii="宋体" w:hAnsi="宋体"/>
                <w:color w:val="auto"/>
                <w:szCs w:val="21"/>
                <w:highlight w:val="none"/>
              </w:rPr>
            </w:pPr>
          </w:p>
        </w:tc>
        <w:tc>
          <w:tcPr>
            <w:tcW w:w="1539" w:type="dxa"/>
            <w:vAlign w:val="center"/>
          </w:tcPr>
          <w:p w14:paraId="2F6F1BA9">
            <w:pPr>
              <w:jc w:val="center"/>
              <w:rPr>
                <w:rFonts w:ascii="宋体" w:hAnsi="宋体"/>
                <w:color w:val="auto"/>
                <w:szCs w:val="21"/>
                <w:highlight w:val="none"/>
              </w:rPr>
            </w:pPr>
            <w:r>
              <w:rPr>
                <w:rFonts w:hint="eastAsia" w:ascii="宋体" w:hAnsi="宋体"/>
                <w:color w:val="auto"/>
                <w:szCs w:val="21"/>
                <w:highlight w:val="none"/>
              </w:rPr>
              <w:t>-</w:t>
            </w:r>
          </w:p>
        </w:tc>
      </w:tr>
      <w:tr w14:paraId="39A47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30357164">
            <w:pPr>
              <w:rPr>
                <w:rFonts w:ascii="宋体" w:hAnsi="宋体"/>
                <w:color w:val="auto"/>
                <w:szCs w:val="21"/>
                <w:highlight w:val="none"/>
              </w:rPr>
            </w:pPr>
            <w:r>
              <w:rPr>
                <w:rFonts w:hint="eastAsia" w:ascii="宋体" w:hAnsi="宋体"/>
                <w:color w:val="auto"/>
                <w:szCs w:val="21"/>
                <w:highlight w:val="none"/>
              </w:rPr>
              <w:t>二．净资产</w:t>
            </w:r>
          </w:p>
        </w:tc>
        <w:tc>
          <w:tcPr>
            <w:tcW w:w="815" w:type="dxa"/>
            <w:vAlign w:val="center"/>
          </w:tcPr>
          <w:p w14:paraId="3DABF051">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3ED2BABC">
            <w:pPr>
              <w:jc w:val="center"/>
              <w:rPr>
                <w:rFonts w:ascii="宋体" w:hAnsi="宋体"/>
                <w:color w:val="auto"/>
                <w:szCs w:val="21"/>
                <w:highlight w:val="none"/>
              </w:rPr>
            </w:pPr>
          </w:p>
        </w:tc>
        <w:tc>
          <w:tcPr>
            <w:tcW w:w="1539" w:type="dxa"/>
            <w:vAlign w:val="center"/>
          </w:tcPr>
          <w:p w14:paraId="762ADCE1">
            <w:pPr>
              <w:jc w:val="center"/>
              <w:rPr>
                <w:rFonts w:ascii="宋体" w:hAnsi="宋体"/>
                <w:color w:val="auto"/>
                <w:szCs w:val="21"/>
                <w:highlight w:val="none"/>
              </w:rPr>
            </w:pPr>
          </w:p>
        </w:tc>
        <w:tc>
          <w:tcPr>
            <w:tcW w:w="1539" w:type="dxa"/>
            <w:vAlign w:val="center"/>
          </w:tcPr>
          <w:p w14:paraId="04C7798D">
            <w:pPr>
              <w:jc w:val="center"/>
              <w:rPr>
                <w:rFonts w:ascii="宋体" w:hAnsi="宋体"/>
                <w:color w:val="auto"/>
                <w:szCs w:val="21"/>
                <w:highlight w:val="none"/>
              </w:rPr>
            </w:pPr>
          </w:p>
        </w:tc>
        <w:tc>
          <w:tcPr>
            <w:tcW w:w="1539" w:type="dxa"/>
            <w:vAlign w:val="center"/>
          </w:tcPr>
          <w:p w14:paraId="71CA495C">
            <w:pPr>
              <w:jc w:val="center"/>
              <w:rPr>
                <w:rFonts w:ascii="宋体" w:hAnsi="宋体"/>
                <w:color w:val="auto"/>
                <w:szCs w:val="21"/>
                <w:highlight w:val="none"/>
              </w:rPr>
            </w:pPr>
            <w:r>
              <w:rPr>
                <w:rFonts w:hint="eastAsia" w:ascii="宋体" w:hAnsi="宋体"/>
                <w:color w:val="auto"/>
                <w:szCs w:val="21"/>
                <w:highlight w:val="none"/>
              </w:rPr>
              <w:t>-</w:t>
            </w:r>
          </w:p>
        </w:tc>
      </w:tr>
      <w:tr w14:paraId="702AD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19250352">
            <w:pPr>
              <w:rPr>
                <w:rFonts w:ascii="宋体" w:hAnsi="宋体"/>
                <w:color w:val="auto"/>
                <w:szCs w:val="21"/>
                <w:highlight w:val="none"/>
              </w:rPr>
            </w:pPr>
            <w:r>
              <w:rPr>
                <w:rFonts w:hint="eastAsia" w:ascii="宋体" w:hAnsi="宋体"/>
                <w:color w:val="auto"/>
                <w:szCs w:val="21"/>
                <w:highlight w:val="none"/>
              </w:rPr>
              <w:t>三．总资产</w:t>
            </w:r>
          </w:p>
        </w:tc>
        <w:tc>
          <w:tcPr>
            <w:tcW w:w="815" w:type="dxa"/>
            <w:vAlign w:val="center"/>
          </w:tcPr>
          <w:p w14:paraId="41DA5591">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4D207C70">
            <w:pPr>
              <w:jc w:val="center"/>
              <w:rPr>
                <w:rFonts w:ascii="宋体" w:hAnsi="宋体"/>
                <w:color w:val="auto"/>
                <w:szCs w:val="21"/>
                <w:highlight w:val="none"/>
              </w:rPr>
            </w:pPr>
          </w:p>
        </w:tc>
        <w:tc>
          <w:tcPr>
            <w:tcW w:w="1539" w:type="dxa"/>
            <w:vAlign w:val="center"/>
          </w:tcPr>
          <w:p w14:paraId="452079B9">
            <w:pPr>
              <w:jc w:val="center"/>
              <w:rPr>
                <w:rFonts w:ascii="宋体" w:hAnsi="宋体"/>
                <w:color w:val="auto"/>
                <w:szCs w:val="21"/>
                <w:highlight w:val="none"/>
              </w:rPr>
            </w:pPr>
          </w:p>
        </w:tc>
        <w:tc>
          <w:tcPr>
            <w:tcW w:w="1539" w:type="dxa"/>
            <w:vAlign w:val="center"/>
          </w:tcPr>
          <w:p w14:paraId="323552BA">
            <w:pPr>
              <w:jc w:val="center"/>
              <w:rPr>
                <w:rFonts w:ascii="宋体" w:hAnsi="宋体"/>
                <w:color w:val="auto"/>
                <w:szCs w:val="21"/>
                <w:highlight w:val="none"/>
              </w:rPr>
            </w:pPr>
          </w:p>
        </w:tc>
        <w:tc>
          <w:tcPr>
            <w:tcW w:w="1539" w:type="dxa"/>
            <w:vAlign w:val="center"/>
          </w:tcPr>
          <w:p w14:paraId="3B2DDDA7">
            <w:pPr>
              <w:jc w:val="center"/>
              <w:rPr>
                <w:rFonts w:ascii="宋体" w:hAnsi="宋体"/>
                <w:color w:val="auto"/>
                <w:szCs w:val="21"/>
                <w:highlight w:val="none"/>
              </w:rPr>
            </w:pPr>
          </w:p>
        </w:tc>
      </w:tr>
      <w:tr w14:paraId="1026F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394C0D59">
            <w:pPr>
              <w:rPr>
                <w:rFonts w:ascii="宋体" w:hAnsi="宋体"/>
                <w:color w:val="auto"/>
                <w:szCs w:val="21"/>
                <w:highlight w:val="none"/>
              </w:rPr>
            </w:pPr>
            <w:r>
              <w:rPr>
                <w:rFonts w:hint="eastAsia" w:ascii="宋体" w:hAnsi="宋体"/>
                <w:color w:val="auto"/>
                <w:szCs w:val="21"/>
                <w:highlight w:val="none"/>
              </w:rPr>
              <w:t>四．固定资产</w:t>
            </w:r>
          </w:p>
        </w:tc>
        <w:tc>
          <w:tcPr>
            <w:tcW w:w="815" w:type="dxa"/>
            <w:vAlign w:val="center"/>
          </w:tcPr>
          <w:p w14:paraId="4CB3D62B">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5F263C4B">
            <w:pPr>
              <w:jc w:val="center"/>
              <w:rPr>
                <w:rFonts w:ascii="宋体" w:hAnsi="宋体"/>
                <w:color w:val="auto"/>
                <w:szCs w:val="21"/>
                <w:highlight w:val="none"/>
              </w:rPr>
            </w:pPr>
          </w:p>
        </w:tc>
        <w:tc>
          <w:tcPr>
            <w:tcW w:w="1539" w:type="dxa"/>
            <w:vAlign w:val="center"/>
          </w:tcPr>
          <w:p w14:paraId="2C965EE8">
            <w:pPr>
              <w:jc w:val="center"/>
              <w:rPr>
                <w:rFonts w:ascii="宋体" w:hAnsi="宋体"/>
                <w:color w:val="auto"/>
                <w:szCs w:val="21"/>
                <w:highlight w:val="none"/>
              </w:rPr>
            </w:pPr>
          </w:p>
        </w:tc>
        <w:tc>
          <w:tcPr>
            <w:tcW w:w="1539" w:type="dxa"/>
            <w:vAlign w:val="center"/>
          </w:tcPr>
          <w:p w14:paraId="190E8A84">
            <w:pPr>
              <w:jc w:val="center"/>
              <w:rPr>
                <w:rFonts w:ascii="宋体" w:hAnsi="宋体"/>
                <w:color w:val="auto"/>
                <w:szCs w:val="21"/>
                <w:highlight w:val="none"/>
              </w:rPr>
            </w:pPr>
          </w:p>
        </w:tc>
        <w:tc>
          <w:tcPr>
            <w:tcW w:w="1539" w:type="dxa"/>
            <w:vAlign w:val="center"/>
          </w:tcPr>
          <w:p w14:paraId="04C4AD69">
            <w:pPr>
              <w:jc w:val="center"/>
              <w:rPr>
                <w:rFonts w:ascii="宋体" w:hAnsi="宋体"/>
                <w:color w:val="auto"/>
                <w:szCs w:val="21"/>
                <w:highlight w:val="none"/>
              </w:rPr>
            </w:pPr>
            <w:r>
              <w:rPr>
                <w:rFonts w:hint="eastAsia" w:ascii="宋体" w:hAnsi="宋体"/>
                <w:color w:val="auto"/>
                <w:szCs w:val="21"/>
                <w:highlight w:val="none"/>
              </w:rPr>
              <w:t>-</w:t>
            </w:r>
          </w:p>
        </w:tc>
      </w:tr>
      <w:tr w14:paraId="67C61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0962AD55">
            <w:pPr>
              <w:rPr>
                <w:rFonts w:ascii="宋体" w:hAnsi="宋体"/>
                <w:color w:val="auto"/>
                <w:szCs w:val="21"/>
                <w:highlight w:val="none"/>
              </w:rPr>
            </w:pPr>
            <w:r>
              <w:rPr>
                <w:rFonts w:hint="eastAsia" w:ascii="宋体" w:hAnsi="宋体"/>
                <w:color w:val="auto"/>
                <w:szCs w:val="21"/>
                <w:highlight w:val="none"/>
              </w:rPr>
              <w:t>五．流动资产</w:t>
            </w:r>
          </w:p>
        </w:tc>
        <w:tc>
          <w:tcPr>
            <w:tcW w:w="815" w:type="dxa"/>
            <w:vAlign w:val="center"/>
          </w:tcPr>
          <w:p w14:paraId="73AFEBF9">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44154E7C">
            <w:pPr>
              <w:jc w:val="center"/>
              <w:rPr>
                <w:rFonts w:ascii="宋体" w:hAnsi="宋体"/>
                <w:color w:val="auto"/>
                <w:szCs w:val="21"/>
                <w:highlight w:val="none"/>
              </w:rPr>
            </w:pPr>
          </w:p>
        </w:tc>
        <w:tc>
          <w:tcPr>
            <w:tcW w:w="1539" w:type="dxa"/>
            <w:vAlign w:val="center"/>
          </w:tcPr>
          <w:p w14:paraId="2FC30FD3">
            <w:pPr>
              <w:jc w:val="center"/>
              <w:rPr>
                <w:rFonts w:ascii="宋体" w:hAnsi="宋体"/>
                <w:color w:val="auto"/>
                <w:szCs w:val="21"/>
                <w:highlight w:val="none"/>
              </w:rPr>
            </w:pPr>
          </w:p>
        </w:tc>
        <w:tc>
          <w:tcPr>
            <w:tcW w:w="1539" w:type="dxa"/>
            <w:vAlign w:val="center"/>
          </w:tcPr>
          <w:p w14:paraId="290A95C4">
            <w:pPr>
              <w:jc w:val="center"/>
              <w:rPr>
                <w:rFonts w:ascii="宋体" w:hAnsi="宋体"/>
                <w:color w:val="auto"/>
                <w:szCs w:val="21"/>
                <w:highlight w:val="none"/>
              </w:rPr>
            </w:pPr>
          </w:p>
        </w:tc>
        <w:tc>
          <w:tcPr>
            <w:tcW w:w="1539" w:type="dxa"/>
            <w:vAlign w:val="center"/>
          </w:tcPr>
          <w:p w14:paraId="301AC630">
            <w:pPr>
              <w:jc w:val="center"/>
              <w:rPr>
                <w:rFonts w:ascii="宋体" w:hAnsi="宋体"/>
                <w:color w:val="auto"/>
                <w:szCs w:val="21"/>
                <w:highlight w:val="none"/>
              </w:rPr>
            </w:pPr>
          </w:p>
        </w:tc>
      </w:tr>
      <w:tr w14:paraId="50F2B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7E1C6906">
            <w:pPr>
              <w:rPr>
                <w:rFonts w:ascii="宋体" w:hAnsi="宋体"/>
                <w:color w:val="auto"/>
                <w:szCs w:val="21"/>
                <w:highlight w:val="none"/>
              </w:rPr>
            </w:pPr>
            <w:r>
              <w:rPr>
                <w:rFonts w:hint="eastAsia" w:ascii="宋体" w:hAnsi="宋体"/>
                <w:color w:val="auto"/>
                <w:szCs w:val="21"/>
                <w:highlight w:val="none"/>
              </w:rPr>
              <w:t>六．流动负债</w:t>
            </w:r>
          </w:p>
        </w:tc>
        <w:tc>
          <w:tcPr>
            <w:tcW w:w="815" w:type="dxa"/>
            <w:vAlign w:val="center"/>
          </w:tcPr>
          <w:p w14:paraId="658206FD">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174B095B">
            <w:pPr>
              <w:jc w:val="center"/>
              <w:rPr>
                <w:rFonts w:ascii="宋体" w:hAnsi="宋体"/>
                <w:color w:val="auto"/>
                <w:szCs w:val="21"/>
                <w:highlight w:val="none"/>
              </w:rPr>
            </w:pPr>
          </w:p>
        </w:tc>
        <w:tc>
          <w:tcPr>
            <w:tcW w:w="1539" w:type="dxa"/>
            <w:vAlign w:val="center"/>
          </w:tcPr>
          <w:p w14:paraId="4A781A7E">
            <w:pPr>
              <w:jc w:val="center"/>
              <w:rPr>
                <w:rFonts w:ascii="宋体" w:hAnsi="宋体"/>
                <w:color w:val="auto"/>
                <w:szCs w:val="21"/>
                <w:highlight w:val="none"/>
              </w:rPr>
            </w:pPr>
          </w:p>
        </w:tc>
        <w:tc>
          <w:tcPr>
            <w:tcW w:w="1539" w:type="dxa"/>
            <w:vAlign w:val="center"/>
          </w:tcPr>
          <w:p w14:paraId="2553009D">
            <w:pPr>
              <w:jc w:val="center"/>
              <w:rPr>
                <w:rFonts w:ascii="宋体" w:hAnsi="宋体"/>
                <w:color w:val="auto"/>
                <w:szCs w:val="21"/>
                <w:highlight w:val="none"/>
              </w:rPr>
            </w:pPr>
          </w:p>
        </w:tc>
        <w:tc>
          <w:tcPr>
            <w:tcW w:w="1539" w:type="dxa"/>
            <w:vAlign w:val="center"/>
          </w:tcPr>
          <w:p w14:paraId="40272DCE">
            <w:pPr>
              <w:jc w:val="center"/>
              <w:rPr>
                <w:rFonts w:ascii="宋体" w:hAnsi="宋体"/>
                <w:color w:val="auto"/>
                <w:szCs w:val="21"/>
                <w:highlight w:val="none"/>
              </w:rPr>
            </w:pPr>
          </w:p>
        </w:tc>
      </w:tr>
      <w:tr w14:paraId="40152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2F0416AE">
            <w:pPr>
              <w:rPr>
                <w:rFonts w:ascii="宋体" w:hAnsi="宋体"/>
                <w:color w:val="auto"/>
                <w:szCs w:val="21"/>
                <w:highlight w:val="none"/>
              </w:rPr>
            </w:pPr>
            <w:r>
              <w:rPr>
                <w:rFonts w:hint="eastAsia" w:ascii="宋体" w:hAnsi="宋体"/>
                <w:color w:val="auto"/>
                <w:szCs w:val="21"/>
                <w:highlight w:val="none"/>
              </w:rPr>
              <w:t>七．负债合计</w:t>
            </w:r>
          </w:p>
        </w:tc>
        <w:tc>
          <w:tcPr>
            <w:tcW w:w="815" w:type="dxa"/>
            <w:vAlign w:val="center"/>
          </w:tcPr>
          <w:p w14:paraId="25D56740">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1ACB3DD7">
            <w:pPr>
              <w:jc w:val="center"/>
              <w:rPr>
                <w:rFonts w:ascii="宋体" w:hAnsi="宋体"/>
                <w:color w:val="auto"/>
                <w:szCs w:val="21"/>
                <w:highlight w:val="none"/>
              </w:rPr>
            </w:pPr>
          </w:p>
        </w:tc>
        <w:tc>
          <w:tcPr>
            <w:tcW w:w="1539" w:type="dxa"/>
            <w:vAlign w:val="center"/>
          </w:tcPr>
          <w:p w14:paraId="1AB318E2">
            <w:pPr>
              <w:jc w:val="center"/>
              <w:rPr>
                <w:rFonts w:ascii="宋体" w:hAnsi="宋体"/>
                <w:color w:val="auto"/>
                <w:szCs w:val="21"/>
                <w:highlight w:val="none"/>
              </w:rPr>
            </w:pPr>
          </w:p>
        </w:tc>
        <w:tc>
          <w:tcPr>
            <w:tcW w:w="1539" w:type="dxa"/>
            <w:vAlign w:val="center"/>
          </w:tcPr>
          <w:p w14:paraId="18D17612">
            <w:pPr>
              <w:jc w:val="center"/>
              <w:rPr>
                <w:rFonts w:ascii="宋体" w:hAnsi="宋体"/>
                <w:color w:val="auto"/>
                <w:szCs w:val="21"/>
                <w:highlight w:val="none"/>
              </w:rPr>
            </w:pPr>
          </w:p>
        </w:tc>
        <w:tc>
          <w:tcPr>
            <w:tcW w:w="1539" w:type="dxa"/>
            <w:vAlign w:val="center"/>
          </w:tcPr>
          <w:p w14:paraId="2A122519">
            <w:pPr>
              <w:jc w:val="center"/>
              <w:rPr>
                <w:rFonts w:ascii="宋体" w:hAnsi="宋体"/>
                <w:color w:val="auto"/>
                <w:szCs w:val="21"/>
                <w:highlight w:val="none"/>
              </w:rPr>
            </w:pPr>
          </w:p>
        </w:tc>
      </w:tr>
      <w:tr w14:paraId="00EFA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1FB979C3">
            <w:pPr>
              <w:rPr>
                <w:rFonts w:ascii="宋体" w:hAnsi="宋体"/>
                <w:color w:val="auto"/>
                <w:szCs w:val="21"/>
                <w:highlight w:val="none"/>
              </w:rPr>
            </w:pPr>
            <w:r>
              <w:rPr>
                <w:rFonts w:hint="eastAsia" w:ascii="宋体" w:hAnsi="宋体"/>
                <w:color w:val="auto"/>
                <w:szCs w:val="21"/>
                <w:highlight w:val="none"/>
              </w:rPr>
              <w:t>八．营业收入</w:t>
            </w:r>
          </w:p>
        </w:tc>
        <w:tc>
          <w:tcPr>
            <w:tcW w:w="815" w:type="dxa"/>
            <w:vAlign w:val="center"/>
          </w:tcPr>
          <w:p w14:paraId="2BBB91C8">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1A5065B6">
            <w:pPr>
              <w:jc w:val="center"/>
              <w:rPr>
                <w:rFonts w:ascii="宋体" w:hAnsi="宋体"/>
                <w:color w:val="auto"/>
                <w:szCs w:val="21"/>
                <w:highlight w:val="none"/>
              </w:rPr>
            </w:pPr>
          </w:p>
        </w:tc>
        <w:tc>
          <w:tcPr>
            <w:tcW w:w="1539" w:type="dxa"/>
            <w:vAlign w:val="center"/>
          </w:tcPr>
          <w:p w14:paraId="7398A025">
            <w:pPr>
              <w:jc w:val="center"/>
              <w:rPr>
                <w:rFonts w:ascii="宋体" w:hAnsi="宋体"/>
                <w:color w:val="auto"/>
                <w:szCs w:val="21"/>
                <w:highlight w:val="none"/>
              </w:rPr>
            </w:pPr>
          </w:p>
        </w:tc>
        <w:tc>
          <w:tcPr>
            <w:tcW w:w="1539" w:type="dxa"/>
            <w:vAlign w:val="center"/>
          </w:tcPr>
          <w:p w14:paraId="2BF6FF2E">
            <w:pPr>
              <w:jc w:val="center"/>
              <w:rPr>
                <w:rFonts w:ascii="宋体" w:hAnsi="宋体"/>
                <w:color w:val="auto"/>
                <w:szCs w:val="21"/>
                <w:highlight w:val="none"/>
              </w:rPr>
            </w:pPr>
          </w:p>
        </w:tc>
        <w:tc>
          <w:tcPr>
            <w:tcW w:w="1539" w:type="dxa"/>
            <w:vAlign w:val="center"/>
          </w:tcPr>
          <w:p w14:paraId="649BDEC4">
            <w:pPr>
              <w:jc w:val="center"/>
              <w:rPr>
                <w:rFonts w:ascii="宋体" w:hAnsi="宋体"/>
                <w:color w:val="auto"/>
                <w:szCs w:val="21"/>
                <w:highlight w:val="none"/>
              </w:rPr>
            </w:pPr>
          </w:p>
        </w:tc>
      </w:tr>
      <w:tr w14:paraId="3854F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7BF187E6">
            <w:pPr>
              <w:rPr>
                <w:rFonts w:ascii="宋体" w:hAnsi="宋体"/>
                <w:color w:val="auto"/>
                <w:szCs w:val="21"/>
                <w:highlight w:val="none"/>
              </w:rPr>
            </w:pPr>
            <w:r>
              <w:rPr>
                <w:rFonts w:hint="eastAsia" w:ascii="宋体" w:hAnsi="宋体"/>
                <w:color w:val="auto"/>
                <w:szCs w:val="21"/>
                <w:highlight w:val="none"/>
              </w:rPr>
              <w:t>九．净利润</w:t>
            </w:r>
          </w:p>
        </w:tc>
        <w:tc>
          <w:tcPr>
            <w:tcW w:w="815" w:type="dxa"/>
            <w:vAlign w:val="center"/>
          </w:tcPr>
          <w:p w14:paraId="3143AF96">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1BE65FE5">
            <w:pPr>
              <w:jc w:val="center"/>
              <w:rPr>
                <w:rFonts w:ascii="宋体" w:hAnsi="宋体"/>
                <w:color w:val="auto"/>
                <w:szCs w:val="21"/>
                <w:highlight w:val="none"/>
              </w:rPr>
            </w:pPr>
          </w:p>
        </w:tc>
        <w:tc>
          <w:tcPr>
            <w:tcW w:w="1539" w:type="dxa"/>
            <w:vAlign w:val="center"/>
          </w:tcPr>
          <w:p w14:paraId="208F70E5">
            <w:pPr>
              <w:jc w:val="center"/>
              <w:rPr>
                <w:rFonts w:ascii="宋体" w:hAnsi="宋体"/>
                <w:color w:val="auto"/>
                <w:szCs w:val="21"/>
                <w:highlight w:val="none"/>
              </w:rPr>
            </w:pPr>
          </w:p>
        </w:tc>
        <w:tc>
          <w:tcPr>
            <w:tcW w:w="1539" w:type="dxa"/>
            <w:vAlign w:val="center"/>
          </w:tcPr>
          <w:p w14:paraId="7FC47605">
            <w:pPr>
              <w:jc w:val="center"/>
              <w:rPr>
                <w:rFonts w:ascii="宋体" w:hAnsi="宋体"/>
                <w:color w:val="auto"/>
                <w:szCs w:val="21"/>
                <w:highlight w:val="none"/>
              </w:rPr>
            </w:pPr>
          </w:p>
        </w:tc>
        <w:tc>
          <w:tcPr>
            <w:tcW w:w="1539" w:type="dxa"/>
            <w:vAlign w:val="center"/>
          </w:tcPr>
          <w:p w14:paraId="35C8A800">
            <w:pPr>
              <w:jc w:val="center"/>
              <w:rPr>
                <w:rFonts w:ascii="宋体" w:hAnsi="宋体"/>
                <w:color w:val="auto"/>
                <w:szCs w:val="21"/>
                <w:highlight w:val="none"/>
              </w:rPr>
            </w:pPr>
            <w:r>
              <w:rPr>
                <w:rFonts w:hint="eastAsia" w:ascii="宋体" w:hAnsi="宋体"/>
                <w:color w:val="auto"/>
                <w:szCs w:val="21"/>
                <w:highlight w:val="none"/>
              </w:rPr>
              <w:t>-</w:t>
            </w:r>
          </w:p>
        </w:tc>
      </w:tr>
      <w:tr w14:paraId="101D4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24ED4BCE">
            <w:pPr>
              <w:rPr>
                <w:rFonts w:ascii="宋体" w:hAnsi="宋体"/>
                <w:color w:val="auto"/>
                <w:szCs w:val="21"/>
                <w:highlight w:val="none"/>
              </w:rPr>
            </w:pPr>
            <w:r>
              <w:rPr>
                <w:rFonts w:hint="eastAsia" w:ascii="宋体" w:hAnsi="宋体"/>
                <w:color w:val="auto"/>
                <w:szCs w:val="21"/>
                <w:highlight w:val="none"/>
              </w:rPr>
              <w:t>十．现金流量净额</w:t>
            </w:r>
          </w:p>
        </w:tc>
        <w:tc>
          <w:tcPr>
            <w:tcW w:w="815" w:type="dxa"/>
            <w:vAlign w:val="center"/>
          </w:tcPr>
          <w:p w14:paraId="5FBC9FF8">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16060F6A">
            <w:pPr>
              <w:jc w:val="center"/>
              <w:rPr>
                <w:rFonts w:ascii="宋体" w:hAnsi="宋体"/>
                <w:color w:val="auto"/>
                <w:szCs w:val="21"/>
                <w:highlight w:val="none"/>
              </w:rPr>
            </w:pPr>
          </w:p>
        </w:tc>
        <w:tc>
          <w:tcPr>
            <w:tcW w:w="1539" w:type="dxa"/>
            <w:vAlign w:val="center"/>
          </w:tcPr>
          <w:p w14:paraId="0D6616E4">
            <w:pPr>
              <w:jc w:val="center"/>
              <w:rPr>
                <w:rFonts w:ascii="宋体" w:hAnsi="宋体"/>
                <w:color w:val="auto"/>
                <w:szCs w:val="21"/>
                <w:highlight w:val="none"/>
              </w:rPr>
            </w:pPr>
          </w:p>
        </w:tc>
        <w:tc>
          <w:tcPr>
            <w:tcW w:w="1539" w:type="dxa"/>
            <w:vAlign w:val="center"/>
          </w:tcPr>
          <w:p w14:paraId="0A36A90B">
            <w:pPr>
              <w:jc w:val="center"/>
              <w:rPr>
                <w:rFonts w:ascii="宋体" w:hAnsi="宋体"/>
                <w:color w:val="auto"/>
                <w:szCs w:val="21"/>
                <w:highlight w:val="none"/>
              </w:rPr>
            </w:pPr>
          </w:p>
        </w:tc>
        <w:tc>
          <w:tcPr>
            <w:tcW w:w="1539" w:type="dxa"/>
            <w:vAlign w:val="center"/>
          </w:tcPr>
          <w:p w14:paraId="58E6BCF3">
            <w:pPr>
              <w:jc w:val="center"/>
              <w:rPr>
                <w:rFonts w:ascii="宋体" w:hAnsi="宋体"/>
                <w:color w:val="auto"/>
                <w:szCs w:val="21"/>
                <w:highlight w:val="none"/>
              </w:rPr>
            </w:pPr>
            <w:r>
              <w:rPr>
                <w:rFonts w:hint="eastAsia" w:ascii="宋体" w:hAnsi="宋体"/>
                <w:color w:val="auto"/>
                <w:szCs w:val="21"/>
                <w:highlight w:val="none"/>
              </w:rPr>
              <w:t>-</w:t>
            </w:r>
          </w:p>
        </w:tc>
      </w:tr>
      <w:tr w14:paraId="62334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6BCB6799">
            <w:pPr>
              <w:rPr>
                <w:rFonts w:ascii="宋体" w:hAnsi="宋体"/>
                <w:color w:val="auto"/>
                <w:szCs w:val="21"/>
                <w:highlight w:val="none"/>
              </w:rPr>
            </w:pPr>
            <w:r>
              <w:rPr>
                <w:rFonts w:hint="eastAsia" w:ascii="宋体" w:hAnsi="宋体"/>
                <w:color w:val="auto"/>
                <w:szCs w:val="21"/>
                <w:highlight w:val="none"/>
              </w:rPr>
              <w:t>十一．主要财务指标</w:t>
            </w:r>
          </w:p>
        </w:tc>
        <w:tc>
          <w:tcPr>
            <w:tcW w:w="815" w:type="dxa"/>
            <w:vAlign w:val="center"/>
          </w:tcPr>
          <w:p w14:paraId="2433EAB9">
            <w:pPr>
              <w:jc w:val="center"/>
              <w:rPr>
                <w:rFonts w:ascii="宋体" w:hAnsi="宋体"/>
                <w:color w:val="auto"/>
                <w:szCs w:val="21"/>
                <w:highlight w:val="none"/>
              </w:rPr>
            </w:pPr>
          </w:p>
        </w:tc>
        <w:tc>
          <w:tcPr>
            <w:tcW w:w="1539" w:type="dxa"/>
            <w:vAlign w:val="center"/>
          </w:tcPr>
          <w:p w14:paraId="03CBB506">
            <w:pPr>
              <w:jc w:val="center"/>
              <w:rPr>
                <w:rFonts w:ascii="宋体" w:hAnsi="宋体"/>
                <w:color w:val="auto"/>
                <w:szCs w:val="21"/>
                <w:highlight w:val="none"/>
              </w:rPr>
            </w:pPr>
          </w:p>
        </w:tc>
        <w:tc>
          <w:tcPr>
            <w:tcW w:w="1539" w:type="dxa"/>
            <w:vAlign w:val="center"/>
          </w:tcPr>
          <w:p w14:paraId="30BE5E1E">
            <w:pPr>
              <w:jc w:val="center"/>
              <w:rPr>
                <w:rFonts w:ascii="宋体" w:hAnsi="宋体"/>
                <w:color w:val="auto"/>
                <w:szCs w:val="21"/>
                <w:highlight w:val="none"/>
              </w:rPr>
            </w:pPr>
          </w:p>
        </w:tc>
        <w:tc>
          <w:tcPr>
            <w:tcW w:w="1539" w:type="dxa"/>
            <w:vAlign w:val="center"/>
          </w:tcPr>
          <w:p w14:paraId="628C80E5">
            <w:pPr>
              <w:jc w:val="center"/>
              <w:rPr>
                <w:rFonts w:ascii="宋体" w:hAnsi="宋体"/>
                <w:color w:val="auto"/>
                <w:szCs w:val="21"/>
                <w:highlight w:val="none"/>
              </w:rPr>
            </w:pPr>
          </w:p>
        </w:tc>
        <w:tc>
          <w:tcPr>
            <w:tcW w:w="1539" w:type="dxa"/>
            <w:vAlign w:val="center"/>
          </w:tcPr>
          <w:p w14:paraId="2812BF08">
            <w:pPr>
              <w:jc w:val="center"/>
              <w:rPr>
                <w:rFonts w:ascii="宋体" w:hAnsi="宋体"/>
                <w:color w:val="auto"/>
                <w:szCs w:val="21"/>
                <w:highlight w:val="none"/>
              </w:rPr>
            </w:pPr>
            <w:r>
              <w:rPr>
                <w:rFonts w:hint="eastAsia" w:ascii="宋体" w:hAnsi="宋体"/>
                <w:color w:val="auto"/>
                <w:szCs w:val="21"/>
                <w:highlight w:val="none"/>
              </w:rPr>
              <w:t>-</w:t>
            </w:r>
          </w:p>
        </w:tc>
      </w:tr>
      <w:tr w14:paraId="33577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34F665D6">
            <w:pPr>
              <w:rPr>
                <w:rFonts w:ascii="宋体" w:hAnsi="宋体"/>
                <w:color w:val="auto"/>
                <w:szCs w:val="21"/>
                <w:highlight w:val="none"/>
              </w:rPr>
            </w:pPr>
            <w:r>
              <w:rPr>
                <w:rFonts w:hint="eastAsia" w:ascii="宋体" w:hAnsi="宋体"/>
                <w:color w:val="auto"/>
                <w:szCs w:val="21"/>
                <w:highlight w:val="none"/>
              </w:rPr>
              <w:t>1．净资产收益率</w:t>
            </w:r>
          </w:p>
        </w:tc>
        <w:tc>
          <w:tcPr>
            <w:tcW w:w="815" w:type="dxa"/>
          </w:tcPr>
          <w:p w14:paraId="6C4F1C25">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14:paraId="4268249C">
            <w:pPr>
              <w:jc w:val="center"/>
              <w:rPr>
                <w:rFonts w:ascii="宋体" w:hAnsi="宋体"/>
                <w:color w:val="auto"/>
                <w:szCs w:val="21"/>
                <w:highlight w:val="none"/>
              </w:rPr>
            </w:pPr>
          </w:p>
        </w:tc>
        <w:tc>
          <w:tcPr>
            <w:tcW w:w="1539" w:type="dxa"/>
            <w:vAlign w:val="center"/>
          </w:tcPr>
          <w:p w14:paraId="016239D8">
            <w:pPr>
              <w:jc w:val="center"/>
              <w:rPr>
                <w:rFonts w:ascii="宋体" w:hAnsi="宋体"/>
                <w:color w:val="auto"/>
                <w:szCs w:val="21"/>
                <w:highlight w:val="none"/>
              </w:rPr>
            </w:pPr>
          </w:p>
        </w:tc>
        <w:tc>
          <w:tcPr>
            <w:tcW w:w="1539" w:type="dxa"/>
            <w:vAlign w:val="center"/>
          </w:tcPr>
          <w:p w14:paraId="4353A7E2">
            <w:pPr>
              <w:jc w:val="center"/>
              <w:rPr>
                <w:rFonts w:ascii="宋体" w:hAnsi="宋体"/>
                <w:color w:val="auto"/>
                <w:szCs w:val="21"/>
                <w:highlight w:val="none"/>
              </w:rPr>
            </w:pPr>
          </w:p>
        </w:tc>
        <w:tc>
          <w:tcPr>
            <w:tcW w:w="1539" w:type="dxa"/>
            <w:vAlign w:val="center"/>
          </w:tcPr>
          <w:p w14:paraId="76A2B035">
            <w:pPr>
              <w:jc w:val="center"/>
              <w:rPr>
                <w:rFonts w:ascii="宋体" w:hAnsi="宋体"/>
                <w:color w:val="auto"/>
                <w:szCs w:val="21"/>
                <w:highlight w:val="none"/>
              </w:rPr>
            </w:pPr>
          </w:p>
        </w:tc>
      </w:tr>
      <w:tr w14:paraId="682BD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65DC6EAF">
            <w:pPr>
              <w:rPr>
                <w:rFonts w:ascii="宋体" w:hAnsi="宋体"/>
                <w:color w:val="auto"/>
                <w:szCs w:val="21"/>
                <w:highlight w:val="none"/>
              </w:rPr>
            </w:pPr>
            <w:r>
              <w:rPr>
                <w:rFonts w:hint="eastAsia" w:ascii="宋体" w:hAnsi="宋体"/>
                <w:color w:val="auto"/>
                <w:szCs w:val="21"/>
                <w:highlight w:val="none"/>
              </w:rPr>
              <w:t>2．总资产报酬率</w:t>
            </w:r>
          </w:p>
        </w:tc>
        <w:tc>
          <w:tcPr>
            <w:tcW w:w="815" w:type="dxa"/>
          </w:tcPr>
          <w:p w14:paraId="0E4545DA">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14:paraId="712E0965">
            <w:pPr>
              <w:jc w:val="center"/>
              <w:rPr>
                <w:rFonts w:ascii="宋体" w:hAnsi="宋体"/>
                <w:color w:val="auto"/>
                <w:szCs w:val="21"/>
                <w:highlight w:val="none"/>
              </w:rPr>
            </w:pPr>
          </w:p>
        </w:tc>
        <w:tc>
          <w:tcPr>
            <w:tcW w:w="1539" w:type="dxa"/>
            <w:vAlign w:val="center"/>
          </w:tcPr>
          <w:p w14:paraId="66F0CE36">
            <w:pPr>
              <w:jc w:val="center"/>
              <w:rPr>
                <w:rFonts w:ascii="宋体" w:hAnsi="宋体"/>
                <w:color w:val="auto"/>
                <w:szCs w:val="21"/>
                <w:highlight w:val="none"/>
              </w:rPr>
            </w:pPr>
          </w:p>
        </w:tc>
        <w:tc>
          <w:tcPr>
            <w:tcW w:w="1539" w:type="dxa"/>
            <w:vAlign w:val="center"/>
          </w:tcPr>
          <w:p w14:paraId="66BFE261">
            <w:pPr>
              <w:jc w:val="center"/>
              <w:rPr>
                <w:rFonts w:ascii="宋体" w:hAnsi="宋体"/>
                <w:color w:val="auto"/>
                <w:szCs w:val="21"/>
                <w:highlight w:val="none"/>
              </w:rPr>
            </w:pPr>
          </w:p>
        </w:tc>
        <w:tc>
          <w:tcPr>
            <w:tcW w:w="1539" w:type="dxa"/>
            <w:vAlign w:val="center"/>
          </w:tcPr>
          <w:p w14:paraId="23531E91">
            <w:pPr>
              <w:jc w:val="center"/>
              <w:rPr>
                <w:rFonts w:ascii="宋体" w:hAnsi="宋体"/>
                <w:color w:val="auto"/>
                <w:szCs w:val="21"/>
                <w:highlight w:val="none"/>
              </w:rPr>
            </w:pPr>
          </w:p>
        </w:tc>
      </w:tr>
      <w:tr w14:paraId="24E7A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649B1CBB">
            <w:pPr>
              <w:rPr>
                <w:rFonts w:ascii="宋体" w:hAnsi="宋体"/>
                <w:color w:val="auto"/>
                <w:szCs w:val="21"/>
                <w:highlight w:val="none"/>
              </w:rPr>
            </w:pPr>
            <w:r>
              <w:rPr>
                <w:rFonts w:hint="eastAsia" w:ascii="宋体" w:hAnsi="宋体"/>
                <w:color w:val="auto"/>
                <w:szCs w:val="21"/>
                <w:highlight w:val="none"/>
              </w:rPr>
              <w:t>3．主营业务利润率</w:t>
            </w:r>
          </w:p>
        </w:tc>
        <w:tc>
          <w:tcPr>
            <w:tcW w:w="815" w:type="dxa"/>
          </w:tcPr>
          <w:p w14:paraId="367938A9">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14:paraId="729E0BCF">
            <w:pPr>
              <w:jc w:val="center"/>
              <w:rPr>
                <w:rFonts w:ascii="宋体" w:hAnsi="宋体"/>
                <w:color w:val="auto"/>
                <w:szCs w:val="21"/>
                <w:highlight w:val="none"/>
              </w:rPr>
            </w:pPr>
          </w:p>
        </w:tc>
        <w:tc>
          <w:tcPr>
            <w:tcW w:w="1539" w:type="dxa"/>
            <w:vAlign w:val="center"/>
          </w:tcPr>
          <w:p w14:paraId="0AF27CC9">
            <w:pPr>
              <w:jc w:val="center"/>
              <w:rPr>
                <w:rFonts w:ascii="宋体" w:hAnsi="宋体"/>
                <w:color w:val="auto"/>
                <w:szCs w:val="21"/>
                <w:highlight w:val="none"/>
              </w:rPr>
            </w:pPr>
          </w:p>
        </w:tc>
        <w:tc>
          <w:tcPr>
            <w:tcW w:w="1539" w:type="dxa"/>
            <w:vAlign w:val="center"/>
          </w:tcPr>
          <w:p w14:paraId="6CC571C3">
            <w:pPr>
              <w:jc w:val="center"/>
              <w:rPr>
                <w:rFonts w:ascii="宋体" w:hAnsi="宋体"/>
                <w:color w:val="auto"/>
                <w:szCs w:val="21"/>
                <w:highlight w:val="none"/>
              </w:rPr>
            </w:pPr>
          </w:p>
        </w:tc>
        <w:tc>
          <w:tcPr>
            <w:tcW w:w="1539" w:type="dxa"/>
            <w:vAlign w:val="center"/>
          </w:tcPr>
          <w:p w14:paraId="4BDA2C35">
            <w:pPr>
              <w:jc w:val="center"/>
              <w:rPr>
                <w:rFonts w:ascii="宋体" w:hAnsi="宋体"/>
                <w:color w:val="auto"/>
                <w:szCs w:val="21"/>
                <w:highlight w:val="none"/>
              </w:rPr>
            </w:pPr>
            <w:r>
              <w:rPr>
                <w:rFonts w:hint="eastAsia" w:ascii="宋体" w:hAnsi="宋体"/>
                <w:color w:val="auto"/>
                <w:szCs w:val="21"/>
                <w:highlight w:val="none"/>
              </w:rPr>
              <w:t>-</w:t>
            </w:r>
          </w:p>
        </w:tc>
      </w:tr>
      <w:tr w14:paraId="73129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77F72A7E">
            <w:pPr>
              <w:rPr>
                <w:rFonts w:ascii="宋体" w:hAnsi="宋体"/>
                <w:color w:val="auto"/>
                <w:szCs w:val="21"/>
                <w:highlight w:val="none"/>
              </w:rPr>
            </w:pPr>
            <w:r>
              <w:rPr>
                <w:rFonts w:hint="eastAsia" w:ascii="宋体" w:hAnsi="宋体"/>
                <w:color w:val="auto"/>
                <w:szCs w:val="21"/>
                <w:highlight w:val="none"/>
              </w:rPr>
              <w:t>4．资产负债率</w:t>
            </w:r>
          </w:p>
        </w:tc>
        <w:tc>
          <w:tcPr>
            <w:tcW w:w="815" w:type="dxa"/>
          </w:tcPr>
          <w:p w14:paraId="4B677F7A">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14:paraId="3B197064">
            <w:pPr>
              <w:jc w:val="center"/>
              <w:rPr>
                <w:rFonts w:ascii="宋体" w:hAnsi="宋体"/>
                <w:color w:val="auto"/>
                <w:szCs w:val="21"/>
                <w:highlight w:val="none"/>
              </w:rPr>
            </w:pPr>
          </w:p>
        </w:tc>
        <w:tc>
          <w:tcPr>
            <w:tcW w:w="1539" w:type="dxa"/>
            <w:vAlign w:val="center"/>
          </w:tcPr>
          <w:p w14:paraId="42E516BF">
            <w:pPr>
              <w:jc w:val="center"/>
              <w:rPr>
                <w:rFonts w:ascii="宋体" w:hAnsi="宋体"/>
                <w:color w:val="auto"/>
                <w:szCs w:val="21"/>
                <w:highlight w:val="none"/>
              </w:rPr>
            </w:pPr>
          </w:p>
        </w:tc>
        <w:tc>
          <w:tcPr>
            <w:tcW w:w="1539" w:type="dxa"/>
            <w:vAlign w:val="center"/>
          </w:tcPr>
          <w:p w14:paraId="6121F682">
            <w:pPr>
              <w:jc w:val="center"/>
              <w:rPr>
                <w:rFonts w:ascii="宋体" w:hAnsi="宋体"/>
                <w:color w:val="auto"/>
                <w:szCs w:val="21"/>
                <w:highlight w:val="none"/>
              </w:rPr>
            </w:pPr>
          </w:p>
        </w:tc>
        <w:tc>
          <w:tcPr>
            <w:tcW w:w="1539" w:type="dxa"/>
            <w:vAlign w:val="center"/>
          </w:tcPr>
          <w:p w14:paraId="459FA21D">
            <w:pPr>
              <w:jc w:val="center"/>
              <w:rPr>
                <w:rFonts w:ascii="宋体" w:hAnsi="宋体"/>
                <w:color w:val="auto"/>
                <w:szCs w:val="21"/>
                <w:highlight w:val="none"/>
              </w:rPr>
            </w:pPr>
          </w:p>
        </w:tc>
      </w:tr>
      <w:tr w14:paraId="54E5D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0F63FFAC">
            <w:pPr>
              <w:rPr>
                <w:rFonts w:ascii="宋体" w:hAnsi="宋体"/>
                <w:color w:val="auto"/>
                <w:szCs w:val="21"/>
                <w:highlight w:val="none"/>
              </w:rPr>
            </w:pPr>
            <w:r>
              <w:rPr>
                <w:rFonts w:hint="eastAsia" w:ascii="宋体" w:hAnsi="宋体"/>
                <w:color w:val="auto"/>
                <w:szCs w:val="21"/>
                <w:highlight w:val="none"/>
              </w:rPr>
              <w:t>5．流动比率</w:t>
            </w:r>
          </w:p>
        </w:tc>
        <w:tc>
          <w:tcPr>
            <w:tcW w:w="815" w:type="dxa"/>
          </w:tcPr>
          <w:p w14:paraId="30CC90D8">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14:paraId="2ABB101D">
            <w:pPr>
              <w:jc w:val="center"/>
              <w:rPr>
                <w:rFonts w:ascii="宋体" w:hAnsi="宋体"/>
                <w:color w:val="auto"/>
                <w:szCs w:val="21"/>
                <w:highlight w:val="none"/>
              </w:rPr>
            </w:pPr>
          </w:p>
        </w:tc>
        <w:tc>
          <w:tcPr>
            <w:tcW w:w="1539" w:type="dxa"/>
            <w:vAlign w:val="center"/>
          </w:tcPr>
          <w:p w14:paraId="21296F7B">
            <w:pPr>
              <w:jc w:val="center"/>
              <w:rPr>
                <w:rFonts w:ascii="宋体" w:hAnsi="宋体"/>
                <w:color w:val="auto"/>
                <w:szCs w:val="21"/>
                <w:highlight w:val="none"/>
              </w:rPr>
            </w:pPr>
          </w:p>
        </w:tc>
        <w:tc>
          <w:tcPr>
            <w:tcW w:w="1539" w:type="dxa"/>
            <w:vAlign w:val="center"/>
          </w:tcPr>
          <w:p w14:paraId="3F1D54BD">
            <w:pPr>
              <w:jc w:val="center"/>
              <w:rPr>
                <w:rFonts w:ascii="宋体" w:hAnsi="宋体"/>
                <w:color w:val="auto"/>
                <w:szCs w:val="21"/>
                <w:highlight w:val="none"/>
              </w:rPr>
            </w:pPr>
          </w:p>
        </w:tc>
        <w:tc>
          <w:tcPr>
            <w:tcW w:w="1539" w:type="dxa"/>
            <w:vAlign w:val="center"/>
          </w:tcPr>
          <w:p w14:paraId="39AF668C">
            <w:pPr>
              <w:jc w:val="center"/>
              <w:rPr>
                <w:rFonts w:ascii="宋体" w:hAnsi="宋体"/>
                <w:color w:val="auto"/>
                <w:szCs w:val="21"/>
                <w:highlight w:val="none"/>
              </w:rPr>
            </w:pPr>
          </w:p>
        </w:tc>
      </w:tr>
      <w:tr w14:paraId="4292F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37C703BE">
            <w:pPr>
              <w:rPr>
                <w:rFonts w:ascii="宋体" w:hAnsi="宋体"/>
                <w:color w:val="auto"/>
                <w:szCs w:val="21"/>
                <w:highlight w:val="none"/>
              </w:rPr>
            </w:pPr>
            <w:r>
              <w:rPr>
                <w:rFonts w:hint="eastAsia" w:ascii="宋体" w:hAnsi="宋体"/>
                <w:color w:val="auto"/>
                <w:szCs w:val="21"/>
                <w:highlight w:val="none"/>
              </w:rPr>
              <w:t>6．速动比率</w:t>
            </w:r>
          </w:p>
        </w:tc>
        <w:tc>
          <w:tcPr>
            <w:tcW w:w="815" w:type="dxa"/>
          </w:tcPr>
          <w:p w14:paraId="2B08110C">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14:paraId="7BB00D3F">
            <w:pPr>
              <w:jc w:val="center"/>
              <w:rPr>
                <w:rFonts w:ascii="宋体" w:hAnsi="宋体"/>
                <w:color w:val="auto"/>
                <w:szCs w:val="21"/>
                <w:highlight w:val="none"/>
              </w:rPr>
            </w:pPr>
          </w:p>
        </w:tc>
        <w:tc>
          <w:tcPr>
            <w:tcW w:w="1539" w:type="dxa"/>
            <w:vAlign w:val="center"/>
          </w:tcPr>
          <w:p w14:paraId="02D9C6D1">
            <w:pPr>
              <w:jc w:val="center"/>
              <w:rPr>
                <w:rFonts w:ascii="宋体" w:hAnsi="宋体"/>
                <w:color w:val="auto"/>
                <w:szCs w:val="21"/>
                <w:highlight w:val="none"/>
              </w:rPr>
            </w:pPr>
          </w:p>
        </w:tc>
        <w:tc>
          <w:tcPr>
            <w:tcW w:w="1539" w:type="dxa"/>
            <w:vAlign w:val="center"/>
          </w:tcPr>
          <w:p w14:paraId="6CF2D90C">
            <w:pPr>
              <w:jc w:val="center"/>
              <w:rPr>
                <w:rFonts w:ascii="宋体" w:hAnsi="宋体"/>
                <w:color w:val="auto"/>
                <w:szCs w:val="21"/>
                <w:highlight w:val="none"/>
              </w:rPr>
            </w:pPr>
          </w:p>
        </w:tc>
        <w:tc>
          <w:tcPr>
            <w:tcW w:w="1539" w:type="dxa"/>
            <w:vAlign w:val="center"/>
          </w:tcPr>
          <w:p w14:paraId="459CB687">
            <w:pPr>
              <w:jc w:val="center"/>
              <w:rPr>
                <w:rFonts w:ascii="宋体" w:hAnsi="宋体"/>
                <w:color w:val="auto"/>
                <w:szCs w:val="21"/>
                <w:highlight w:val="none"/>
              </w:rPr>
            </w:pPr>
          </w:p>
        </w:tc>
      </w:tr>
    </w:tbl>
    <w:p w14:paraId="3E4ED674">
      <w:pPr>
        <w:autoSpaceDE w:val="0"/>
        <w:autoSpaceDN w:val="0"/>
        <w:adjustRightInd w:val="0"/>
        <w:snapToGrid w:val="0"/>
        <w:spacing w:line="325" w:lineRule="exact"/>
        <w:ind w:left="945" w:hanging="945" w:hangingChars="450"/>
        <w:rPr>
          <w:rFonts w:ascii="宋体" w:cs="宋体"/>
          <w:color w:val="auto"/>
          <w:kern w:val="0"/>
          <w:szCs w:val="21"/>
          <w:highlight w:val="none"/>
        </w:rPr>
      </w:pPr>
      <w:r>
        <w:rPr>
          <w:rFonts w:hint="eastAsia" w:ascii="黑体" w:hAnsi="宋体" w:eastAsia="黑体"/>
          <w:color w:val="auto"/>
          <w:szCs w:val="21"/>
          <w:highlight w:val="none"/>
        </w:rPr>
        <w:t>备注：</w:t>
      </w:r>
      <w:r>
        <w:rPr>
          <w:rFonts w:ascii="宋体" w:cs="宋体"/>
          <w:color w:val="auto"/>
          <w:kern w:val="0"/>
          <w:szCs w:val="21"/>
          <w:highlight w:val="none"/>
        </w:rPr>
        <w:t>1</w:t>
      </w:r>
      <w:r>
        <w:rPr>
          <w:rFonts w:hint="eastAsia" w:ascii="宋体" w:hAnsi="宋体"/>
          <w:color w:val="auto"/>
          <w:szCs w:val="21"/>
          <w:highlight w:val="none"/>
        </w:rPr>
        <w:t>.</w:t>
      </w:r>
      <w:r>
        <w:rPr>
          <w:rFonts w:hint="eastAsia" w:ascii="宋体" w:cs="宋体"/>
          <w:color w:val="auto"/>
          <w:kern w:val="0"/>
          <w:szCs w:val="21"/>
          <w:highlight w:val="none"/>
        </w:rPr>
        <w:t>本表后应附近年经会计师事务所或审计机构审计的财务会计报表。</w:t>
      </w:r>
    </w:p>
    <w:p w14:paraId="58E06E6E">
      <w:pPr>
        <w:autoSpaceDE w:val="0"/>
        <w:autoSpaceDN w:val="0"/>
        <w:adjustRightInd w:val="0"/>
        <w:snapToGrid w:val="0"/>
        <w:spacing w:line="325" w:lineRule="exact"/>
        <w:ind w:left="945" w:hanging="945" w:hangingChars="450"/>
        <w:rPr>
          <w:rFonts w:ascii="宋体" w:cs="宋体"/>
          <w:color w:val="auto"/>
          <w:kern w:val="0"/>
          <w:szCs w:val="21"/>
          <w:highlight w:val="none"/>
        </w:rPr>
      </w:pPr>
      <w:r>
        <w:rPr>
          <w:rFonts w:ascii="宋体" w:cs="宋体"/>
          <w:color w:val="auto"/>
          <w:kern w:val="0"/>
          <w:szCs w:val="21"/>
          <w:highlight w:val="none"/>
        </w:rPr>
        <w:t xml:space="preserve">  </w:t>
      </w:r>
      <w:r>
        <w:rPr>
          <w:rFonts w:hint="eastAsia" w:ascii="宋体" w:cs="宋体"/>
          <w:color w:val="auto"/>
          <w:kern w:val="0"/>
          <w:szCs w:val="21"/>
          <w:highlight w:val="none"/>
        </w:rPr>
        <w:t xml:space="preserve">    </w:t>
      </w:r>
      <w:r>
        <w:rPr>
          <w:rFonts w:ascii="宋体" w:cs="宋体"/>
          <w:color w:val="auto"/>
          <w:kern w:val="0"/>
          <w:szCs w:val="21"/>
          <w:highlight w:val="none"/>
        </w:rPr>
        <w:t>2</w:t>
      </w:r>
      <w:r>
        <w:rPr>
          <w:rFonts w:hint="eastAsia" w:ascii="宋体" w:hAnsi="宋体"/>
          <w:color w:val="auto"/>
          <w:szCs w:val="21"/>
          <w:highlight w:val="none"/>
        </w:rPr>
        <w:t>.</w:t>
      </w:r>
      <w:r>
        <w:rPr>
          <w:rFonts w:hint="eastAsia" w:ascii="宋体" w:cs="宋体"/>
          <w:color w:val="auto"/>
          <w:kern w:val="0"/>
          <w:szCs w:val="21"/>
          <w:highlight w:val="none"/>
        </w:rPr>
        <w:t>本表所列数据必须与本表各附件中的数据相一致。</w:t>
      </w:r>
      <w:r>
        <w:rPr>
          <w:rFonts w:hint="eastAsia" w:ascii="宋体" w:hAnsi="宋体"/>
          <w:color w:val="auto"/>
          <w:szCs w:val="21"/>
          <w:highlight w:val="none"/>
        </w:rPr>
        <w:t>如果有不一致之处，以不利于投标人的数据为准。</w:t>
      </w:r>
    </w:p>
    <w:p w14:paraId="0D7675E5">
      <w:pPr>
        <w:rPr>
          <w:color w:val="auto"/>
          <w:highlight w:val="none"/>
        </w:rPr>
        <w:sectPr>
          <w:footerReference r:id="rId7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ascii="宋体" w:cs="宋体"/>
          <w:color w:val="auto"/>
          <w:kern w:val="0"/>
          <w:szCs w:val="21"/>
          <w:highlight w:val="none"/>
        </w:rPr>
        <w:t xml:space="preserve">  </w:t>
      </w:r>
      <w:r>
        <w:rPr>
          <w:rFonts w:hint="eastAsia" w:ascii="宋体" w:cs="宋体"/>
          <w:color w:val="auto"/>
          <w:kern w:val="0"/>
          <w:szCs w:val="21"/>
          <w:highlight w:val="none"/>
        </w:rPr>
        <w:t xml:space="preserve">    </w:t>
      </w:r>
      <w:r>
        <w:rPr>
          <w:rFonts w:ascii="宋体" w:cs="宋体"/>
          <w:color w:val="auto"/>
          <w:kern w:val="0"/>
          <w:szCs w:val="21"/>
          <w:highlight w:val="none"/>
        </w:rPr>
        <w:t>3</w:t>
      </w:r>
      <w:r>
        <w:rPr>
          <w:rFonts w:hint="eastAsia" w:ascii="宋体" w:hAnsi="宋体"/>
          <w:color w:val="auto"/>
          <w:szCs w:val="21"/>
          <w:highlight w:val="none"/>
        </w:rPr>
        <w:t>.</w:t>
      </w:r>
      <w:r>
        <w:rPr>
          <w:rFonts w:hint="eastAsia" w:ascii="宋体" w:cs="宋体"/>
          <w:color w:val="auto"/>
          <w:kern w:val="0"/>
          <w:szCs w:val="21"/>
          <w:highlight w:val="none"/>
        </w:rPr>
        <w:t>联合体</w:t>
      </w:r>
      <w:r>
        <w:rPr>
          <w:rFonts w:hint="eastAsia"/>
          <w:color w:val="auto"/>
          <w:szCs w:val="21"/>
          <w:highlight w:val="none"/>
        </w:rPr>
        <w:t>投标</w:t>
      </w:r>
      <w:r>
        <w:rPr>
          <w:rFonts w:hint="eastAsia" w:ascii="宋体" w:cs="宋体"/>
          <w:color w:val="auto"/>
          <w:kern w:val="0"/>
          <w:szCs w:val="21"/>
          <w:highlight w:val="none"/>
        </w:rPr>
        <w:t>的，联合体各成员应分别填写。</w:t>
      </w:r>
    </w:p>
    <w:p w14:paraId="2F06BEF6">
      <w:pPr>
        <w:pStyle w:val="37"/>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color w:val="auto"/>
          <w:szCs w:val="24"/>
          <w:highlight w:val="none"/>
          <w:lang w:val="en-US" w:eastAsia="zh-CN"/>
        </w:rPr>
      </w:pPr>
      <w:bookmarkStart w:id="2341" w:name="_Toc3235"/>
      <w:bookmarkStart w:id="2342" w:name="_Toc122603092"/>
      <w:bookmarkStart w:id="2343" w:name="_Toc256000226"/>
      <w:r>
        <w:rPr>
          <w:rFonts w:hint="eastAsia"/>
          <w:color w:val="auto"/>
          <w:szCs w:val="24"/>
          <w:highlight w:val="none"/>
          <w:lang w:eastAsia="zh-CN"/>
        </w:rPr>
        <w:t>（</w:t>
      </w:r>
      <w:r>
        <w:rPr>
          <w:rFonts w:hint="default"/>
          <w:color w:val="auto"/>
          <w:szCs w:val="24"/>
          <w:highlight w:val="none"/>
        </w:rPr>
        <w:t>三</w:t>
      </w:r>
      <w:r>
        <w:rPr>
          <w:rFonts w:hint="eastAsia"/>
          <w:color w:val="auto"/>
          <w:szCs w:val="24"/>
          <w:highlight w:val="none"/>
          <w:lang w:eastAsia="zh-CN"/>
        </w:rPr>
        <w:t>）</w:t>
      </w:r>
      <w:r>
        <w:rPr>
          <w:rFonts w:hint="eastAsia"/>
          <w:color w:val="auto"/>
          <w:szCs w:val="24"/>
          <w:highlight w:val="none"/>
        </w:rPr>
        <w:t>近年完成的类似项目情况</w:t>
      </w:r>
      <w:bookmarkEnd w:id="2341"/>
      <w:bookmarkEnd w:id="2342"/>
      <w:bookmarkEnd w:id="2343"/>
    </w:p>
    <w:p w14:paraId="2D64F5D2">
      <w:pPr>
        <w:numPr>
          <w:ilvl w:val="0"/>
          <w:numId w:val="0"/>
        </w:numPr>
        <w:bidi w:val="0"/>
        <w:spacing w:before="156" w:beforeLines="50" w:after="156" w:afterLines="50"/>
        <w:ind w:left="0" w:leftChars="0"/>
        <w:jc w:val="center"/>
        <w:rPr>
          <w:rFonts w:hint="eastAsia" w:ascii="黑体" w:hAnsi="黑体" w:eastAsia="黑体" w:cs="黑体"/>
          <w:color w:val="auto"/>
          <w:sz w:val="24"/>
          <w:szCs w:val="24"/>
          <w:highlight w:val="none"/>
        </w:rPr>
      </w:pPr>
      <w:bookmarkStart w:id="2344" w:name="_Toc122603093"/>
      <w:r>
        <w:rPr>
          <w:rFonts w:hint="eastAsia" w:ascii="黑体" w:hAnsi="黑体" w:eastAsia="黑体" w:cs="黑体"/>
          <w:color w:val="auto"/>
          <w:sz w:val="24"/>
          <w:szCs w:val="24"/>
          <w:highlight w:val="none"/>
        </w:rPr>
        <w:t>近年完成的类似项目汇总表</w:t>
      </w:r>
      <w:bookmarkEnd w:id="2344"/>
    </w:p>
    <w:tbl>
      <w:tblPr>
        <w:tblStyle w:val="25"/>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846"/>
        <w:gridCol w:w="1394"/>
        <w:gridCol w:w="1080"/>
        <w:gridCol w:w="1112"/>
        <w:gridCol w:w="1778"/>
        <w:gridCol w:w="1080"/>
      </w:tblGrid>
      <w:tr w14:paraId="1A4A1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14:paraId="1FB38D29">
            <w:pPr>
              <w:topLinePunct/>
              <w:spacing w:line="400" w:lineRule="atLeast"/>
              <w:jc w:val="center"/>
              <w:rPr>
                <w:color w:val="auto"/>
                <w:szCs w:val="21"/>
                <w:highlight w:val="none"/>
              </w:rPr>
            </w:pPr>
            <w:r>
              <w:rPr>
                <w:rFonts w:hint="eastAsia"/>
                <w:color w:val="auto"/>
                <w:szCs w:val="21"/>
                <w:highlight w:val="none"/>
              </w:rPr>
              <w:t>序号</w:t>
            </w:r>
          </w:p>
        </w:tc>
        <w:tc>
          <w:tcPr>
            <w:tcW w:w="1846" w:type="dxa"/>
            <w:vAlign w:val="center"/>
          </w:tcPr>
          <w:p w14:paraId="779D4F21">
            <w:pPr>
              <w:topLinePunct/>
              <w:spacing w:line="400" w:lineRule="atLeast"/>
              <w:jc w:val="center"/>
              <w:rPr>
                <w:color w:val="auto"/>
                <w:szCs w:val="21"/>
                <w:highlight w:val="none"/>
              </w:rPr>
            </w:pPr>
            <w:r>
              <w:rPr>
                <w:rFonts w:hint="eastAsia"/>
                <w:color w:val="auto"/>
                <w:szCs w:val="21"/>
                <w:highlight w:val="none"/>
              </w:rPr>
              <w:t>项目名称</w:t>
            </w:r>
          </w:p>
        </w:tc>
        <w:tc>
          <w:tcPr>
            <w:tcW w:w="1394" w:type="dxa"/>
            <w:vAlign w:val="center"/>
          </w:tcPr>
          <w:p w14:paraId="6F959D62">
            <w:pPr>
              <w:topLinePunct/>
              <w:spacing w:line="400" w:lineRule="atLeast"/>
              <w:jc w:val="center"/>
              <w:rPr>
                <w:color w:val="auto"/>
                <w:szCs w:val="21"/>
                <w:highlight w:val="none"/>
              </w:rPr>
            </w:pPr>
            <w:r>
              <w:rPr>
                <w:rFonts w:hint="eastAsia" w:ascii="宋体" w:hAnsi="宋体"/>
                <w:color w:val="auto"/>
                <w:szCs w:val="21"/>
                <w:highlight w:val="none"/>
              </w:rPr>
              <w:t>发包人名称</w:t>
            </w:r>
          </w:p>
        </w:tc>
        <w:tc>
          <w:tcPr>
            <w:tcW w:w="1080" w:type="dxa"/>
            <w:vAlign w:val="center"/>
          </w:tcPr>
          <w:p w14:paraId="58C53CB5">
            <w:pPr>
              <w:topLinePunct/>
              <w:spacing w:line="400" w:lineRule="atLeast"/>
              <w:jc w:val="center"/>
              <w:rPr>
                <w:color w:val="auto"/>
                <w:szCs w:val="21"/>
                <w:highlight w:val="none"/>
              </w:rPr>
            </w:pPr>
            <w:r>
              <w:rPr>
                <w:rFonts w:hint="eastAsia"/>
                <w:color w:val="auto"/>
                <w:szCs w:val="21"/>
                <w:highlight w:val="none"/>
              </w:rPr>
              <w:t>工程规模</w:t>
            </w:r>
          </w:p>
        </w:tc>
        <w:tc>
          <w:tcPr>
            <w:tcW w:w="1112" w:type="dxa"/>
            <w:vAlign w:val="center"/>
          </w:tcPr>
          <w:p w14:paraId="4FBCA883">
            <w:pPr>
              <w:topLinePunct/>
              <w:spacing w:line="400" w:lineRule="atLeast"/>
              <w:jc w:val="center"/>
              <w:rPr>
                <w:color w:val="auto"/>
                <w:szCs w:val="21"/>
                <w:highlight w:val="none"/>
              </w:rPr>
            </w:pPr>
            <w:r>
              <w:rPr>
                <w:rFonts w:hint="eastAsia" w:ascii="宋体" w:hAnsi="宋体"/>
                <w:color w:val="auto"/>
                <w:szCs w:val="21"/>
                <w:highlight w:val="none"/>
              </w:rPr>
              <w:t>合同价格</w:t>
            </w:r>
            <w:r>
              <w:rPr>
                <w:rFonts w:hint="eastAsia"/>
                <w:color w:val="auto"/>
                <w:szCs w:val="21"/>
                <w:highlight w:val="none"/>
              </w:rPr>
              <w:t>（元）</w:t>
            </w:r>
          </w:p>
        </w:tc>
        <w:tc>
          <w:tcPr>
            <w:tcW w:w="1778" w:type="dxa"/>
            <w:vAlign w:val="center"/>
          </w:tcPr>
          <w:p w14:paraId="03F4C066">
            <w:pPr>
              <w:topLinePunct/>
              <w:spacing w:line="400" w:lineRule="atLeast"/>
              <w:jc w:val="center"/>
              <w:rPr>
                <w:color w:val="auto"/>
                <w:szCs w:val="21"/>
                <w:highlight w:val="none"/>
              </w:rPr>
            </w:pPr>
            <w:r>
              <w:rPr>
                <w:rFonts w:hint="eastAsia" w:ascii="宋体" w:hAnsi="宋体"/>
                <w:color w:val="auto"/>
                <w:szCs w:val="21"/>
                <w:highlight w:val="none"/>
              </w:rPr>
              <w:t>开、竣工日期</w:t>
            </w:r>
          </w:p>
        </w:tc>
        <w:tc>
          <w:tcPr>
            <w:tcW w:w="1080" w:type="dxa"/>
            <w:vAlign w:val="center"/>
          </w:tcPr>
          <w:p w14:paraId="5CFD426A">
            <w:pPr>
              <w:topLinePunct/>
              <w:spacing w:line="400" w:lineRule="atLeast"/>
              <w:jc w:val="center"/>
              <w:rPr>
                <w:color w:val="auto"/>
                <w:szCs w:val="21"/>
                <w:highlight w:val="none"/>
              </w:rPr>
            </w:pPr>
            <w:r>
              <w:rPr>
                <w:rFonts w:hint="eastAsia" w:ascii="宋体" w:hAnsi="宋体"/>
                <w:color w:val="auto"/>
                <w:szCs w:val="21"/>
                <w:highlight w:val="none"/>
              </w:rPr>
              <w:t>项目经理</w:t>
            </w:r>
          </w:p>
        </w:tc>
      </w:tr>
      <w:tr w14:paraId="05526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6C36BCCE">
            <w:pPr>
              <w:topLinePunct/>
              <w:spacing w:line="400" w:lineRule="atLeast"/>
              <w:jc w:val="center"/>
              <w:rPr>
                <w:color w:val="auto"/>
                <w:szCs w:val="21"/>
                <w:highlight w:val="none"/>
              </w:rPr>
            </w:pPr>
          </w:p>
        </w:tc>
        <w:tc>
          <w:tcPr>
            <w:tcW w:w="1846" w:type="dxa"/>
          </w:tcPr>
          <w:p w14:paraId="03A32B01">
            <w:pPr>
              <w:topLinePunct/>
              <w:spacing w:line="400" w:lineRule="atLeast"/>
              <w:jc w:val="center"/>
              <w:rPr>
                <w:color w:val="auto"/>
                <w:szCs w:val="21"/>
                <w:highlight w:val="none"/>
              </w:rPr>
            </w:pPr>
          </w:p>
        </w:tc>
        <w:tc>
          <w:tcPr>
            <w:tcW w:w="1394" w:type="dxa"/>
          </w:tcPr>
          <w:p w14:paraId="787C8FD8">
            <w:pPr>
              <w:topLinePunct/>
              <w:spacing w:line="400" w:lineRule="atLeast"/>
              <w:jc w:val="center"/>
              <w:rPr>
                <w:color w:val="auto"/>
                <w:szCs w:val="21"/>
                <w:highlight w:val="none"/>
              </w:rPr>
            </w:pPr>
          </w:p>
        </w:tc>
        <w:tc>
          <w:tcPr>
            <w:tcW w:w="1080" w:type="dxa"/>
          </w:tcPr>
          <w:p w14:paraId="38D0C6B0">
            <w:pPr>
              <w:topLinePunct/>
              <w:spacing w:line="400" w:lineRule="atLeast"/>
              <w:jc w:val="center"/>
              <w:rPr>
                <w:color w:val="auto"/>
                <w:szCs w:val="21"/>
                <w:highlight w:val="none"/>
              </w:rPr>
            </w:pPr>
          </w:p>
        </w:tc>
        <w:tc>
          <w:tcPr>
            <w:tcW w:w="1112" w:type="dxa"/>
          </w:tcPr>
          <w:p w14:paraId="548CF2F5">
            <w:pPr>
              <w:topLinePunct/>
              <w:spacing w:line="400" w:lineRule="atLeast"/>
              <w:jc w:val="center"/>
              <w:rPr>
                <w:color w:val="auto"/>
                <w:szCs w:val="21"/>
                <w:highlight w:val="none"/>
              </w:rPr>
            </w:pPr>
          </w:p>
        </w:tc>
        <w:tc>
          <w:tcPr>
            <w:tcW w:w="1778" w:type="dxa"/>
          </w:tcPr>
          <w:p w14:paraId="30A71DB3">
            <w:pPr>
              <w:topLinePunct/>
              <w:spacing w:line="400" w:lineRule="atLeast"/>
              <w:jc w:val="center"/>
              <w:rPr>
                <w:color w:val="auto"/>
                <w:szCs w:val="21"/>
                <w:highlight w:val="none"/>
              </w:rPr>
            </w:pPr>
          </w:p>
        </w:tc>
        <w:tc>
          <w:tcPr>
            <w:tcW w:w="1080" w:type="dxa"/>
          </w:tcPr>
          <w:p w14:paraId="4220890C">
            <w:pPr>
              <w:topLinePunct/>
              <w:spacing w:line="400" w:lineRule="atLeast"/>
              <w:jc w:val="center"/>
              <w:rPr>
                <w:color w:val="auto"/>
                <w:szCs w:val="21"/>
                <w:highlight w:val="none"/>
              </w:rPr>
            </w:pPr>
          </w:p>
        </w:tc>
      </w:tr>
      <w:tr w14:paraId="78AB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58DAB306">
            <w:pPr>
              <w:topLinePunct/>
              <w:spacing w:line="400" w:lineRule="atLeast"/>
              <w:jc w:val="center"/>
              <w:rPr>
                <w:color w:val="auto"/>
                <w:szCs w:val="21"/>
                <w:highlight w:val="none"/>
              </w:rPr>
            </w:pPr>
          </w:p>
        </w:tc>
        <w:tc>
          <w:tcPr>
            <w:tcW w:w="1846" w:type="dxa"/>
          </w:tcPr>
          <w:p w14:paraId="7776551B">
            <w:pPr>
              <w:topLinePunct/>
              <w:spacing w:line="400" w:lineRule="atLeast"/>
              <w:jc w:val="center"/>
              <w:rPr>
                <w:color w:val="auto"/>
                <w:szCs w:val="21"/>
                <w:highlight w:val="none"/>
              </w:rPr>
            </w:pPr>
          </w:p>
        </w:tc>
        <w:tc>
          <w:tcPr>
            <w:tcW w:w="1394" w:type="dxa"/>
          </w:tcPr>
          <w:p w14:paraId="15302F85">
            <w:pPr>
              <w:topLinePunct/>
              <w:spacing w:line="400" w:lineRule="atLeast"/>
              <w:jc w:val="center"/>
              <w:rPr>
                <w:color w:val="auto"/>
                <w:szCs w:val="21"/>
                <w:highlight w:val="none"/>
              </w:rPr>
            </w:pPr>
          </w:p>
        </w:tc>
        <w:tc>
          <w:tcPr>
            <w:tcW w:w="1080" w:type="dxa"/>
          </w:tcPr>
          <w:p w14:paraId="61FAFA58">
            <w:pPr>
              <w:topLinePunct/>
              <w:spacing w:line="400" w:lineRule="atLeast"/>
              <w:jc w:val="center"/>
              <w:rPr>
                <w:color w:val="auto"/>
                <w:szCs w:val="21"/>
                <w:highlight w:val="none"/>
              </w:rPr>
            </w:pPr>
          </w:p>
        </w:tc>
        <w:tc>
          <w:tcPr>
            <w:tcW w:w="1112" w:type="dxa"/>
          </w:tcPr>
          <w:p w14:paraId="16522EEF">
            <w:pPr>
              <w:topLinePunct/>
              <w:spacing w:line="400" w:lineRule="atLeast"/>
              <w:jc w:val="center"/>
              <w:rPr>
                <w:color w:val="auto"/>
                <w:szCs w:val="21"/>
                <w:highlight w:val="none"/>
              </w:rPr>
            </w:pPr>
          </w:p>
        </w:tc>
        <w:tc>
          <w:tcPr>
            <w:tcW w:w="1778" w:type="dxa"/>
          </w:tcPr>
          <w:p w14:paraId="7EFAA352">
            <w:pPr>
              <w:topLinePunct/>
              <w:spacing w:line="400" w:lineRule="atLeast"/>
              <w:jc w:val="center"/>
              <w:rPr>
                <w:color w:val="auto"/>
                <w:szCs w:val="21"/>
                <w:highlight w:val="none"/>
              </w:rPr>
            </w:pPr>
          </w:p>
        </w:tc>
        <w:tc>
          <w:tcPr>
            <w:tcW w:w="1080" w:type="dxa"/>
          </w:tcPr>
          <w:p w14:paraId="591572E4">
            <w:pPr>
              <w:topLinePunct/>
              <w:spacing w:line="400" w:lineRule="atLeast"/>
              <w:jc w:val="center"/>
              <w:rPr>
                <w:color w:val="auto"/>
                <w:szCs w:val="21"/>
                <w:highlight w:val="none"/>
              </w:rPr>
            </w:pPr>
          </w:p>
        </w:tc>
      </w:tr>
      <w:tr w14:paraId="0225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11402C43">
            <w:pPr>
              <w:topLinePunct/>
              <w:spacing w:line="400" w:lineRule="atLeast"/>
              <w:jc w:val="center"/>
              <w:rPr>
                <w:color w:val="auto"/>
                <w:szCs w:val="21"/>
                <w:highlight w:val="none"/>
              </w:rPr>
            </w:pPr>
          </w:p>
        </w:tc>
        <w:tc>
          <w:tcPr>
            <w:tcW w:w="1846" w:type="dxa"/>
          </w:tcPr>
          <w:p w14:paraId="66F9790A">
            <w:pPr>
              <w:topLinePunct/>
              <w:spacing w:line="400" w:lineRule="atLeast"/>
              <w:jc w:val="center"/>
              <w:rPr>
                <w:color w:val="auto"/>
                <w:szCs w:val="21"/>
                <w:highlight w:val="none"/>
              </w:rPr>
            </w:pPr>
          </w:p>
        </w:tc>
        <w:tc>
          <w:tcPr>
            <w:tcW w:w="1394" w:type="dxa"/>
          </w:tcPr>
          <w:p w14:paraId="1673663B">
            <w:pPr>
              <w:topLinePunct/>
              <w:spacing w:line="400" w:lineRule="atLeast"/>
              <w:jc w:val="center"/>
              <w:rPr>
                <w:color w:val="auto"/>
                <w:szCs w:val="21"/>
                <w:highlight w:val="none"/>
              </w:rPr>
            </w:pPr>
          </w:p>
        </w:tc>
        <w:tc>
          <w:tcPr>
            <w:tcW w:w="1080" w:type="dxa"/>
          </w:tcPr>
          <w:p w14:paraId="59B55DC9">
            <w:pPr>
              <w:topLinePunct/>
              <w:spacing w:line="400" w:lineRule="atLeast"/>
              <w:jc w:val="center"/>
              <w:rPr>
                <w:color w:val="auto"/>
                <w:szCs w:val="21"/>
                <w:highlight w:val="none"/>
              </w:rPr>
            </w:pPr>
          </w:p>
        </w:tc>
        <w:tc>
          <w:tcPr>
            <w:tcW w:w="1112" w:type="dxa"/>
          </w:tcPr>
          <w:p w14:paraId="5095F77B">
            <w:pPr>
              <w:topLinePunct/>
              <w:spacing w:line="400" w:lineRule="atLeast"/>
              <w:jc w:val="center"/>
              <w:rPr>
                <w:color w:val="auto"/>
                <w:szCs w:val="21"/>
                <w:highlight w:val="none"/>
              </w:rPr>
            </w:pPr>
          </w:p>
        </w:tc>
        <w:tc>
          <w:tcPr>
            <w:tcW w:w="1778" w:type="dxa"/>
          </w:tcPr>
          <w:p w14:paraId="7D1F0C55">
            <w:pPr>
              <w:topLinePunct/>
              <w:spacing w:line="400" w:lineRule="atLeast"/>
              <w:jc w:val="center"/>
              <w:rPr>
                <w:color w:val="auto"/>
                <w:szCs w:val="21"/>
                <w:highlight w:val="none"/>
              </w:rPr>
            </w:pPr>
          </w:p>
        </w:tc>
        <w:tc>
          <w:tcPr>
            <w:tcW w:w="1080" w:type="dxa"/>
          </w:tcPr>
          <w:p w14:paraId="5A6E193F">
            <w:pPr>
              <w:topLinePunct/>
              <w:spacing w:line="400" w:lineRule="atLeast"/>
              <w:jc w:val="center"/>
              <w:rPr>
                <w:color w:val="auto"/>
                <w:szCs w:val="21"/>
                <w:highlight w:val="none"/>
              </w:rPr>
            </w:pPr>
          </w:p>
        </w:tc>
      </w:tr>
      <w:tr w14:paraId="3518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7D30A32E">
            <w:pPr>
              <w:topLinePunct/>
              <w:spacing w:line="400" w:lineRule="atLeast"/>
              <w:jc w:val="center"/>
              <w:rPr>
                <w:color w:val="auto"/>
                <w:szCs w:val="21"/>
                <w:highlight w:val="none"/>
              </w:rPr>
            </w:pPr>
          </w:p>
        </w:tc>
        <w:tc>
          <w:tcPr>
            <w:tcW w:w="1846" w:type="dxa"/>
          </w:tcPr>
          <w:p w14:paraId="2881F667">
            <w:pPr>
              <w:topLinePunct/>
              <w:spacing w:line="400" w:lineRule="atLeast"/>
              <w:jc w:val="center"/>
              <w:rPr>
                <w:color w:val="auto"/>
                <w:szCs w:val="21"/>
                <w:highlight w:val="none"/>
              </w:rPr>
            </w:pPr>
          </w:p>
        </w:tc>
        <w:tc>
          <w:tcPr>
            <w:tcW w:w="1394" w:type="dxa"/>
          </w:tcPr>
          <w:p w14:paraId="57656909">
            <w:pPr>
              <w:topLinePunct/>
              <w:spacing w:line="400" w:lineRule="atLeast"/>
              <w:jc w:val="center"/>
              <w:rPr>
                <w:color w:val="auto"/>
                <w:szCs w:val="21"/>
                <w:highlight w:val="none"/>
              </w:rPr>
            </w:pPr>
          </w:p>
        </w:tc>
        <w:tc>
          <w:tcPr>
            <w:tcW w:w="1080" w:type="dxa"/>
          </w:tcPr>
          <w:p w14:paraId="3ABC5C30">
            <w:pPr>
              <w:topLinePunct/>
              <w:spacing w:line="400" w:lineRule="atLeast"/>
              <w:jc w:val="center"/>
              <w:rPr>
                <w:color w:val="auto"/>
                <w:szCs w:val="21"/>
                <w:highlight w:val="none"/>
              </w:rPr>
            </w:pPr>
          </w:p>
        </w:tc>
        <w:tc>
          <w:tcPr>
            <w:tcW w:w="1112" w:type="dxa"/>
          </w:tcPr>
          <w:p w14:paraId="25B508F5">
            <w:pPr>
              <w:topLinePunct/>
              <w:spacing w:line="400" w:lineRule="atLeast"/>
              <w:jc w:val="center"/>
              <w:rPr>
                <w:color w:val="auto"/>
                <w:szCs w:val="21"/>
                <w:highlight w:val="none"/>
              </w:rPr>
            </w:pPr>
          </w:p>
        </w:tc>
        <w:tc>
          <w:tcPr>
            <w:tcW w:w="1778" w:type="dxa"/>
          </w:tcPr>
          <w:p w14:paraId="6D3C3197">
            <w:pPr>
              <w:topLinePunct/>
              <w:spacing w:line="400" w:lineRule="atLeast"/>
              <w:jc w:val="center"/>
              <w:rPr>
                <w:color w:val="auto"/>
                <w:szCs w:val="21"/>
                <w:highlight w:val="none"/>
              </w:rPr>
            </w:pPr>
          </w:p>
        </w:tc>
        <w:tc>
          <w:tcPr>
            <w:tcW w:w="1080" w:type="dxa"/>
          </w:tcPr>
          <w:p w14:paraId="6C991F20">
            <w:pPr>
              <w:topLinePunct/>
              <w:spacing w:line="400" w:lineRule="atLeast"/>
              <w:jc w:val="center"/>
              <w:rPr>
                <w:color w:val="auto"/>
                <w:szCs w:val="21"/>
                <w:highlight w:val="none"/>
              </w:rPr>
            </w:pPr>
          </w:p>
        </w:tc>
      </w:tr>
      <w:tr w14:paraId="4E1E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17515715">
            <w:pPr>
              <w:topLinePunct/>
              <w:spacing w:line="400" w:lineRule="atLeast"/>
              <w:jc w:val="center"/>
              <w:rPr>
                <w:color w:val="auto"/>
                <w:szCs w:val="21"/>
                <w:highlight w:val="none"/>
              </w:rPr>
            </w:pPr>
          </w:p>
        </w:tc>
        <w:tc>
          <w:tcPr>
            <w:tcW w:w="1846" w:type="dxa"/>
          </w:tcPr>
          <w:p w14:paraId="289E7642">
            <w:pPr>
              <w:topLinePunct/>
              <w:spacing w:line="400" w:lineRule="atLeast"/>
              <w:jc w:val="center"/>
              <w:rPr>
                <w:color w:val="auto"/>
                <w:szCs w:val="21"/>
                <w:highlight w:val="none"/>
              </w:rPr>
            </w:pPr>
          </w:p>
        </w:tc>
        <w:tc>
          <w:tcPr>
            <w:tcW w:w="1394" w:type="dxa"/>
          </w:tcPr>
          <w:p w14:paraId="2963996F">
            <w:pPr>
              <w:topLinePunct/>
              <w:spacing w:line="400" w:lineRule="atLeast"/>
              <w:jc w:val="center"/>
              <w:rPr>
                <w:color w:val="auto"/>
                <w:szCs w:val="21"/>
                <w:highlight w:val="none"/>
              </w:rPr>
            </w:pPr>
          </w:p>
        </w:tc>
        <w:tc>
          <w:tcPr>
            <w:tcW w:w="1080" w:type="dxa"/>
          </w:tcPr>
          <w:p w14:paraId="24A5C881">
            <w:pPr>
              <w:topLinePunct/>
              <w:spacing w:line="400" w:lineRule="atLeast"/>
              <w:jc w:val="center"/>
              <w:rPr>
                <w:color w:val="auto"/>
                <w:szCs w:val="21"/>
                <w:highlight w:val="none"/>
              </w:rPr>
            </w:pPr>
          </w:p>
        </w:tc>
        <w:tc>
          <w:tcPr>
            <w:tcW w:w="1112" w:type="dxa"/>
          </w:tcPr>
          <w:p w14:paraId="798E4B7D">
            <w:pPr>
              <w:topLinePunct/>
              <w:spacing w:line="400" w:lineRule="atLeast"/>
              <w:jc w:val="center"/>
              <w:rPr>
                <w:color w:val="auto"/>
                <w:szCs w:val="21"/>
                <w:highlight w:val="none"/>
              </w:rPr>
            </w:pPr>
          </w:p>
        </w:tc>
        <w:tc>
          <w:tcPr>
            <w:tcW w:w="1778" w:type="dxa"/>
          </w:tcPr>
          <w:p w14:paraId="31D9C87A">
            <w:pPr>
              <w:topLinePunct/>
              <w:spacing w:line="400" w:lineRule="atLeast"/>
              <w:jc w:val="center"/>
              <w:rPr>
                <w:color w:val="auto"/>
                <w:szCs w:val="21"/>
                <w:highlight w:val="none"/>
              </w:rPr>
            </w:pPr>
          </w:p>
        </w:tc>
        <w:tc>
          <w:tcPr>
            <w:tcW w:w="1080" w:type="dxa"/>
          </w:tcPr>
          <w:p w14:paraId="5CC96BB5">
            <w:pPr>
              <w:topLinePunct/>
              <w:spacing w:line="400" w:lineRule="atLeast"/>
              <w:jc w:val="center"/>
              <w:rPr>
                <w:color w:val="auto"/>
                <w:szCs w:val="21"/>
                <w:highlight w:val="none"/>
              </w:rPr>
            </w:pPr>
          </w:p>
        </w:tc>
      </w:tr>
      <w:tr w14:paraId="2019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07626ED4">
            <w:pPr>
              <w:topLinePunct/>
              <w:spacing w:line="400" w:lineRule="atLeast"/>
              <w:jc w:val="center"/>
              <w:rPr>
                <w:color w:val="auto"/>
                <w:szCs w:val="21"/>
                <w:highlight w:val="none"/>
              </w:rPr>
            </w:pPr>
          </w:p>
        </w:tc>
        <w:tc>
          <w:tcPr>
            <w:tcW w:w="1846" w:type="dxa"/>
          </w:tcPr>
          <w:p w14:paraId="4040A00F">
            <w:pPr>
              <w:topLinePunct/>
              <w:spacing w:line="400" w:lineRule="atLeast"/>
              <w:jc w:val="center"/>
              <w:rPr>
                <w:color w:val="auto"/>
                <w:szCs w:val="21"/>
                <w:highlight w:val="none"/>
              </w:rPr>
            </w:pPr>
          </w:p>
        </w:tc>
        <w:tc>
          <w:tcPr>
            <w:tcW w:w="1394" w:type="dxa"/>
          </w:tcPr>
          <w:p w14:paraId="3EA8CB18">
            <w:pPr>
              <w:topLinePunct/>
              <w:spacing w:line="400" w:lineRule="atLeast"/>
              <w:jc w:val="center"/>
              <w:rPr>
                <w:color w:val="auto"/>
                <w:szCs w:val="21"/>
                <w:highlight w:val="none"/>
              </w:rPr>
            </w:pPr>
          </w:p>
        </w:tc>
        <w:tc>
          <w:tcPr>
            <w:tcW w:w="1080" w:type="dxa"/>
          </w:tcPr>
          <w:p w14:paraId="520D0C01">
            <w:pPr>
              <w:topLinePunct/>
              <w:spacing w:line="400" w:lineRule="atLeast"/>
              <w:jc w:val="center"/>
              <w:rPr>
                <w:color w:val="auto"/>
                <w:szCs w:val="21"/>
                <w:highlight w:val="none"/>
              </w:rPr>
            </w:pPr>
          </w:p>
        </w:tc>
        <w:tc>
          <w:tcPr>
            <w:tcW w:w="1112" w:type="dxa"/>
          </w:tcPr>
          <w:p w14:paraId="3D88F5DC">
            <w:pPr>
              <w:topLinePunct/>
              <w:spacing w:line="400" w:lineRule="atLeast"/>
              <w:jc w:val="center"/>
              <w:rPr>
                <w:color w:val="auto"/>
                <w:szCs w:val="21"/>
                <w:highlight w:val="none"/>
              </w:rPr>
            </w:pPr>
          </w:p>
        </w:tc>
        <w:tc>
          <w:tcPr>
            <w:tcW w:w="1778" w:type="dxa"/>
          </w:tcPr>
          <w:p w14:paraId="31C0076A">
            <w:pPr>
              <w:topLinePunct/>
              <w:spacing w:line="400" w:lineRule="atLeast"/>
              <w:jc w:val="center"/>
              <w:rPr>
                <w:color w:val="auto"/>
                <w:szCs w:val="21"/>
                <w:highlight w:val="none"/>
              </w:rPr>
            </w:pPr>
          </w:p>
        </w:tc>
        <w:tc>
          <w:tcPr>
            <w:tcW w:w="1080" w:type="dxa"/>
          </w:tcPr>
          <w:p w14:paraId="41561400">
            <w:pPr>
              <w:topLinePunct/>
              <w:spacing w:line="400" w:lineRule="atLeast"/>
              <w:jc w:val="center"/>
              <w:rPr>
                <w:color w:val="auto"/>
                <w:szCs w:val="21"/>
                <w:highlight w:val="none"/>
              </w:rPr>
            </w:pPr>
          </w:p>
        </w:tc>
      </w:tr>
      <w:tr w14:paraId="2A5B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08A147B2">
            <w:pPr>
              <w:topLinePunct/>
              <w:spacing w:line="400" w:lineRule="atLeast"/>
              <w:jc w:val="center"/>
              <w:rPr>
                <w:color w:val="auto"/>
                <w:szCs w:val="21"/>
                <w:highlight w:val="none"/>
              </w:rPr>
            </w:pPr>
          </w:p>
        </w:tc>
        <w:tc>
          <w:tcPr>
            <w:tcW w:w="1846" w:type="dxa"/>
          </w:tcPr>
          <w:p w14:paraId="11F771D9">
            <w:pPr>
              <w:topLinePunct/>
              <w:spacing w:line="400" w:lineRule="atLeast"/>
              <w:jc w:val="center"/>
              <w:rPr>
                <w:color w:val="auto"/>
                <w:szCs w:val="21"/>
                <w:highlight w:val="none"/>
              </w:rPr>
            </w:pPr>
          </w:p>
        </w:tc>
        <w:tc>
          <w:tcPr>
            <w:tcW w:w="1394" w:type="dxa"/>
          </w:tcPr>
          <w:p w14:paraId="3388A8B9">
            <w:pPr>
              <w:topLinePunct/>
              <w:spacing w:line="400" w:lineRule="atLeast"/>
              <w:jc w:val="center"/>
              <w:rPr>
                <w:color w:val="auto"/>
                <w:szCs w:val="21"/>
                <w:highlight w:val="none"/>
              </w:rPr>
            </w:pPr>
          </w:p>
        </w:tc>
        <w:tc>
          <w:tcPr>
            <w:tcW w:w="1080" w:type="dxa"/>
          </w:tcPr>
          <w:p w14:paraId="3FF80D7E">
            <w:pPr>
              <w:topLinePunct/>
              <w:spacing w:line="400" w:lineRule="atLeast"/>
              <w:jc w:val="center"/>
              <w:rPr>
                <w:color w:val="auto"/>
                <w:szCs w:val="21"/>
                <w:highlight w:val="none"/>
              </w:rPr>
            </w:pPr>
          </w:p>
        </w:tc>
        <w:tc>
          <w:tcPr>
            <w:tcW w:w="1112" w:type="dxa"/>
          </w:tcPr>
          <w:p w14:paraId="0BC2C1CC">
            <w:pPr>
              <w:topLinePunct/>
              <w:spacing w:line="400" w:lineRule="atLeast"/>
              <w:jc w:val="center"/>
              <w:rPr>
                <w:color w:val="auto"/>
                <w:szCs w:val="21"/>
                <w:highlight w:val="none"/>
              </w:rPr>
            </w:pPr>
          </w:p>
        </w:tc>
        <w:tc>
          <w:tcPr>
            <w:tcW w:w="1778" w:type="dxa"/>
          </w:tcPr>
          <w:p w14:paraId="6FF4011F">
            <w:pPr>
              <w:topLinePunct/>
              <w:spacing w:line="400" w:lineRule="atLeast"/>
              <w:jc w:val="center"/>
              <w:rPr>
                <w:color w:val="auto"/>
                <w:szCs w:val="21"/>
                <w:highlight w:val="none"/>
              </w:rPr>
            </w:pPr>
          </w:p>
        </w:tc>
        <w:tc>
          <w:tcPr>
            <w:tcW w:w="1080" w:type="dxa"/>
          </w:tcPr>
          <w:p w14:paraId="416CE697">
            <w:pPr>
              <w:topLinePunct/>
              <w:spacing w:line="400" w:lineRule="atLeast"/>
              <w:jc w:val="center"/>
              <w:rPr>
                <w:color w:val="auto"/>
                <w:szCs w:val="21"/>
                <w:highlight w:val="none"/>
              </w:rPr>
            </w:pPr>
          </w:p>
        </w:tc>
      </w:tr>
      <w:tr w14:paraId="3C78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79F99EB6">
            <w:pPr>
              <w:topLinePunct/>
              <w:spacing w:line="400" w:lineRule="atLeast"/>
              <w:jc w:val="center"/>
              <w:rPr>
                <w:color w:val="auto"/>
                <w:szCs w:val="21"/>
                <w:highlight w:val="none"/>
              </w:rPr>
            </w:pPr>
          </w:p>
        </w:tc>
        <w:tc>
          <w:tcPr>
            <w:tcW w:w="1846" w:type="dxa"/>
          </w:tcPr>
          <w:p w14:paraId="7D413695">
            <w:pPr>
              <w:topLinePunct/>
              <w:spacing w:line="400" w:lineRule="atLeast"/>
              <w:jc w:val="center"/>
              <w:rPr>
                <w:color w:val="auto"/>
                <w:szCs w:val="21"/>
                <w:highlight w:val="none"/>
              </w:rPr>
            </w:pPr>
          </w:p>
        </w:tc>
        <w:tc>
          <w:tcPr>
            <w:tcW w:w="1394" w:type="dxa"/>
          </w:tcPr>
          <w:p w14:paraId="58BA9B12">
            <w:pPr>
              <w:topLinePunct/>
              <w:spacing w:line="400" w:lineRule="atLeast"/>
              <w:jc w:val="center"/>
              <w:rPr>
                <w:color w:val="auto"/>
                <w:szCs w:val="21"/>
                <w:highlight w:val="none"/>
              </w:rPr>
            </w:pPr>
          </w:p>
        </w:tc>
        <w:tc>
          <w:tcPr>
            <w:tcW w:w="1080" w:type="dxa"/>
          </w:tcPr>
          <w:p w14:paraId="42FB8643">
            <w:pPr>
              <w:topLinePunct/>
              <w:spacing w:line="400" w:lineRule="atLeast"/>
              <w:jc w:val="center"/>
              <w:rPr>
                <w:color w:val="auto"/>
                <w:szCs w:val="21"/>
                <w:highlight w:val="none"/>
              </w:rPr>
            </w:pPr>
          </w:p>
        </w:tc>
        <w:tc>
          <w:tcPr>
            <w:tcW w:w="1112" w:type="dxa"/>
          </w:tcPr>
          <w:p w14:paraId="60A17091">
            <w:pPr>
              <w:topLinePunct/>
              <w:spacing w:line="400" w:lineRule="atLeast"/>
              <w:jc w:val="center"/>
              <w:rPr>
                <w:color w:val="auto"/>
                <w:szCs w:val="21"/>
                <w:highlight w:val="none"/>
              </w:rPr>
            </w:pPr>
          </w:p>
        </w:tc>
        <w:tc>
          <w:tcPr>
            <w:tcW w:w="1778" w:type="dxa"/>
          </w:tcPr>
          <w:p w14:paraId="7EEF6969">
            <w:pPr>
              <w:topLinePunct/>
              <w:spacing w:line="400" w:lineRule="atLeast"/>
              <w:jc w:val="center"/>
              <w:rPr>
                <w:color w:val="auto"/>
                <w:szCs w:val="21"/>
                <w:highlight w:val="none"/>
              </w:rPr>
            </w:pPr>
          </w:p>
        </w:tc>
        <w:tc>
          <w:tcPr>
            <w:tcW w:w="1080" w:type="dxa"/>
          </w:tcPr>
          <w:p w14:paraId="685815DD">
            <w:pPr>
              <w:topLinePunct/>
              <w:spacing w:line="400" w:lineRule="atLeast"/>
              <w:jc w:val="center"/>
              <w:rPr>
                <w:color w:val="auto"/>
                <w:szCs w:val="21"/>
                <w:highlight w:val="none"/>
              </w:rPr>
            </w:pPr>
          </w:p>
        </w:tc>
      </w:tr>
      <w:tr w14:paraId="4CA9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0610182B">
            <w:pPr>
              <w:topLinePunct/>
              <w:spacing w:line="400" w:lineRule="atLeast"/>
              <w:jc w:val="center"/>
              <w:rPr>
                <w:color w:val="auto"/>
                <w:szCs w:val="21"/>
                <w:highlight w:val="none"/>
              </w:rPr>
            </w:pPr>
          </w:p>
        </w:tc>
        <w:tc>
          <w:tcPr>
            <w:tcW w:w="1846" w:type="dxa"/>
          </w:tcPr>
          <w:p w14:paraId="5B37625A">
            <w:pPr>
              <w:topLinePunct/>
              <w:spacing w:line="400" w:lineRule="atLeast"/>
              <w:jc w:val="center"/>
              <w:rPr>
                <w:color w:val="auto"/>
                <w:szCs w:val="21"/>
                <w:highlight w:val="none"/>
              </w:rPr>
            </w:pPr>
          </w:p>
        </w:tc>
        <w:tc>
          <w:tcPr>
            <w:tcW w:w="1394" w:type="dxa"/>
          </w:tcPr>
          <w:p w14:paraId="322E5677">
            <w:pPr>
              <w:topLinePunct/>
              <w:spacing w:line="400" w:lineRule="atLeast"/>
              <w:jc w:val="center"/>
              <w:rPr>
                <w:color w:val="auto"/>
                <w:szCs w:val="21"/>
                <w:highlight w:val="none"/>
              </w:rPr>
            </w:pPr>
          </w:p>
        </w:tc>
        <w:tc>
          <w:tcPr>
            <w:tcW w:w="1080" w:type="dxa"/>
          </w:tcPr>
          <w:p w14:paraId="1B2B929E">
            <w:pPr>
              <w:topLinePunct/>
              <w:spacing w:line="400" w:lineRule="atLeast"/>
              <w:jc w:val="center"/>
              <w:rPr>
                <w:color w:val="auto"/>
                <w:szCs w:val="21"/>
                <w:highlight w:val="none"/>
              </w:rPr>
            </w:pPr>
          </w:p>
        </w:tc>
        <w:tc>
          <w:tcPr>
            <w:tcW w:w="1112" w:type="dxa"/>
          </w:tcPr>
          <w:p w14:paraId="66A88811">
            <w:pPr>
              <w:topLinePunct/>
              <w:spacing w:line="400" w:lineRule="atLeast"/>
              <w:jc w:val="center"/>
              <w:rPr>
                <w:color w:val="auto"/>
                <w:szCs w:val="21"/>
                <w:highlight w:val="none"/>
              </w:rPr>
            </w:pPr>
          </w:p>
        </w:tc>
        <w:tc>
          <w:tcPr>
            <w:tcW w:w="1778" w:type="dxa"/>
          </w:tcPr>
          <w:p w14:paraId="63DEE8E4">
            <w:pPr>
              <w:topLinePunct/>
              <w:spacing w:line="400" w:lineRule="atLeast"/>
              <w:jc w:val="center"/>
              <w:rPr>
                <w:color w:val="auto"/>
                <w:szCs w:val="21"/>
                <w:highlight w:val="none"/>
              </w:rPr>
            </w:pPr>
          </w:p>
        </w:tc>
        <w:tc>
          <w:tcPr>
            <w:tcW w:w="1080" w:type="dxa"/>
          </w:tcPr>
          <w:p w14:paraId="259E5221">
            <w:pPr>
              <w:topLinePunct/>
              <w:spacing w:line="400" w:lineRule="atLeast"/>
              <w:jc w:val="center"/>
              <w:rPr>
                <w:color w:val="auto"/>
                <w:szCs w:val="21"/>
                <w:highlight w:val="none"/>
              </w:rPr>
            </w:pPr>
          </w:p>
        </w:tc>
      </w:tr>
      <w:tr w14:paraId="1328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003AAB26">
            <w:pPr>
              <w:topLinePunct/>
              <w:spacing w:line="400" w:lineRule="atLeast"/>
              <w:jc w:val="center"/>
              <w:rPr>
                <w:color w:val="auto"/>
                <w:szCs w:val="21"/>
                <w:highlight w:val="none"/>
              </w:rPr>
            </w:pPr>
          </w:p>
        </w:tc>
        <w:tc>
          <w:tcPr>
            <w:tcW w:w="1846" w:type="dxa"/>
          </w:tcPr>
          <w:p w14:paraId="0BA0954F">
            <w:pPr>
              <w:topLinePunct/>
              <w:spacing w:line="400" w:lineRule="atLeast"/>
              <w:jc w:val="center"/>
              <w:rPr>
                <w:color w:val="auto"/>
                <w:szCs w:val="21"/>
                <w:highlight w:val="none"/>
              </w:rPr>
            </w:pPr>
          </w:p>
        </w:tc>
        <w:tc>
          <w:tcPr>
            <w:tcW w:w="1394" w:type="dxa"/>
          </w:tcPr>
          <w:p w14:paraId="2792C7FE">
            <w:pPr>
              <w:topLinePunct/>
              <w:spacing w:line="400" w:lineRule="atLeast"/>
              <w:jc w:val="center"/>
              <w:rPr>
                <w:color w:val="auto"/>
                <w:szCs w:val="21"/>
                <w:highlight w:val="none"/>
              </w:rPr>
            </w:pPr>
          </w:p>
        </w:tc>
        <w:tc>
          <w:tcPr>
            <w:tcW w:w="1080" w:type="dxa"/>
          </w:tcPr>
          <w:p w14:paraId="008B552E">
            <w:pPr>
              <w:topLinePunct/>
              <w:spacing w:line="400" w:lineRule="atLeast"/>
              <w:jc w:val="center"/>
              <w:rPr>
                <w:color w:val="auto"/>
                <w:szCs w:val="21"/>
                <w:highlight w:val="none"/>
              </w:rPr>
            </w:pPr>
          </w:p>
        </w:tc>
        <w:tc>
          <w:tcPr>
            <w:tcW w:w="1112" w:type="dxa"/>
          </w:tcPr>
          <w:p w14:paraId="30626601">
            <w:pPr>
              <w:topLinePunct/>
              <w:spacing w:line="400" w:lineRule="atLeast"/>
              <w:jc w:val="center"/>
              <w:rPr>
                <w:color w:val="auto"/>
                <w:szCs w:val="21"/>
                <w:highlight w:val="none"/>
              </w:rPr>
            </w:pPr>
          </w:p>
        </w:tc>
        <w:tc>
          <w:tcPr>
            <w:tcW w:w="1778" w:type="dxa"/>
          </w:tcPr>
          <w:p w14:paraId="6228F81C">
            <w:pPr>
              <w:topLinePunct/>
              <w:spacing w:line="400" w:lineRule="atLeast"/>
              <w:jc w:val="center"/>
              <w:rPr>
                <w:color w:val="auto"/>
                <w:szCs w:val="21"/>
                <w:highlight w:val="none"/>
              </w:rPr>
            </w:pPr>
          </w:p>
        </w:tc>
        <w:tc>
          <w:tcPr>
            <w:tcW w:w="1080" w:type="dxa"/>
          </w:tcPr>
          <w:p w14:paraId="7E771EA3">
            <w:pPr>
              <w:topLinePunct/>
              <w:spacing w:line="400" w:lineRule="atLeast"/>
              <w:jc w:val="center"/>
              <w:rPr>
                <w:color w:val="auto"/>
                <w:szCs w:val="21"/>
                <w:highlight w:val="none"/>
              </w:rPr>
            </w:pPr>
          </w:p>
        </w:tc>
      </w:tr>
      <w:tr w14:paraId="6C27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02BEAED0">
            <w:pPr>
              <w:topLinePunct/>
              <w:spacing w:line="400" w:lineRule="atLeast"/>
              <w:jc w:val="center"/>
              <w:rPr>
                <w:color w:val="auto"/>
                <w:szCs w:val="21"/>
                <w:highlight w:val="none"/>
              </w:rPr>
            </w:pPr>
          </w:p>
        </w:tc>
        <w:tc>
          <w:tcPr>
            <w:tcW w:w="1846" w:type="dxa"/>
          </w:tcPr>
          <w:p w14:paraId="65AE4355">
            <w:pPr>
              <w:topLinePunct/>
              <w:spacing w:line="400" w:lineRule="atLeast"/>
              <w:jc w:val="center"/>
              <w:rPr>
                <w:color w:val="auto"/>
                <w:szCs w:val="21"/>
                <w:highlight w:val="none"/>
              </w:rPr>
            </w:pPr>
          </w:p>
        </w:tc>
        <w:tc>
          <w:tcPr>
            <w:tcW w:w="1394" w:type="dxa"/>
          </w:tcPr>
          <w:p w14:paraId="734F15C3">
            <w:pPr>
              <w:topLinePunct/>
              <w:spacing w:line="400" w:lineRule="atLeast"/>
              <w:jc w:val="center"/>
              <w:rPr>
                <w:color w:val="auto"/>
                <w:szCs w:val="21"/>
                <w:highlight w:val="none"/>
              </w:rPr>
            </w:pPr>
          </w:p>
        </w:tc>
        <w:tc>
          <w:tcPr>
            <w:tcW w:w="1080" w:type="dxa"/>
          </w:tcPr>
          <w:p w14:paraId="21E4408B">
            <w:pPr>
              <w:topLinePunct/>
              <w:spacing w:line="400" w:lineRule="atLeast"/>
              <w:jc w:val="center"/>
              <w:rPr>
                <w:color w:val="auto"/>
                <w:szCs w:val="21"/>
                <w:highlight w:val="none"/>
              </w:rPr>
            </w:pPr>
          </w:p>
        </w:tc>
        <w:tc>
          <w:tcPr>
            <w:tcW w:w="1112" w:type="dxa"/>
          </w:tcPr>
          <w:p w14:paraId="5390A8B8">
            <w:pPr>
              <w:topLinePunct/>
              <w:spacing w:line="400" w:lineRule="atLeast"/>
              <w:jc w:val="center"/>
              <w:rPr>
                <w:color w:val="auto"/>
                <w:szCs w:val="21"/>
                <w:highlight w:val="none"/>
              </w:rPr>
            </w:pPr>
          </w:p>
        </w:tc>
        <w:tc>
          <w:tcPr>
            <w:tcW w:w="1778" w:type="dxa"/>
          </w:tcPr>
          <w:p w14:paraId="43B3AE83">
            <w:pPr>
              <w:topLinePunct/>
              <w:spacing w:line="400" w:lineRule="atLeast"/>
              <w:jc w:val="center"/>
              <w:rPr>
                <w:color w:val="auto"/>
                <w:szCs w:val="21"/>
                <w:highlight w:val="none"/>
              </w:rPr>
            </w:pPr>
          </w:p>
        </w:tc>
        <w:tc>
          <w:tcPr>
            <w:tcW w:w="1080" w:type="dxa"/>
          </w:tcPr>
          <w:p w14:paraId="672A62E2">
            <w:pPr>
              <w:topLinePunct/>
              <w:spacing w:line="400" w:lineRule="atLeast"/>
              <w:jc w:val="center"/>
              <w:rPr>
                <w:color w:val="auto"/>
                <w:szCs w:val="21"/>
                <w:highlight w:val="none"/>
              </w:rPr>
            </w:pPr>
          </w:p>
        </w:tc>
      </w:tr>
      <w:tr w14:paraId="2F8C9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09BE21D6">
            <w:pPr>
              <w:topLinePunct/>
              <w:spacing w:line="400" w:lineRule="atLeast"/>
              <w:jc w:val="center"/>
              <w:rPr>
                <w:color w:val="auto"/>
                <w:szCs w:val="21"/>
                <w:highlight w:val="none"/>
              </w:rPr>
            </w:pPr>
          </w:p>
        </w:tc>
        <w:tc>
          <w:tcPr>
            <w:tcW w:w="1846" w:type="dxa"/>
          </w:tcPr>
          <w:p w14:paraId="086C51A2">
            <w:pPr>
              <w:topLinePunct/>
              <w:spacing w:line="400" w:lineRule="atLeast"/>
              <w:jc w:val="center"/>
              <w:rPr>
                <w:color w:val="auto"/>
                <w:szCs w:val="21"/>
                <w:highlight w:val="none"/>
              </w:rPr>
            </w:pPr>
          </w:p>
        </w:tc>
        <w:tc>
          <w:tcPr>
            <w:tcW w:w="1394" w:type="dxa"/>
          </w:tcPr>
          <w:p w14:paraId="42D768DB">
            <w:pPr>
              <w:topLinePunct/>
              <w:spacing w:line="400" w:lineRule="atLeast"/>
              <w:jc w:val="center"/>
              <w:rPr>
                <w:color w:val="auto"/>
                <w:szCs w:val="21"/>
                <w:highlight w:val="none"/>
              </w:rPr>
            </w:pPr>
          </w:p>
        </w:tc>
        <w:tc>
          <w:tcPr>
            <w:tcW w:w="1080" w:type="dxa"/>
          </w:tcPr>
          <w:p w14:paraId="398B57A9">
            <w:pPr>
              <w:topLinePunct/>
              <w:spacing w:line="400" w:lineRule="atLeast"/>
              <w:jc w:val="center"/>
              <w:rPr>
                <w:color w:val="auto"/>
                <w:szCs w:val="21"/>
                <w:highlight w:val="none"/>
              </w:rPr>
            </w:pPr>
          </w:p>
        </w:tc>
        <w:tc>
          <w:tcPr>
            <w:tcW w:w="1112" w:type="dxa"/>
          </w:tcPr>
          <w:p w14:paraId="05A50686">
            <w:pPr>
              <w:topLinePunct/>
              <w:spacing w:line="400" w:lineRule="atLeast"/>
              <w:jc w:val="center"/>
              <w:rPr>
                <w:color w:val="auto"/>
                <w:szCs w:val="21"/>
                <w:highlight w:val="none"/>
              </w:rPr>
            </w:pPr>
          </w:p>
        </w:tc>
        <w:tc>
          <w:tcPr>
            <w:tcW w:w="1778" w:type="dxa"/>
          </w:tcPr>
          <w:p w14:paraId="2F58939D">
            <w:pPr>
              <w:topLinePunct/>
              <w:spacing w:line="400" w:lineRule="atLeast"/>
              <w:jc w:val="center"/>
              <w:rPr>
                <w:color w:val="auto"/>
                <w:szCs w:val="21"/>
                <w:highlight w:val="none"/>
              </w:rPr>
            </w:pPr>
          </w:p>
        </w:tc>
        <w:tc>
          <w:tcPr>
            <w:tcW w:w="1080" w:type="dxa"/>
          </w:tcPr>
          <w:p w14:paraId="33D398EC">
            <w:pPr>
              <w:topLinePunct/>
              <w:spacing w:line="400" w:lineRule="atLeast"/>
              <w:jc w:val="center"/>
              <w:rPr>
                <w:color w:val="auto"/>
                <w:szCs w:val="21"/>
                <w:highlight w:val="none"/>
              </w:rPr>
            </w:pPr>
          </w:p>
        </w:tc>
      </w:tr>
      <w:tr w14:paraId="5AEB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4367FF00">
            <w:pPr>
              <w:topLinePunct/>
              <w:spacing w:line="400" w:lineRule="atLeast"/>
              <w:jc w:val="center"/>
              <w:rPr>
                <w:color w:val="auto"/>
                <w:szCs w:val="21"/>
                <w:highlight w:val="none"/>
              </w:rPr>
            </w:pPr>
          </w:p>
        </w:tc>
        <w:tc>
          <w:tcPr>
            <w:tcW w:w="1846" w:type="dxa"/>
          </w:tcPr>
          <w:p w14:paraId="508D950B">
            <w:pPr>
              <w:topLinePunct/>
              <w:spacing w:line="400" w:lineRule="atLeast"/>
              <w:jc w:val="center"/>
              <w:rPr>
                <w:color w:val="auto"/>
                <w:szCs w:val="21"/>
                <w:highlight w:val="none"/>
              </w:rPr>
            </w:pPr>
          </w:p>
        </w:tc>
        <w:tc>
          <w:tcPr>
            <w:tcW w:w="1394" w:type="dxa"/>
          </w:tcPr>
          <w:p w14:paraId="001B306A">
            <w:pPr>
              <w:topLinePunct/>
              <w:spacing w:line="400" w:lineRule="atLeast"/>
              <w:jc w:val="center"/>
              <w:rPr>
                <w:color w:val="auto"/>
                <w:szCs w:val="21"/>
                <w:highlight w:val="none"/>
              </w:rPr>
            </w:pPr>
          </w:p>
        </w:tc>
        <w:tc>
          <w:tcPr>
            <w:tcW w:w="1080" w:type="dxa"/>
          </w:tcPr>
          <w:p w14:paraId="31859C38">
            <w:pPr>
              <w:topLinePunct/>
              <w:spacing w:line="400" w:lineRule="atLeast"/>
              <w:jc w:val="center"/>
              <w:rPr>
                <w:color w:val="auto"/>
                <w:szCs w:val="21"/>
                <w:highlight w:val="none"/>
              </w:rPr>
            </w:pPr>
          </w:p>
        </w:tc>
        <w:tc>
          <w:tcPr>
            <w:tcW w:w="1112" w:type="dxa"/>
          </w:tcPr>
          <w:p w14:paraId="44AFA2A5">
            <w:pPr>
              <w:topLinePunct/>
              <w:spacing w:line="400" w:lineRule="atLeast"/>
              <w:jc w:val="center"/>
              <w:rPr>
                <w:color w:val="auto"/>
                <w:szCs w:val="21"/>
                <w:highlight w:val="none"/>
              </w:rPr>
            </w:pPr>
          </w:p>
        </w:tc>
        <w:tc>
          <w:tcPr>
            <w:tcW w:w="1778" w:type="dxa"/>
          </w:tcPr>
          <w:p w14:paraId="6248308D">
            <w:pPr>
              <w:topLinePunct/>
              <w:spacing w:line="400" w:lineRule="atLeast"/>
              <w:jc w:val="center"/>
              <w:rPr>
                <w:color w:val="auto"/>
                <w:szCs w:val="21"/>
                <w:highlight w:val="none"/>
              </w:rPr>
            </w:pPr>
          </w:p>
        </w:tc>
        <w:tc>
          <w:tcPr>
            <w:tcW w:w="1080" w:type="dxa"/>
          </w:tcPr>
          <w:p w14:paraId="47684A47">
            <w:pPr>
              <w:topLinePunct/>
              <w:spacing w:line="400" w:lineRule="atLeast"/>
              <w:jc w:val="center"/>
              <w:rPr>
                <w:color w:val="auto"/>
                <w:szCs w:val="21"/>
                <w:highlight w:val="none"/>
              </w:rPr>
            </w:pPr>
          </w:p>
        </w:tc>
      </w:tr>
      <w:tr w14:paraId="519E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68C7DECA">
            <w:pPr>
              <w:topLinePunct/>
              <w:spacing w:line="400" w:lineRule="atLeast"/>
              <w:jc w:val="center"/>
              <w:rPr>
                <w:color w:val="auto"/>
                <w:szCs w:val="21"/>
                <w:highlight w:val="none"/>
              </w:rPr>
            </w:pPr>
          </w:p>
        </w:tc>
        <w:tc>
          <w:tcPr>
            <w:tcW w:w="1846" w:type="dxa"/>
          </w:tcPr>
          <w:p w14:paraId="1BCD0BCD">
            <w:pPr>
              <w:topLinePunct/>
              <w:spacing w:line="400" w:lineRule="atLeast"/>
              <w:jc w:val="center"/>
              <w:rPr>
                <w:color w:val="auto"/>
                <w:szCs w:val="21"/>
                <w:highlight w:val="none"/>
              </w:rPr>
            </w:pPr>
          </w:p>
        </w:tc>
        <w:tc>
          <w:tcPr>
            <w:tcW w:w="1394" w:type="dxa"/>
          </w:tcPr>
          <w:p w14:paraId="301A49AF">
            <w:pPr>
              <w:topLinePunct/>
              <w:spacing w:line="400" w:lineRule="atLeast"/>
              <w:jc w:val="center"/>
              <w:rPr>
                <w:color w:val="auto"/>
                <w:szCs w:val="21"/>
                <w:highlight w:val="none"/>
              </w:rPr>
            </w:pPr>
          </w:p>
        </w:tc>
        <w:tc>
          <w:tcPr>
            <w:tcW w:w="1080" w:type="dxa"/>
          </w:tcPr>
          <w:p w14:paraId="339605DD">
            <w:pPr>
              <w:topLinePunct/>
              <w:spacing w:line="400" w:lineRule="atLeast"/>
              <w:jc w:val="center"/>
              <w:rPr>
                <w:color w:val="auto"/>
                <w:szCs w:val="21"/>
                <w:highlight w:val="none"/>
              </w:rPr>
            </w:pPr>
          </w:p>
        </w:tc>
        <w:tc>
          <w:tcPr>
            <w:tcW w:w="1112" w:type="dxa"/>
          </w:tcPr>
          <w:p w14:paraId="5874B138">
            <w:pPr>
              <w:topLinePunct/>
              <w:spacing w:line="400" w:lineRule="atLeast"/>
              <w:jc w:val="center"/>
              <w:rPr>
                <w:color w:val="auto"/>
                <w:szCs w:val="21"/>
                <w:highlight w:val="none"/>
              </w:rPr>
            </w:pPr>
          </w:p>
        </w:tc>
        <w:tc>
          <w:tcPr>
            <w:tcW w:w="1778" w:type="dxa"/>
          </w:tcPr>
          <w:p w14:paraId="3629EB54">
            <w:pPr>
              <w:topLinePunct/>
              <w:spacing w:line="400" w:lineRule="atLeast"/>
              <w:jc w:val="center"/>
              <w:rPr>
                <w:color w:val="auto"/>
                <w:szCs w:val="21"/>
                <w:highlight w:val="none"/>
              </w:rPr>
            </w:pPr>
          </w:p>
        </w:tc>
        <w:tc>
          <w:tcPr>
            <w:tcW w:w="1080" w:type="dxa"/>
          </w:tcPr>
          <w:p w14:paraId="301B899C">
            <w:pPr>
              <w:topLinePunct/>
              <w:spacing w:line="400" w:lineRule="atLeast"/>
              <w:jc w:val="center"/>
              <w:rPr>
                <w:color w:val="auto"/>
                <w:szCs w:val="21"/>
                <w:highlight w:val="none"/>
              </w:rPr>
            </w:pPr>
          </w:p>
        </w:tc>
      </w:tr>
      <w:tr w14:paraId="28B8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03D9CF8F">
            <w:pPr>
              <w:topLinePunct/>
              <w:spacing w:line="400" w:lineRule="atLeast"/>
              <w:jc w:val="center"/>
              <w:rPr>
                <w:color w:val="auto"/>
                <w:szCs w:val="21"/>
                <w:highlight w:val="none"/>
              </w:rPr>
            </w:pPr>
          </w:p>
        </w:tc>
        <w:tc>
          <w:tcPr>
            <w:tcW w:w="1846" w:type="dxa"/>
          </w:tcPr>
          <w:p w14:paraId="35A62F18">
            <w:pPr>
              <w:topLinePunct/>
              <w:spacing w:line="400" w:lineRule="atLeast"/>
              <w:jc w:val="center"/>
              <w:rPr>
                <w:color w:val="auto"/>
                <w:szCs w:val="21"/>
                <w:highlight w:val="none"/>
              </w:rPr>
            </w:pPr>
          </w:p>
        </w:tc>
        <w:tc>
          <w:tcPr>
            <w:tcW w:w="1394" w:type="dxa"/>
          </w:tcPr>
          <w:p w14:paraId="27EE6C81">
            <w:pPr>
              <w:topLinePunct/>
              <w:spacing w:line="400" w:lineRule="atLeast"/>
              <w:jc w:val="center"/>
              <w:rPr>
                <w:color w:val="auto"/>
                <w:szCs w:val="21"/>
                <w:highlight w:val="none"/>
              </w:rPr>
            </w:pPr>
          </w:p>
        </w:tc>
        <w:tc>
          <w:tcPr>
            <w:tcW w:w="1080" w:type="dxa"/>
          </w:tcPr>
          <w:p w14:paraId="1C0054C6">
            <w:pPr>
              <w:topLinePunct/>
              <w:spacing w:line="400" w:lineRule="atLeast"/>
              <w:jc w:val="center"/>
              <w:rPr>
                <w:color w:val="auto"/>
                <w:szCs w:val="21"/>
                <w:highlight w:val="none"/>
              </w:rPr>
            </w:pPr>
          </w:p>
        </w:tc>
        <w:tc>
          <w:tcPr>
            <w:tcW w:w="1112" w:type="dxa"/>
          </w:tcPr>
          <w:p w14:paraId="292F78BF">
            <w:pPr>
              <w:topLinePunct/>
              <w:spacing w:line="400" w:lineRule="atLeast"/>
              <w:jc w:val="center"/>
              <w:rPr>
                <w:color w:val="auto"/>
                <w:szCs w:val="21"/>
                <w:highlight w:val="none"/>
              </w:rPr>
            </w:pPr>
          </w:p>
        </w:tc>
        <w:tc>
          <w:tcPr>
            <w:tcW w:w="1778" w:type="dxa"/>
          </w:tcPr>
          <w:p w14:paraId="69F57DEF">
            <w:pPr>
              <w:topLinePunct/>
              <w:spacing w:line="400" w:lineRule="atLeast"/>
              <w:jc w:val="center"/>
              <w:rPr>
                <w:color w:val="auto"/>
                <w:szCs w:val="21"/>
                <w:highlight w:val="none"/>
              </w:rPr>
            </w:pPr>
          </w:p>
        </w:tc>
        <w:tc>
          <w:tcPr>
            <w:tcW w:w="1080" w:type="dxa"/>
          </w:tcPr>
          <w:p w14:paraId="053E1A70">
            <w:pPr>
              <w:topLinePunct/>
              <w:spacing w:line="400" w:lineRule="atLeast"/>
              <w:jc w:val="center"/>
              <w:rPr>
                <w:color w:val="auto"/>
                <w:szCs w:val="21"/>
                <w:highlight w:val="none"/>
              </w:rPr>
            </w:pPr>
          </w:p>
        </w:tc>
      </w:tr>
      <w:tr w14:paraId="6D23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6F91DB42">
            <w:pPr>
              <w:topLinePunct/>
              <w:spacing w:line="400" w:lineRule="atLeast"/>
              <w:jc w:val="center"/>
              <w:rPr>
                <w:color w:val="auto"/>
                <w:szCs w:val="21"/>
                <w:highlight w:val="none"/>
              </w:rPr>
            </w:pPr>
          </w:p>
        </w:tc>
        <w:tc>
          <w:tcPr>
            <w:tcW w:w="1846" w:type="dxa"/>
          </w:tcPr>
          <w:p w14:paraId="495CE6CC">
            <w:pPr>
              <w:topLinePunct/>
              <w:spacing w:line="400" w:lineRule="atLeast"/>
              <w:jc w:val="center"/>
              <w:rPr>
                <w:color w:val="auto"/>
                <w:szCs w:val="21"/>
                <w:highlight w:val="none"/>
              </w:rPr>
            </w:pPr>
          </w:p>
        </w:tc>
        <w:tc>
          <w:tcPr>
            <w:tcW w:w="1394" w:type="dxa"/>
          </w:tcPr>
          <w:p w14:paraId="2803EDA4">
            <w:pPr>
              <w:topLinePunct/>
              <w:spacing w:line="400" w:lineRule="atLeast"/>
              <w:jc w:val="center"/>
              <w:rPr>
                <w:color w:val="auto"/>
                <w:szCs w:val="21"/>
                <w:highlight w:val="none"/>
              </w:rPr>
            </w:pPr>
          </w:p>
        </w:tc>
        <w:tc>
          <w:tcPr>
            <w:tcW w:w="1080" w:type="dxa"/>
          </w:tcPr>
          <w:p w14:paraId="047349A8">
            <w:pPr>
              <w:topLinePunct/>
              <w:spacing w:line="400" w:lineRule="atLeast"/>
              <w:jc w:val="center"/>
              <w:rPr>
                <w:color w:val="auto"/>
                <w:szCs w:val="21"/>
                <w:highlight w:val="none"/>
              </w:rPr>
            </w:pPr>
          </w:p>
        </w:tc>
        <w:tc>
          <w:tcPr>
            <w:tcW w:w="1112" w:type="dxa"/>
          </w:tcPr>
          <w:p w14:paraId="2F90EC4A">
            <w:pPr>
              <w:topLinePunct/>
              <w:spacing w:line="400" w:lineRule="atLeast"/>
              <w:jc w:val="center"/>
              <w:rPr>
                <w:color w:val="auto"/>
                <w:szCs w:val="21"/>
                <w:highlight w:val="none"/>
              </w:rPr>
            </w:pPr>
          </w:p>
        </w:tc>
        <w:tc>
          <w:tcPr>
            <w:tcW w:w="1778" w:type="dxa"/>
          </w:tcPr>
          <w:p w14:paraId="2C8E19DB">
            <w:pPr>
              <w:topLinePunct/>
              <w:spacing w:line="400" w:lineRule="atLeast"/>
              <w:jc w:val="center"/>
              <w:rPr>
                <w:color w:val="auto"/>
                <w:szCs w:val="21"/>
                <w:highlight w:val="none"/>
              </w:rPr>
            </w:pPr>
          </w:p>
        </w:tc>
        <w:tc>
          <w:tcPr>
            <w:tcW w:w="1080" w:type="dxa"/>
          </w:tcPr>
          <w:p w14:paraId="20AAB9DA">
            <w:pPr>
              <w:topLinePunct/>
              <w:spacing w:line="400" w:lineRule="atLeast"/>
              <w:jc w:val="center"/>
              <w:rPr>
                <w:color w:val="auto"/>
                <w:szCs w:val="21"/>
                <w:highlight w:val="none"/>
              </w:rPr>
            </w:pPr>
          </w:p>
        </w:tc>
      </w:tr>
    </w:tbl>
    <w:p w14:paraId="1F8AAFB2">
      <w:pPr>
        <w:rPr>
          <w:color w:val="auto"/>
          <w:highlight w:val="none"/>
        </w:rPr>
      </w:pPr>
    </w:p>
    <w:p w14:paraId="197B2FFD">
      <w:pPr>
        <w:rPr>
          <w:rFonts w:hint="eastAsia"/>
          <w:color w:val="auto"/>
          <w:szCs w:val="24"/>
          <w:highlight w:val="none"/>
        </w:rPr>
      </w:pPr>
      <w:r>
        <w:rPr>
          <w:rFonts w:hint="eastAsia"/>
          <w:color w:val="auto"/>
          <w:szCs w:val="24"/>
          <w:highlight w:val="none"/>
        </w:rPr>
        <w:br w:type="page"/>
      </w:r>
    </w:p>
    <w:p w14:paraId="2BADA14B">
      <w:pPr>
        <w:bidi w:val="0"/>
        <w:jc w:val="center"/>
        <w:rPr>
          <w:rFonts w:hint="eastAsia" w:ascii="黑体" w:hAnsi="黑体" w:eastAsia="黑体" w:cs="黑体"/>
          <w:color w:val="auto"/>
          <w:sz w:val="24"/>
          <w:szCs w:val="24"/>
          <w:highlight w:val="none"/>
        </w:rPr>
      </w:pPr>
      <w:bookmarkStart w:id="2345" w:name="_Toc122603094"/>
      <w:r>
        <w:rPr>
          <w:rFonts w:hint="eastAsia" w:ascii="黑体" w:hAnsi="黑体" w:eastAsia="黑体" w:cs="黑体"/>
          <w:color w:val="auto"/>
          <w:sz w:val="24"/>
          <w:szCs w:val="24"/>
          <w:highlight w:val="none"/>
        </w:rPr>
        <w:t>近年完成的类似项目情况表</w:t>
      </w:r>
      <w:bookmarkEnd w:id="2345"/>
    </w:p>
    <w:p w14:paraId="4590C502">
      <w:pPr>
        <w:spacing w:line="440" w:lineRule="exact"/>
        <w:ind w:left="720" w:hanging="720" w:hangingChars="300"/>
        <w:jc w:val="center"/>
        <w:rPr>
          <w:rFonts w:hint="eastAsia" w:ascii="黑体" w:hAnsi="宋体" w:eastAsia="黑体"/>
          <w:color w:val="auto"/>
          <w:sz w:val="24"/>
          <w:highlight w:val="none"/>
        </w:rPr>
      </w:pP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253"/>
      </w:tblGrid>
      <w:tr w14:paraId="07B4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69" w:type="dxa"/>
            <w:vAlign w:val="center"/>
          </w:tcPr>
          <w:p w14:paraId="3BEDB4E9">
            <w:pPr>
              <w:topLinePunct/>
              <w:spacing w:line="440" w:lineRule="exact"/>
              <w:jc w:val="center"/>
              <w:rPr>
                <w:color w:val="auto"/>
                <w:szCs w:val="21"/>
                <w:highlight w:val="none"/>
              </w:rPr>
            </w:pPr>
            <w:r>
              <w:rPr>
                <w:color w:val="auto"/>
                <w:szCs w:val="21"/>
                <w:highlight w:val="none"/>
              </w:rPr>
              <w:t>项目名称</w:t>
            </w:r>
          </w:p>
        </w:tc>
        <w:tc>
          <w:tcPr>
            <w:tcW w:w="6253" w:type="dxa"/>
          </w:tcPr>
          <w:p w14:paraId="33781F04">
            <w:pPr>
              <w:topLinePunct/>
              <w:spacing w:line="440" w:lineRule="exact"/>
              <w:rPr>
                <w:color w:val="auto"/>
                <w:szCs w:val="21"/>
                <w:highlight w:val="none"/>
              </w:rPr>
            </w:pPr>
          </w:p>
        </w:tc>
      </w:tr>
      <w:tr w14:paraId="309F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269" w:type="dxa"/>
            <w:vAlign w:val="center"/>
          </w:tcPr>
          <w:p w14:paraId="673455F7">
            <w:pPr>
              <w:topLinePunct/>
              <w:spacing w:line="440" w:lineRule="exact"/>
              <w:jc w:val="center"/>
              <w:rPr>
                <w:color w:val="auto"/>
                <w:szCs w:val="21"/>
                <w:highlight w:val="none"/>
              </w:rPr>
            </w:pPr>
            <w:r>
              <w:rPr>
                <w:color w:val="auto"/>
                <w:szCs w:val="21"/>
                <w:highlight w:val="none"/>
              </w:rPr>
              <w:t>项目所在地</w:t>
            </w:r>
          </w:p>
        </w:tc>
        <w:tc>
          <w:tcPr>
            <w:tcW w:w="6253" w:type="dxa"/>
          </w:tcPr>
          <w:p w14:paraId="7E318429">
            <w:pPr>
              <w:topLinePunct/>
              <w:spacing w:line="440" w:lineRule="exact"/>
              <w:rPr>
                <w:color w:val="auto"/>
                <w:szCs w:val="21"/>
                <w:highlight w:val="none"/>
              </w:rPr>
            </w:pPr>
          </w:p>
        </w:tc>
      </w:tr>
      <w:tr w14:paraId="7360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269" w:type="dxa"/>
            <w:vAlign w:val="center"/>
          </w:tcPr>
          <w:p w14:paraId="0D86D5F5">
            <w:pPr>
              <w:topLinePunct/>
              <w:spacing w:line="440" w:lineRule="exact"/>
              <w:jc w:val="center"/>
              <w:rPr>
                <w:color w:val="auto"/>
                <w:szCs w:val="21"/>
                <w:highlight w:val="none"/>
              </w:rPr>
            </w:pPr>
            <w:r>
              <w:rPr>
                <w:color w:val="auto"/>
                <w:szCs w:val="21"/>
                <w:highlight w:val="none"/>
              </w:rPr>
              <w:t>发包人名称</w:t>
            </w:r>
          </w:p>
        </w:tc>
        <w:tc>
          <w:tcPr>
            <w:tcW w:w="6253" w:type="dxa"/>
          </w:tcPr>
          <w:p w14:paraId="37182D04">
            <w:pPr>
              <w:topLinePunct/>
              <w:spacing w:line="440" w:lineRule="exact"/>
              <w:rPr>
                <w:color w:val="auto"/>
                <w:szCs w:val="21"/>
                <w:highlight w:val="none"/>
              </w:rPr>
            </w:pPr>
          </w:p>
        </w:tc>
      </w:tr>
      <w:tr w14:paraId="1306C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269" w:type="dxa"/>
            <w:vAlign w:val="center"/>
          </w:tcPr>
          <w:p w14:paraId="6D1933DB">
            <w:pPr>
              <w:topLinePunct/>
              <w:spacing w:line="440" w:lineRule="exact"/>
              <w:jc w:val="center"/>
              <w:rPr>
                <w:color w:val="auto"/>
                <w:szCs w:val="21"/>
                <w:highlight w:val="none"/>
              </w:rPr>
            </w:pPr>
            <w:r>
              <w:rPr>
                <w:color w:val="auto"/>
                <w:szCs w:val="21"/>
                <w:highlight w:val="none"/>
              </w:rPr>
              <w:t>发包人地址</w:t>
            </w:r>
          </w:p>
        </w:tc>
        <w:tc>
          <w:tcPr>
            <w:tcW w:w="6253" w:type="dxa"/>
          </w:tcPr>
          <w:p w14:paraId="268437CC">
            <w:pPr>
              <w:topLinePunct/>
              <w:spacing w:line="440" w:lineRule="exact"/>
              <w:rPr>
                <w:color w:val="auto"/>
                <w:szCs w:val="21"/>
                <w:highlight w:val="none"/>
              </w:rPr>
            </w:pPr>
          </w:p>
        </w:tc>
      </w:tr>
      <w:tr w14:paraId="1E21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69" w:type="dxa"/>
            <w:vAlign w:val="center"/>
          </w:tcPr>
          <w:p w14:paraId="4856F2CA">
            <w:pPr>
              <w:topLinePunct/>
              <w:spacing w:line="440" w:lineRule="exact"/>
              <w:jc w:val="center"/>
              <w:rPr>
                <w:color w:val="auto"/>
                <w:szCs w:val="21"/>
                <w:highlight w:val="none"/>
              </w:rPr>
            </w:pPr>
            <w:r>
              <w:rPr>
                <w:color w:val="auto"/>
                <w:szCs w:val="21"/>
                <w:highlight w:val="none"/>
              </w:rPr>
              <w:t>发包人电话</w:t>
            </w:r>
          </w:p>
        </w:tc>
        <w:tc>
          <w:tcPr>
            <w:tcW w:w="6253" w:type="dxa"/>
          </w:tcPr>
          <w:p w14:paraId="3E619216">
            <w:pPr>
              <w:topLinePunct/>
              <w:spacing w:line="440" w:lineRule="exact"/>
              <w:rPr>
                <w:color w:val="auto"/>
                <w:szCs w:val="21"/>
                <w:highlight w:val="none"/>
              </w:rPr>
            </w:pPr>
          </w:p>
        </w:tc>
      </w:tr>
      <w:tr w14:paraId="05F6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269" w:type="dxa"/>
            <w:vAlign w:val="center"/>
          </w:tcPr>
          <w:p w14:paraId="61870956">
            <w:pPr>
              <w:topLinePunct/>
              <w:spacing w:line="440" w:lineRule="exact"/>
              <w:jc w:val="center"/>
              <w:rPr>
                <w:rFonts w:hint="eastAsia"/>
                <w:color w:val="auto"/>
                <w:szCs w:val="21"/>
                <w:highlight w:val="none"/>
              </w:rPr>
            </w:pPr>
            <w:r>
              <w:rPr>
                <w:color w:val="auto"/>
                <w:szCs w:val="21"/>
                <w:highlight w:val="none"/>
              </w:rPr>
              <w:t>合同价格</w:t>
            </w:r>
            <w:r>
              <w:rPr>
                <w:rFonts w:hint="eastAsia"/>
                <w:color w:val="auto"/>
                <w:szCs w:val="21"/>
                <w:highlight w:val="none"/>
                <w:lang w:eastAsia="zh-CN"/>
              </w:rPr>
              <w:t>（</w:t>
            </w:r>
            <w:r>
              <w:rPr>
                <w:rFonts w:hint="eastAsia"/>
                <w:color w:val="auto"/>
                <w:szCs w:val="21"/>
                <w:highlight w:val="none"/>
                <w:lang w:val="en-US" w:eastAsia="zh-CN"/>
              </w:rPr>
              <w:t>元</w:t>
            </w:r>
            <w:r>
              <w:rPr>
                <w:rFonts w:hint="eastAsia"/>
                <w:color w:val="auto"/>
                <w:szCs w:val="21"/>
                <w:highlight w:val="none"/>
                <w:lang w:eastAsia="zh-CN"/>
              </w:rPr>
              <w:t>）</w:t>
            </w:r>
          </w:p>
        </w:tc>
        <w:tc>
          <w:tcPr>
            <w:tcW w:w="6253" w:type="dxa"/>
          </w:tcPr>
          <w:p w14:paraId="710F0D67">
            <w:pPr>
              <w:topLinePunct/>
              <w:spacing w:line="440" w:lineRule="exact"/>
              <w:rPr>
                <w:color w:val="auto"/>
                <w:szCs w:val="21"/>
                <w:highlight w:val="none"/>
              </w:rPr>
            </w:pPr>
          </w:p>
        </w:tc>
      </w:tr>
      <w:tr w14:paraId="0DAE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269" w:type="dxa"/>
            <w:vAlign w:val="center"/>
          </w:tcPr>
          <w:p w14:paraId="2E540D44">
            <w:pPr>
              <w:topLinePunct/>
              <w:spacing w:line="440" w:lineRule="exact"/>
              <w:jc w:val="center"/>
              <w:rPr>
                <w:color w:val="auto"/>
                <w:szCs w:val="21"/>
                <w:highlight w:val="none"/>
              </w:rPr>
            </w:pPr>
            <w:r>
              <w:rPr>
                <w:color w:val="auto"/>
                <w:szCs w:val="21"/>
                <w:highlight w:val="none"/>
              </w:rPr>
              <w:t>开工日期</w:t>
            </w:r>
          </w:p>
        </w:tc>
        <w:tc>
          <w:tcPr>
            <w:tcW w:w="6253" w:type="dxa"/>
          </w:tcPr>
          <w:p w14:paraId="7F1CC312">
            <w:pPr>
              <w:topLinePunct/>
              <w:spacing w:line="440" w:lineRule="exact"/>
              <w:rPr>
                <w:color w:val="auto"/>
                <w:szCs w:val="21"/>
                <w:highlight w:val="none"/>
              </w:rPr>
            </w:pPr>
          </w:p>
        </w:tc>
      </w:tr>
      <w:tr w14:paraId="3D5F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269" w:type="dxa"/>
            <w:vAlign w:val="center"/>
          </w:tcPr>
          <w:p w14:paraId="669AF870">
            <w:pPr>
              <w:topLinePunct/>
              <w:spacing w:line="440" w:lineRule="exact"/>
              <w:jc w:val="center"/>
              <w:rPr>
                <w:color w:val="auto"/>
                <w:szCs w:val="21"/>
                <w:highlight w:val="none"/>
              </w:rPr>
            </w:pPr>
            <w:r>
              <w:rPr>
                <w:rFonts w:hint="eastAsia"/>
                <w:color w:val="auto"/>
                <w:highlight w:val="none"/>
              </w:rPr>
              <w:t>竣工</w:t>
            </w:r>
            <w:r>
              <w:rPr>
                <w:color w:val="auto"/>
                <w:szCs w:val="21"/>
                <w:highlight w:val="none"/>
              </w:rPr>
              <w:t>日期</w:t>
            </w:r>
          </w:p>
        </w:tc>
        <w:tc>
          <w:tcPr>
            <w:tcW w:w="6253" w:type="dxa"/>
          </w:tcPr>
          <w:p w14:paraId="3943BC21">
            <w:pPr>
              <w:topLinePunct/>
              <w:spacing w:line="440" w:lineRule="exact"/>
              <w:rPr>
                <w:color w:val="auto"/>
                <w:szCs w:val="21"/>
                <w:highlight w:val="none"/>
              </w:rPr>
            </w:pPr>
          </w:p>
        </w:tc>
      </w:tr>
      <w:tr w14:paraId="5283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269" w:type="dxa"/>
            <w:vAlign w:val="center"/>
          </w:tcPr>
          <w:p w14:paraId="4E1F884E">
            <w:pPr>
              <w:topLinePunct/>
              <w:spacing w:line="440" w:lineRule="exact"/>
              <w:jc w:val="center"/>
              <w:rPr>
                <w:color w:val="auto"/>
                <w:szCs w:val="21"/>
                <w:highlight w:val="none"/>
              </w:rPr>
            </w:pPr>
            <w:r>
              <w:rPr>
                <w:color w:val="auto"/>
                <w:szCs w:val="21"/>
                <w:highlight w:val="none"/>
              </w:rPr>
              <w:t>承担的工作</w:t>
            </w:r>
          </w:p>
        </w:tc>
        <w:tc>
          <w:tcPr>
            <w:tcW w:w="6253" w:type="dxa"/>
          </w:tcPr>
          <w:p w14:paraId="7FBD90DD">
            <w:pPr>
              <w:topLinePunct/>
              <w:spacing w:line="440" w:lineRule="exact"/>
              <w:rPr>
                <w:color w:val="auto"/>
                <w:szCs w:val="21"/>
                <w:highlight w:val="none"/>
              </w:rPr>
            </w:pPr>
          </w:p>
        </w:tc>
      </w:tr>
      <w:tr w14:paraId="28DE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269" w:type="dxa"/>
            <w:vAlign w:val="center"/>
          </w:tcPr>
          <w:p w14:paraId="46107AD5">
            <w:pPr>
              <w:topLinePunct/>
              <w:spacing w:line="440" w:lineRule="exact"/>
              <w:jc w:val="center"/>
              <w:rPr>
                <w:color w:val="auto"/>
                <w:szCs w:val="21"/>
                <w:highlight w:val="none"/>
              </w:rPr>
            </w:pPr>
            <w:r>
              <w:rPr>
                <w:color w:val="auto"/>
                <w:szCs w:val="21"/>
                <w:highlight w:val="none"/>
              </w:rPr>
              <w:t>工程质量</w:t>
            </w:r>
          </w:p>
        </w:tc>
        <w:tc>
          <w:tcPr>
            <w:tcW w:w="6253" w:type="dxa"/>
          </w:tcPr>
          <w:p w14:paraId="4EEBE186">
            <w:pPr>
              <w:topLinePunct/>
              <w:spacing w:line="440" w:lineRule="exact"/>
              <w:rPr>
                <w:color w:val="auto"/>
                <w:szCs w:val="21"/>
                <w:highlight w:val="none"/>
              </w:rPr>
            </w:pPr>
          </w:p>
        </w:tc>
      </w:tr>
      <w:tr w14:paraId="204C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269" w:type="dxa"/>
            <w:vAlign w:val="center"/>
          </w:tcPr>
          <w:p w14:paraId="13971AEB">
            <w:pPr>
              <w:topLinePunct/>
              <w:spacing w:line="440" w:lineRule="exact"/>
              <w:jc w:val="center"/>
              <w:rPr>
                <w:color w:val="auto"/>
                <w:szCs w:val="21"/>
                <w:highlight w:val="none"/>
              </w:rPr>
            </w:pPr>
            <w:r>
              <w:rPr>
                <w:color w:val="auto"/>
                <w:szCs w:val="21"/>
                <w:highlight w:val="none"/>
              </w:rPr>
              <w:t>项目经理</w:t>
            </w:r>
          </w:p>
        </w:tc>
        <w:tc>
          <w:tcPr>
            <w:tcW w:w="6253" w:type="dxa"/>
          </w:tcPr>
          <w:p w14:paraId="4A583076">
            <w:pPr>
              <w:topLinePunct/>
              <w:spacing w:line="440" w:lineRule="exact"/>
              <w:rPr>
                <w:color w:val="auto"/>
                <w:szCs w:val="21"/>
                <w:highlight w:val="none"/>
              </w:rPr>
            </w:pPr>
          </w:p>
        </w:tc>
      </w:tr>
      <w:tr w14:paraId="7EE4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269" w:type="dxa"/>
            <w:vAlign w:val="center"/>
          </w:tcPr>
          <w:p w14:paraId="53114680">
            <w:pPr>
              <w:topLinePunct/>
              <w:spacing w:line="440" w:lineRule="exact"/>
              <w:jc w:val="center"/>
              <w:rPr>
                <w:color w:val="auto"/>
                <w:szCs w:val="21"/>
                <w:highlight w:val="none"/>
              </w:rPr>
            </w:pPr>
            <w:r>
              <w:rPr>
                <w:color w:val="auto"/>
                <w:szCs w:val="21"/>
                <w:highlight w:val="none"/>
              </w:rPr>
              <w:t>技术负责人</w:t>
            </w:r>
          </w:p>
        </w:tc>
        <w:tc>
          <w:tcPr>
            <w:tcW w:w="6253" w:type="dxa"/>
          </w:tcPr>
          <w:p w14:paraId="39304C5F">
            <w:pPr>
              <w:topLinePunct/>
              <w:spacing w:line="440" w:lineRule="exact"/>
              <w:rPr>
                <w:color w:val="auto"/>
                <w:szCs w:val="21"/>
                <w:highlight w:val="none"/>
              </w:rPr>
            </w:pPr>
          </w:p>
        </w:tc>
      </w:tr>
      <w:tr w14:paraId="0FF0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269" w:type="dxa"/>
            <w:vAlign w:val="center"/>
          </w:tcPr>
          <w:p w14:paraId="441B8C29">
            <w:pPr>
              <w:topLinePunct/>
              <w:spacing w:line="440" w:lineRule="exact"/>
              <w:jc w:val="center"/>
              <w:rPr>
                <w:color w:val="auto"/>
                <w:szCs w:val="21"/>
                <w:highlight w:val="none"/>
              </w:rPr>
            </w:pPr>
            <w:r>
              <w:rPr>
                <w:rFonts w:hint="eastAsia" w:ascii="宋体" w:hAnsi="宋体"/>
                <w:color w:val="auto"/>
                <w:szCs w:val="21"/>
                <w:highlight w:val="none"/>
              </w:rPr>
              <w:t>总监理工程师及电话</w:t>
            </w:r>
          </w:p>
        </w:tc>
        <w:tc>
          <w:tcPr>
            <w:tcW w:w="6253" w:type="dxa"/>
          </w:tcPr>
          <w:p w14:paraId="4C958A5D">
            <w:pPr>
              <w:topLinePunct/>
              <w:spacing w:line="440" w:lineRule="exact"/>
              <w:rPr>
                <w:color w:val="auto"/>
                <w:szCs w:val="21"/>
                <w:highlight w:val="none"/>
              </w:rPr>
            </w:pPr>
          </w:p>
        </w:tc>
      </w:tr>
      <w:tr w14:paraId="2FE6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269" w:type="dxa"/>
            <w:vAlign w:val="center"/>
          </w:tcPr>
          <w:p w14:paraId="43139950">
            <w:pPr>
              <w:topLinePunct/>
              <w:spacing w:line="440" w:lineRule="exact"/>
              <w:jc w:val="center"/>
              <w:rPr>
                <w:color w:val="auto"/>
                <w:szCs w:val="21"/>
                <w:highlight w:val="none"/>
              </w:rPr>
            </w:pPr>
            <w:r>
              <w:rPr>
                <w:color w:val="auto"/>
                <w:szCs w:val="21"/>
                <w:highlight w:val="none"/>
              </w:rPr>
              <w:t>项目描述</w:t>
            </w:r>
          </w:p>
        </w:tc>
        <w:tc>
          <w:tcPr>
            <w:tcW w:w="6253" w:type="dxa"/>
          </w:tcPr>
          <w:p w14:paraId="3808AC33">
            <w:pPr>
              <w:topLinePunct/>
              <w:spacing w:line="440" w:lineRule="exact"/>
              <w:rPr>
                <w:color w:val="auto"/>
                <w:szCs w:val="21"/>
                <w:highlight w:val="none"/>
              </w:rPr>
            </w:pPr>
          </w:p>
          <w:p w14:paraId="3C69F8AF">
            <w:pPr>
              <w:topLinePunct/>
              <w:spacing w:line="440" w:lineRule="exact"/>
              <w:rPr>
                <w:color w:val="auto"/>
                <w:szCs w:val="21"/>
                <w:highlight w:val="none"/>
              </w:rPr>
            </w:pPr>
          </w:p>
          <w:p w14:paraId="785EB502">
            <w:pPr>
              <w:topLinePunct/>
              <w:spacing w:line="440" w:lineRule="exact"/>
              <w:rPr>
                <w:color w:val="auto"/>
                <w:szCs w:val="21"/>
                <w:highlight w:val="none"/>
              </w:rPr>
            </w:pPr>
          </w:p>
        </w:tc>
      </w:tr>
      <w:tr w14:paraId="1B90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269" w:type="dxa"/>
            <w:vAlign w:val="center"/>
          </w:tcPr>
          <w:p w14:paraId="3C3C0E3C">
            <w:pPr>
              <w:topLinePunct/>
              <w:spacing w:line="440" w:lineRule="exact"/>
              <w:jc w:val="center"/>
              <w:rPr>
                <w:color w:val="auto"/>
                <w:szCs w:val="21"/>
                <w:highlight w:val="none"/>
              </w:rPr>
            </w:pPr>
            <w:r>
              <w:rPr>
                <w:color w:val="auto"/>
                <w:szCs w:val="21"/>
                <w:highlight w:val="none"/>
              </w:rPr>
              <w:t>备注</w:t>
            </w:r>
          </w:p>
        </w:tc>
        <w:tc>
          <w:tcPr>
            <w:tcW w:w="6253" w:type="dxa"/>
          </w:tcPr>
          <w:p w14:paraId="6C4D74C1">
            <w:pPr>
              <w:topLinePunct/>
              <w:spacing w:line="440" w:lineRule="exact"/>
              <w:rPr>
                <w:color w:val="auto"/>
                <w:szCs w:val="21"/>
                <w:highlight w:val="none"/>
              </w:rPr>
            </w:pPr>
          </w:p>
        </w:tc>
      </w:tr>
    </w:tbl>
    <w:p w14:paraId="6D35C9F6">
      <w:pPr>
        <w:rPr>
          <w:rFonts w:hint="eastAsia" w:ascii="宋体" w:hAnsi="宋体"/>
          <w:color w:val="auto"/>
          <w:highlight w:val="none"/>
        </w:rPr>
      </w:pPr>
      <w:r>
        <w:rPr>
          <w:rFonts w:hint="eastAsia" w:ascii="宋体" w:hAnsi="宋体"/>
          <w:color w:val="auto"/>
          <w:highlight w:val="none"/>
        </w:rPr>
        <w:t>备注：1.类似项目含义和近年具体要求见投标人须知前附表，</w:t>
      </w:r>
    </w:p>
    <w:p w14:paraId="0AE5DB89">
      <w:pPr>
        <w:ind w:firstLine="630" w:firstLineChars="300"/>
        <w:rPr>
          <w:color w:val="auto"/>
          <w:highlight w:val="none"/>
        </w:rPr>
      </w:pPr>
      <w:r>
        <w:rPr>
          <w:rFonts w:hint="eastAsia" w:ascii="宋体" w:hAnsi="宋体"/>
          <w:color w:val="auto"/>
          <w:highlight w:val="none"/>
        </w:rPr>
        <w:t>2.本表后附业绩的相应</w:t>
      </w:r>
      <w:r>
        <w:rPr>
          <w:rFonts w:hint="eastAsia" w:ascii="宋体" w:hAnsi="宋体"/>
          <w:color w:val="auto"/>
          <w:szCs w:val="21"/>
          <w:highlight w:val="none"/>
        </w:rPr>
        <w:t>证明材料</w:t>
      </w:r>
      <w:r>
        <w:rPr>
          <w:rFonts w:hint="eastAsia" w:ascii="宋体" w:hAnsi="宋体"/>
          <w:color w:val="auto"/>
          <w:highlight w:val="none"/>
        </w:rPr>
        <w:t>。每张表格只填写一个项目，并标明序号。</w:t>
      </w:r>
    </w:p>
    <w:p w14:paraId="7C32D545">
      <w:pPr>
        <w:pStyle w:val="37"/>
        <w:jc w:val="center"/>
        <w:rPr>
          <w:rFonts w:hint="eastAsia"/>
          <w:color w:val="auto"/>
          <w:szCs w:val="24"/>
          <w:highlight w:val="none"/>
        </w:rPr>
        <w:sectPr>
          <w:footerReference r:id="rId7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D3B1972">
      <w:pPr>
        <w:pStyle w:val="37"/>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color w:val="auto"/>
          <w:highlight w:val="none"/>
        </w:rPr>
        <w:sectPr>
          <w:footerReference r:id="rId7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346" w:name="_Toc30124"/>
      <w:bookmarkStart w:id="2347" w:name="_Toc122603098"/>
      <w:bookmarkStart w:id="2348" w:name="_Toc256000229"/>
      <w:r>
        <w:rPr>
          <w:rFonts w:hint="eastAsia"/>
          <w:color w:val="auto"/>
          <w:szCs w:val="24"/>
          <w:highlight w:val="none"/>
          <w:lang w:eastAsia="zh-CN"/>
        </w:rPr>
        <w:t>（</w:t>
      </w:r>
      <w:r>
        <w:rPr>
          <w:rFonts w:hint="eastAsia"/>
          <w:color w:val="auto"/>
          <w:szCs w:val="24"/>
          <w:highlight w:val="none"/>
          <w:lang w:val="en-US" w:eastAsia="zh-CN"/>
        </w:rPr>
        <w:t>四</w:t>
      </w:r>
      <w:r>
        <w:rPr>
          <w:rFonts w:hint="eastAsia"/>
          <w:color w:val="auto"/>
          <w:szCs w:val="24"/>
          <w:highlight w:val="none"/>
          <w:lang w:eastAsia="zh-CN"/>
        </w:rPr>
        <w:t>）</w:t>
      </w:r>
      <w:r>
        <w:rPr>
          <w:rFonts w:hint="eastAsia"/>
          <w:color w:val="auto"/>
          <w:szCs w:val="24"/>
          <w:highlight w:val="none"/>
        </w:rPr>
        <w:t>企业信誉情况</w:t>
      </w:r>
      <w:bookmarkEnd w:id="2346"/>
      <w:bookmarkEnd w:id="2347"/>
      <w:bookmarkEnd w:id="2348"/>
    </w:p>
    <w:p w14:paraId="2549084B">
      <w:pPr>
        <w:pStyle w:val="37"/>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color w:val="auto"/>
          <w:szCs w:val="24"/>
          <w:highlight w:val="none"/>
        </w:rPr>
      </w:pPr>
      <w:bookmarkStart w:id="2349" w:name="_Toc256000230"/>
      <w:bookmarkStart w:id="2350" w:name="_Toc122603099"/>
      <w:r>
        <w:rPr>
          <w:rFonts w:hint="eastAsia" w:ascii="黑体" w:hAnsi="黑体" w:cs="黑体"/>
          <w:color w:val="auto"/>
          <w:szCs w:val="24"/>
          <w:highlight w:val="none"/>
          <w:lang w:val="en-US" w:eastAsia="zh-CN"/>
        </w:rPr>
        <w:t>4</w:t>
      </w:r>
      <w:r>
        <w:rPr>
          <w:rFonts w:hint="eastAsia" w:ascii="黑体" w:hAnsi="黑体" w:eastAsia="黑体" w:cs="黑体"/>
          <w:color w:val="auto"/>
          <w:szCs w:val="24"/>
          <w:highlight w:val="none"/>
        </w:rPr>
        <w:t>-1</w:t>
      </w:r>
      <w:r>
        <w:rPr>
          <w:rFonts w:hint="eastAsia" w:ascii="黑体" w:hAnsi="黑体" w:eastAsia="黑体" w:cs="黑体"/>
          <w:color w:val="auto"/>
          <w:szCs w:val="24"/>
          <w:highlight w:val="none"/>
          <w:lang w:val="en-US" w:eastAsia="zh-CN"/>
        </w:rPr>
        <w:t xml:space="preserve"> </w:t>
      </w:r>
      <w:r>
        <w:rPr>
          <w:rFonts w:hint="eastAsia" w:ascii="宋体" w:hAnsi="宋体"/>
          <w:color w:val="auto"/>
          <w:szCs w:val="21"/>
          <w:highlight w:val="none"/>
        </w:rPr>
        <w:t>企业信誉声明</w:t>
      </w:r>
      <w:bookmarkEnd w:id="2349"/>
      <w:bookmarkEnd w:id="2350"/>
    </w:p>
    <w:p w14:paraId="32D09A6B">
      <w:pPr>
        <w:rPr>
          <w:rFonts w:hint="eastAsia" w:ascii="宋体" w:hAnsi="宋体"/>
          <w:color w:val="auto"/>
          <w:highlight w:val="none"/>
          <w:u w:val="single"/>
        </w:rPr>
      </w:pPr>
    </w:p>
    <w:p w14:paraId="5C4060F7">
      <w:pPr>
        <w:rPr>
          <w:rFonts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（招标人名称）：</w:t>
      </w:r>
    </w:p>
    <w:p w14:paraId="5E24A436">
      <w:pPr>
        <w:rPr>
          <w:rFonts w:ascii="宋体" w:hAnsi="宋体"/>
          <w:color w:val="auto"/>
          <w:highlight w:val="none"/>
        </w:rPr>
      </w:pPr>
    </w:p>
    <w:p w14:paraId="4B59317A">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我方在此声明，</w:t>
      </w:r>
      <w:r>
        <w:rPr>
          <w:rFonts w:hint="eastAsia" w:ascii="宋体" w:hAnsi="宋体"/>
          <w:color w:val="auto"/>
          <w:highlight w:val="none"/>
        </w:rPr>
        <w:t>截止本招标项目投标截止时间，我方处于</w:t>
      </w:r>
      <w:r>
        <w:rPr>
          <w:rFonts w:hint="eastAsia" w:ascii="宋体" w:hAnsi="宋体"/>
          <w:color w:val="auto"/>
          <w:szCs w:val="21"/>
          <w:highlight w:val="none"/>
        </w:rPr>
        <w:t>正常的经营状态，不存在下列任何一种情形。</w:t>
      </w:r>
    </w:p>
    <w:p w14:paraId="47FFDC68">
      <w:pPr>
        <w:spacing w:line="400" w:lineRule="exact"/>
        <w:ind w:firstLine="420" w:firstLineChars="200"/>
        <w:rPr>
          <w:color w:val="auto"/>
          <w:highlight w:val="none"/>
        </w:rPr>
      </w:pPr>
      <w:r>
        <w:rPr>
          <w:rFonts w:hint="eastAsia"/>
          <w:color w:val="auto"/>
          <w:highlight w:val="none"/>
        </w:rPr>
        <w:t>1.被依法暂停或取消投标资格；</w:t>
      </w:r>
    </w:p>
    <w:p w14:paraId="1DEDCBDA">
      <w:pPr>
        <w:spacing w:line="400" w:lineRule="exact"/>
        <w:ind w:firstLine="420" w:firstLineChars="200"/>
        <w:rPr>
          <w:color w:val="auto"/>
          <w:highlight w:val="none"/>
        </w:rPr>
      </w:pPr>
      <w:r>
        <w:rPr>
          <w:rFonts w:hint="eastAsia"/>
          <w:color w:val="auto"/>
          <w:highlight w:val="none"/>
        </w:rPr>
        <w:t xml:space="preserve">2.被责令停产停业、暂扣或者吊销许可证、暂扣或者吊销执照； </w:t>
      </w:r>
    </w:p>
    <w:p w14:paraId="3F525FC1">
      <w:pPr>
        <w:spacing w:line="400" w:lineRule="exact"/>
        <w:ind w:firstLine="420" w:firstLineChars="200"/>
        <w:rPr>
          <w:color w:val="auto"/>
          <w:highlight w:val="none"/>
        </w:rPr>
      </w:pPr>
      <w:r>
        <w:rPr>
          <w:rFonts w:hint="eastAsia"/>
          <w:color w:val="auto"/>
          <w:highlight w:val="none"/>
        </w:rPr>
        <w:t>3.进入清算程序，或被宣告破产，或其他丧失履约能力的情形；</w:t>
      </w:r>
    </w:p>
    <w:p w14:paraId="6D4D1780">
      <w:pPr>
        <w:spacing w:line="400" w:lineRule="exact"/>
        <w:ind w:firstLine="420" w:firstLineChars="200"/>
        <w:rPr>
          <w:color w:val="auto"/>
          <w:highlight w:val="none"/>
        </w:rPr>
      </w:pPr>
      <w:r>
        <w:rPr>
          <w:rFonts w:hint="eastAsia"/>
          <w:color w:val="auto"/>
          <w:highlight w:val="none"/>
        </w:rPr>
        <w:t>4.在最近三年内有骗取中标或严重违约或重大工程质量问题的；</w:t>
      </w:r>
    </w:p>
    <w:p w14:paraId="046AF88B">
      <w:pPr>
        <w:spacing w:line="400" w:lineRule="exact"/>
        <w:ind w:firstLine="420" w:firstLineChars="200"/>
        <w:rPr>
          <w:color w:val="auto"/>
          <w:highlight w:val="none"/>
        </w:rPr>
      </w:pPr>
      <w:r>
        <w:rPr>
          <w:rFonts w:hint="eastAsia"/>
          <w:color w:val="auto"/>
          <w:highlight w:val="none"/>
        </w:rPr>
        <w:t>5.在“国家企业信用信息公示系统”（</w:t>
      </w:r>
      <w:r>
        <w:rPr>
          <w:color w:val="auto"/>
          <w:highlight w:val="none"/>
        </w:rPr>
        <w:t xml:space="preserve"> www.gsxt.gov.cn</w:t>
      </w:r>
      <w:r>
        <w:rPr>
          <w:rFonts w:hint="eastAsia"/>
          <w:color w:val="auto"/>
          <w:highlight w:val="none"/>
        </w:rPr>
        <w:t>）被列入严重违法失信企业名单；</w:t>
      </w:r>
    </w:p>
    <w:p w14:paraId="77644E9C">
      <w:pPr>
        <w:spacing w:line="400" w:lineRule="exact"/>
        <w:ind w:firstLine="420" w:firstLineChars="200"/>
        <w:rPr>
          <w:color w:val="auto"/>
          <w:highlight w:val="none"/>
        </w:rPr>
      </w:pPr>
      <w:r>
        <w:rPr>
          <w:rFonts w:hint="eastAsia"/>
          <w:color w:val="auto"/>
          <w:highlight w:val="none"/>
        </w:rPr>
        <w:t>6.在“信用中国”网站（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color w:val="auto"/>
          <w:highlight w:val="none"/>
        </w:rPr>
        <w:t>www.creditchina.gov.cn</w:t>
      </w:r>
      <w:r>
        <w:rPr>
          <w:color w:val="auto"/>
          <w:highlight w:val="none"/>
        </w:rPr>
        <w:fldChar w:fldCharType="end"/>
      </w:r>
      <w:r>
        <w:rPr>
          <w:rFonts w:hint="eastAsia"/>
          <w:color w:val="auto"/>
          <w:highlight w:val="none"/>
        </w:rPr>
        <w:t>）或“中国执行信息公开网”（http://zxgk.court.gov.cn/shixin/）被列入失信被执行人名单；</w:t>
      </w:r>
    </w:p>
    <w:p w14:paraId="67878576">
      <w:pPr>
        <w:spacing w:line="400" w:lineRule="exact"/>
        <w:ind w:firstLine="420" w:firstLineChars="200"/>
        <w:rPr>
          <w:color w:val="auto"/>
          <w:highlight w:val="none"/>
        </w:rPr>
      </w:pPr>
      <w:r>
        <w:rPr>
          <w:rFonts w:hint="eastAsia"/>
          <w:color w:val="auto"/>
          <w:highlight w:val="none"/>
        </w:rPr>
        <w:t>7</w:t>
      </w:r>
      <w:r>
        <w:rPr>
          <w:color w:val="auto"/>
          <w:highlight w:val="none"/>
        </w:rPr>
        <w:t>.</w:t>
      </w:r>
      <w:r>
        <w:rPr>
          <w:rFonts w:hint="eastAsia"/>
          <w:color w:val="auto"/>
          <w:highlight w:val="none"/>
        </w:rPr>
        <w:t>在辽宁省建设工程招投标监督平台-辽宁建设工程信息网上被列入不良行为记录且在公布期内的；</w:t>
      </w:r>
    </w:p>
    <w:p w14:paraId="3AB033AC">
      <w:pPr>
        <w:spacing w:line="400" w:lineRule="exact"/>
        <w:ind w:firstLine="420" w:firstLineChars="200"/>
        <w:rPr>
          <w:color w:val="auto"/>
          <w:highlight w:val="none"/>
        </w:rPr>
      </w:pPr>
      <w:r>
        <w:rPr>
          <w:color w:val="auto"/>
          <w:highlight w:val="none"/>
        </w:rPr>
        <w:t>8</w:t>
      </w:r>
      <w:r>
        <w:rPr>
          <w:rFonts w:hint="eastAsia"/>
          <w:color w:val="auto"/>
          <w:highlight w:val="none"/>
        </w:rPr>
        <w:t>.投标人须知前附表第1.4.3</w:t>
      </w: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7）</w:t>
      </w:r>
      <w:r>
        <w:rPr>
          <w:rFonts w:hint="eastAsia"/>
          <w:color w:val="auto"/>
          <w:highlight w:val="none"/>
        </w:rPr>
        <w:t>目规定的其他情形。</w:t>
      </w:r>
    </w:p>
    <w:p w14:paraId="381614EE">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我方</w:t>
      </w:r>
      <w:r>
        <w:rPr>
          <w:rFonts w:hint="eastAsia"/>
          <w:color w:val="auto"/>
          <w:highlight w:val="none"/>
        </w:rPr>
        <w:t>对上述声明的</w:t>
      </w:r>
      <w:r>
        <w:rPr>
          <w:rFonts w:hint="eastAsia" w:ascii="宋体" w:hAnsi="宋体"/>
          <w:color w:val="auto"/>
          <w:szCs w:val="21"/>
          <w:highlight w:val="none"/>
        </w:rPr>
        <w:t>真实性和准确性</w:t>
      </w:r>
      <w:r>
        <w:rPr>
          <w:rFonts w:hint="eastAsia"/>
          <w:color w:val="auto"/>
          <w:highlight w:val="none"/>
        </w:rPr>
        <w:t>负责</w:t>
      </w:r>
      <w:r>
        <w:rPr>
          <w:rFonts w:hint="eastAsia" w:ascii="宋体" w:hAnsi="宋体"/>
          <w:color w:val="auto"/>
          <w:szCs w:val="21"/>
          <w:highlight w:val="none"/>
        </w:rPr>
        <w:t>，并承担相应的法律责任。</w:t>
      </w:r>
    </w:p>
    <w:p w14:paraId="1820ED31">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后附：上述条款5、6、7网站查询结果截图。</w:t>
      </w:r>
    </w:p>
    <w:p w14:paraId="3B801F4B">
      <w:pPr>
        <w:spacing w:line="440" w:lineRule="exact"/>
        <w:ind w:firstLine="420" w:firstLineChars="200"/>
        <w:rPr>
          <w:rFonts w:ascii="宋体" w:hAnsi="宋体"/>
          <w:color w:val="auto"/>
          <w:szCs w:val="21"/>
          <w:highlight w:val="none"/>
        </w:rPr>
      </w:pPr>
    </w:p>
    <w:p w14:paraId="0D3641C0">
      <w:pPr>
        <w:spacing w:line="440" w:lineRule="exact"/>
        <w:ind w:firstLine="3990" w:firstLineChars="1900"/>
        <w:rPr>
          <w:rFonts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5D4FC5B3">
      <w:pPr>
        <w:spacing w:line="440" w:lineRule="exact"/>
        <w:ind w:firstLine="2730" w:firstLineChars="1300"/>
        <w:rPr>
          <w:rFonts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45770802">
      <w:pPr>
        <w:spacing w:line="440" w:lineRule="exact"/>
        <w:ind w:firstLine="420" w:firstLineChars="200"/>
        <w:rPr>
          <w:rFonts w:ascii="宋体" w:hAnsi="宋体"/>
          <w:color w:val="auto"/>
          <w:szCs w:val="21"/>
          <w:highlight w:val="none"/>
        </w:rPr>
      </w:pPr>
    </w:p>
    <w:p w14:paraId="59C3FF78">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年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月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日</w:t>
      </w:r>
    </w:p>
    <w:p w14:paraId="2EDD93EC">
      <w:pPr>
        <w:spacing w:line="440" w:lineRule="exact"/>
        <w:rPr>
          <w:rFonts w:ascii="宋体" w:hAnsi="宋体"/>
          <w:color w:val="auto"/>
          <w:szCs w:val="21"/>
          <w:highlight w:val="none"/>
        </w:rPr>
      </w:pPr>
    </w:p>
    <w:p w14:paraId="2F7D08CC">
      <w:pPr>
        <w:spacing w:line="440" w:lineRule="exact"/>
        <w:rPr>
          <w:rFonts w:ascii="宋体" w:hAnsi="宋体"/>
          <w:color w:val="auto"/>
          <w:szCs w:val="21"/>
          <w:highlight w:val="none"/>
        </w:rPr>
      </w:pPr>
    </w:p>
    <w:p w14:paraId="7AB7F898">
      <w:pPr>
        <w:ind w:left="840" w:hanging="840" w:hangingChars="400"/>
        <w:rPr>
          <w:rFonts w:ascii="宋体" w:hAnsi="宋体"/>
          <w:color w:val="auto"/>
          <w:highlight w:val="none"/>
        </w:rPr>
      </w:pPr>
      <w:r>
        <w:rPr>
          <w:rFonts w:hint="eastAsia" w:ascii="宋体" w:hAnsi="宋体"/>
          <w:color w:val="auto"/>
          <w:highlight w:val="none"/>
        </w:rPr>
        <w:t>备注：1.投标人应针对第二章“投标人须知”第1.4.1项和第1.4.3项的要求，在此对其信誉情况</w:t>
      </w:r>
      <w:r>
        <w:rPr>
          <w:rFonts w:hint="eastAsia" w:ascii="宋体" w:hAnsi="宋体"/>
          <w:color w:val="auto"/>
          <w:highlight w:val="none"/>
          <w:lang w:val="en-US" w:eastAsia="zh-CN"/>
        </w:rPr>
        <w:t>作</w:t>
      </w:r>
      <w:r>
        <w:rPr>
          <w:rFonts w:hint="eastAsia" w:ascii="宋体" w:hAnsi="宋体"/>
          <w:color w:val="auto"/>
          <w:highlight w:val="none"/>
        </w:rPr>
        <w:t>出说明。如上格式文件所示。</w:t>
      </w:r>
    </w:p>
    <w:p w14:paraId="146EA431">
      <w:pPr>
        <w:rPr>
          <w:color w:val="auto"/>
          <w:highlight w:val="none"/>
        </w:rPr>
        <w:sectPr>
          <w:footerReference r:id="rId7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olor w:val="auto"/>
          <w:highlight w:val="none"/>
        </w:rPr>
        <w:t xml:space="preserve">      2.联合体投标的，联合体各成员单位均应按要求</w:t>
      </w:r>
      <w:r>
        <w:rPr>
          <w:rFonts w:hint="eastAsia" w:ascii="宋体" w:hAnsi="宋体"/>
          <w:color w:val="auto"/>
          <w:highlight w:val="none"/>
          <w:lang w:val="en-US" w:eastAsia="zh-CN"/>
        </w:rPr>
        <w:t>作</w:t>
      </w:r>
      <w:r>
        <w:rPr>
          <w:rFonts w:hint="eastAsia" w:ascii="宋体" w:hAnsi="宋体"/>
          <w:color w:val="auto"/>
          <w:highlight w:val="none"/>
        </w:rPr>
        <w:t>出说明。</w:t>
      </w:r>
    </w:p>
    <w:p w14:paraId="325C7D5E">
      <w:pPr>
        <w:pStyle w:val="37"/>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ascii="宋体" w:hAnsi="宋体"/>
          <w:color w:val="auto"/>
          <w:highlight w:val="none"/>
          <w:u w:val="single"/>
        </w:rPr>
      </w:pPr>
      <w:bookmarkStart w:id="2351" w:name="_Toc256000235"/>
      <w:bookmarkStart w:id="2352" w:name="_Toc122603082"/>
      <w:bookmarkStart w:id="2353" w:name="_Toc11750"/>
      <w:r>
        <w:rPr>
          <w:rFonts w:hint="eastAsia"/>
          <w:color w:val="auto"/>
          <w:sz w:val="28"/>
          <w:szCs w:val="28"/>
          <w:highlight w:val="none"/>
          <w:lang w:eastAsia="zh-CN"/>
        </w:rPr>
        <w:t>（</w:t>
      </w:r>
      <w:r>
        <w:rPr>
          <w:rFonts w:hint="eastAsia"/>
          <w:color w:val="auto"/>
          <w:sz w:val="28"/>
          <w:szCs w:val="28"/>
          <w:highlight w:val="none"/>
          <w:lang w:val="en-US" w:eastAsia="zh-CN"/>
        </w:rPr>
        <w:t>五</w:t>
      </w:r>
      <w:r>
        <w:rPr>
          <w:rFonts w:hint="eastAsia"/>
          <w:color w:val="auto"/>
          <w:sz w:val="28"/>
          <w:szCs w:val="28"/>
          <w:highlight w:val="none"/>
          <w:lang w:eastAsia="zh-CN"/>
        </w:rPr>
        <w:t>）</w:t>
      </w:r>
      <w:r>
        <w:rPr>
          <w:rFonts w:hint="eastAsia"/>
          <w:color w:val="auto"/>
          <w:sz w:val="28"/>
          <w:szCs w:val="28"/>
          <w:highlight w:val="none"/>
        </w:rPr>
        <w:t>承诺书</w:t>
      </w:r>
      <w:bookmarkEnd w:id="2351"/>
      <w:bookmarkEnd w:id="2352"/>
      <w:bookmarkEnd w:id="2353"/>
    </w:p>
    <w:p w14:paraId="1D5ABA40">
      <w:pPr>
        <w:rPr>
          <w:rFonts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（招标人名称）：</w:t>
      </w:r>
    </w:p>
    <w:p w14:paraId="5DB44175">
      <w:pPr>
        <w:spacing w:line="440" w:lineRule="exact"/>
        <w:ind w:firstLine="420" w:firstLineChars="200"/>
        <w:rPr>
          <w:color w:val="auto"/>
          <w:szCs w:val="21"/>
          <w:highlight w:val="none"/>
        </w:rPr>
      </w:pPr>
      <w:r>
        <w:rPr>
          <w:rFonts w:hint="eastAsia" w:ascii="宋体" w:hAnsi="宋体"/>
          <w:color w:val="auto"/>
          <w:szCs w:val="21"/>
          <w:highlight w:val="none"/>
        </w:rPr>
        <w:t>我方在此声明，我方拟派往</w:t>
      </w:r>
      <w:r>
        <w:rPr>
          <w:rFonts w:hint="eastAsia" w:ascii="宋体" w:hAnsi="宋体"/>
          <w:color w:val="auto"/>
          <w:szCs w:val="21"/>
          <w:highlight w:val="none"/>
          <w:u w:val="single"/>
        </w:rPr>
        <w:t xml:space="preserve">                  </w:t>
      </w:r>
      <w:r>
        <w:rPr>
          <w:rFonts w:hint="eastAsia"/>
          <w:color w:val="auto"/>
          <w:highlight w:val="none"/>
        </w:rPr>
        <w:t>（标段名称）</w:t>
      </w:r>
      <w:r>
        <w:rPr>
          <w:rFonts w:hint="eastAsia" w:ascii="宋体" w:hAnsi="宋体"/>
          <w:color w:val="auto"/>
          <w:szCs w:val="21"/>
          <w:highlight w:val="none"/>
        </w:rPr>
        <w:t>（以下简称“本工程”）的项目经理</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（项目经理姓名）现阶段（投标截止时间之前）没有担任其他在施建设工程项目的项目经理。</w:t>
      </w:r>
    </w:p>
    <w:p w14:paraId="1EABA58F">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根据</w:t>
      </w:r>
      <w:r>
        <w:rPr>
          <w:rFonts w:ascii="宋体" w:hAnsi="宋体"/>
          <w:color w:val="auto"/>
          <w:szCs w:val="21"/>
          <w:highlight w:val="none"/>
        </w:rPr>
        <w:t>《注册建造师执业管理办法（试行）》</w:t>
      </w:r>
      <w:r>
        <w:rPr>
          <w:rFonts w:hint="eastAsia" w:ascii="宋体" w:hAnsi="宋体"/>
          <w:color w:val="auto"/>
          <w:szCs w:val="21"/>
          <w:highlight w:val="none"/>
        </w:rPr>
        <w:t>第九条规定“注册建造师不得同时担任两个及以上建设工程施工项目负责人”， 第十条规定“注册建造师担任施工项目负责人期间原则上不得更换”。我方拟派项目经理能够参加本工程的投标是基于以下理由：</w:t>
      </w:r>
    </w:p>
    <w:p w14:paraId="13946F73">
      <w:pPr>
        <w:spacing w:line="440" w:lineRule="exact"/>
        <w:ind w:firstLine="525" w:firstLineChars="250"/>
        <w:rPr>
          <w:color w:val="auto"/>
          <w:szCs w:val="21"/>
          <w:highlight w:val="none"/>
        </w:rPr>
      </w:pPr>
      <w:r>
        <w:rPr>
          <w:rFonts w:hint="eastAsia"/>
          <w:color w:val="auto"/>
          <w:szCs w:val="21"/>
          <w:highlight w:val="none"/>
        </w:rPr>
        <w:t xml:space="preserve">□  </w:t>
      </w:r>
      <w:r>
        <w:rPr>
          <w:rFonts w:hint="eastAsia" w:ascii="宋体" w:hAnsi="宋体"/>
          <w:color w:val="auto"/>
          <w:szCs w:val="21"/>
          <w:highlight w:val="none"/>
        </w:rPr>
        <w:t>拟派项目经理无在建工程。</w:t>
      </w:r>
    </w:p>
    <w:p w14:paraId="0BC8E971">
      <w:pPr>
        <w:spacing w:line="440" w:lineRule="exact"/>
        <w:ind w:firstLine="525" w:firstLineChars="250"/>
        <w:rPr>
          <w:rFonts w:ascii="宋体" w:hAnsi="宋体"/>
          <w:color w:val="auto"/>
          <w:szCs w:val="21"/>
          <w:highlight w:val="none"/>
        </w:rPr>
      </w:pPr>
      <w:r>
        <w:rPr>
          <w:rFonts w:hint="eastAsia"/>
          <w:color w:val="auto"/>
          <w:szCs w:val="21"/>
          <w:highlight w:val="none"/>
        </w:rPr>
        <w:t xml:space="preserve">□  </w:t>
      </w:r>
      <w:r>
        <w:rPr>
          <w:rFonts w:hint="eastAsia" w:ascii="宋体" w:hAnsi="宋体"/>
          <w:color w:val="auto"/>
          <w:szCs w:val="21"/>
          <w:highlight w:val="none"/>
        </w:rPr>
        <w:t>拟派项目经理存在</w:t>
      </w:r>
      <w:r>
        <w:rPr>
          <w:rFonts w:ascii="宋体" w:hAnsi="宋体"/>
          <w:color w:val="auto"/>
          <w:szCs w:val="21"/>
          <w:highlight w:val="none"/>
        </w:rPr>
        <w:t>《注册建造师执业管理办法（试行）》</w:t>
      </w:r>
      <w:r>
        <w:rPr>
          <w:rFonts w:hint="eastAsia" w:ascii="宋体" w:hAnsi="宋体"/>
          <w:color w:val="auto"/>
          <w:szCs w:val="21"/>
          <w:highlight w:val="none"/>
        </w:rPr>
        <w:t>第九条规定的下列情形：</w:t>
      </w:r>
    </w:p>
    <w:p w14:paraId="1AD2E988">
      <w:pPr>
        <w:spacing w:line="440" w:lineRule="exact"/>
        <w:ind w:firstLine="945" w:firstLineChars="450"/>
        <w:rPr>
          <w:rFonts w:ascii="宋体" w:hAnsi="宋体"/>
          <w:color w:val="auto"/>
          <w:szCs w:val="21"/>
          <w:highlight w:val="none"/>
        </w:rPr>
      </w:pPr>
      <w:r>
        <w:rPr>
          <w:rFonts w:hint="eastAsia"/>
          <w:color w:val="auto"/>
          <w:szCs w:val="21"/>
          <w:highlight w:val="none"/>
        </w:rPr>
        <w:t>□</w:t>
      </w:r>
      <w:r>
        <w:rPr>
          <w:rFonts w:ascii="宋体" w:hAnsi="宋体"/>
          <w:color w:val="auto"/>
          <w:szCs w:val="21"/>
          <w:highlight w:val="none"/>
        </w:rPr>
        <w:t>同一工程相邻分段发包或分期施工的</w:t>
      </w:r>
      <w:r>
        <w:rPr>
          <w:rFonts w:hint="eastAsia" w:ascii="宋体" w:hAnsi="宋体"/>
          <w:color w:val="auto"/>
          <w:szCs w:val="21"/>
          <w:highlight w:val="none"/>
        </w:rPr>
        <w:t>；</w:t>
      </w:r>
    </w:p>
    <w:p w14:paraId="0F887D1C">
      <w:pPr>
        <w:spacing w:line="440" w:lineRule="exact"/>
        <w:ind w:firstLine="945" w:firstLineChars="450"/>
        <w:rPr>
          <w:rFonts w:ascii="宋体" w:hAnsi="宋体"/>
          <w:color w:val="auto"/>
          <w:szCs w:val="21"/>
          <w:highlight w:val="none"/>
        </w:rPr>
      </w:pPr>
      <w:r>
        <w:rPr>
          <w:rFonts w:hint="eastAsia"/>
          <w:color w:val="auto"/>
          <w:szCs w:val="21"/>
          <w:highlight w:val="none"/>
        </w:rPr>
        <w:t>□</w:t>
      </w:r>
      <w:r>
        <w:rPr>
          <w:rFonts w:ascii="宋体" w:hAnsi="宋体"/>
          <w:color w:val="auto"/>
          <w:szCs w:val="21"/>
          <w:highlight w:val="none"/>
        </w:rPr>
        <w:t>合同约定的工程验收合格的；</w:t>
      </w:r>
    </w:p>
    <w:p w14:paraId="02204FA2">
      <w:pPr>
        <w:spacing w:line="440" w:lineRule="exact"/>
        <w:ind w:firstLine="945" w:firstLineChars="450"/>
        <w:rPr>
          <w:rFonts w:ascii="宋体" w:hAnsi="宋体"/>
          <w:color w:val="auto"/>
          <w:szCs w:val="21"/>
          <w:highlight w:val="none"/>
        </w:rPr>
      </w:pPr>
      <w:r>
        <w:rPr>
          <w:rFonts w:hint="eastAsia"/>
          <w:color w:val="auto"/>
          <w:szCs w:val="21"/>
          <w:highlight w:val="none"/>
        </w:rPr>
        <w:t>□</w:t>
      </w:r>
      <w:r>
        <w:rPr>
          <w:rFonts w:ascii="宋体" w:hAnsi="宋体"/>
          <w:color w:val="auto"/>
          <w:szCs w:val="21"/>
          <w:highlight w:val="none"/>
        </w:rPr>
        <w:t>因非承包方原因致使工程项目停工超过120天（含），经建设单位同意的。</w:t>
      </w:r>
    </w:p>
    <w:p w14:paraId="534C4894">
      <w:pPr>
        <w:spacing w:line="440" w:lineRule="exact"/>
        <w:ind w:firstLine="525" w:firstLineChars="250"/>
        <w:rPr>
          <w:rFonts w:ascii="宋体" w:hAnsi="宋体"/>
          <w:color w:val="auto"/>
          <w:szCs w:val="21"/>
          <w:highlight w:val="none"/>
        </w:rPr>
      </w:pPr>
      <w:r>
        <w:rPr>
          <w:rFonts w:hint="eastAsia"/>
          <w:color w:val="auto"/>
          <w:szCs w:val="21"/>
          <w:highlight w:val="none"/>
        </w:rPr>
        <w:t xml:space="preserve">□  </w:t>
      </w:r>
      <w:r>
        <w:rPr>
          <w:rFonts w:hint="eastAsia" w:ascii="宋体" w:hAnsi="宋体"/>
          <w:color w:val="auto"/>
          <w:szCs w:val="21"/>
          <w:highlight w:val="none"/>
        </w:rPr>
        <w:t>拟派项目经理担任其他施工项目负责人期间因下列原因进行了更换，并办理书面交接手续：</w:t>
      </w:r>
    </w:p>
    <w:p w14:paraId="3B2BE4EA">
      <w:pPr>
        <w:spacing w:line="440" w:lineRule="exact"/>
        <w:ind w:firstLine="945" w:firstLineChars="450"/>
        <w:rPr>
          <w:rFonts w:ascii="宋体" w:hAnsi="宋体"/>
          <w:color w:val="auto"/>
          <w:szCs w:val="21"/>
          <w:highlight w:val="none"/>
        </w:rPr>
      </w:pPr>
      <w:r>
        <w:rPr>
          <w:rFonts w:hint="eastAsia"/>
          <w:color w:val="auto"/>
          <w:szCs w:val="21"/>
          <w:highlight w:val="none"/>
        </w:rPr>
        <w:t>□</w:t>
      </w:r>
      <w:r>
        <w:rPr>
          <w:rFonts w:hint="eastAsia" w:ascii="宋体" w:hAnsi="宋体"/>
          <w:color w:val="auto"/>
          <w:szCs w:val="21"/>
          <w:highlight w:val="none"/>
        </w:rPr>
        <w:t>发包方与注册建造师受聘企业已解除承包合同的；</w:t>
      </w:r>
    </w:p>
    <w:p w14:paraId="1DB0AF77">
      <w:pPr>
        <w:spacing w:line="440" w:lineRule="exact"/>
        <w:ind w:firstLine="945" w:firstLineChars="450"/>
        <w:rPr>
          <w:rFonts w:ascii="宋体" w:hAnsi="宋体"/>
          <w:color w:val="auto"/>
          <w:szCs w:val="21"/>
          <w:highlight w:val="none"/>
        </w:rPr>
      </w:pPr>
      <w:r>
        <w:rPr>
          <w:rFonts w:hint="eastAsia"/>
          <w:color w:val="auto"/>
          <w:szCs w:val="21"/>
          <w:highlight w:val="none"/>
        </w:rPr>
        <w:t>□</w:t>
      </w:r>
      <w:r>
        <w:rPr>
          <w:rFonts w:hint="eastAsia" w:ascii="宋体" w:hAnsi="宋体"/>
          <w:color w:val="auto"/>
          <w:szCs w:val="21"/>
          <w:highlight w:val="none"/>
        </w:rPr>
        <w:t>发包方同意更换项目负责人的；</w:t>
      </w:r>
    </w:p>
    <w:p w14:paraId="7C331BD2">
      <w:pPr>
        <w:spacing w:line="440" w:lineRule="exact"/>
        <w:ind w:firstLine="945" w:firstLineChars="450"/>
        <w:rPr>
          <w:rFonts w:ascii="宋体" w:hAnsi="宋体"/>
          <w:color w:val="auto"/>
          <w:szCs w:val="21"/>
          <w:highlight w:val="none"/>
        </w:rPr>
      </w:pPr>
      <w:r>
        <w:rPr>
          <w:rFonts w:hint="eastAsia"/>
          <w:color w:val="auto"/>
          <w:szCs w:val="21"/>
          <w:highlight w:val="none"/>
        </w:rPr>
        <w:t>□</w:t>
      </w:r>
      <w:r>
        <w:rPr>
          <w:rFonts w:hint="eastAsia" w:ascii="宋体" w:hAnsi="宋体"/>
          <w:color w:val="auto"/>
          <w:szCs w:val="21"/>
          <w:highlight w:val="none"/>
        </w:rPr>
        <w:t>因不可抗力等特殊情况必须更换项目负责人的。</w:t>
      </w:r>
    </w:p>
    <w:p w14:paraId="759F741C">
      <w:pPr>
        <w:spacing w:line="440" w:lineRule="exact"/>
        <w:ind w:firstLine="525" w:firstLineChars="250"/>
        <w:rPr>
          <w:rFonts w:ascii="宋体" w:hAnsi="宋体"/>
          <w:color w:val="auto"/>
          <w:szCs w:val="21"/>
          <w:highlight w:val="none"/>
        </w:rPr>
      </w:pPr>
      <w:r>
        <w:rPr>
          <w:rFonts w:hint="eastAsia"/>
          <w:color w:val="auto"/>
          <w:szCs w:val="21"/>
          <w:highlight w:val="none"/>
        </w:rPr>
        <w:t xml:space="preserve">□ </w:t>
      </w:r>
      <w:r>
        <w:rPr>
          <w:rFonts w:hint="eastAsia"/>
          <w:color w:val="auto"/>
          <w:szCs w:val="21"/>
          <w:highlight w:val="none"/>
          <w:u w:val="single"/>
        </w:rPr>
        <w:t xml:space="preserve">                                                   </w:t>
      </w:r>
      <w:r>
        <w:rPr>
          <w:rFonts w:hint="eastAsia"/>
          <w:color w:val="auto"/>
          <w:szCs w:val="21"/>
          <w:highlight w:val="none"/>
        </w:rPr>
        <w:t xml:space="preserve"> 。</w:t>
      </w:r>
    </w:p>
    <w:p w14:paraId="6CC0BA40">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我方保证上述信息的真实性和准确性，并承担相应的法律责任。</w:t>
      </w:r>
    </w:p>
    <w:p w14:paraId="03EEA3FD">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特此承诺</w:t>
      </w:r>
      <w:r>
        <w:rPr>
          <w:rFonts w:hint="eastAsia" w:ascii="宋体" w:hAnsi="宋体"/>
          <w:color w:val="auto"/>
          <w:szCs w:val="21"/>
          <w:highlight w:val="none"/>
          <w:lang w:eastAsia="zh-CN"/>
        </w:rPr>
        <w:t>。</w:t>
      </w:r>
    </w:p>
    <w:p w14:paraId="0EE45A82">
      <w:pPr>
        <w:spacing w:line="440" w:lineRule="exact"/>
        <w:ind w:firstLine="420" w:firstLineChars="200"/>
        <w:rPr>
          <w:rFonts w:ascii="宋体" w:hAnsi="宋体"/>
          <w:color w:val="auto"/>
          <w:szCs w:val="21"/>
          <w:highlight w:val="none"/>
        </w:rPr>
      </w:pPr>
    </w:p>
    <w:p w14:paraId="7B755BE9">
      <w:pPr>
        <w:spacing w:line="440" w:lineRule="exact"/>
        <w:jc w:val="right"/>
        <w:rPr>
          <w:rFonts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4E7FD845">
      <w:pPr>
        <w:wordWrap w:val="0"/>
        <w:spacing w:line="440" w:lineRule="exact"/>
        <w:jc w:val="right"/>
        <w:rPr>
          <w:rFonts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1A57A9C2">
      <w:pPr>
        <w:jc w:val="right"/>
        <w:rPr>
          <w:rFonts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61CB404F">
      <w:pPr>
        <w:jc w:val="right"/>
        <w:rPr>
          <w:rFonts w:ascii="宋体" w:hAnsi="宋体"/>
          <w:color w:val="auto"/>
          <w:szCs w:val="21"/>
          <w:highlight w:val="none"/>
        </w:rPr>
      </w:pPr>
    </w:p>
    <w:p w14:paraId="23DAED52">
      <w:pPr>
        <w:jc w:val="right"/>
        <w:rPr>
          <w:rFonts w:hint="eastAsia" w:ascii="宋体" w:hAnsi="宋体"/>
          <w:color w:val="auto"/>
          <w:szCs w:val="21"/>
          <w:highlight w:val="none"/>
        </w:rPr>
      </w:pPr>
    </w:p>
    <w:p w14:paraId="7E698348">
      <w:pPr>
        <w:rPr>
          <w:color w:val="auto"/>
          <w:highlight w:val="none"/>
        </w:rPr>
        <w:sectPr>
          <w:headerReference r:id="rId78" w:type="default"/>
          <w:footerReference r:id="rId7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310B405">
      <w:pPr>
        <w:widowControl/>
        <w:snapToGrid w:val="0"/>
        <w:spacing w:line="360" w:lineRule="auto"/>
        <w:ind w:left="839"/>
        <w:jc w:val="left"/>
        <w:rPr>
          <w:rFonts w:ascii="宋体" w:hAnsi="宋体" w:cs="宋体"/>
          <w:color w:val="auto"/>
          <w:kern w:val="0"/>
          <w:szCs w:val="20"/>
          <w:highlight w:val="none"/>
          <w:lang w:bidi="ar"/>
        </w:rPr>
      </w:pPr>
    </w:p>
    <w:p w14:paraId="6C4FF7AE">
      <w:pPr>
        <w:widowControl/>
        <w:snapToGrid w:val="0"/>
        <w:spacing w:line="360" w:lineRule="auto"/>
        <w:ind w:left="839"/>
        <w:jc w:val="left"/>
        <w:rPr>
          <w:rFonts w:ascii="宋体" w:hAnsi="宋体" w:cs="宋体"/>
          <w:color w:val="auto"/>
          <w:kern w:val="0"/>
          <w:szCs w:val="20"/>
          <w:highlight w:val="none"/>
          <w:lang w:bidi="ar"/>
        </w:rPr>
      </w:pPr>
    </w:p>
    <w:p w14:paraId="06DD371E">
      <w:pPr>
        <w:widowControl/>
        <w:snapToGrid w:val="0"/>
        <w:spacing w:line="360" w:lineRule="auto"/>
        <w:ind w:left="839"/>
        <w:jc w:val="left"/>
        <w:rPr>
          <w:rFonts w:ascii="宋体" w:hAnsi="宋体" w:cs="宋体"/>
          <w:color w:val="auto"/>
          <w:kern w:val="0"/>
          <w:szCs w:val="20"/>
          <w:highlight w:val="none"/>
          <w:lang w:bidi="ar"/>
        </w:rPr>
      </w:pPr>
    </w:p>
    <w:p w14:paraId="3923B95C">
      <w:pPr>
        <w:widowControl/>
        <w:snapToGrid w:val="0"/>
        <w:spacing w:line="360" w:lineRule="auto"/>
        <w:ind w:left="839"/>
        <w:jc w:val="left"/>
        <w:rPr>
          <w:rFonts w:ascii="宋体" w:hAnsi="宋体" w:cs="宋体"/>
          <w:color w:val="auto"/>
          <w:kern w:val="0"/>
          <w:szCs w:val="20"/>
          <w:highlight w:val="none"/>
          <w:lang w:bidi="ar"/>
        </w:rPr>
      </w:pPr>
    </w:p>
    <w:p w14:paraId="20CD9CC5">
      <w:pPr>
        <w:widowControl/>
        <w:snapToGrid w:val="0"/>
        <w:spacing w:line="360" w:lineRule="auto"/>
        <w:ind w:left="839"/>
        <w:jc w:val="left"/>
        <w:rPr>
          <w:rFonts w:ascii="宋体" w:hAnsi="宋体" w:cs="宋体"/>
          <w:color w:val="auto"/>
          <w:kern w:val="0"/>
          <w:szCs w:val="20"/>
          <w:highlight w:val="none"/>
          <w:lang w:bidi="ar"/>
        </w:rPr>
      </w:pPr>
    </w:p>
    <w:p w14:paraId="1101ACBA">
      <w:pPr>
        <w:widowControl/>
        <w:snapToGrid w:val="0"/>
        <w:spacing w:line="360" w:lineRule="auto"/>
        <w:ind w:left="839"/>
        <w:jc w:val="left"/>
        <w:rPr>
          <w:rFonts w:ascii="宋体" w:hAnsi="宋体" w:cs="宋体"/>
          <w:color w:val="auto"/>
          <w:kern w:val="0"/>
          <w:szCs w:val="20"/>
          <w:highlight w:val="none"/>
          <w:lang w:bidi="ar"/>
        </w:rPr>
      </w:pPr>
    </w:p>
    <w:p w14:paraId="256DE89D">
      <w:pPr>
        <w:widowControl/>
        <w:snapToGrid w:val="0"/>
        <w:spacing w:line="360" w:lineRule="auto"/>
        <w:ind w:left="839"/>
        <w:jc w:val="center"/>
        <w:rPr>
          <w:rFonts w:ascii="宋体" w:hAnsi="宋体" w:cs="宋体"/>
          <w:color w:val="auto"/>
          <w:kern w:val="0"/>
          <w:szCs w:val="20"/>
          <w:highlight w:val="none"/>
          <w:lang w:bidi="ar"/>
        </w:rPr>
      </w:pPr>
    </w:p>
    <w:p w14:paraId="24C20062">
      <w:pPr>
        <w:pStyle w:val="35"/>
        <w:jc w:val="center"/>
        <w:rPr>
          <w:rFonts w:hint="eastAsia"/>
          <w:color w:val="auto"/>
          <w:highlight w:val="none"/>
          <w:lang w:val="en-US" w:eastAsia="zh-CN"/>
        </w:rPr>
      </w:pPr>
      <w:bookmarkStart w:id="2354" w:name="_Toc149058114"/>
      <w:bookmarkStart w:id="2355" w:name="_Toc256000236"/>
      <w:bookmarkStart w:id="2356" w:name="_Toc2794"/>
      <w:r>
        <w:rPr>
          <w:rFonts w:hint="default"/>
          <w:color w:val="auto"/>
          <w:highlight w:val="none"/>
        </w:rPr>
        <w:t>九</w:t>
      </w:r>
      <w:r>
        <w:rPr>
          <w:rFonts w:hint="eastAsia"/>
          <w:color w:val="auto"/>
          <w:highlight w:val="none"/>
        </w:rPr>
        <w:t>、其他</w:t>
      </w:r>
      <w:bookmarkEnd w:id="2354"/>
      <w:r>
        <w:rPr>
          <w:rFonts w:hint="eastAsia"/>
          <w:color w:val="auto"/>
          <w:highlight w:val="none"/>
          <w:lang w:val="en-US" w:eastAsia="zh-CN"/>
        </w:rPr>
        <w:t>材料</w:t>
      </w:r>
      <w:bookmarkEnd w:id="2355"/>
      <w:bookmarkEnd w:id="2356"/>
    </w:p>
    <w:p w14:paraId="65DF4218">
      <w:pPr>
        <w:rPr>
          <w:rFonts w:hint="eastAsia"/>
          <w:color w:val="auto"/>
          <w:highlight w:val="none"/>
          <w:lang w:val="en-US" w:eastAsia="zh-CN"/>
        </w:rPr>
      </w:pPr>
      <w:r>
        <w:rPr>
          <w:rFonts w:hint="eastAsia"/>
          <w:color w:val="auto"/>
          <w:highlight w:val="none"/>
          <w:lang w:val="en-US" w:eastAsia="zh-CN"/>
        </w:rPr>
        <w:br w:type="page"/>
      </w:r>
    </w:p>
    <w:p w14:paraId="61D75346">
      <w:pPr>
        <w:pStyle w:val="53"/>
        <w:spacing w:line="360" w:lineRule="auto"/>
        <w:ind w:firstLine="482"/>
        <w:jc w:val="center"/>
        <w:outlineLvl w:val="2"/>
        <w:rPr>
          <w:rFonts w:hint="eastAsia" w:ascii="宋体" w:eastAsia="宋体"/>
          <w:bCs/>
          <w:color w:val="auto"/>
          <w:szCs w:val="24"/>
          <w:highlight w:val="none"/>
        </w:rPr>
      </w:pPr>
      <w:bookmarkStart w:id="2357" w:name="_Toc948"/>
      <w:bookmarkStart w:id="2358" w:name="_Toc10726"/>
      <w:bookmarkStart w:id="2359" w:name="_Toc256000310"/>
      <w:r>
        <w:rPr>
          <w:rFonts w:hint="eastAsia" w:ascii="宋体" w:eastAsia="宋体"/>
          <w:bCs/>
          <w:color w:val="auto"/>
          <w:szCs w:val="24"/>
          <w:highlight w:val="none"/>
          <w:lang w:eastAsia="zh-CN"/>
        </w:rPr>
        <w:t>（</w:t>
      </w:r>
      <w:r>
        <w:rPr>
          <w:rFonts w:hint="eastAsia" w:ascii="宋体" w:eastAsia="宋体"/>
          <w:bCs/>
          <w:color w:val="auto"/>
          <w:szCs w:val="24"/>
          <w:highlight w:val="none"/>
          <w:lang w:val="en-US" w:eastAsia="zh-CN"/>
        </w:rPr>
        <w:t>1</w:t>
      </w:r>
      <w:r>
        <w:rPr>
          <w:rFonts w:hint="eastAsia" w:ascii="宋体" w:eastAsia="宋体"/>
          <w:bCs/>
          <w:color w:val="auto"/>
          <w:szCs w:val="24"/>
          <w:highlight w:val="none"/>
          <w:lang w:eastAsia="zh-CN"/>
        </w:rPr>
        <w:t>）</w:t>
      </w:r>
      <w:r>
        <w:rPr>
          <w:rFonts w:hint="eastAsia" w:ascii="宋体" w:eastAsia="宋体"/>
          <w:bCs/>
          <w:color w:val="auto"/>
          <w:szCs w:val="24"/>
          <w:highlight w:val="none"/>
        </w:rPr>
        <w:t>投标人对合同的保留意见</w:t>
      </w:r>
      <w:bookmarkEnd w:id="2357"/>
    </w:p>
    <w:p w14:paraId="250D80B0">
      <w:pPr>
        <w:pStyle w:val="55"/>
        <w:widowControl/>
        <w:adjustRightInd w:val="0"/>
        <w:snapToGrid w:val="0"/>
        <w:spacing w:line="360" w:lineRule="auto"/>
        <w:rPr>
          <w:rFonts w:ascii="宋体" w:hAnsi="宋体" w:cs="宋体"/>
          <w:b w:val="0"/>
          <w:bCs/>
          <w:color w:val="auto"/>
          <w:sz w:val="24"/>
          <w:szCs w:val="24"/>
          <w:highlight w:val="none"/>
        </w:rPr>
      </w:pPr>
      <w:r>
        <w:rPr>
          <w:rFonts w:hint="eastAsia" w:ascii="宋体" w:hAnsi="宋体" w:cs="宋体"/>
          <w:color w:val="auto"/>
          <w:sz w:val="24"/>
          <w:szCs w:val="24"/>
          <w:highlight w:val="none"/>
          <w:u w:val="none"/>
          <w:lang w:eastAsia="zh-CN"/>
        </w:rPr>
        <w:t>营口国盛中济产业开发建设有限公司</w:t>
      </w:r>
      <w:r>
        <w:rPr>
          <w:rFonts w:hint="eastAsia" w:ascii="宋体" w:hAnsi="宋体" w:cs="宋体"/>
          <w:b/>
          <w:color w:val="auto"/>
          <w:sz w:val="24"/>
          <w:szCs w:val="24"/>
          <w:highlight w:val="none"/>
        </w:rPr>
        <w:t>：</w:t>
      </w:r>
    </w:p>
    <w:p w14:paraId="401F695E">
      <w:pPr>
        <w:pStyle w:val="55"/>
        <w:widowControl/>
        <w:tabs>
          <w:tab w:val="left" w:pos="0"/>
          <w:tab w:val="center" w:pos="4156"/>
          <w:tab w:val="left" w:pos="6735"/>
        </w:tabs>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b w:val="0"/>
          <w:bCs/>
          <w:color w:val="auto"/>
          <w:sz w:val="24"/>
          <w:szCs w:val="24"/>
          <w:highlight w:val="none"/>
        </w:rPr>
        <w:t>经我单位(</w:t>
      </w:r>
      <w:r>
        <w:rPr>
          <w:rFonts w:hint="eastAsia" w:ascii="宋体" w:hAnsi="宋体" w:cs="宋体"/>
          <w:b w:val="0"/>
          <w:bCs/>
          <w:color w:val="auto"/>
          <w:sz w:val="24"/>
          <w:szCs w:val="24"/>
          <w:highlight w:val="none"/>
          <w:u w:val="single"/>
        </w:rPr>
        <w:t xml:space="preserve">               单位名称            </w:t>
      </w:r>
      <w:r>
        <w:rPr>
          <w:rFonts w:hint="eastAsia" w:ascii="宋体" w:hAnsi="宋体" w:cs="宋体"/>
          <w:b w:val="0"/>
          <w:bCs/>
          <w:color w:val="auto"/>
          <w:sz w:val="24"/>
          <w:szCs w:val="24"/>
          <w:highlight w:val="none"/>
        </w:rPr>
        <w:t>)对(</w:t>
      </w:r>
      <w:r>
        <w:rPr>
          <w:rFonts w:hint="eastAsia" w:ascii="宋体" w:hAnsi="宋体" w:cs="宋体"/>
          <w:b w:val="0"/>
          <w:bCs/>
          <w:color w:val="auto"/>
          <w:sz w:val="24"/>
          <w:szCs w:val="24"/>
          <w:highlight w:val="none"/>
          <w:u w:val="none"/>
          <w:lang w:eastAsia="zh-CN"/>
        </w:rPr>
        <w:t>中济智造产业基础设施配套项目一期EPC工程总承包</w:t>
      </w:r>
      <w:r>
        <w:rPr>
          <w:rFonts w:hint="eastAsia" w:ascii="宋体" w:hAnsi="宋体" w:cs="宋体"/>
          <w:color w:val="auto"/>
          <w:sz w:val="24"/>
          <w:szCs w:val="24"/>
          <w:highlight w:val="none"/>
        </w:rPr>
        <w:t>)的招标文件及其补遗文件经过了仔细研究，对于其中合同部分我单位的保留意见如下表所列：</w:t>
      </w:r>
    </w:p>
    <w:tbl>
      <w:tblPr>
        <w:tblStyle w:val="25"/>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3198"/>
        <w:gridCol w:w="4493"/>
      </w:tblGrid>
      <w:tr w14:paraId="7E2B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279" w:type="dxa"/>
            <w:tcBorders>
              <w:top w:val="single" w:color="auto" w:sz="4" w:space="0"/>
              <w:left w:val="single" w:color="auto" w:sz="4" w:space="0"/>
              <w:bottom w:val="single" w:color="auto" w:sz="4" w:space="0"/>
              <w:right w:val="single" w:color="auto" w:sz="4" w:space="0"/>
            </w:tcBorders>
            <w:noWrap w:val="0"/>
            <w:vAlign w:val="center"/>
          </w:tcPr>
          <w:p w14:paraId="7BD33B38">
            <w:pPr>
              <w:pStyle w:val="55"/>
              <w:widowControl/>
              <w:tabs>
                <w:tab w:val="left" w:pos="0"/>
                <w:tab w:val="center" w:pos="4156"/>
                <w:tab w:val="left" w:pos="6735"/>
              </w:tabs>
              <w:adjustRightInd w:val="0"/>
              <w:snapToGrid w:val="0"/>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3198" w:type="dxa"/>
            <w:tcBorders>
              <w:top w:val="single" w:color="auto" w:sz="4" w:space="0"/>
              <w:left w:val="single" w:color="auto" w:sz="4" w:space="0"/>
              <w:bottom w:val="single" w:color="auto" w:sz="4" w:space="0"/>
              <w:right w:val="single" w:color="auto" w:sz="4" w:space="0"/>
            </w:tcBorders>
            <w:noWrap w:val="0"/>
            <w:vAlign w:val="center"/>
          </w:tcPr>
          <w:p w14:paraId="66178C7D">
            <w:pPr>
              <w:pStyle w:val="55"/>
              <w:widowControl/>
              <w:tabs>
                <w:tab w:val="left" w:pos="0"/>
                <w:tab w:val="center" w:pos="4156"/>
                <w:tab w:val="left" w:pos="6735"/>
              </w:tabs>
              <w:adjustRightInd w:val="0"/>
              <w:snapToGrid w:val="0"/>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合同文件名称</w:t>
            </w:r>
          </w:p>
        </w:tc>
        <w:tc>
          <w:tcPr>
            <w:tcW w:w="4493" w:type="dxa"/>
            <w:tcBorders>
              <w:top w:val="single" w:color="auto" w:sz="4" w:space="0"/>
              <w:left w:val="single" w:color="auto" w:sz="4" w:space="0"/>
              <w:bottom w:val="single" w:color="auto" w:sz="4" w:space="0"/>
              <w:right w:val="single" w:color="auto" w:sz="4" w:space="0"/>
            </w:tcBorders>
            <w:noWrap w:val="0"/>
            <w:vAlign w:val="center"/>
          </w:tcPr>
          <w:p w14:paraId="4BF46AE4">
            <w:pPr>
              <w:pStyle w:val="55"/>
              <w:widowControl/>
              <w:tabs>
                <w:tab w:val="left" w:pos="0"/>
                <w:tab w:val="center" w:pos="4156"/>
                <w:tab w:val="left" w:pos="6735"/>
              </w:tabs>
              <w:adjustRightInd w:val="0"/>
              <w:snapToGrid w:val="0"/>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保留意见</w:t>
            </w:r>
          </w:p>
        </w:tc>
      </w:tr>
      <w:tr w14:paraId="0858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279" w:type="dxa"/>
            <w:tcBorders>
              <w:top w:val="single" w:color="auto" w:sz="4" w:space="0"/>
              <w:left w:val="single" w:color="auto" w:sz="4" w:space="0"/>
              <w:bottom w:val="single" w:color="auto" w:sz="4" w:space="0"/>
              <w:right w:val="single" w:color="auto" w:sz="4" w:space="0"/>
            </w:tcBorders>
            <w:noWrap w:val="0"/>
            <w:vAlign w:val="center"/>
          </w:tcPr>
          <w:p w14:paraId="540343FD">
            <w:pPr>
              <w:pStyle w:val="55"/>
              <w:widowControl/>
              <w:tabs>
                <w:tab w:val="left" w:pos="0"/>
                <w:tab w:val="center" w:pos="4156"/>
                <w:tab w:val="left" w:pos="6735"/>
              </w:tabs>
              <w:adjustRightInd w:val="0"/>
              <w:snapToGrid w:val="0"/>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3198" w:type="dxa"/>
            <w:tcBorders>
              <w:top w:val="single" w:color="auto" w:sz="4" w:space="0"/>
              <w:left w:val="single" w:color="auto" w:sz="4" w:space="0"/>
              <w:bottom w:val="single" w:color="auto" w:sz="4" w:space="0"/>
              <w:right w:val="single" w:color="auto" w:sz="4" w:space="0"/>
            </w:tcBorders>
            <w:noWrap w:val="0"/>
            <w:vAlign w:val="center"/>
          </w:tcPr>
          <w:p w14:paraId="31631C36">
            <w:pPr>
              <w:pStyle w:val="55"/>
              <w:widowControl/>
              <w:tabs>
                <w:tab w:val="left" w:pos="0"/>
                <w:tab w:val="center" w:pos="4156"/>
                <w:tab w:val="left" w:pos="6735"/>
              </w:tabs>
              <w:adjustRightInd w:val="0"/>
              <w:snapToGrid w:val="0"/>
              <w:spacing w:line="360" w:lineRule="auto"/>
              <w:jc w:val="center"/>
              <w:rPr>
                <w:rFonts w:hint="default" w:ascii="宋体" w:hAnsi="宋体" w:cs="宋体"/>
                <w:color w:val="auto"/>
                <w:sz w:val="24"/>
                <w:szCs w:val="24"/>
                <w:highlight w:val="none"/>
              </w:rPr>
            </w:pPr>
            <w:r>
              <w:rPr>
                <w:rFonts w:hint="eastAsia" w:ascii="宋体" w:hAnsi="宋体" w:cs="宋体"/>
                <w:color w:val="auto"/>
                <w:sz w:val="24"/>
                <w:szCs w:val="24"/>
                <w:highlight w:val="none"/>
                <w:lang w:val="en-US" w:eastAsia="zh-CN"/>
              </w:rPr>
              <w:t>合同协议书</w:t>
            </w:r>
          </w:p>
        </w:tc>
        <w:tc>
          <w:tcPr>
            <w:tcW w:w="4493" w:type="dxa"/>
            <w:tcBorders>
              <w:top w:val="single" w:color="auto" w:sz="4" w:space="0"/>
              <w:left w:val="single" w:color="auto" w:sz="4" w:space="0"/>
              <w:bottom w:val="single" w:color="auto" w:sz="4" w:space="0"/>
              <w:right w:val="single" w:color="auto" w:sz="4" w:space="0"/>
            </w:tcBorders>
            <w:noWrap w:val="0"/>
            <w:vAlign w:val="center"/>
          </w:tcPr>
          <w:p w14:paraId="0049A450">
            <w:pPr>
              <w:pStyle w:val="55"/>
              <w:widowControl/>
              <w:tabs>
                <w:tab w:val="left" w:pos="0"/>
                <w:tab w:val="center" w:pos="4156"/>
                <w:tab w:val="left" w:pos="6735"/>
              </w:tabs>
              <w:adjustRightInd w:val="0"/>
              <w:snapToGrid w:val="0"/>
              <w:spacing w:line="360" w:lineRule="auto"/>
              <w:rPr>
                <w:rFonts w:ascii="宋体" w:hAnsi="宋体" w:cs="宋体"/>
                <w:color w:val="auto"/>
                <w:sz w:val="24"/>
                <w:szCs w:val="24"/>
                <w:highlight w:val="none"/>
              </w:rPr>
            </w:pPr>
          </w:p>
        </w:tc>
      </w:tr>
      <w:tr w14:paraId="50C0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279" w:type="dxa"/>
            <w:tcBorders>
              <w:top w:val="single" w:color="auto" w:sz="4" w:space="0"/>
              <w:left w:val="single" w:color="auto" w:sz="4" w:space="0"/>
              <w:bottom w:val="single" w:color="auto" w:sz="4" w:space="0"/>
              <w:right w:val="single" w:color="auto" w:sz="4" w:space="0"/>
            </w:tcBorders>
            <w:noWrap w:val="0"/>
            <w:vAlign w:val="center"/>
          </w:tcPr>
          <w:p w14:paraId="71B64AD0">
            <w:pPr>
              <w:pStyle w:val="55"/>
              <w:widowControl/>
              <w:tabs>
                <w:tab w:val="left" w:pos="0"/>
                <w:tab w:val="center" w:pos="4156"/>
                <w:tab w:val="left" w:pos="6735"/>
              </w:tabs>
              <w:adjustRightInd w:val="0"/>
              <w:snapToGrid w:val="0"/>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w:t>
            </w:r>
          </w:p>
        </w:tc>
        <w:tc>
          <w:tcPr>
            <w:tcW w:w="3198" w:type="dxa"/>
            <w:tcBorders>
              <w:top w:val="single" w:color="auto" w:sz="4" w:space="0"/>
              <w:left w:val="single" w:color="auto" w:sz="4" w:space="0"/>
              <w:bottom w:val="single" w:color="auto" w:sz="4" w:space="0"/>
              <w:right w:val="single" w:color="auto" w:sz="4" w:space="0"/>
            </w:tcBorders>
            <w:noWrap w:val="0"/>
            <w:vAlign w:val="center"/>
          </w:tcPr>
          <w:p w14:paraId="0634E177">
            <w:pPr>
              <w:pStyle w:val="55"/>
              <w:widowControl/>
              <w:tabs>
                <w:tab w:val="left" w:pos="0"/>
                <w:tab w:val="center" w:pos="4156"/>
                <w:tab w:val="left" w:pos="6735"/>
              </w:tabs>
              <w:adjustRightInd w:val="0"/>
              <w:snapToGrid w:val="0"/>
              <w:spacing w:line="360" w:lineRule="auto"/>
              <w:jc w:val="center"/>
              <w:rPr>
                <w:rFonts w:hint="default" w:ascii="宋体" w:hAnsi="宋体" w:cs="宋体"/>
                <w:color w:val="auto"/>
                <w:sz w:val="24"/>
                <w:szCs w:val="24"/>
                <w:highlight w:val="none"/>
              </w:rPr>
            </w:pPr>
            <w:r>
              <w:rPr>
                <w:rFonts w:hint="eastAsia" w:ascii="宋体" w:hAnsi="宋体" w:cs="宋体"/>
                <w:color w:val="auto"/>
                <w:sz w:val="24"/>
                <w:szCs w:val="24"/>
                <w:highlight w:val="none"/>
                <w:lang w:val="en-US" w:eastAsia="zh-CN"/>
              </w:rPr>
              <w:t>通用合同条件</w:t>
            </w:r>
          </w:p>
        </w:tc>
        <w:tc>
          <w:tcPr>
            <w:tcW w:w="4493" w:type="dxa"/>
            <w:tcBorders>
              <w:top w:val="single" w:color="auto" w:sz="4" w:space="0"/>
              <w:left w:val="single" w:color="auto" w:sz="4" w:space="0"/>
              <w:bottom w:val="single" w:color="auto" w:sz="4" w:space="0"/>
              <w:right w:val="single" w:color="auto" w:sz="4" w:space="0"/>
            </w:tcBorders>
            <w:noWrap w:val="0"/>
            <w:vAlign w:val="center"/>
          </w:tcPr>
          <w:p w14:paraId="43711697">
            <w:pPr>
              <w:pStyle w:val="55"/>
              <w:widowControl/>
              <w:tabs>
                <w:tab w:val="left" w:pos="0"/>
                <w:tab w:val="center" w:pos="4156"/>
                <w:tab w:val="left" w:pos="6735"/>
              </w:tabs>
              <w:adjustRightInd w:val="0"/>
              <w:snapToGrid w:val="0"/>
              <w:spacing w:line="360" w:lineRule="auto"/>
              <w:rPr>
                <w:rFonts w:ascii="宋体" w:hAnsi="宋体" w:cs="宋体"/>
                <w:color w:val="auto"/>
                <w:sz w:val="24"/>
                <w:szCs w:val="24"/>
                <w:highlight w:val="none"/>
              </w:rPr>
            </w:pPr>
          </w:p>
        </w:tc>
      </w:tr>
      <w:tr w14:paraId="258E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279" w:type="dxa"/>
            <w:tcBorders>
              <w:top w:val="single" w:color="auto" w:sz="4" w:space="0"/>
              <w:left w:val="single" w:color="auto" w:sz="4" w:space="0"/>
              <w:bottom w:val="single" w:color="auto" w:sz="4" w:space="0"/>
              <w:right w:val="single" w:color="auto" w:sz="4" w:space="0"/>
            </w:tcBorders>
            <w:noWrap w:val="0"/>
            <w:vAlign w:val="center"/>
          </w:tcPr>
          <w:p w14:paraId="176D28AA">
            <w:pPr>
              <w:pStyle w:val="55"/>
              <w:widowControl/>
              <w:tabs>
                <w:tab w:val="left" w:pos="0"/>
                <w:tab w:val="center" w:pos="4156"/>
                <w:tab w:val="left" w:pos="6735"/>
              </w:tabs>
              <w:adjustRightInd w:val="0"/>
              <w:snapToGrid w:val="0"/>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3</w:t>
            </w:r>
          </w:p>
        </w:tc>
        <w:tc>
          <w:tcPr>
            <w:tcW w:w="3198" w:type="dxa"/>
            <w:tcBorders>
              <w:top w:val="single" w:color="auto" w:sz="4" w:space="0"/>
              <w:left w:val="single" w:color="auto" w:sz="4" w:space="0"/>
              <w:bottom w:val="single" w:color="auto" w:sz="4" w:space="0"/>
              <w:right w:val="single" w:color="auto" w:sz="4" w:space="0"/>
            </w:tcBorders>
            <w:noWrap w:val="0"/>
            <w:vAlign w:val="center"/>
          </w:tcPr>
          <w:p w14:paraId="22E491A0">
            <w:pPr>
              <w:pStyle w:val="55"/>
              <w:widowControl/>
              <w:tabs>
                <w:tab w:val="left" w:pos="0"/>
                <w:tab w:val="center" w:pos="4156"/>
                <w:tab w:val="left" w:pos="6735"/>
              </w:tabs>
              <w:adjustRightInd w:val="0"/>
              <w:snapToGrid w:val="0"/>
              <w:spacing w:line="360" w:lineRule="auto"/>
              <w:jc w:val="center"/>
              <w:rPr>
                <w:rFonts w:hint="default" w:ascii="宋体" w:hAnsi="宋体" w:cs="宋体"/>
                <w:color w:val="auto"/>
                <w:sz w:val="24"/>
                <w:szCs w:val="24"/>
                <w:highlight w:val="none"/>
              </w:rPr>
            </w:pPr>
            <w:r>
              <w:rPr>
                <w:rFonts w:hint="eastAsia" w:ascii="宋体" w:hAnsi="宋体" w:cs="宋体"/>
                <w:color w:val="auto"/>
                <w:sz w:val="24"/>
                <w:szCs w:val="24"/>
                <w:highlight w:val="none"/>
                <w:lang w:val="en-US" w:eastAsia="zh-CN"/>
              </w:rPr>
              <w:t>专用合同条件</w:t>
            </w:r>
          </w:p>
        </w:tc>
        <w:tc>
          <w:tcPr>
            <w:tcW w:w="4493" w:type="dxa"/>
            <w:tcBorders>
              <w:top w:val="single" w:color="auto" w:sz="4" w:space="0"/>
              <w:left w:val="single" w:color="auto" w:sz="4" w:space="0"/>
              <w:bottom w:val="single" w:color="auto" w:sz="4" w:space="0"/>
              <w:right w:val="single" w:color="auto" w:sz="4" w:space="0"/>
            </w:tcBorders>
            <w:noWrap w:val="0"/>
            <w:vAlign w:val="center"/>
          </w:tcPr>
          <w:p w14:paraId="0107F39D">
            <w:pPr>
              <w:pStyle w:val="55"/>
              <w:widowControl/>
              <w:tabs>
                <w:tab w:val="left" w:pos="0"/>
                <w:tab w:val="center" w:pos="4156"/>
                <w:tab w:val="left" w:pos="6735"/>
              </w:tabs>
              <w:adjustRightInd w:val="0"/>
              <w:snapToGrid w:val="0"/>
              <w:spacing w:line="360" w:lineRule="auto"/>
              <w:rPr>
                <w:rFonts w:ascii="宋体" w:hAnsi="宋体" w:cs="宋体"/>
                <w:color w:val="auto"/>
                <w:sz w:val="24"/>
                <w:szCs w:val="24"/>
                <w:highlight w:val="none"/>
              </w:rPr>
            </w:pPr>
          </w:p>
        </w:tc>
      </w:tr>
      <w:tr w14:paraId="748DD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279" w:type="dxa"/>
            <w:tcBorders>
              <w:top w:val="single" w:color="auto" w:sz="4" w:space="0"/>
              <w:left w:val="single" w:color="auto" w:sz="4" w:space="0"/>
              <w:bottom w:val="single" w:color="auto" w:sz="4" w:space="0"/>
              <w:right w:val="single" w:color="auto" w:sz="4" w:space="0"/>
            </w:tcBorders>
            <w:noWrap w:val="0"/>
            <w:vAlign w:val="center"/>
          </w:tcPr>
          <w:p w14:paraId="2563A1D0">
            <w:pPr>
              <w:pStyle w:val="55"/>
              <w:widowControl/>
              <w:tabs>
                <w:tab w:val="left" w:pos="0"/>
                <w:tab w:val="center" w:pos="4156"/>
                <w:tab w:val="left" w:pos="6735"/>
              </w:tabs>
              <w:adjustRightInd w:val="0"/>
              <w:snapToGrid w:val="0"/>
              <w:spacing w:line="360" w:lineRule="auto"/>
              <w:jc w:val="center"/>
              <w:rPr>
                <w:rFonts w:hint="default" w:ascii="宋体" w:hAnsi="宋体" w:cs="宋体"/>
                <w:color w:val="auto"/>
                <w:sz w:val="24"/>
                <w:szCs w:val="24"/>
                <w:highlight w:val="none"/>
              </w:rPr>
            </w:pPr>
            <w:r>
              <w:rPr>
                <w:rFonts w:hint="eastAsia" w:ascii="宋体" w:hAnsi="宋体" w:cs="宋体"/>
                <w:color w:val="auto"/>
                <w:sz w:val="24"/>
                <w:szCs w:val="24"/>
                <w:highlight w:val="none"/>
                <w:lang w:val="en-US" w:eastAsia="zh-CN"/>
              </w:rPr>
              <w:t>4</w:t>
            </w:r>
          </w:p>
        </w:tc>
        <w:tc>
          <w:tcPr>
            <w:tcW w:w="3198" w:type="dxa"/>
            <w:tcBorders>
              <w:top w:val="single" w:color="auto" w:sz="4" w:space="0"/>
              <w:left w:val="single" w:color="auto" w:sz="4" w:space="0"/>
              <w:bottom w:val="single" w:color="auto" w:sz="4" w:space="0"/>
              <w:right w:val="single" w:color="auto" w:sz="4" w:space="0"/>
            </w:tcBorders>
            <w:noWrap w:val="0"/>
            <w:vAlign w:val="center"/>
          </w:tcPr>
          <w:p w14:paraId="21649375">
            <w:pPr>
              <w:pStyle w:val="55"/>
              <w:widowControl/>
              <w:tabs>
                <w:tab w:val="left" w:pos="0"/>
                <w:tab w:val="center" w:pos="4156"/>
                <w:tab w:val="left" w:pos="6735"/>
              </w:tabs>
              <w:adjustRightInd w:val="0"/>
              <w:snapToGrid w:val="0"/>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其它</w:t>
            </w:r>
          </w:p>
        </w:tc>
        <w:tc>
          <w:tcPr>
            <w:tcW w:w="4493" w:type="dxa"/>
            <w:tcBorders>
              <w:top w:val="single" w:color="auto" w:sz="4" w:space="0"/>
              <w:left w:val="single" w:color="auto" w:sz="4" w:space="0"/>
              <w:bottom w:val="single" w:color="auto" w:sz="4" w:space="0"/>
              <w:right w:val="single" w:color="auto" w:sz="4" w:space="0"/>
            </w:tcBorders>
            <w:noWrap w:val="0"/>
            <w:vAlign w:val="center"/>
          </w:tcPr>
          <w:p w14:paraId="3319F95F">
            <w:pPr>
              <w:pStyle w:val="55"/>
              <w:widowControl/>
              <w:tabs>
                <w:tab w:val="left" w:pos="0"/>
                <w:tab w:val="center" w:pos="4156"/>
                <w:tab w:val="left" w:pos="6735"/>
              </w:tabs>
              <w:adjustRightInd w:val="0"/>
              <w:snapToGrid w:val="0"/>
              <w:spacing w:line="360" w:lineRule="auto"/>
              <w:rPr>
                <w:rFonts w:ascii="宋体" w:hAnsi="宋体" w:cs="宋体"/>
                <w:color w:val="auto"/>
                <w:sz w:val="24"/>
                <w:szCs w:val="24"/>
                <w:highlight w:val="none"/>
              </w:rPr>
            </w:pPr>
          </w:p>
        </w:tc>
      </w:tr>
    </w:tbl>
    <w:p w14:paraId="2803B270">
      <w:pPr>
        <w:pStyle w:val="55"/>
        <w:widowControl/>
        <w:tabs>
          <w:tab w:val="left" w:pos="0"/>
          <w:tab w:val="center" w:pos="4156"/>
          <w:tab w:val="left" w:pos="6735"/>
        </w:tabs>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注：如有保留意见需填写具体条款号、内容及建议修改意见；如无意见：填写“无”或未填写视为无意见。</w:t>
      </w:r>
    </w:p>
    <w:p w14:paraId="48483689">
      <w:pPr>
        <w:pStyle w:val="55"/>
        <w:widowControl/>
        <w:tabs>
          <w:tab w:val="left" w:pos="0"/>
          <w:tab w:val="center" w:pos="4156"/>
          <w:tab w:val="left" w:pos="6735"/>
        </w:tabs>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单位同意上表所列的保留意见只有在招标人批准的前提下才能对合同进行修改，否则我单位仍然按照原合同无条件的执行。其余合同文件的所有内容，我单位全部予以接受。如果中标，我单位保证完全按照合同文件规定的内容执行，不企图谈判、修改或歪曲合同。</w:t>
      </w:r>
    </w:p>
    <w:p w14:paraId="35E2DE8B">
      <w:pPr>
        <w:pStyle w:val="56"/>
        <w:adjustRightInd w:val="0"/>
        <w:snapToGrid w:val="0"/>
        <w:rPr>
          <w:color w:val="auto"/>
          <w:szCs w:val="24"/>
          <w:highlight w:val="none"/>
        </w:rPr>
      </w:pPr>
    </w:p>
    <w:p w14:paraId="51A9FB65">
      <w:pPr>
        <w:pStyle w:val="56"/>
        <w:adjustRightInd w:val="0"/>
        <w:snapToGrid w:val="0"/>
        <w:rPr>
          <w:color w:val="auto"/>
          <w:szCs w:val="24"/>
          <w:highlight w:val="none"/>
        </w:rPr>
      </w:pPr>
    </w:p>
    <w:p w14:paraId="2CD988C0">
      <w:pPr>
        <w:pStyle w:val="56"/>
        <w:adjustRightInd w:val="0"/>
        <w:snapToGrid w:val="0"/>
        <w:rPr>
          <w:color w:val="auto"/>
          <w:szCs w:val="24"/>
          <w:highlight w:val="none"/>
        </w:rPr>
      </w:pPr>
    </w:p>
    <w:p w14:paraId="237C599D">
      <w:pPr>
        <w:pStyle w:val="56"/>
        <w:adjustRightInd w:val="0"/>
        <w:snapToGrid w:val="0"/>
        <w:rPr>
          <w:color w:val="auto"/>
          <w:szCs w:val="24"/>
          <w:highlight w:val="none"/>
        </w:rPr>
      </w:pPr>
    </w:p>
    <w:p w14:paraId="140109B6">
      <w:pPr>
        <w:pStyle w:val="44"/>
        <w:adjustRightInd w:val="0"/>
        <w:snapToGrid w:val="0"/>
        <w:spacing w:line="360" w:lineRule="auto"/>
        <w:ind w:left="178" w:leftChars="85" w:right="-512" w:rightChars="-244" w:firstLine="616" w:firstLineChars="257"/>
        <w:jc w:val="left"/>
        <w:rPr>
          <w:rFonts w:ascii="宋体" w:hAnsi="宋体" w:cs="宋体"/>
          <w:color w:val="auto"/>
          <w:sz w:val="24"/>
          <w:highlight w:val="none"/>
        </w:rPr>
      </w:pPr>
      <w:r>
        <w:rPr>
          <w:rFonts w:hint="eastAsia" w:ascii="宋体" w:hAnsi="宋体" w:cs="宋体"/>
          <w:color w:val="auto"/>
          <w:sz w:val="24"/>
          <w:highlight w:val="none"/>
        </w:rPr>
        <w:t>投 标 人（盖单位公章）：</w:t>
      </w:r>
      <w:r>
        <w:rPr>
          <w:rFonts w:hint="eastAsia" w:ascii="宋体" w:hAnsi="宋体"/>
          <w:color w:val="auto"/>
          <w:szCs w:val="21"/>
          <w:highlight w:val="none"/>
          <w:u w:val="single"/>
          <w:lang w:val="en-GB"/>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GB"/>
        </w:rPr>
        <w:t xml:space="preserve">  </w:t>
      </w:r>
    </w:p>
    <w:p w14:paraId="760B8488">
      <w:pPr>
        <w:pStyle w:val="44"/>
        <w:adjustRightInd w:val="0"/>
        <w:snapToGrid w:val="0"/>
        <w:spacing w:line="360" w:lineRule="auto"/>
        <w:ind w:left="178" w:leftChars="85" w:right="-512" w:rightChars="-244" w:firstLine="616" w:firstLineChars="257"/>
        <w:jc w:val="left"/>
        <w:rPr>
          <w:rFonts w:ascii="宋体" w:hAnsi="宋体" w:cs="宋体"/>
          <w:color w:val="auto"/>
          <w:sz w:val="24"/>
          <w:highlight w:val="none"/>
        </w:rPr>
      </w:pPr>
      <w:r>
        <w:rPr>
          <w:rFonts w:hint="eastAsia" w:ascii="宋体" w:hAnsi="宋体" w:cs="宋体"/>
          <w:color w:val="auto"/>
          <w:sz w:val="24"/>
          <w:highlight w:val="none"/>
        </w:rPr>
        <w:t>法定代表人</w:t>
      </w:r>
      <w:r>
        <w:rPr>
          <w:rFonts w:hint="eastAsia" w:ascii="宋体"/>
          <w:bCs/>
          <w:color w:val="auto"/>
          <w:sz w:val="24"/>
          <w:highlight w:val="none"/>
        </w:rPr>
        <w:t>或其委托代理人</w:t>
      </w:r>
      <w:r>
        <w:rPr>
          <w:rFonts w:hint="eastAsia" w:ascii="宋体" w:hAnsi="宋体" w:cs="宋体"/>
          <w:color w:val="auto"/>
          <w:sz w:val="24"/>
          <w:highlight w:val="none"/>
        </w:rPr>
        <w:t>（签名或签章）：</w:t>
      </w:r>
      <w:r>
        <w:rPr>
          <w:rFonts w:hint="eastAsia" w:ascii="宋体" w:hAnsi="宋体"/>
          <w:color w:val="auto"/>
          <w:szCs w:val="21"/>
          <w:highlight w:val="none"/>
          <w:u w:val="single"/>
          <w:lang w:val="en-GB"/>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GB"/>
        </w:rPr>
        <w:t xml:space="preserve">   </w:t>
      </w:r>
    </w:p>
    <w:p w14:paraId="5E761B61">
      <w:pPr>
        <w:pStyle w:val="44"/>
        <w:spacing w:line="360" w:lineRule="auto"/>
        <w:jc w:val="center"/>
        <w:rPr>
          <w:rFonts w:ascii="宋体" w:hAnsi="宋体" w:cs="宋体"/>
          <w:b/>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14FABB7D">
      <w:pPr>
        <w:rPr>
          <w:color w:val="auto"/>
          <w:highlight w:val="none"/>
        </w:rPr>
      </w:pPr>
    </w:p>
    <w:p w14:paraId="11D22A5A">
      <w:pPr>
        <w:rPr>
          <w:rFonts w:hint="eastAsia" w:ascii="宋体"/>
          <w:bCs/>
          <w:color w:val="auto"/>
          <w:highlight w:val="none"/>
        </w:rPr>
      </w:pPr>
      <w:r>
        <w:rPr>
          <w:rFonts w:hint="eastAsia" w:ascii="宋体" w:eastAsia="宋体"/>
          <w:bCs/>
          <w:color w:val="auto"/>
          <w:szCs w:val="24"/>
          <w:highlight w:val="none"/>
        </w:rPr>
        <w:br w:type="page"/>
      </w:r>
    </w:p>
    <w:p w14:paraId="03DF0AC1">
      <w:pPr>
        <w:pStyle w:val="53"/>
        <w:spacing w:line="360" w:lineRule="auto"/>
        <w:ind w:firstLine="482"/>
        <w:jc w:val="center"/>
        <w:outlineLvl w:val="2"/>
        <w:rPr>
          <w:rFonts w:ascii="宋体" w:eastAsia="宋体"/>
          <w:bCs/>
          <w:color w:val="auto"/>
          <w:szCs w:val="24"/>
          <w:highlight w:val="none"/>
        </w:rPr>
      </w:pPr>
      <w:bookmarkStart w:id="2360" w:name="_Toc18182"/>
      <w:r>
        <w:rPr>
          <w:rFonts w:hint="eastAsia" w:ascii="宋体" w:eastAsia="宋体"/>
          <w:bCs/>
          <w:color w:val="auto"/>
          <w:szCs w:val="24"/>
          <w:highlight w:val="none"/>
        </w:rPr>
        <w:t>（</w:t>
      </w:r>
      <w:r>
        <w:rPr>
          <w:rFonts w:hint="eastAsia" w:ascii="宋体" w:eastAsia="宋体"/>
          <w:bCs/>
          <w:color w:val="auto"/>
          <w:szCs w:val="24"/>
          <w:highlight w:val="none"/>
          <w:lang w:val="en-US" w:eastAsia="zh-CN"/>
        </w:rPr>
        <w:t>2</w:t>
      </w:r>
      <w:r>
        <w:rPr>
          <w:rFonts w:hint="eastAsia" w:ascii="宋体" w:eastAsia="宋体"/>
          <w:bCs/>
          <w:color w:val="auto"/>
          <w:szCs w:val="24"/>
          <w:highlight w:val="none"/>
        </w:rPr>
        <w:t>）投标承诺书</w:t>
      </w:r>
      <w:bookmarkEnd w:id="2358"/>
      <w:bookmarkEnd w:id="2359"/>
      <w:bookmarkEnd w:id="2360"/>
    </w:p>
    <w:p w14:paraId="2A9535D3">
      <w:pPr>
        <w:pStyle w:val="44"/>
        <w:adjustRightInd w:val="0"/>
        <w:snapToGrid w:val="0"/>
        <w:spacing w:line="360" w:lineRule="auto"/>
        <w:ind w:right="21" w:rightChars="10"/>
        <w:jc w:val="left"/>
        <w:rPr>
          <w:rFonts w:ascii="宋体" w:hAnsi="宋体" w:cs="宋体"/>
          <w:color w:val="auto"/>
          <w:sz w:val="24"/>
          <w:highlight w:val="none"/>
          <w:u w:val="single"/>
        </w:rPr>
      </w:pPr>
      <w:r>
        <w:rPr>
          <w:rFonts w:hint="eastAsia" w:ascii="宋体" w:hAnsi="宋体" w:cs="宋体"/>
          <w:color w:val="auto"/>
          <w:sz w:val="24"/>
          <w:highlight w:val="none"/>
        </w:rPr>
        <w:t>致：</w:t>
      </w:r>
    </w:p>
    <w:p w14:paraId="62EB4C46">
      <w:pPr>
        <w:pStyle w:val="10"/>
        <w:snapToGrid w:val="0"/>
        <w:spacing w:line="360" w:lineRule="auto"/>
        <w:ind w:left="178" w:leftChars="85" w:right="21" w:rightChars="10" w:firstLine="616" w:firstLineChars="257"/>
        <w:rPr>
          <w:rFonts w:ascii="宋体" w:hAnsi="宋体" w:cs="宋体"/>
          <w:color w:val="auto"/>
          <w:sz w:val="24"/>
          <w:highlight w:val="none"/>
        </w:rPr>
      </w:pPr>
      <w:r>
        <w:rPr>
          <w:rFonts w:hint="eastAsia" w:ascii="宋体" w:hAnsi="宋体" w:cs="宋体"/>
          <w:color w:val="auto"/>
          <w:sz w:val="24"/>
          <w:highlight w:val="none"/>
        </w:rPr>
        <w:t>本投标人已详细阅读了</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标段</w:t>
      </w:r>
      <w:r>
        <w:rPr>
          <w:rFonts w:hint="eastAsia" w:ascii="宋体" w:hAnsi="宋体" w:cs="宋体"/>
          <w:color w:val="auto"/>
          <w:sz w:val="24"/>
          <w:highlight w:val="none"/>
          <w:u w:val="single"/>
        </w:rPr>
        <w:t>名称）</w:t>
      </w:r>
      <w:r>
        <w:rPr>
          <w:rFonts w:hint="eastAsia" w:ascii="宋体" w:hAnsi="宋体" w:cs="宋体"/>
          <w:color w:val="auto"/>
          <w:sz w:val="24"/>
          <w:highlight w:val="none"/>
        </w:rPr>
        <w:t>工程招标文件，自愿参加上述项目投标，现就有关事项向招标人郑重承诺如下：</w:t>
      </w:r>
    </w:p>
    <w:p w14:paraId="3980FA16">
      <w:pPr>
        <w:pStyle w:val="10"/>
        <w:snapToGrid w:val="0"/>
        <w:spacing w:line="360" w:lineRule="auto"/>
        <w:ind w:left="178" w:leftChars="85" w:right="21" w:rightChars="10" w:firstLine="616" w:firstLineChars="257"/>
        <w:rPr>
          <w:rFonts w:ascii="宋体" w:hAnsi="宋体" w:cs="宋体"/>
          <w:color w:val="auto"/>
          <w:sz w:val="24"/>
          <w:highlight w:val="none"/>
        </w:rPr>
      </w:pPr>
      <w:r>
        <w:rPr>
          <w:rFonts w:hint="eastAsia" w:ascii="宋体" w:hAnsi="宋体" w:cs="宋体"/>
          <w:color w:val="auto"/>
          <w:sz w:val="24"/>
          <w:highlight w:val="none"/>
        </w:rPr>
        <w:t>1.本投标人自愿在招标人安排的合理工期内按照要求完成设计及施工任务，按时竣工验收。设计及施工质量目标、文明施工和安全生产管理按照投标文件的承诺并满足招标文件要求。</w:t>
      </w:r>
    </w:p>
    <w:p w14:paraId="06F2B3CF">
      <w:pPr>
        <w:pStyle w:val="44"/>
        <w:adjustRightInd w:val="0"/>
        <w:snapToGrid w:val="0"/>
        <w:spacing w:line="360" w:lineRule="auto"/>
        <w:ind w:left="178" w:leftChars="85" w:right="21" w:rightChars="10" w:firstLine="616" w:firstLineChars="257"/>
        <w:jc w:val="left"/>
        <w:rPr>
          <w:rFonts w:ascii="宋体" w:hAnsi="宋体" w:cs="宋体"/>
          <w:color w:val="auto"/>
          <w:sz w:val="24"/>
          <w:highlight w:val="none"/>
        </w:rPr>
      </w:pPr>
      <w:r>
        <w:rPr>
          <w:rFonts w:hint="eastAsia" w:ascii="宋体" w:hAnsi="宋体" w:cs="宋体"/>
          <w:color w:val="auto"/>
          <w:sz w:val="24"/>
          <w:highlight w:val="none"/>
        </w:rPr>
        <w:t>2.遵守中华人民共和国、辽宁省、</w:t>
      </w:r>
      <w:r>
        <w:rPr>
          <w:rFonts w:hint="eastAsia" w:ascii="宋体" w:hAnsi="宋体" w:cs="宋体"/>
          <w:color w:val="auto"/>
          <w:sz w:val="24"/>
          <w:highlight w:val="none"/>
          <w:lang w:val="en-US" w:eastAsia="zh-CN"/>
        </w:rPr>
        <w:t>营口</w:t>
      </w:r>
      <w:r>
        <w:rPr>
          <w:rFonts w:hint="eastAsia" w:ascii="宋体" w:hAnsi="宋体" w:cs="宋体"/>
          <w:color w:val="auto"/>
          <w:sz w:val="24"/>
          <w:highlight w:val="none"/>
        </w:rPr>
        <w:t>市招标投标的法律法规等有关规定，自觉维护建筑市场秩序。否则，同意被废除投标资格并接受处罚。</w:t>
      </w:r>
    </w:p>
    <w:p w14:paraId="754E8D4B">
      <w:pPr>
        <w:pStyle w:val="44"/>
        <w:adjustRightInd w:val="0"/>
        <w:snapToGrid w:val="0"/>
        <w:spacing w:line="360" w:lineRule="auto"/>
        <w:ind w:left="178" w:leftChars="85" w:right="21" w:rightChars="10" w:firstLine="616" w:firstLineChars="257"/>
        <w:jc w:val="left"/>
        <w:rPr>
          <w:rFonts w:ascii="宋体" w:hAnsi="宋体" w:cs="宋体"/>
          <w:color w:val="auto"/>
          <w:sz w:val="24"/>
          <w:highlight w:val="none"/>
        </w:rPr>
      </w:pPr>
      <w:r>
        <w:rPr>
          <w:rFonts w:hint="eastAsia" w:ascii="宋体" w:hAnsi="宋体" w:cs="宋体"/>
          <w:color w:val="auto"/>
          <w:sz w:val="24"/>
          <w:highlight w:val="none"/>
        </w:rPr>
        <w:t>3.服从招标文件规定的时间安排，遵守招标有关会议现场纪律。否则，同意被废除投标资格并接受处罚。</w:t>
      </w:r>
    </w:p>
    <w:p w14:paraId="38A5EFE9">
      <w:pPr>
        <w:pStyle w:val="44"/>
        <w:adjustRightInd w:val="0"/>
        <w:snapToGrid w:val="0"/>
        <w:spacing w:line="360" w:lineRule="auto"/>
        <w:ind w:left="178" w:leftChars="85" w:right="21" w:rightChars="10" w:firstLine="616" w:firstLineChars="257"/>
        <w:jc w:val="left"/>
        <w:rPr>
          <w:rFonts w:ascii="宋体" w:hAnsi="宋体" w:cs="宋体"/>
          <w:color w:val="auto"/>
          <w:sz w:val="24"/>
          <w:highlight w:val="none"/>
        </w:rPr>
      </w:pPr>
      <w:r>
        <w:rPr>
          <w:rFonts w:hint="eastAsia" w:ascii="宋体" w:hAnsi="宋体" w:cs="宋体"/>
          <w:color w:val="auto"/>
          <w:sz w:val="24"/>
          <w:highlight w:val="none"/>
        </w:rPr>
        <w:t>4.接受招标文件全部内容。否则，同意被废除投标资格并接受处罚。</w:t>
      </w:r>
    </w:p>
    <w:p w14:paraId="0DF6585D">
      <w:pPr>
        <w:pStyle w:val="44"/>
        <w:adjustRightInd w:val="0"/>
        <w:snapToGrid w:val="0"/>
        <w:spacing w:line="360" w:lineRule="auto"/>
        <w:ind w:left="178" w:leftChars="85" w:right="21" w:rightChars="10" w:firstLine="616" w:firstLineChars="257"/>
        <w:jc w:val="left"/>
        <w:rPr>
          <w:rFonts w:ascii="宋体" w:hAnsi="宋体" w:cs="宋体"/>
          <w:color w:val="auto"/>
          <w:sz w:val="24"/>
          <w:highlight w:val="none"/>
        </w:rPr>
      </w:pPr>
      <w:r>
        <w:rPr>
          <w:rFonts w:hint="eastAsia" w:ascii="宋体" w:hAnsi="宋体" w:cs="宋体"/>
          <w:color w:val="auto"/>
          <w:sz w:val="24"/>
          <w:highlight w:val="none"/>
        </w:rPr>
        <w:t>5.保证投标文件内容无任何虚假。若评标过程中查出有虚假，同意作无效投标文件处理并被没收投标保证金，若中标之后查出有虚假，同意废除中标资格、被没收投标保证金，并接受招投标行政管理部门依法进行的严厉处罚。</w:t>
      </w:r>
    </w:p>
    <w:p w14:paraId="52381658">
      <w:pPr>
        <w:pStyle w:val="44"/>
        <w:adjustRightInd w:val="0"/>
        <w:snapToGrid w:val="0"/>
        <w:spacing w:line="360" w:lineRule="auto"/>
        <w:ind w:left="178" w:leftChars="85" w:right="21" w:rightChars="10" w:firstLine="616" w:firstLineChars="257"/>
        <w:jc w:val="left"/>
        <w:rPr>
          <w:rFonts w:ascii="宋体" w:hAnsi="宋体" w:cs="宋体"/>
          <w:color w:val="auto"/>
          <w:sz w:val="24"/>
          <w:highlight w:val="none"/>
        </w:rPr>
      </w:pPr>
      <w:r>
        <w:rPr>
          <w:rFonts w:hint="eastAsia" w:ascii="宋体" w:hAnsi="宋体" w:cs="宋体"/>
          <w:color w:val="auto"/>
          <w:sz w:val="24"/>
          <w:highlight w:val="none"/>
        </w:rPr>
        <w:t>6.保证按照招标文件及中标通知书规定商签合同。否则，同意接受招标人违约处罚并被没收投标保证金。</w:t>
      </w:r>
    </w:p>
    <w:p w14:paraId="6A8A9D22">
      <w:pPr>
        <w:pStyle w:val="44"/>
        <w:adjustRightInd w:val="0"/>
        <w:snapToGrid w:val="0"/>
        <w:spacing w:line="360" w:lineRule="auto"/>
        <w:ind w:left="178" w:leftChars="85" w:right="21" w:rightChars="10" w:firstLine="616" w:firstLineChars="257"/>
        <w:jc w:val="left"/>
        <w:rPr>
          <w:rFonts w:ascii="宋体" w:hAnsi="宋体" w:cs="宋体"/>
          <w:color w:val="auto"/>
          <w:sz w:val="24"/>
          <w:highlight w:val="none"/>
        </w:rPr>
      </w:pPr>
      <w:r>
        <w:rPr>
          <w:rFonts w:hint="eastAsia" w:ascii="宋体" w:hAnsi="宋体" w:cs="宋体"/>
          <w:color w:val="auto"/>
          <w:sz w:val="24"/>
          <w:highlight w:val="none"/>
        </w:rPr>
        <w:t>7.保证按照合同约定完成合同范围内的全部内容，履行保修责任。否则，同意接受招标人对投标人</w:t>
      </w:r>
      <w:r>
        <w:rPr>
          <w:rFonts w:hint="eastAsia" w:ascii="宋体" w:hAnsi="宋体" w:cs="宋体"/>
          <w:color w:val="auto"/>
          <w:sz w:val="24"/>
          <w:highlight w:val="none"/>
          <w:lang w:eastAsia="zh-CN"/>
        </w:rPr>
        <w:t>违约处罚</w:t>
      </w:r>
      <w:r>
        <w:rPr>
          <w:rFonts w:hint="eastAsia" w:ascii="宋体" w:hAnsi="宋体" w:cs="宋体"/>
          <w:color w:val="auto"/>
          <w:sz w:val="24"/>
          <w:highlight w:val="none"/>
        </w:rPr>
        <w:t>。</w:t>
      </w:r>
    </w:p>
    <w:p w14:paraId="1DE9F430">
      <w:pPr>
        <w:pStyle w:val="44"/>
        <w:adjustRightInd w:val="0"/>
        <w:snapToGrid w:val="0"/>
        <w:spacing w:line="360" w:lineRule="auto"/>
        <w:ind w:left="178" w:leftChars="85" w:right="21" w:rightChars="10" w:firstLine="616" w:firstLineChars="257"/>
        <w:jc w:val="left"/>
        <w:rPr>
          <w:rFonts w:ascii="宋体" w:hAnsi="宋体" w:cs="宋体"/>
          <w:color w:val="auto"/>
          <w:sz w:val="24"/>
          <w:highlight w:val="none"/>
        </w:rPr>
      </w:pPr>
      <w:r>
        <w:rPr>
          <w:rFonts w:hint="eastAsia" w:ascii="宋体" w:hAnsi="宋体" w:cs="宋体"/>
          <w:color w:val="auto"/>
          <w:sz w:val="24"/>
          <w:highlight w:val="none"/>
        </w:rPr>
        <w:t>8.保证中标之后不转包、不用挂靠施工队伍，若分包将征得招标人同意并遵守相关法律法规通过招标选定专业分包队伍。否则，同意接受违约处罚。</w:t>
      </w:r>
    </w:p>
    <w:p w14:paraId="085AD2BC">
      <w:pPr>
        <w:pStyle w:val="44"/>
        <w:adjustRightInd w:val="0"/>
        <w:snapToGrid w:val="0"/>
        <w:spacing w:line="360" w:lineRule="auto"/>
        <w:ind w:left="178" w:leftChars="85" w:right="21" w:rightChars="10" w:firstLine="616" w:firstLineChars="257"/>
        <w:jc w:val="left"/>
        <w:rPr>
          <w:rFonts w:ascii="宋体" w:hAnsi="宋体" w:cs="宋体"/>
          <w:color w:val="auto"/>
          <w:sz w:val="24"/>
          <w:highlight w:val="none"/>
        </w:rPr>
      </w:pPr>
      <w:r>
        <w:rPr>
          <w:rFonts w:hint="eastAsia" w:ascii="宋体" w:hAnsi="宋体" w:cs="宋体"/>
          <w:color w:val="auto"/>
          <w:sz w:val="24"/>
          <w:highlight w:val="none"/>
        </w:rPr>
        <w:t>9.保证中标之后按投标文件承诺向招标项目派驻管理人员及投入机械设备、办公设备及检测设备。否则，同意接受违约处罚。</w:t>
      </w:r>
    </w:p>
    <w:p w14:paraId="31044233">
      <w:pPr>
        <w:pStyle w:val="44"/>
        <w:adjustRightInd w:val="0"/>
        <w:snapToGrid w:val="0"/>
        <w:spacing w:line="360" w:lineRule="auto"/>
        <w:ind w:left="178" w:leftChars="85" w:right="21" w:rightChars="10" w:firstLine="616" w:firstLineChars="257"/>
        <w:jc w:val="left"/>
        <w:rPr>
          <w:rFonts w:ascii="宋体" w:hAnsi="宋体" w:cs="宋体"/>
          <w:color w:val="auto"/>
          <w:sz w:val="24"/>
          <w:highlight w:val="none"/>
        </w:rPr>
      </w:pPr>
      <w:r>
        <w:rPr>
          <w:rFonts w:hint="eastAsia" w:ascii="宋体" w:hAnsi="宋体" w:cs="宋体"/>
          <w:color w:val="auto"/>
          <w:sz w:val="24"/>
          <w:highlight w:val="none"/>
        </w:rPr>
        <w:t>10.保证中标之后密切配合建设单位及监理单位开展工作，服从建设单位驻现场代表及现场监理人员的监督管理。</w:t>
      </w:r>
    </w:p>
    <w:p w14:paraId="2D34E294">
      <w:pPr>
        <w:pStyle w:val="44"/>
        <w:adjustRightInd w:val="0"/>
        <w:snapToGrid w:val="0"/>
        <w:spacing w:line="360" w:lineRule="auto"/>
        <w:ind w:left="178" w:leftChars="85" w:right="21" w:rightChars="10" w:firstLine="616" w:firstLineChars="257"/>
        <w:jc w:val="left"/>
        <w:rPr>
          <w:rFonts w:ascii="宋体" w:hAnsi="宋体" w:cs="宋体"/>
          <w:color w:val="auto"/>
          <w:sz w:val="24"/>
          <w:highlight w:val="none"/>
        </w:rPr>
      </w:pPr>
      <w:r>
        <w:rPr>
          <w:rFonts w:hint="eastAsia" w:ascii="宋体" w:hAnsi="宋体" w:cs="宋体"/>
          <w:color w:val="auto"/>
          <w:sz w:val="24"/>
          <w:highlight w:val="none"/>
        </w:rPr>
        <w:t>11.保证按招标文件及合同约定的原则处理造价调整事宜，不发生签署承包合同之后恶意提高造价的行为。</w:t>
      </w:r>
    </w:p>
    <w:p w14:paraId="74640F20">
      <w:pPr>
        <w:pStyle w:val="44"/>
        <w:adjustRightInd w:val="0"/>
        <w:snapToGrid w:val="0"/>
        <w:spacing w:line="360" w:lineRule="auto"/>
        <w:ind w:left="178" w:leftChars="85" w:right="21" w:rightChars="10" w:firstLine="616" w:firstLineChars="257"/>
        <w:jc w:val="left"/>
        <w:rPr>
          <w:rFonts w:ascii="宋体" w:hAnsi="宋体" w:cs="宋体"/>
          <w:color w:val="auto"/>
          <w:sz w:val="24"/>
          <w:highlight w:val="none"/>
        </w:rPr>
      </w:pPr>
      <w:r>
        <w:rPr>
          <w:rFonts w:hint="eastAsia" w:ascii="宋体" w:hAnsi="宋体" w:cs="宋体"/>
          <w:color w:val="auto"/>
          <w:sz w:val="24"/>
          <w:highlight w:val="none"/>
        </w:rPr>
        <w:t>12.保证不参与陪标、围标行为。否则，同意接受建设行政主管部门最严厉的处罚。</w:t>
      </w:r>
    </w:p>
    <w:p w14:paraId="1272A24F">
      <w:pPr>
        <w:pStyle w:val="44"/>
        <w:adjustRightInd w:val="0"/>
        <w:snapToGrid w:val="0"/>
        <w:spacing w:line="360" w:lineRule="auto"/>
        <w:ind w:left="178" w:leftChars="85" w:right="21" w:rightChars="10" w:firstLine="616" w:firstLineChars="257"/>
        <w:jc w:val="left"/>
        <w:rPr>
          <w:rFonts w:ascii="宋体" w:hAnsi="宋体" w:cs="宋体"/>
          <w:color w:val="auto"/>
          <w:kern w:val="0"/>
          <w:sz w:val="24"/>
          <w:highlight w:val="none"/>
        </w:rPr>
      </w:pPr>
      <w:r>
        <w:rPr>
          <w:rFonts w:hint="eastAsia" w:ascii="宋体" w:hAnsi="宋体" w:cs="宋体"/>
          <w:color w:val="auto"/>
          <w:sz w:val="24"/>
          <w:highlight w:val="none"/>
        </w:rPr>
        <w:t>13.</w:t>
      </w:r>
      <w:r>
        <w:rPr>
          <w:rFonts w:hint="eastAsia" w:ascii="宋体" w:hAnsi="宋体" w:cs="宋体"/>
          <w:color w:val="auto"/>
          <w:kern w:val="0"/>
          <w:sz w:val="24"/>
          <w:highlight w:val="none"/>
        </w:rPr>
        <w:t>如我方中标，保证足额支付参加项目建设的农民工工资，</w:t>
      </w:r>
      <w:r>
        <w:rPr>
          <w:rFonts w:hint="eastAsia" w:ascii="宋体" w:hAnsi="宋体" w:cs="宋体"/>
          <w:color w:val="auto"/>
          <w:kern w:val="0"/>
          <w:sz w:val="24"/>
          <w:highlight w:val="none"/>
          <w:lang w:eastAsia="zh-CN"/>
        </w:rPr>
        <w:t>绝不</w:t>
      </w:r>
      <w:r>
        <w:rPr>
          <w:rFonts w:hint="eastAsia" w:ascii="宋体" w:hAnsi="宋体" w:cs="宋体"/>
          <w:color w:val="auto"/>
          <w:kern w:val="0"/>
          <w:sz w:val="24"/>
          <w:highlight w:val="none"/>
        </w:rPr>
        <w:t>拖欠。如有拖欠，无条件接受有关规定的制裁。</w:t>
      </w:r>
    </w:p>
    <w:p w14:paraId="63BB2357">
      <w:pPr>
        <w:pStyle w:val="44"/>
        <w:spacing w:line="360" w:lineRule="auto"/>
        <w:ind w:firstLine="840" w:firstLineChars="350"/>
        <w:rPr>
          <w:rFonts w:ascii="宋体" w:hAnsi="宋体" w:cs="宋体"/>
          <w:color w:val="auto"/>
          <w:sz w:val="24"/>
          <w:highlight w:val="none"/>
        </w:rPr>
      </w:pPr>
      <w:r>
        <w:rPr>
          <w:rFonts w:hint="eastAsia" w:ascii="宋体" w:hAnsi="宋体" w:cs="宋体"/>
          <w:color w:val="auto"/>
          <w:sz w:val="24"/>
          <w:highlight w:val="none"/>
        </w:rPr>
        <w:t>14.保证以合理的价格与招标人</w:t>
      </w:r>
      <w:r>
        <w:rPr>
          <w:rFonts w:hint="eastAsia" w:ascii="宋体" w:hAnsi="宋体" w:cs="宋体"/>
          <w:color w:val="auto"/>
          <w:sz w:val="24"/>
          <w:highlight w:val="none"/>
          <w:lang w:eastAsia="zh-CN"/>
        </w:rPr>
        <w:t>签订合同</w:t>
      </w:r>
      <w:r>
        <w:rPr>
          <w:rFonts w:hint="eastAsia" w:ascii="宋体" w:hAnsi="宋体" w:cs="宋体"/>
          <w:color w:val="auto"/>
          <w:sz w:val="24"/>
          <w:highlight w:val="none"/>
        </w:rPr>
        <w:t>，并服从招标人对工程进行有关审计，服从以最终审计结果为准结算。</w:t>
      </w:r>
    </w:p>
    <w:p w14:paraId="09A690FC">
      <w:pPr>
        <w:pStyle w:val="44"/>
        <w:spacing w:line="360" w:lineRule="auto"/>
        <w:ind w:firstLine="840" w:firstLineChars="350"/>
        <w:rPr>
          <w:rFonts w:ascii="宋体" w:hAnsi="宋体" w:cs="宋体"/>
          <w:color w:val="auto"/>
          <w:kern w:val="0"/>
          <w:sz w:val="24"/>
          <w:highlight w:val="none"/>
        </w:rPr>
      </w:pPr>
      <w:r>
        <w:rPr>
          <w:rFonts w:hint="eastAsia" w:ascii="宋体" w:hAnsi="宋体" w:cs="宋体"/>
          <w:color w:val="auto"/>
          <w:sz w:val="24"/>
          <w:highlight w:val="none"/>
        </w:rPr>
        <w:t>15.除不可抗力外无论何种原因均确保连续施工。</w:t>
      </w:r>
    </w:p>
    <w:p w14:paraId="1A5B3FEA">
      <w:pPr>
        <w:pStyle w:val="44"/>
        <w:adjustRightInd w:val="0"/>
        <w:snapToGrid w:val="0"/>
        <w:spacing w:line="360" w:lineRule="auto"/>
        <w:ind w:left="178" w:leftChars="85" w:right="21" w:rightChars="10" w:firstLine="616" w:firstLineChars="257"/>
        <w:jc w:val="left"/>
        <w:rPr>
          <w:rFonts w:ascii="宋体" w:hAnsi="宋体" w:cs="宋体"/>
          <w:color w:val="auto"/>
          <w:sz w:val="24"/>
          <w:highlight w:val="none"/>
        </w:rPr>
      </w:pPr>
      <w:r>
        <w:rPr>
          <w:rFonts w:hint="eastAsia" w:ascii="宋体" w:hAnsi="宋体" w:cs="宋体"/>
          <w:color w:val="auto"/>
          <w:kern w:val="0"/>
          <w:sz w:val="24"/>
          <w:highlight w:val="none"/>
        </w:rPr>
        <w:t>本投标人在规定的投标有效期限内及合同有效期内，将受招标文件的约束并履行投标文件的承诺。若有违背上述承诺问题，将自觉接受建设行政主管部门依照法律法规和有关规定进行的任何处罚。</w:t>
      </w:r>
    </w:p>
    <w:p w14:paraId="6276D89C">
      <w:pPr>
        <w:pStyle w:val="44"/>
        <w:adjustRightInd w:val="0"/>
        <w:snapToGrid w:val="0"/>
        <w:spacing w:line="360" w:lineRule="auto"/>
        <w:ind w:left="178" w:leftChars="85" w:right="-512" w:rightChars="-244" w:firstLine="616" w:firstLineChars="257"/>
        <w:jc w:val="left"/>
        <w:rPr>
          <w:rFonts w:hint="eastAsia" w:ascii="宋体" w:hAnsi="宋体" w:cs="宋体"/>
          <w:color w:val="auto"/>
          <w:sz w:val="24"/>
          <w:highlight w:val="none"/>
        </w:rPr>
      </w:pPr>
    </w:p>
    <w:p w14:paraId="26AB5B41">
      <w:pPr>
        <w:pStyle w:val="44"/>
        <w:adjustRightInd w:val="0"/>
        <w:snapToGrid w:val="0"/>
        <w:spacing w:line="360" w:lineRule="auto"/>
        <w:ind w:left="178" w:leftChars="85" w:right="-512" w:rightChars="-244" w:firstLine="616" w:firstLineChars="257"/>
        <w:jc w:val="left"/>
        <w:rPr>
          <w:rFonts w:ascii="宋体" w:hAnsi="宋体" w:cs="宋体"/>
          <w:color w:val="auto"/>
          <w:sz w:val="24"/>
          <w:highlight w:val="none"/>
        </w:rPr>
      </w:pPr>
      <w:r>
        <w:rPr>
          <w:rFonts w:hint="eastAsia" w:ascii="宋体" w:hAnsi="宋体" w:cs="宋体"/>
          <w:color w:val="auto"/>
          <w:sz w:val="24"/>
          <w:highlight w:val="none"/>
        </w:rPr>
        <w:t>投 标 人（盖单位公章）：</w:t>
      </w:r>
      <w:r>
        <w:rPr>
          <w:rFonts w:hint="eastAsia" w:ascii="宋体" w:hAnsi="宋体"/>
          <w:color w:val="auto"/>
          <w:szCs w:val="21"/>
          <w:highlight w:val="none"/>
          <w:u w:val="single"/>
          <w:lang w:val="en-GB"/>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GB"/>
        </w:rPr>
        <w:t xml:space="preserve">  </w:t>
      </w:r>
    </w:p>
    <w:p w14:paraId="34E31BD3">
      <w:pPr>
        <w:pStyle w:val="44"/>
        <w:adjustRightInd w:val="0"/>
        <w:snapToGrid w:val="0"/>
        <w:spacing w:line="360" w:lineRule="auto"/>
        <w:ind w:left="178" w:leftChars="85" w:right="-512" w:rightChars="-244" w:firstLine="616" w:firstLineChars="257"/>
        <w:jc w:val="left"/>
        <w:rPr>
          <w:rFonts w:ascii="宋体" w:hAnsi="宋体" w:cs="宋体"/>
          <w:color w:val="auto"/>
          <w:sz w:val="24"/>
          <w:highlight w:val="none"/>
        </w:rPr>
      </w:pPr>
      <w:r>
        <w:rPr>
          <w:rFonts w:hint="eastAsia" w:ascii="宋体" w:hAnsi="宋体" w:cs="宋体"/>
          <w:color w:val="auto"/>
          <w:sz w:val="24"/>
          <w:highlight w:val="none"/>
        </w:rPr>
        <w:t>法定代表人</w:t>
      </w:r>
      <w:r>
        <w:rPr>
          <w:rFonts w:hint="eastAsia" w:ascii="宋体"/>
          <w:bCs/>
          <w:color w:val="auto"/>
          <w:sz w:val="24"/>
          <w:highlight w:val="none"/>
        </w:rPr>
        <w:t>或其委托代理人</w:t>
      </w:r>
      <w:r>
        <w:rPr>
          <w:rFonts w:hint="eastAsia" w:ascii="宋体" w:hAnsi="宋体" w:cs="宋体"/>
          <w:color w:val="auto"/>
          <w:sz w:val="24"/>
          <w:highlight w:val="none"/>
        </w:rPr>
        <w:t>（签名或签章）：</w:t>
      </w:r>
      <w:r>
        <w:rPr>
          <w:rFonts w:hint="eastAsia" w:ascii="宋体" w:hAnsi="宋体"/>
          <w:color w:val="auto"/>
          <w:szCs w:val="21"/>
          <w:highlight w:val="none"/>
          <w:u w:val="single"/>
          <w:lang w:val="en-GB"/>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GB"/>
        </w:rPr>
        <w:t xml:space="preserve">   </w:t>
      </w:r>
    </w:p>
    <w:p w14:paraId="07C84020">
      <w:pPr>
        <w:pStyle w:val="44"/>
        <w:spacing w:line="360" w:lineRule="auto"/>
        <w:jc w:val="center"/>
        <w:rPr>
          <w:rFonts w:ascii="宋体" w:hAnsi="宋体" w:cs="宋体"/>
          <w:b/>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5E719EC2">
      <w:pPr>
        <w:pStyle w:val="44"/>
        <w:adjustRightInd w:val="0"/>
        <w:snapToGrid w:val="0"/>
        <w:spacing w:line="360" w:lineRule="exact"/>
        <w:ind w:left="85" w:right="10"/>
        <w:jc w:val="center"/>
        <w:outlineLvl w:val="2"/>
        <w:rPr>
          <w:rFonts w:ascii="宋体" w:hAnsi="宋体" w:cs="宋体"/>
          <w:b/>
          <w:bCs/>
          <w:color w:val="auto"/>
          <w:sz w:val="24"/>
          <w:highlight w:val="none"/>
        </w:rPr>
      </w:pPr>
      <w:r>
        <w:rPr>
          <w:rFonts w:hint="eastAsia" w:ascii="宋体" w:hAnsi="宋体" w:cs="宋体"/>
          <w:b/>
          <w:bCs/>
          <w:color w:val="auto"/>
          <w:sz w:val="24"/>
          <w:highlight w:val="none"/>
        </w:rPr>
        <w:br w:type="page"/>
      </w:r>
      <w:bookmarkStart w:id="2361" w:name="_Toc7280"/>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3</w:t>
      </w:r>
      <w:r>
        <w:rPr>
          <w:rFonts w:hint="eastAsia" w:ascii="宋体" w:hAnsi="宋体" w:cs="宋体"/>
          <w:b/>
          <w:bCs/>
          <w:color w:val="auto"/>
          <w:sz w:val="24"/>
          <w:highlight w:val="none"/>
        </w:rPr>
        <w:t>）项目经理投标承诺</w:t>
      </w:r>
      <w:bookmarkEnd w:id="2361"/>
    </w:p>
    <w:p w14:paraId="51C445AD">
      <w:pPr>
        <w:pStyle w:val="44"/>
        <w:spacing w:line="480" w:lineRule="exact"/>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olor w:val="auto"/>
          <w:szCs w:val="21"/>
          <w:highlight w:val="none"/>
          <w:u w:val="single"/>
          <w:lang w:val="en-GB"/>
        </w:rPr>
        <w:t xml:space="preserve">      </w:t>
      </w:r>
    </w:p>
    <w:p w14:paraId="5E174379">
      <w:pPr>
        <w:pStyle w:val="44"/>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（姓名）</w:t>
      </w:r>
      <w:r>
        <w:rPr>
          <w:rFonts w:hint="eastAsia" w:ascii="宋体" w:hAnsi="宋体" w:cs="宋体"/>
          <w:color w:val="auto"/>
          <w:sz w:val="24"/>
          <w:highlight w:val="none"/>
        </w:rPr>
        <w:t>在此郑重承诺：我是</w:t>
      </w:r>
      <w:r>
        <w:rPr>
          <w:rFonts w:hint="eastAsia" w:ascii="宋体" w:hAnsi="宋体" w:cs="宋体"/>
          <w:color w:val="auto"/>
          <w:sz w:val="24"/>
          <w:highlight w:val="none"/>
          <w:u w:val="single"/>
        </w:rPr>
        <w:t>（投标人）</w:t>
      </w:r>
      <w:r>
        <w:rPr>
          <w:rFonts w:hint="eastAsia" w:ascii="宋体" w:hAnsi="宋体" w:cs="宋体"/>
          <w:color w:val="auto"/>
          <w:sz w:val="24"/>
          <w:highlight w:val="none"/>
        </w:rPr>
        <w:t>编制内项目经理，目前没有在建工程项目，无不良记录。</w:t>
      </w:r>
    </w:p>
    <w:p w14:paraId="5821A370">
      <w:pPr>
        <w:pStyle w:val="44"/>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在</w:t>
      </w:r>
      <w:r>
        <w:rPr>
          <w:rFonts w:hint="eastAsia" w:ascii="宋体" w:hAnsi="宋体" w:cs="宋体"/>
          <w:color w:val="auto"/>
          <w:sz w:val="24"/>
          <w:highlight w:val="none"/>
          <w:u w:val="single"/>
        </w:rPr>
        <w:t>（工程名称）</w:t>
      </w:r>
      <w:r>
        <w:rPr>
          <w:rFonts w:hint="eastAsia" w:ascii="宋体" w:hAnsi="宋体" w:cs="宋体"/>
          <w:color w:val="auto"/>
          <w:sz w:val="24"/>
          <w:highlight w:val="none"/>
        </w:rPr>
        <w:t>投标中所提供的个人资格均属实，不存在其他公司借用我资格投标的现象。如我公司中标，我保证按期作为项目经理承担该项目建设，在该项目建设期间，不再承担其他工程建设。</w:t>
      </w:r>
    </w:p>
    <w:p w14:paraId="4003A215">
      <w:pPr>
        <w:pStyle w:val="44"/>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如在评标、定标、公示过程中发现本人承诺有虚假问题，或被举报核实有上述违反承诺行为，或在项目建设中有违规行为；我愿意无条件地接受市行业行政主管部门以下处罚：视情节严重，半年至二年内不得以项目经理身份参与工程管理，严重的吊销资格证书。</w:t>
      </w:r>
    </w:p>
    <w:p w14:paraId="6056791A">
      <w:pPr>
        <w:pStyle w:val="44"/>
        <w:spacing w:line="480" w:lineRule="exact"/>
        <w:rPr>
          <w:rFonts w:ascii="宋体" w:hAnsi="宋体" w:cs="宋体"/>
          <w:color w:val="auto"/>
          <w:sz w:val="24"/>
          <w:highlight w:val="none"/>
        </w:rPr>
      </w:pPr>
    </w:p>
    <w:p w14:paraId="01C6409B">
      <w:pPr>
        <w:pStyle w:val="44"/>
        <w:spacing w:line="480" w:lineRule="exact"/>
        <w:rPr>
          <w:rFonts w:ascii="宋体" w:hAnsi="宋体" w:cs="宋体"/>
          <w:color w:val="auto"/>
          <w:sz w:val="24"/>
          <w:highlight w:val="none"/>
        </w:rPr>
      </w:pPr>
    </w:p>
    <w:p w14:paraId="6822DAF3">
      <w:pPr>
        <w:pStyle w:val="44"/>
        <w:spacing w:line="480" w:lineRule="exact"/>
        <w:rPr>
          <w:rFonts w:ascii="宋体" w:hAnsi="宋体" w:cs="宋体"/>
          <w:color w:val="auto"/>
          <w:sz w:val="24"/>
          <w:highlight w:val="none"/>
        </w:rPr>
      </w:pPr>
    </w:p>
    <w:p w14:paraId="6D5213BC">
      <w:pPr>
        <w:pStyle w:val="44"/>
        <w:spacing w:line="48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 xml:space="preserve">      承诺人签字：</w:t>
      </w:r>
      <w:r>
        <w:rPr>
          <w:rFonts w:hint="eastAsia" w:ascii="宋体" w:hAnsi="宋体"/>
          <w:color w:val="auto"/>
          <w:szCs w:val="21"/>
          <w:highlight w:val="none"/>
          <w:u w:val="single"/>
          <w:lang w:val="en-GB"/>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GB"/>
        </w:rPr>
        <w:t xml:space="preserve"> </w:t>
      </w:r>
    </w:p>
    <w:p w14:paraId="5C8E792D">
      <w:pPr>
        <w:pStyle w:val="44"/>
        <w:spacing w:line="480" w:lineRule="exact"/>
        <w:rPr>
          <w:rFonts w:ascii="宋体" w:hAnsi="宋体" w:cs="宋体"/>
          <w:color w:val="auto"/>
          <w:sz w:val="24"/>
          <w:highlight w:val="none"/>
        </w:rPr>
      </w:pPr>
      <w:r>
        <w:rPr>
          <w:rFonts w:hint="eastAsia" w:ascii="宋体" w:hAnsi="宋体" w:cs="宋体"/>
          <w:color w:val="auto"/>
          <w:sz w:val="24"/>
          <w:highlight w:val="none"/>
        </w:rPr>
        <w:t xml:space="preserve">         身份证号码：</w:t>
      </w:r>
      <w:r>
        <w:rPr>
          <w:rFonts w:hint="eastAsia" w:ascii="宋体" w:hAnsi="宋体"/>
          <w:color w:val="auto"/>
          <w:szCs w:val="21"/>
          <w:highlight w:val="none"/>
          <w:u w:val="single"/>
          <w:lang w:val="en-GB"/>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GB"/>
        </w:rPr>
        <w:t xml:space="preserve"> </w:t>
      </w:r>
    </w:p>
    <w:p w14:paraId="0E39BD1E">
      <w:pPr>
        <w:pStyle w:val="44"/>
        <w:spacing w:line="480" w:lineRule="exact"/>
        <w:rPr>
          <w:rFonts w:ascii="宋体" w:hAnsi="宋体" w:cs="宋体"/>
          <w:color w:val="auto"/>
          <w:sz w:val="24"/>
          <w:highlight w:val="none"/>
        </w:rPr>
      </w:pPr>
      <w:r>
        <w:rPr>
          <w:rFonts w:hint="eastAsia" w:ascii="宋体" w:hAnsi="宋体" w:cs="宋体"/>
          <w:color w:val="auto"/>
          <w:sz w:val="24"/>
          <w:highlight w:val="none"/>
        </w:rPr>
        <w:t xml:space="preserve">         办公电话：</w:t>
      </w:r>
      <w:r>
        <w:rPr>
          <w:rFonts w:hint="eastAsia" w:ascii="宋体" w:hAnsi="宋体"/>
          <w:color w:val="auto"/>
          <w:szCs w:val="21"/>
          <w:highlight w:val="none"/>
          <w:u w:val="single"/>
          <w:lang w:val="en-GB"/>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GB"/>
        </w:rPr>
        <w:t xml:space="preserve"> </w:t>
      </w:r>
    </w:p>
    <w:p w14:paraId="59BB7AF7">
      <w:pPr>
        <w:pStyle w:val="44"/>
        <w:spacing w:line="480" w:lineRule="exact"/>
        <w:rPr>
          <w:rFonts w:ascii="宋体" w:hAnsi="宋体" w:cs="宋体"/>
          <w:color w:val="auto"/>
          <w:sz w:val="24"/>
          <w:highlight w:val="none"/>
        </w:rPr>
      </w:pPr>
      <w:r>
        <w:rPr>
          <w:rFonts w:hint="eastAsia" w:ascii="宋体" w:hAnsi="宋体" w:cs="宋体"/>
          <w:color w:val="auto"/>
          <w:sz w:val="24"/>
          <w:highlight w:val="none"/>
        </w:rPr>
        <w:t xml:space="preserve">         手    机：</w:t>
      </w:r>
      <w:r>
        <w:rPr>
          <w:rFonts w:hint="eastAsia" w:ascii="宋体" w:hAnsi="宋体"/>
          <w:color w:val="auto"/>
          <w:szCs w:val="21"/>
          <w:highlight w:val="none"/>
          <w:u w:val="single"/>
          <w:lang w:val="en-GB"/>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GB"/>
        </w:rPr>
        <w:t xml:space="preserve">  </w:t>
      </w:r>
    </w:p>
    <w:p w14:paraId="1D796E27">
      <w:pPr>
        <w:pStyle w:val="44"/>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35C5FFAE">
      <w:pPr>
        <w:pStyle w:val="44"/>
        <w:spacing w:line="360" w:lineRule="auto"/>
        <w:jc w:val="center"/>
        <w:rPr>
          <w:rFonts w:ascii="宋体" w:hAnsi="宋体" w:cs="宋体"/>
          <w:b/>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4AD7B343">
      <w:pPr>
        <w:pStyle w:val="44"/>
        <w:adjustRightInd w:val="0"/>
        <w:snapToGrid w:val="0"/>
        <w:spacing w:line="360" w:lineRule="exact"/>
        <w:ind w:left="85" w:right="10"/>
        <w:jc w:val="center"/>
        <w:rPr>
          <w:rFonts w:ascii="宋体" w:hAnsi="宋体" w:cs="宋体"/>
          <w:color w:val="auto"/>
          <w:sz w:val="24"/>
          <w:highlight w:val="none"/>
        </w:rPr>
      </w:pPr>
    </w:p>
    <w:p w14:paraId="667DF274">
      <w:pPr>
        <w:pStyle w:val="44"/>
        <w:adjustRightInd w:val="0"/>
        <w:snapToGrid w:val="0"/>
        <w:spacing w:line="360" w:lineRule="exact"/>
        <w:ind w:left="85" w:right="10"/>
        <w:jc w:val="center"/>
        <w:rPr>
          <w:rFonts w:ascii="宋体" w:hAnsi="宋体" w:cs="宋体"/>
          <w:color w:val="auto"/>
          <w:szCs w:val="21"/>
          <w:highlight w:val="none"/>
        </w:rPr>
      </w:pPr>
    </w:p>
    <w:p w14:paraId="09588F70">
      <w:pPr>
        <w:pStyle w:val="44"/>
        <w:adjustRightInd w:val="0"/>
        <w:snapToGrid w:val="0"/>
        <w:spacing w:line="360" w:lineRule="exact"/>
        <w:ind w:left="85" w:right="10"/>
        <w:jc w:val="center"/>
        <w:rPr>
          <w:rFonts w:ascii="宋体" w:hAnsi="宋体" w:cs="宋体"/>
          <w:color w:val="auto"/>
          <w:szCs w:val="21"/>
          <w:highlight w:val="none"/>
        </w:rPr>
      </w:pPr>
    </w:p>
    <w:p w14:paraId="5CB7C5D6">
      <w:pPr>
        <w:pStyle w:val="44"/>
        <w:adjustRightInd w:val="0"/>
        <w:snapToGrid w:val="0"/>
        <w:spacing w:line="360" w:lineRule="exact"/>
        <w:ind w:left="85" w:right="10"/>
        <w:jc w:val="center"/>
        <w:rPr>
          <w:rFonts w:ascii="宋体" w:hAnsi="宋体" w:cs="宋体"/>
          <w:color w:val="auto"/>
          <w:szCs w:val="21"/>
          <w:highlight w:val="none"/>
        </w:rPr>
      </w:pPr>
    </w:p>
    <w:p w14:paraId="0C689194">
      <w:pPr>
        <w:pStyle w:val="44"/>
        <w:adjustRightInd w:val="0"/>
        <w:snapToGrid w:val="0"/>
        <w:spacing w:line="360" w:lineRule="exact"/>
        <w:ind w:left="85" w:right="10"/>
        <w:jc w:val="center"/>
        <w:rPr>
          <w:rFonts w:ascii="宋体" w:hAnsi="宋体" w:cs="宋体"/>
          <w:color w:val="auto"/>
          <w:szCs w:val="21"/>
          <w:highlight w:val="none"/>
        </w:rPr>
      </w:pPr>
    </w:p>
    <w:p w14:paraId="13293EAF">
      <w:pPr>
        <w:pStyle w:val="44"/>
        <w:adjustRightInd w:val="0"/>
        <w:snapToGrid w:val="0"/>
        <w:spacing w:line="360" w:lineRule="exact"/>
        <w:ind w:left="85" w:right="10"/>
        <w:jc w:val="center"/>
        <w:rPr>
          <w:rFonts w:ascii="宋体" w:hAnsi="宋体" w:cs="宋体"/>
          <w:color w:val="auto"/>
          <w:szCs w:val="21"/>
          <w:highlight w:val="none"/>
        </w:rPr>
      </w:pPr>
    </w:p>
    <w:p w14:paraId="11160D08">
      <w:pPr>
        <w:pStyle w:val="44"/>
        <w:adjustRightInd w:val="0"/>
        <w:snapToGrid w:val="0"/>
        <w:spacing w:line="360" w:lineRule="exact"/>
        <w:ind w:left="85" w:right="10"/>
        <w:jc w:val="center"/>
        <w:rPr>
          <w:rFonts w:ascii="宋体" w:hAnsi="宋体" w:cs="宋体"/>
          <w:color w:val="auto"/>
          <w:szCs w:val="21"/>
          <w:highlight w:val="none"/>
        </w:rPr>
      </w:pPr>
    </w:p>
    <w:p w14:paraId="5C616824">
      <w:pPr>
        <w:pStyle w:val="44"/>
        <w:adjustRightInd w:val="0"/>
        <w:snapToGrid w:val="0"/>
        <w:spacing w:line="360" w:lineRule="exact"/>
        <w:ind w:left="85" w:right="10"/>
        <w:jc w:val="center"/>
        <w:outlineLvl w:val="2"/>
        <w:rPr>
          <w:rFonts w:ascii="宋体" w:hAnsi="宋体" w:cs="宋体"/>
          <w:b/>
          <w:bCs/>
          <w:color w:val="auto"/>
          <w:sz w:val="24"/>
          <w:highlight w:val="none"/>
        </w:rPr>
      </w:pPr>
      <w:r>
        <w:rPr>
          <w:rFonts w:ascii="宋体" w:hAnsi="宋体" w:cs="宋体"/>
          <w:b/>
          <w:bCs/>
          <w:color w:val="auto"/>
          <w:sz w:val="24"/>
          <w:highlight w:val="none"/>
        </w:rPr>
        <w:br w:type="page"/>
      </w:r>
      <w:bookmarkStart w:id="2362" w:name="_Toc256000237"/>
      <w:bookmarkStart w:id="2363" w:name="_Toc1213"/>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4</w:t>
      </w:r>
      <w:r>
        <w:rPr>
          <w:rFonts w:hint="eastAsia" w:ascii="宋体" w:hAnsi="宋体" w:cs="宋体"/>
          <w:b/>
          <w:bCs/>
          <w:color w:val="auto"/>
          <w:sz w:val="24"/>
          <w:highlight w:val="none"/>
        </w:rPr>
        <w:t>）施工负责人投标承诺</w:t>
      </w:r>
      <w:bookmarkEnd w:id="2362"/>
      <w:bookmarkEnd w:id="2363"/>
    </w:p>
    <w:p w14:paraId="50A78E23">
      <w:pPr>
        <w:pStyle w:val="44"/>
        <w:spacing w:line="480" w:lineRule="exact"/>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olor w:val="auto"/>
          <w:sz w:val="24"/>
          <w:highlight w:val="none"/>
          <w:u w:val="single"/>
          <w:lang w:val="en-GB"/>
        </w:rPr>
        <w:t xml:space="preserve">      </w:t>
      </w:r>
    </w:p>
    <w:p w14:paraId="0B152870">
      <w:pPr>
        <w:pStyle w:val="44"/>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（姓名）</w:t>
      </w:r>
      <w:r>
        <w:rPr>
          <w:rFonts w:hint="eastAsia" w:ascii="宋体" w:hAnsi="宋体" w:cs="宋体"/>
          <w:color w:val="auto"/>
          <w:sz w:val="24"/>
          <w:highlight w:val="none"/>
        </w:rPr>
        <w:t>在此郑重承诺：我是</w:t>
      </w:r>
      <w:r>
        <w:rPr>
          <w:rFonts w:hint="eastAsia" w:ascii="宋体" w:hAnsi="宋体" w:cs="宋体"/>
          <w:color w:val="auto"/>
          <w:sz w:val="24"/>
          <w:highlight w:val="none"/>
          <w:u w:val="single"/>
        </w:rPr>
        <w:t>（投标人）</w:t>
      </w:r>
      <w:r>
        <w:rPr>
          <w:rFonts w:hint="eastAsia" w:ascii="宋体" w:hAnsi="宋体" w:cs="宋体"/>
          <w:color w:val="auto"/>
          <w:sz w:val="24"/>
          <w:highlight w:val="none"/>
        </w:rPr>
        <w:t>编制内施工负责人，目前没有在建工程项目，无不良记录。</w:t>
      </w:r>
    </w:p>
    <w:p w14:paraId="5301D30D">
      <w:pPr>
        <w:pStyle w:val="44"/>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在</w:t>
      </w:r>
      <w:r>
        <w:rPr>
          <w:rFonts w:hint="eastAsia" w:ascii="宋体" w:hAnsi="宋体" w:cs="宋体"/>
          <w:color w:val="auto"/>
          <w:sz w:val="24"/>
          <w:highlight w:val="none"/>
          <w:u w:val="single"/>
        </w:rPr>
        <w:t>（工程名称）</w:t>
      </w:r>
      <w:r>
        <w:rPr>
          <w:rFonts w:hint="eastAsia" w:ascii="宋体" w:hAnsi="宋体" w:cs="宋体"/>
          <w:color w:val="auto"/>
          <w:sz w:val="24"/>
          <w:highlight w:val="none"/>
        </w:rPr>
        <w:t>投标中所提供的个人资格均属实，不存在其他公司借用我施工负责人资格投标的现象。如我公司中标，我保证按期作为施工负责人承担该项目建设，在该项目建设期间，不再承担其他工程建设。</w:t>
      </w:r>
    </w:p>
    <w:p w14:paraId="0C6DE37C">
      <w:pPr>
        <w:pStyle w:val="44"/>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如在评标、定标、公示过程中发现本人承诺有虚假问题，或被举报核实有上述违反承诺行为，或在项目建设中有违规行为；我愿意无条件地接受市行业行政主管部门以下处罚：视情节严重，半年至二年内不得以施工负责人身份参与工程管理，严重的吊销项目经理资格证书。</w:t>
      </w:r>
    </w:p>
    <w:p w14:paraId="2CFE672E">
      <w:pPr>
        <w:pStyle w:val="44"/>
        <w:spacing w:line="480" w:lineRule="exact"/>
        <w:rPr>
          <w:rFonts w:ascii="宋体" w:hAnsi="宋体" w:cs="宋体"/>
          <w:color w:val="auto"/>
          <w:sz w:val="24"/>
          <w:highlight w:val="none"/>
        </w:rPr>
      </w:pPr>
    </w:p>
    <w:p w14:paraId="134BA1A0">
      <w:pPr>
        <w:pStyle w:val="44"/>
        <w:spacing w:line="480" w:lineRule="exact"/>
        <w:rPr>
          <w:rFonts w:ascii="宋体" w:hAnsi="宋体" w:cs="宋体"/>
          <w:color w:val="auto"/>
          <w:sz w:val="24"/>
          <w:highlight w:val="none"/>
        </w:rPr>
      </w:pPr>
    </w:p>
    <w:p w14:paraId="6FE7C5B8">
      <w:pPr>
        <w:pStyle w:val="44"/>
        <w:spacing w:line="480" w:lineRule="exact"/>
        <w:rPr>
          <w:rFonts w:ascii="宋体" w:hAnsi="宋体" w:cs="宋体"/>
          <w:color w:val="auto"/>
          <w:sz w:val="24"/>
          <w:highlight w:val="none"/>
        </w:rPr>
      </w:pPr>
    </w:p>
    <w:p w14:paraId="71EDA65F">
      <w:pPr>
        <w:pStyle w:val="44"/>
        <w:spacing w:line="48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 xml:space="preserve">      承诺人签字：</w:t>
      </w:r>
      <w:r>
        <w:rPr>
          <w:rFonts w:hint="eastAsia" w:ascii="宋体" w:hAnsi="宋体"/>
          <w:color w:val="auto"/>
          <w:sz w:val="24"/>
          <w:highlight w:val="none"/>
          <w:u w:val="single"/>
          <w:lang w:val="en-GB"/>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GB"/>
        </w:rPr>
        <w:t xml:space="preserve"> </w:t>
      </w:r>
    </w:p>
    <w:p w14:paraId="4C549653">
      <w:pPr>
        <w:pStyle w:val="44"/>
        <w:spacing w:line="480" w:lineRule="exact"/>
        <w:rPr>
          <w:rFonts w:ascii="宋体" w:hAnsi="宋体" w:cs="宋体"/>
          <w:color w:val="auto"/>
          <w:sz w:val="24"/>
          <w:highlight w:val="none"/>
        </w:rPr>
      </w:pPr>
      <w:r>
        <w:rPr>
          <w:rFonts w:hint="eastAsia" w:ascii="宋体" w:hAnsi="宋体" w:cs="宋体"/>
          <w:color w:val="auto"/>
          <w:sz w:val="24"/>
          <w:highlight w:val="none"/>
        </w:rPr>
        <w:t xml:space="preserve">         身份证号码：</w:t>
      </w:r>
      <w:r>
        <w:rPr>
          <w:rFonts w:hint="eastAsia" w:ascii="宋体" w:hAnsi="宋体"/>
          <w:color w:val="auto"/>
          <w:sz w:val="24"/>
          <w:highlight w:val="none"/>
          <w:u w:val="single"/>
          <w:lang w:val="en-GB"/>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GB"/>
        </w:rPr>
        <w:t xml:space="preserve">  </w:t>
      </w:r>
    </w:p>
    <w:p w14:paraId="621BCAEB">
      <w:pPr>
        <w:pStyle w:val="44"/>
        <w:spacing w:line="480" w:lineRule="exact"/>
        <w:rPr>
          <w:rFonts w:ascii="宋体" w:hAnsi="宋体" w:cs="宋体"/>
          <w:color w:val="auto"/>
          <w:sz w:val="24"/>
          <w:highlight w:val="none"/>
        </w:rPr>
      </w:pPr>
      <w:r>
        <w:rPr>
          <w:rFonts w:hint="eastAsia" w:ascii="宋体" w:hAnsi="宋体" w:cs="宋体"/>
          <w:color w:val="auto"/>
          <w:sz w:val="24"/>
          <w:highlight w:val="none"/>
        </w:rPr>
        <w:t xml:space="preserve">         办公电话：</w:t>
      </w:r>
      <w:r>
        <w:rPr>
          <w:rFonts w:hint="eastAsia" w:ascii="宋体" w:hAnsi="宋体"/>
          <w:color w:val="auto"/>
          <w:sz w:val="24"/>
          <w:highlight w:val="none"/>
          <w:u w:val="single"/>
          <w:lang w:val="en-GB"/>
        </w:rPr>
        <w:t xml:space="preserve">      </w:t>
      </w:r>
      <w:r>
        <w:rPr>
          <w:rFonts w:hint="eastAsia" w:ascii="宋体" w:hAnsi="宋体"/>
          <w:color w:val="auto"/>
          <w:sz w:val="24"/>
          <w:highlight w:val="none"/>
          <w:u w:val="single"/>
        </w:rPr>
        <w:t xml:space="preserve">                 </w:t>
      </w:r>
    </w:p>
    <w:p w14:paraId="71C23EFD">
      <w:pPr>
        <w:pStyle w:val="44"/>
        <w:spacing w:line="480" w:lineRule="exact"/>
        <w:rPr>
          <w:rFonts w:ascii="宋体" w:hAnsi="宋体" w:cs="宋体"/>
          <w:color w:val="auto"/>
          <w:sz w:val="24"/>
          <w:highlight w:val="none"/>
        </w:rPr>
      </w:pPr>
      <w:r>
        <w:rPr>
          <w:rFonts w:hint="eastAsia" w:ascii="宋体" w:hAnsi="宋体" w:cs="宋体"/>
          <w:color w:val="auto"/>
          <w:sz w:val="24"/>
          <w:highlight w:val="none"/>
        </w:rPr>
        <w:t xml:space="preserve">         手    机：</w:t>
      </w:r>
      <w:r>
        <w:rPr>
          <w:rFonts w:hint="eastAsia" w:ascii="宋体" w:hAnsi="宋体"/>
          <w:color w:val="auto"/>
          <w:sz w:val="24"/>
          <w:highlight w:val="none"/>
          <w:u w:val="single"/>
          <w:lang w:val="en-GB"/>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GB"/>
        </w:rPr>
        <w:t xml:space="preserve"> </w:t>
      </w:r>
    </w:p>
    <w:p w14:paraId="39F00CEA">
      <w:pPr>
        <w:pStyle w:val="44"/>
        <w:autoSpaceDE w:val="0"/>
        <w:autoSpaceDN w:val="0"/>
        <w:adjustRightInd w:val="0"/>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63E92528">
      <w:pPr>
        <w:pStyle w:val="44"/>
        <w:spacing w:line="360" w:lineRule="auto"/>
        <w:jc w:val="center"/>
        <w:rPr>
          <w:rFonts w:ascii="宋体" w:hAnsi="宋体" w:cs="宋体"/>
          <w:b/>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6728575F">
      <w:pPr>
        <w:pStyle w:val="44"/>
        <w:autoSpaceDE w:val="0"/>
        <w:autoSpaceDN w:val="0"/>
        <w:adjustRightInd w:val="0"/>
        <w:spacing w:line="360" w:lineRule="auto"/>
        <w:jc w:val="left"/>
        <w:rPr>
          <w:rFonts w:ascii="宋体" w:hAnsi="宋体" w:cs="宋体"/>
          <w:color w:val="auto"/>
          <w:szCs w:val="21"/>
          <w:highlight w:val="none"/>
        </w:rPr>
      </w:pPr>
    </w:p>
    <w:p w14:paraId="1C285491">
      <w:pPr>
        <w:pStyle w:val="44"/>
        <w:autoSpaceDE w:val="0"/>
        <w:autoSpaceDN w:val="0"/>
        <w:adjustRightInd w:val="0"/>
        <w:spacing w:line="360" w:lineRule="auto"/>
        <w:jc w:val="left"/>
        <w:rPr>
          <w:rFonts w:ascii="宋体" w:hAnsi="宋体" w:cs="宋体"/>
          <w:color w:val="auto"/>
          <w:szCs w:val="21"/>
          <w:highlight w:val="none"/>
        </w:rPr>
      </w:pPr>
    </w:p>
    <w:p w14:paraId="60537F38">
      <w:pPr>
        <w:pStyle w:val="44"/>
        <w:autoSpaceDE w:val="0"/>
        <w:autoSpaceDN w:val="0"/>
        <w:adjustRightInd w:val="0"/>
        <w:spacing w:line="360" w:lineRule="auto"/>
        <w:jc w:val="left"/>
        <w:rPr>
          <w:rFonts w:ascii="宋体" w:hAnsi="宋体" w:cs="宋体"/>
          <w:color w:val="auto"/>
          <w:szCs w:val="21"/>
          <w:highlight w:val="none"/>
        </w:rPr>
      </w:pPr>
    </w:p>
    <w:p w14:paraId="57634A0B">
      <w:pPr>
        <w:pStyle w:val="56"/>
        <w:rPr>
          <w:rFonts w:ascii="宋体" w:hAnsi="宋体" w:cs="宋体"/>
          <w:color w:val="auto"/>
          <w:szCs w:val="21"/>
          <w:highlight w:val="none"/>
        </w:rPr>
      </w:pPr>
    </w:p>
    <w:p w14:paraId="4F4FBAA4">
      <w:pPr>
        <w:pStyle w:val="44"/>
        <w:adjustRightInd w:val="0"/>
        <w:snapToGrid w:val="0"/>
        <w:spacing w:line="360" w:lineRule="auto"/>
        <w:jc w:val="center"/>
        <w:outlineLvl w:val="2"/>
        <w:rPr>
          <w:rFonts w:ascii="宋体" w:hAnsi="宋体" w:cs="宋体"/>
          <w:b/>
          <w:bCs/>
          <w:color w:val="auto"/>
          <w:sz w:val="24"/>
          <w:highlight w:val="none"/>
        </w:rPr>
      </w:pPr>
      <w:r>
        <w:rPr>
          <w:rFonts w:hint="eastAsia" w:ascii="宋体" w:hAnsi="宋体" w:cs="宋体"/>
          <w:b/>
          <w:bCs/>
          <w:color w:val="auto"/>
          <w:sz w:val="24"/>
          <w:highlight w:val="none"/>
        </w:rPr>
        <w:br w:type="page"/>
      </w:r>
      <w:bookmarkStart w:id="2364" w:name="_Toc256000238"/>
      <w:bookmarkStart w:id="2365" w:name="_Toc32296"/>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5</w:t>
      </w:r>
      <w:r>
        <w:rPr>
          <w:rFonts w:hint="eastAsia" w:ascii="宋体" w:hAnsi="宋体" w:cs="宋体"/>
          <w:b/>
          <w:bCs/>
          <w:color w:val="auto"/>
          <w:sz w:val="24"/>
          <w:highlight w:val="none"/>
        </w:rPr>
        <w:t>）设计负责人投标承诺</w:t>
      </w:r>
      <w:bookmarkEnd w:id="2364"/>
      <w:bookmarkEnd w:id="2365"/>
    </w:p>
    <w:p w14:paraId="5C8A8C0E">
      <w:pPr>
        <w:pStyle w:val="44"/>
        <w:adjustRightInd w:val="0"/>
        <w:snapToGrid w:val="0"/>
        <w:spacing w:line="360" w:lineRule="auto"/>
        <w:rPr>
          <w:rFonts w:ascii="宋体" w:hAnsi="宋体" w:cs="宋体"/>
          <w:color w:val="auto"/>
          <w:szCs w:val="21"/>
          <w:highlight w:val="none"/>
        </w:rPr>
      </w:pPr>
    </w:p>
    <w:p w14:paraId="385BDA33">
      <w:pPr>
        <w:pStyle w:val="44"/>
        <w:spacing w:line="360" w:lineRule="auto"/>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olor w:val="auto"/>
          <w:sz w:val="24"/>
          <w:highlight w:val="none"/>
          <w:u w:val="single"/>
          <w:lang w:val="en-GB"/>
        </w:rPr>
        <w:t xml:space="preserve">      </w:t>
      </w:r>
    </w:p>
    <w:p w14:paraId="68F1AFF3">
      <w:pPr>
        <w:pStyle w:val="44"/>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（姓名）</w:t>
      </w:r>
      <w:r>
        <w:rPr>
          <w:rFonts w:hint="eastAsia" w:ascii="宋体" w:hAnsi="宋体" w:cs="宋体"/>
          <w:color w:val="auto"/>
          <w:sz w:val="24"/>
          <w:highlight w:val="none"/>
        </w:rPr>
        <w:t>在此郑重承诺：我是</w:t>
      </w:r>
      <w:r>
        <w:rPr>
          <w:rFonts w:hint="eastAsia" w:ascii="宋体" w:hAnsi="宋体" w:cs="宋体"/>
          <w:color w:val="auto"/>
          <w:sz w:val="24"/>
          <w:highlight w:val="none"/>
          <w:u w:val="single"/>
        </w:rPr>
        <w:t>（投标人）</w:t>
      </w:r>
      <w:r>
        <w:rPr>
          <w:rFonts w:hint="eastAsia" w:ascii="宋体" w:hAnsi="宋体" w:cs="宋体"/>
          <w:color w:val="auto"/>
          <w:sz w:val="24"/>
          <w:highlight w:val="none"/>
        </w:rPr>
        <w:t>编制内设计负责人，近两年内没有不良记录。</w:t>
      </w:r>
    </w:p>
    <w:p w14:paraId="0D1524EC">
      <w:pPr>
        <w:pStyle w:val="44"/>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在</w:t>
      </w:r>
      <w:r>
        <w:rPr>
          <w:rFonts w:hint="eastAsia" w:ascii="宋体" w:hAnsi="宋体" w:cs="宋体"/>
          <w:color w:val="auto"/>
          <w:sz w:val="24"/>
          <w:highlight w:val="none"/>
          <w:u w:val="single"/>
        </w:rPr>
        <w:t>（工程名称）</w:t>
      </w:r>
      <w:r>
        <w:rPr>
          <w:rFonts w:hint="eastAsia" w:ascii="宋体" w:hAnsi="宋体" w:cs="宋体"/>
          <w:color w:val="auto"/>
          <w:sz w:val="24"/>
          <w:highlight w:val="none"/>
        </w:rPr>
        <w:t>投标中所提供的个人资格均属实，不存在其他公司借用我资格投标的现象。如我公司中标，我保证按期作为设计负责人承担该项目。</w:t>
      </w:r>
    </w:p>
    <w:p w14:paraId="30F9BFF9">
      <w:pPr>
        <w:pStyle w:val="44"/>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如在评标、定标、公示过程中发现本人承诺有虚假问题，或被举报核实有上述违反承诺行为，或在项目实施过程中有违规行为；我愿意无条件地接受市建设行政主管部门以下处罚：视情节严重，半年至二年内不得以设计负责人身份参与项目，严重的吊销资格证书。</w:t>
      </w:r>
    </w:p>
    <w:p w14:paraId="42F17F55">
      <w:pPr>
        <w:pStyle w:val="44"/>
        <w:adjustRightInd w:val="0"/>
        <w:snapToGrid w:val="0"/>
        <w:spacing w:line="360" w:lineRule="auto"/>
        <w:ind w:firstLine="480" w:firstLineChars="200"/>
        <w:rPr>
          <w:rFonts w:ascii="宋体" w:hAnsi="宋体" w:cs="宋体"/>
          <w:color w:val="auto"/>
          <w:sz w:val="24"/>
          <w:highlight w:val="none"/>
        </w:rPr>
      </w:pPr>
    </w:p>
    <w:p w14:paraId="7BF8CCF5">
      <w:pPr>
        <w:pStyle w:val="44"/>
        <w:adjustRightInd w:val="0"/>
        <w:snapToGrid w:val="0"/>
        <w:spacing w:line="360" w:lineRule="auto"/>
        <w:ind w:firstLine="480" w:firstLineChars="200"/>
        <w:rPr>
          <w:rFonts w:ascii="宋体" w:hAnsi="宋体" w:cs="宋体"/>
          <w:color w:val="auto"/>
          <w:sz w:val="24"/>
          <w:highlight w:val="none"/>
        </w:rPr>
      </w:pPr>
    </w:p>
    <w:p w14:paraId="73E47F2F">
      <w:pPr>
        <w:pStyle w:val="44"/>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承诺人签字：</w:t>
      </w:r>
      <w:r>
        <w:rPr>
          <w:rFonts w:hint="eastAsia" w:ascii="宋体" w:hAnsi="宋体"/>
          <w:color w:val="auto"/>
          <w:sz w:val="24"/>
          <w:highlight w:val="none"/>
          <w:u w:val="single"/>
          <w:lang w:val="en-GB"/>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GB"/>
        </w:rPr>
        <w:t xml:space="preserve">  </w:t>
      </w:r>
    </w:p>
    <w:p w14:paraId="4DC72387">
      <w:pPr>
        <w:pStyle w:val="44"/>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身份证号码：</w:t>
      </w:r>
      <w:r>
        <w:rPr>
          <w:rFonts w:hint="eastAsia" w:ascii="宋体" w:hAnsi="宋体"/>
          <w:color w:val="auto"/>
          <w:sz w:val="24"/>
          <w:highlight w:val="none"/>
          <w:u w:val="single"/>
          <w:lang w:val="en-GB"/>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GB"/>
        </w:rPr>
        <w:t xml:space="preserve">  </w:t>
      </w:r>
    </w:p>
    <w:p w14:paraId="1E2ACE47">
      <w:pPr>
        <w:pStyle w:val="44"/>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办公电话：</w:t>
      </w:r>
      <w:r>
        <w:rPr>
          <w:rFonts w:hint="eastAsia" w:ascii="宋体" w:hAnsi="宋体"/>
          <w:color w:val="auto"/>
          <w:sz w:val="24"/>
          <w:highlight w:val="none"/>
          <w:u w:val="single"/>
          <w:lang w:val="en-GB"/>
        </w:rPr>
        <w:t xml:space="preserve">      </w:t>
      </w:r>
      <w:r>
        <w:rPr>
          <w:rFonts w:hint="eastAsia" w:ascii="宋体" w:hAnsi="宋体"/>
          <w:color w:val="auto"/>
          <w:sz w:val="24"/>
          <w:highlight w:val="none"/>
          <w:u w:val="single"/>
        </w:rPr>
        <w:t xml:space="preserve">                  </w:t>
      </w:r>
    </w:p>
    <w:p w14:paraId="46EF2F10">
      <w:pPr>
        <w:pStyle w:val="44"/>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手    机：</w:t>
      </w:r>
      <w:r>
        <w:rPr>
          <w:rFonts w:hint="eastAsia" w:ascii="宋体" w:hAnsi="宋体"/>
          <w:color w:val="auto"/>
          <w:sz w:val="24"/>
          <w:highlight w:val="none"/>
          <w:u w:val="single"/>
          <w:lang w:val="en-GB"/>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GB"/>
        </w:rPr>
        <w:t xml:space="preserve">  </w:t>
      </w:r>
    </w:p>
    <w:p w14:paraId="4CC91AB1">
      <w:pPr>
        <w:pStyle w:val="44"/>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1ACAAF75">
      <w:pPr>
        <w:pStyle w:val="44"/>
        <w:spacing w:line="360" w:lineRule="auto"/>
        <w:jc w:val="center"/>
        <w:rPr>
          <w:rFonts w:hint="eastAsia" w:ascii="宋体" w:hAnsi="宋体" w:cs="宋体"/>
          <w:color w:val="auto"/>
          <w:sz w:val="24"/>
          <w:highlight w:val="none"/>
        </w:rPr>
      </w:pPr>
    </w:p>
    <w:p w14:paraId="33D18FCA">
      <w:pPr>
        <w:pStyle w:val="44"/>
        <w:spacing w:line="360" w:lineRule="auto"/>
        <w:jc w:val="center"/>
        <w:rPr>
          <w:rFonts w:ascii="宋体" w:hAnsi="宋体" w:cs="宋体"/>
          <w:b/>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3DF51571">
      <w:pPr>
        <w:pStyle w:val="44"/>
        <w:adjustRightInd w:val="0"/>
        <w:snapToGrid w:val="0"/>
        <w:spacing w:line="360" w:lineRule="auto"/>
        <w:rPr>
          <w:rFonts w:ascii="宋体" w:hAnsi="宋体" w:cs="宋体"/>
          <w:color w:val="auto"/>
          <w:szCs w:val="21"/>
          <w:highlight w:val="none"/>
        </w:rPr>
      </w:pPr>
    </w:p>
    <w:p w14:paraId="1651F5DF">
      <w:pPr>
        <w:pStyle w:val="44"/>
        <w:ind w:firstLine="422" w:firstLineChars="200"/>
        <w:jc w:val="center"/>
        <w:rPr>
          <w:rFonts w:ascii="宋体" w:hAnsi="宋体" w:cs="宋体"/>
          <w:b/>
          <w:color w:val="auto"/>
          <w:highlight w:val="none"/>
        </w:rPr>
      </w:pPr>
    </w:p>
    <w:p w14:paraId="26D0BECC">
      <w:pPr>
        <w:pStyle w:val="44"/>
        <w:ind w:firstLine="422" w:firstLineChars="200"/>
        <w:jc w:val="center"/>
        <w:rPr>
          <w:rFonts w:ascii="宋体" w:hAnsi="宋体" w:cs="宋体"/>
          <w:b/>
          <w:color w:val="auto"/>
          <w:highlight w:val="none"/>
        </w:rPr>
      </w:pPr>
    </w:p>
    <w:p w14:paraId="3921C58D">
      <w:pPr>
        <w:pStyle w:val="44"/>
        <w:ind w:firstLine="422" w:firstLineChars="200"/>
        <w:jc w:val="center"/>
        <w:rPr>
          <w:rFonts w:ascii="宋体" w:hAnsi="宋体" w:cs="宋体"/>
          <w:b/>
          <w:color w:val="auto"/>
          <w:highlight w:val="none"/>
        </w:rPr>
      </w:pPr>
    </w:p>
    <w:p w14:paraId="3A36EA1E">
      <w:pPr>
        <w:pStyle w:val="44"/>
        <w:ind w:firstLine="422" w:firstLineChars="200"/>
        <w:jc w:val="center"/>
        <w:rPr>
          <w:rFonts w:ascii="宋体" w:hAnsi="宋体" w:cs="宋体"/>
          <w:b/>
          <w:color w:val="auto"/>
          <w:highlight w:val="none"/>
        </w:rPr>
      </w:pPr>
    </w:p>
    <w:p w14:paraId="4CE08383">
      <w:pPr>
        <w:pStyle w:val="44"/>
        <w:ind w:firstLine="422" w:firstLineChars="200"/>
        <w:jc w:val="center"/>
        <w:rPr>
          <w:rFonts w:ascii="宋体" w:hAnsi="宋体" w:cs="宋体"/>
          <w:b/>
          <w:color w:val="auto"/>
          <w:highlight w:val="none"/>
        </w:rPr>
      </w:pPr>
    </w:p>
    <w:p w14:paraId="31564D65">
      <w:pPr>
        <w:pStyle w:val="44"/>
        <w:ind w:firstLine="422" w:firstLineChars="200"/>
        <w:jc w:val="center"/>
        <w:rPr>
          <w:rFonts w:ascii="宋体" w:hAnsi="宋体" w:cs="宋体"/>
          <w:b/>
          <w:color w:val="auto"/>
          <w:highlight w:val="none"/>
        </w:rPr>
      </w:pPr>
    </w:p>
    <w:p w14:paraId="4C571187">
      <w:pPr>
        <w:pStyle w:val="44"/>
        <w:ind w:firstLine="422" w:firstLineChars="200"/>
        <w:jc w:val="center"/>
        <w:rPr>
          <w:rFonts w:ascii="宋体" w:hAnsi="宋体" w:cs="宋体"/>
          <w:b/>
          <w:color w:val="auto"/>
          <w:highlight w:val="none"/>
        </w:rPr>
      </w:pPr>
    </w:p>
    <w:p w14:paraId="55FD3BB6">
      <w:pPr>
        <w:pStyle w:val="44"/>
        <w:ind w:firstLine="422" w:firstLineChars="200"/>
        <w:jc w:val="center"/>
        <w:rPr>
          <w:rFonts w:ascii="宋体" w:hAnsi="宋体" w:cs="宋体"/>
          <w:b/>
          <w:color w:val="auto"/>
          <w:highlight w:val="none"/>
        </w:rPr>
      </w:pPr>
    </w:p>
    <w:p w14:paraId="6528ED54">
      <w:pPr>
        <w:pStyle w:val="44"/>
        <w:ind w:firstLine="422" w:firstLineChars="200"/>
        <w:jc w:val="center"/>
        <w:rPr>
          <w:rFonts w:ascii="宋体" w:hAnsi="宋体" w:cs="宋体"/>
          <w:b/>
          <w:color w:val="auto"/>
          <w:highlight w:val="none"/>
        </w:rPr>
      </w:pPr>
    </w:p>
    <w:p w14:paraId="677DE8D2">
      <w:pPr>
        <w:pStyle w:val="53"/>
        <w:spacing w:line="360" w:lineRule="auto"/>
        <w:ind w:firstLine="560"/>
        <w:jc w:val="center"/>
        <w:outlineLvl w:val="9"/>
        <w:rPr>
          <w:rFonts w:ascii="宋体" w:eastAsia="宋体"/>
          <w:b w:val="0"/>
          <w:color w:val="auto"/>
          <w:sz w:val="28"/>
          <w:szCs w:val="28"/>
          <w:highlight w:val="none"/>
        </w:rPr>
      </w:pPr>
    </w:p>
    <w:p w14:paraId="4674A52C">
      <w:pPr>
        <w:pStyle w:val="49"/>
        <w:spacing w:line="360" w:lineRule="auto"/>
        <w:jc w:val="center"/>
        <w:outlineLvl w:val="2"/>
        <w:rPr>
          <w:rFonts w:hint="eastAsia" w:ascii="Arial" w:hAnsi="Arial" w:cs="Arial"/>
          <w:b/>
          <w:bCs/>
          <w:color w:val="auto"/>
          <w:sz w:val="28"/>
          <w:szCs w:val="36"/>
          <w:highlight w:val="none"/>
        </w:rPr>
      </w:pPr>
      <w:r>
        <w:rPr>
          <w:rFonts w:ascii="宋体" w:hAnsi="Calibri"/>
          <w:bCs/>
          <w:color w:val="auto"/>
          <w:sz w:val="28"/>
          <w:szCs w:val="28"/>
          <w:highlight w:val="none"/>
        </w:rPr>
        <w:br w:type="page"/>
      </w:r>
      <w:bookmarkStart w:id="2366" w:name="_Toc256000239"/>
      <w:bookmarkStart w:id="2367" w:name="_Toc30500"/>
      <w:r>
        <w:rPr>
          <w:rFonts w:hint="eastAsia" w:ascii="宋体" w:hAnsi="宋体" w:eastAsia="宋体" w:cs="宋体"/>
          <w:b/>
          <w:bCs/>
          <w:color w:val="auto"/>
          <w:kern w:val="2"/>
          <w:sz w:val="24"/>
          <w:szCs w:val="24"/>
          <w:highlight w:val="none"/>
          <w:lang w:val="en-US" w:eastAsia="zh-CN" w:bidi="ar-SA"/>
        </w:rPr>
        <w:t>（6）保密承诺书</w:t>
      </w:r>
      <w:bookmarkEnd w:id="2366"/>
      <w:bookmarkEnd w:id="2367"/>
    </w:p>
    <w:p w14:paraId="3738ED5F">
      <w:pPr>
        <w:pStyle w:val="49"/>
        <w:spacing w:line="360" w:lineRule="auto"/>
        <w:rPr>
          <w:rFonts w:ascii="Arial" w:hAnsi="Arial" w:cs="Arial"/>
          <w:color w:val="auto"/>
          <w:szCs w:val="21"/>
          <w:highlight w:val="none"/>
        </w:rPr>
      </w:pPr>
    </w:p>
    <w:p w14:paraId="3F8FB466">
      <w:pPr>
        <w:pStyle w:val="49"/>
        <w:spacing w:line="360" w:lineRule="auto"/>
        <w:rPr>
          <w:rFonts w:hint="eastAsia" w:ascii="Arial" w:hAnsi="Arial" w:cs="Arial"/>
          <w:color w:val="auto"/>
          <w:szCs w:val="21"/>
          <w:highlight w:val="none"/>
        </w:rPr>
      </w:pPr>
      <w:r>
        <w:rPr>
          <w:rFonts w:ascii="Arial" w:hAnsi="Arial" w:cs="Arial"/>
          <w:color w:val="auto"/>
          <w:szCs w:val="21"/>
          <w:highlight w:val="none"/>
        </w:rPr>
        <w:t>致：</w:t>
      </w:r>
      <w:r>
        <w:rPr>
          <w:rFonts w:hint="eastAsia" w:ascii="宋体" w:hAnsi="宋体" w:cs="宋体"/>
          <w:color w:val="auto"/>
          <w:sz w:val="21"/>
          <w:szCs w:val="21"/>
          <w:highlight w:val="none"/>
          <w:u w:val="none"/>
          <w:lang w:eastAsia="zh-CN"/>
        </w:rPr>
        <w:t>营口国盛中济产业开发建设有限公司</w:t>
      </w:r>
    </w:p>
    <w:p w14:paraId="13B76240">
      <w:pPr>
        <w:pStyle w:val="49"/>
        <w:spacing w:line="360" w:lineRule="auto"/>
        <w:rPr>
          <w:rFonts w:ascii="Arial" w:hAnsi="Arial" w:cs="Arial"/>
          <w:color w:val="auto"/>
          <w:szCs w:val="21"/>
          <w:highlight w:val="none"/>
        </w:rPr>
      </w:pPr>
      <w:r>
        <w:rPr>
          <w:rFonts w:ascii="Arial" w:hAnsi="Arial" w:cs="Arial"/>
          <w:color w:val="auto"/>
          <w:szCs w:val="21"/>
          <w:highlight w:val="none"/>
        </w:rPr>
        <w:t>　　</w:t>
      </w:r>
      <w:r>
        <w:rPr>
          <w:rFonts w:hint="eastAsia" w:ascii="Arial" w:hAnsi="Arial" w:cs="Arial"/>
          <w:color w:val="auto"/>
          <w:szCs w:val="21"/>
          <w:highlight w:val="none"/>
          <w:u w:val="single"/>
        </w:rPr>
        <w:t xml:space="preserve">              </w:t>
      </w:r>
      <w:r>
        <w:rPr>
          <w:rFonts w:ascii="Arial" w:hAnsi="Arial" w:cs="Arial"/>
          <w:color w:val="auto"/>
          <w:szCs w:val="21"/>
          <w:highlight w:val="none"/>
        </w:rPr>
        <w:t>(以下简称“本公司”)希望参与贵司的“</w:t>
      </w:r>
      <w:r>
        <w:rPr>
          <w:rFonts w:hint="eastAsia" w:ascii="宋体" w:hAnsi="宋体" w:cs="宋体"/>
          <w:b w:val="0"/>
          <w:bCs/>
          <w:color w:val="auto"/>
          <w:sz w:val="21"/>
          <w:szCs w:val="21"/>
          <w:highlight w:val="none"/>
          <w:u w:val="none"/>
          <w:lang w:eastAsia="zh-CN"/>
        </w:rPr>
        <w:t>中济智造产业基础设施配套项目一期EPC工程总承包</w:t>
      </w:r>
      <w:r>
        <w:rPr>
          <w:rFonts w:ascii="Arial" w:hAnsi="Arial" w:cs="Arial"/>
          <w:color w:val="auto"/>
          <w:szCs w:val="21"/>
          <w:highlight w:val="none"/>
        </w:rPr>
        <w:t>”(以下简称“本项目”)施工工程总承包项目。在本项目投标过程中，贵司同意向本公司提供有关本项目的相关信息和技术资料，前提是本公司必须根据本承诺书的规定对所提供的信息和资料严格履行保密责任，并且仅为对本项目的招投标及项目实施之目的而使用。为了对保密信息予以有效保护，本公司同意做出以下承诺：</w:t>
      </w:r>
      <w:r>
        <w:rPr>
          <w:rFonts w:ascii="Arial" w:hAnsi="Arial" w:cs="Arial"/>
          <w:color w:val="auto"/>
          <w:szCs w:val="21"/>
          <w:highlight w:val="none"/>
        </w:rPr>
        <w:br w:type="textWrapping"/>
      </w:r>
      <w:r>
        <w:rPr>
          <w:rFonts w:ascii="Arial" w:hAnsi="Arial" w:cs="Arial"/>
          <w:color w:val="auto"/>
          <w:szCs w:val="21"/>
          <w:highlight w:val="none"/>
        </w:rPr>
        <w:t>　　一、相关信息和资料的定义</w:t>
      </w:r>
      <w:r>
        <w:rPr>
          <w:rFonts w:ascii="Arial" w:hAnsi="Arial" w:cs="Arial"/>
          <w:color w:val="auto"/>
          <w:szCs w:val="21"/>
          <w:highlight w:val="none"/>
        </w:rPr>
        <w:br w:type="textWrapping"/>
      </w:r>
      <w:r>
        <w:rPr>
          <w:rFonts w:ascii="Arial" w:hAnsi="Arial" w:cs="Arial"/>
          <w:color w:val="auto"/>
          <w:szCs w:val="21"/>
          <w:highlight w:val="none"/>
        </w:rPr>
        <w:t>　　本承诺书所称的“相关信息和技术资料”是指</w:t>
      </w:r>
      <w:r>
        <w:rPr>
          <w:rFonts w:hint="eastAsia" w:ascii="宋体" w:hAnsi="宋体" w:cs="宋体"/>
          <w:b w:val="0"/>
          <w:bCs/>
          <w:color w:val="auto"/>
          <w:sz w:val="21"/>
          <w:szCs w:val="21"/>
          <w:highlight w:val="none"/>
          <w:u w:val="none"/>
          <w:lang w:eastAsia="zh-CN"/>
        </w:rPr>
        <w:t>中济智造产业基础设施配套项目一期EPC工程总承包</w:t>
      </w:r>
      <w:r>
        <w:rPr>
          <w:rFonts w:ascii="Arial" w:hAnsi="Arial" w:cs="Arial"/>
          <w:color w:val="auto"/>
          <w:szCs w:val="21"/>
          <w:highlight w:val="none"/>
        </w:rPr>
        <w:t>的招投标向本公司提供的招标文件内容以及有关本项目实施过程中涉及的全部未向社会公开的信息，无论是书面的、口头的、图形的、电子的或</w:t>
      </w:r>
      <w:r>
        <w:rPr>
          <w:rFonts w:hint="eastAsia" w:ascii="Arial" w:hAnsi="Arial" w:cs="Arial"/>
          <w:color w:val="auto"/>
          <w:szCs w:val="21"/>
          <w:highlight w:val="none"/>
          <w:lang w:eastAsia="zh-CN"/>
        </w:rPr>
        <w:t>其他</w:t>
      </w:r>
      <w:r>
        <w:rPr>
          <w:rFonts w:ascii="Arial" w:hAnsi="Arial" w:cs="Arial"/>
          <w:color w:val="auto"/>
          <w:szCs w:val="21"/>
          <w:highlight w:val="none"/>
        </w:rPr>
        <w:t>任何形式的信息。</w:t>
      </w:r>
      <w:r>
        <w:rPr>
          <w:rFonts w:ascii="Arial" w:hAnsi="Arial" w:cs="Arial"/>
          <w:color w:val="auto"/>
          <w:szCs w:val="21"/>
          <w:highlight w:val="none"/>
        </w:rPr>
        <w:br w:type="textWrapping"/>
      </w:r>
      <w:r>
        <w:rPr>
          <w:rFonts w:ascii="Arial" w:hAnsi="Arial" w:cs="Arial"/>
          <w:color w:val="auto"/>
          <w:szCs w:val="21"/>
          <w:highlight w:val="none"/>
        </w:rPr>
        <w:t>　　二、保密义务</w:t>
      </w:r>
      <w:r>
        <w:rPr>
          <w:rFonts w:ascii="Arial" w:hAnsi="Arial" w:cs="Arial"/>
          <w:color w:val="auto"/>
          <w:szCs w:val="21"/>
          <w:highlight w:val="none"/>
        </w:rPr>
        <w:br w:type="textWrapping"/>
      </w:r>
      <w:r>
        <w:rPr>
          <w:rFonts w:ascii="Arial" w:hAnsi="Arial" w:cs="Arial"/>
          <w:color w:val="auto"/>
          <w:szCs w:val="21"/>
          <w:highlight w:val="none"/>
        </w:rPr>
        <w:t>　　1.本公司同意严格保密本次项目招投标所提供的相关信息和技术资料。</w:t>
      </w:r>
      <w:r>
        <w:rPr>
          <w:rFonts w:ascii="Arial" w:hAnsi="Arial" w:cs="Arial"/>
          <w:color w:val="auto"/>
          <w:szCs w:val="21"/>
          <w:highlight w:val="none"/>
        </w:rPr>
        <w:br w:type="textWrapping"/>
      </w:r>
      <w:r>
        <w:rPr>
          <w:rFonts w:ascii="Arial" w:hAnsi="Arial" w:cs="Arial"/>
          <w:color w:val="auto"/>
          <w:szCs w:val="21"/>
          <w:highlight w:val="none"/>
        </w:rPr>
        <w:t>　　2.本公司保证采取所有必要的方法对本次项目招投标所提供的相关信息和技术资料进行保密，严禁非授权透露、使用、复制本次项目招投标所提供的相关信息和技术资料。</w:t>
      </w:r>
      <w:r>
        <w:rPr>
          <w:rFonts w:ascii="Arial" w:hAnsi="Arial" w:cs="Arial"/>
          <w:color w:val="auto"/>
          <w:szCs w:val="21"/>
          <w:highlight w:val="none"/>
        </w:rPr>
        <w:br w:type="textWrapping"/>
      </w:r>
      <w:r>
        <w:rPr>
          <w:rFonts w:ascii="Arial" w:hAnsi="Arial" w:cs="Arial"/>
          <w:color w:val="auto"/>
          <w:szCs w:val="21"/>
          <w:highlight w:val="none"/>
        </w:rPr>
        <w:t>　　3.未经贵司书面同意，本公司不得因任何理由以任何方式透露本次项目招投标所提供的相关信息和技术资料。</w:t>
      </w:r>
      <w:r>
        <w:rPr>
          <w:rFonts w:ascii="Arial" w:hAnsi="Arial" w:cs="Arial"/>
          <w:color w:val="auto"/>
          <w:szCs w:val="21"/>
          <w:highlight w:val="none"/>
        </w:rPr>
        <w:br w:type="textWrapping"/>
      </w:r>
      <w:r>
        <w:rPr>
          <w:rFonts w:ascii="Arial" w:hAnsi="Arial" w:cs="Arial"/>
          <w:color w:val="auto"/>
          <w:szCs w:val="21"/>
          <w:highlight w:val="none"/>
        </w:rPr>
        <w:t>　　三、使用方式和不使用的义务</w:t>
      </w:r>
      <w:r>
        <w:rPr>
          <w:rFonts w:ascii="Arial" w:hAnsi="Arial" w:cs="Arial"/>
          <w:color w:val="auto"/>
          <w:szCs w:val="21"/>
          <w:highlight w:val="none"/>
        </w:rPr>
        <w:br w:type="textWrapping"/>
      </w:r>
      <w:r>
        <w:rPr>
          <w:rFonts w:ascii="Arial" w:hAnsi="Arial" w:cs="Arial"/>
          <w:color w:val="auto"/>
          <w:szCs w:val="21"/>
          <w:highlight w:val="none"/>
        </w:rPr>
        <w:t>　　本次项目招投标所提供的相关信息和技术资料只能被本公司用于进行本次参与招投标及中标后的项目实施，本公司不能将本次项目招投标所提供的相关信息和技术资料</w:t>
      </w:r>
      <w:r>
        <w:rPr>
          <w:rFonts w:hint="eastAsia" w:ascii="Arial" w:hAnsi="Arial" w:cs="Arial"/>
          <w:color w:val="auto"/>
          <w:szCs w:val="21"/>
          <w:highlight w:val="none"/>
          <w:lang w:eastAsia="zh-CN"/>
        </w:rPr>
        <w:t>用于其他</w:t>
      </w:r>
      <w:r>
        <w:rPr>
          <w:rFonts w:ascii="Arial" w:hAnsi="Arial" w:cs="Arial"/>
          <w:color w:val="auto"/>
          <w:szCs w:val="21"/>
          <w:highlight w:val="none"/>
        </w:rPr>
        <w:t>任何目的。</w:t>
      </w:r>
      <w:r>
        <w:rPr>
          <w:rFonts w:ascii="Arial" w:hAnsi="Arial" w:cs="Arial"/>
          <w:color w:val="auto"/>
          <w:szCs w:val="21"/>
          <w:highlight w:val="none"/>
        </w:rPr>
        <w:br w:type="textWrapping"/>
      </w:r>
      <w:r>
        <w:rPr>
          <w:rFonts w:ascii="Arial" w:hAnsi="Arial" w:cs="Arial"/>
          <w:color w:val="auto"/>
          <w:szCs w:val="21"/>
          <w:highlight w:val="none"/>
        </w:rPr>
        <w:t>　　除本公司参与招投标的人员和直接参与本次项目实施的员工外，本公司不能将本次项目招投标所提供的相关信息和技术资料透露给</w:t>
      </w:r>
      <w:r>
        <w:rPr>
          <w:rFonts w:hint="eastAsia" w:ascii="Arial" w:hAnsi="Arial" w:cs="Arial"/>
          <w:color w:val="auto"/>
          <w:szCs w:val="21"/>
          <w:highlight w:val="none"/>
          <w:lang w:eastAsia="zh-CN"/>
        </w:rPr>
        <w:t>其他</w:t>
      </w:r>
      <w:r>
        <w:rPr>
          <w:rFonts w:ascii="Arial" w:hAnsi="Arial" w:cs="Arial"/>
          <w:color w:val="auto"/>
          <w:szCs w:val="21"/>
          <w:highlight w:val="none"/>
        </w:rPr>
        <w:t>任何人；未经贵司书面同意，本公司不得将本次项目招投标所提供的相关信息和技术资料向新闻媒体予以公开披露或者发表声明。</w:t>
      </w:r>
      <w:r>
        <w:rPr>
          <w:rFonts w:ascii="Arial" w:hAnsi="Arial" w:cs="Arial"/>
          <w:color w:val="auto"/>
          <w:szCs w:val="21"/>
          <w:highlight w:val="none"/>
        </w:rPr>
        <w:br w:type="textWrapping"/>
      </w:r>
      <w:r>
        <w:rPr>
          <w:rFonts w:ascii="Arial" w:hAnsi="Arial" w:cs="Arial"/>
          <w:color w:val="auto"/>
          <w:szCs w:val="21"/>
          <w:highlight w:val="none"/>
        </w:rPr>
        <w:t>　　本公司应当告知参与本次招投标的员工或本公司聘请的相关人员遵守本保密协议书的约定，并应采取必要措施，确保其参与本次招投标和项目实施的员工和外聘人员履行保密义务。若参与本项工作之员工或外聘人员违反本保密协议的约定，泄露了贵司所提供的相关信息和技术资料，依据本承诺书约定，本公司应与泄密员工或外聘人员承担连带责任。</w:t>
      </w:r>
      <w:r>
        <w:rPr>
          <w:rFonts w:ascii="Arial" w:hAnsi="Arial" w:cs="Arial"/>
          <w:color w:val="auto"/>
          <w:szCs w:val="21"/>
          <w:highlight w:val="none"/>
        </w:rPr>
        <w:br w:type="textWrapping"/>
      </w:r>
      <w:r>
        <w:rPr>
          <w:rFonts w:ascii="Arial" w:hAnsi="Arial" w:cs="Arial"/>
          <w:color w:val="auto"/>
          <w:szCs w:val="21"/>
          <w:highlight w:val="none"/>
        </w:rPr>
        <w:t>　　四、相关信息和资料的交回</w:t>
      </w:r>
      <w:r>
        <w:rPr>
          <w:rFonts w:ascii="Arial" w:hAnsi="Arial" w:cs="Arial"/>
          <w:color w:val="auto"/>
          <w:szCs w:val="21"/>
          <w:highlight w:val="none"/>
        </w:rPr>
        <w:br w:type="textWrapping"/>
      </w:r>
      <w:r>
        <w:rPr>
          <w:rFonts w:ascii="Arial" w:hAnsi="Arial" w:cs="Arial"/>
          <w:color w:val="auto"/>
          <w:szCs w:val="21"/>
          <w:highlight w:val="none"/>
        </w:rPr>
        <w:t>　　当贵司以书面形式要求本公司交回本次项目招投标所提供的相关信息和技术资料时，本公司应立即交回所有书面的或其他有形的相关信息和资料以及所有描述和概括该相关信息和资料的文件。本公司在交回以上有关资料前未经贵司的允许不得采取抄写、复印、拷贝等任何方式留存相关信息和资料没有贵司的书面许可，本公司不得丢弃和处理任何书面的或其他有形的相关信息和资料。</w:t>
      </w:r>
      <w:r>
        <w:rPr>
          <w:rFonts w:ascii="Arial" w:hAnsi="Arial" w:cs="Arial"/>
          <w:color w:val="auto"/>
          <w:szCs w:val="21"/>
          <w:highlight w:val="none"/>
        </w:rPr>
        <w:br w:type="textWrapping"/>
      </w:r>
      <w:r>
        <w:rPr>
          <w:rFonts w:ascii="Arial" w:hAnsi="Arial" w:cs="Arial"/>
          <w:color w:val="auto"/>
          <w:szCs w:val="21"/>
          <w:highlight w:val="none"/>
        </w:rPr>
        <w:t>　　五、违约责任</w:t>
      </w:r>
      <w:r>
        <w:rPr>
          <w:rFonts w:ascii="Arial" w:hAnsi="Arial" w:cs="Arial"/>
          <w:color w:val="auto"/>
          <w:szCs w:val="21"/>
          <w:highlight w:val="none"/>
        </w:rPr>
        <w:br w:type="textWrapping"/>
      </w:r>
      <w:r>
        <w:rPr>
          <w:rFonts w:ascii="Arial" w:hAnsi="Arial" w:cs="Arial"/>
          <w:color w:val="auto"/>
          <w:szCs w:val="21"/>
          <w:highlight w:val="none"/>
        </w:rPr>
        <w:t>　　本公司如违约泄露本次项目招投标所提供的相关信息和技术资料，应当按照贵司的指示采取一切必要措施对违约行为予以补救，包括采取有效方法对该专有信息进行保密，所需费用由本公司承担。</w:t>
      </w:r>
      <w:r>
        <w:rPr>
          <w:rFonts w:ascii="Arial" w:hAnsi="Arial" w:cs="Arial"/>
          <w:color w:val="auto"/>
          <w:szCs w:val="21"/>
          <w:highlight w:val="none"/>
        </w:rPr>
        <w:br w:type="textWrapping"/>
      </w:r>
      <w:r>
        <w:rPr>
          <w:rFonts w:ascii="Arial" w:hAnsi="Arial" w:cs="Arial"/>
          <w:color w:val="auto"/>
          <w:szCs w:val="21"/>
          <w:highlight w:val="none"/>
        </w:rPr>
        <w:t>　　本公司应当赔偿贵司因本公司违约而造成的所有损失。</w:t>
      </w:r>
      <w:r>
        <w:rPr>
          <w:rFonts w:ascii="Arial" w:hAnsi="Arial" w:cs="Arial"/>
          <w:color w:val="auto"/>
          <w:szCs w:val="21"/>
          <w:highlight w:val="none"/>
        </w:rPr>
        <w:br w:type="textWrapping"/>
      </w:r>
      <w:r>
        <w:rPr>
          <w:rFonts w:ascii="Arial" w:hAnsi="Arial" w:cs="Arial"/>
          <w:color w:val="auto"/>
          <w:szCs w:val="21"/>
          <w:highlight w:val="none"/>
        </w:rPr>
        <w:t>　　六、保密期限</w:t>
      </w:r>
      <w:r>
        <w:rPr>
          <w:rFonts w:ascii="Arial" w:hAnsi="Arial" w:cs="Arial"/>
          <w:color w:val="auto"/>
          <w:szCs w:val="21"/>
          <w:highlight w:val="none"/>
        </w:rPr>
        <w:br w:type="textWrapping"/>
      </w:r>
      <w:r>
        <w:rPr>
          <w:rFonts w:ascii="Arial" w:hAnsi="Arial" w:cs="Arial"/>
          <w:color w:val="auto"/>
          <w:szCs w:val="21"/>
          <w:highlight w:val="none"/>
        </w:rPr>
        <w:t>　　自本承诺书生效之日起，双方的合作交流都要符合本承诺书的约定，除非贵司通过书面通知明确说明，本承诺书所涉及的某项信息和资料可以不用保密，本公司必须按照本承诺书所承担的保密义务在所</w:t>
      </w:r>
      <w:r>
        <w:rPr>
          <w:rFonts w:hint="eastAsia" w:ascii="Arial" w:hAnsi="Arial" w:cs="Arial"/>
          <w:color w:val="auto"/>
          <w:szCs w:val="21"/>
          <w:highlight w:val="none"/>
          <w:lang w:eastAsia="zh-CN"/>
        </w:rPr>
        <w:t>接收的信息</w:t>
      </w:r>
      <w:r>
        <w:rPr>
          <w:rFonts w:ascii="Arial" w:hAnsi="Arial" w:cs="Arial"/>
          <w:color w:val="auto"/>
          <w:szCs w:val="21"/>
          <w:highlight w:val="none"/>
        </w:rPr>
        <w:t>和资料被社会公知前对所收到的相关信息和资料进行保密，保密期限不受本承诺书有效期限的限制。</w:t>
      </w:r>
      <w:r>
        <w:rPr>
          <w:rFonts w:ascii="Arial" w:hAnsi="Arial" w:cs="Arial"/>
          <w:color w:val="auto"/>
          <w:szCs w:val="21"/>
          <w:highlight w:val="none"/>
        </w:rPr>
        <w:br w:type="textWrapping"/>
      </w:r>
      <w:r>
        <w:rPr>
          <w:rFonts w:ascii="Arial" w:hAnsi="Arial" w:cs="Arial"/>
          <w:color w:val="auto"/>
          <w:szCs w:val="21"/>
          <w:highlight w:val="none"/>
        </w:rPr>
        <w:t>　　七、其他</w:t>
      </w:r>
      <w:r>
        <w:rPr>
          <w:rFonts w:ascii="Arial" w:hAnsi="Arial" w:cs="Arial"/>
          <w:color w:val="auto"/>
          <w:szCs w:val="21"/>
          <w:highlight w:val="none"/>
        </w:rPr>
        <w:br w:type="textWrapping"/>
      </w:r>
      <w:r>
        <w:rPr>
          <w:rFonts w:ascii="Arial" w:hAnsi="Arial" w:cs="Arial"/>
          <w:color w:val="auto"/>
          <w:szCs w:val="21"/>
          <w:highlight w:val="none"/>
        </w:rPr>
        <w:t>　　1. 本承诺书受中华人民共和国法律管辖，并在所有方面依其进行解释。</w:t>
      </w:r>
      <w:r>
        <w:rPr>
          <w:rFonts w:ascii="Arial" w:hAnsi="Arial" w:cs="Arial"/>
          <w:color w:val="auto"/>
          <w:szCs w:val="21"/>
          <w:highlight w:val="none"/>
        </w:rPr>
        <w:br w:type="textWrapping"/>
      </w:r>
      <w:r>
        <w:rPr>
          <w:rFonts w:ascii="Arial" w:hAnsi="Arial" w:cs="Arial"/>
          <w:color w:val="auto"/>
          <w:szCs w:val="21"/>
          <w:highlight w:val="none"/>
        </w:rPr>
        <w:t>　　2. 由本承诺书产生的一切争议由双方友好协商解决。协商不成，双方可向有管辖权的人民法院提起诉讼。</w:t>
      </w:r>
      <w:r>
        <w:rPr>
          <w:rFonts w:ascii="Arial" w:hAnsi="Arial" w:cs="Arial"/>
          <w:color w:val="auto"/>
          <w:szCs w:val="21"/>
          <w:highlight w:val="none"/>
        </w:rPr>
        <w:br w:type="textWrapping"/>
      </w:r>
      <w:r>
        <w:rPr>
          <w:rFonts w:ascii="Arial" w:hAnsi="Arial" w:cs="Arial"/>
          <w:color w:val="auto"/>
          <w:szCs w:val="21"/>
          <w:highlight w:val="none"/>
        </w:rPr>
        <w:t>　　3. 本承诺书自本公司加盖公章之日起生效。</w:t>
      </w:r>
      <w:r>
        <w:rPr>
          <w:rFonts w:ascii="Arial" w:hAnsi="Arial" w:cs="Arial"/>
          <w:color w:val="auto"/>
          <w:szCs w:val="21"/>
          <w:highlight w:val="none"/>
        </w:rPr>
        <w:br w:type="textWrapping"/>
      </w:r>
      <w:r>
        <w:rPr>
          <w:rFonts w:ascii="Arial" w:hAnsi="Arial" w:cs="Arial"/>
          <w:color w:val="auto"/>
          <w:szCs w:val="21"/>
          <w:highlight w:val="none"/>
        </w:rPr>
        <w:t xml:space="preserve">　　　　                </w:t>
      </w:r>
    </w:p>
    <w:p w14:paraId="36A21EA5">
      <w:pPr>
        <w:pStyle w:val="49"/>
        <w:spacing w:line="360" w:lineRule="auto"/>
        <w:rPr>
          <w:rFonts w:ascii="Arial" w:hAnsi="Arial" w:cs="Arial"/>
          <w:color w:val="auto"/>
          <w:szCs w:val="21"/>
          <w:highlight w:val="none"/>
        </w:rPr>
      </w:pPr>
    </w:p>
    <w:p w14:paraId="5B1CDA87">
      <w:pPr>
        <w:pStyle w:val="53"/>
        <w:spacing w:line="360" w:lineRule="auto"/>
        <w:ind w:firstLine="420"/>
        <w:jc w:val="center"/>
        <w:outlineLvl w:val="9"/>
        <w:rPr>
          <w:rFonts w:hint="eastAsia" w:ascii="宋体" w:eastAsia="宋体"/>
          <w:b w:val="0"/>
          <w:bCs/>
          <w:color w:val="auto"/>
          <w:sz w:val="21"/>
          <w:szCs w:val="21"/>
          <w:highlight w:val="none"/>
        </w:rPr>
      </w:pPr>
      <w:bookmarkStart w:id="2368" w:name="_Toc256000312"/>
      <w:bookmarkStart w:id="2369" w:name="_Toc1939"/>
      <w:r>
        <w:rPr>
          <w:rFonts w:hint="eastAsia" w:ascii="宋体" w:eastAsia="宋体"/>
          <w:b w:val="0"/>
          <w:bCs/>
          <w:color w:val="auto"/>
          <w:sz w:val="21"/>
          <w:szCs w:val="21"/>
          <w:highlight w:val="none"/>
        </w:rPr>
        <w:t>投标人(盖单位公章)：</w:t>
      </w:r>
      <w:bookmarkEnd w:id="2368"/>
      <w:bookmarkEnd w:id="2369"/>
      <w:r>
        <w:rPr>
          <w:rFonts w:hint="eastAsia" w:ascii="宋体"/>
          <w:color w:val="auto"/>
          <w:sz w:val="21"/>
          <w:szCs w:val="21"/>
          <w:highlight w:val="none"/>
          <w:u w:val="single"/>
          <w:lang w:val="en-GB"/>
        </w:rPr>
        <w:t xml:space="preserve">      </w:t>
      </w:r>
    </w:p>
    <w:p w14:paraId="5BC80D88">
      <w:pPr>
        <w:pStyle w:val="53"/>
        <w:spacing w:line="360" w:lineRule="auto"/>
        <w:ind w:firstLine="420"/>
        <w:jc w:val="center"/>
        <w:outlineLvl w:val="9"/>
        <w:rPr>
          <w:rFonts w:hint="eastAsia" w:ascii="宋体" w:eastAsia="宋体"/>
          <w:b w:val="0"/>
          <w:bCs/>
          <w:color w:val="auto"/>
          <w:sz w:val="21"/>
          <w:szCs w:val="21"/>
          <w:highlight w:val="none"/>
        </w:rPr>
      </w:pPr>
    </w:p>
    <w:p w14:paraId="58BFA111">
      <w:pPr>
        <w:pStyle w:val="53"/>
        <w:spacing w:line="360" w:lineRule="auto"/>
        <w:ind w:firstLine="420"/>
        <w:jc w:val="center"/>
        <w:outlineLvl w:val="9"/>
        <w:rPr>
          <w:rFonts w:hint="eastAsia" w:ascii="宋体" w:eastAsia="宋体"/>
          <w:b w:val="0"/>
          <w:bCs/>
          <w:color w:val="auto"/>
          <w:sz w:val="21"/>
          <w:szCs w:val="21"/>
          <w:highlight w:val="none"/>
        </w:rPr>
      </w:pPr>
      <w:bookmarkStart w:id="2370" w:name="_Toc2783"/>
      <w:bookmarkStart w:id="2371" w:name="_Toc256000314"/>
      <w:r>
        <w:rPr>
          <w:rFonts w:hint="eastAsia" w:ascii="宋体" w:eastAsia="宋体"/>
          <w:b w:val="0"/>
          <w:bCs/>
          <w:color w:val="auto"/>
          <w:sz w:val="21"/>
          <w:szCs w:val="21"/>
          <w:highlight w:val="none"/>
        </w:rPr>
        <w:t>法定代表人或其委托代理人 (签字或盖章)：</w:t>
      </w:r>
      <w:bookmarkEnd w:id="2370"/>
      <w:bookmarkEnd w:id="2371"/>
      <w:r>
        <w:rPr>
          <w:rFonts w:hint="eastAsia" w:ascii="宋体"/>
          <w:color w:val="auto"/>
          <w:sz w:val="21"/>
          <w:szCs w:val="21"/>
          <w:highlight w:val="none"/>
          <w:u w:val="single"/>
          <w:lang w:val="en-GB"/>
        </w:rPr>
        <w:t xml:space="preserve">      </w:t>
      </w:r>
    </w:p>
    <w:p w14:paraId="4B87A0C0">
      <w:pPr>
        <w:pStyle w:val="53"/>
        <w:spacing w:line="360" w:lineRule="auto"/>
        <w:ind w:firstLine="420"/>
        <w:jc w:val="center"/>
        <w:outlineLvl w:val="9"/>
        <w:rPr>
          <w:rFonts w:hint="eastAsia" w:ascii="宋体" w:eastAsia="宋体"/>
          <w:b w:val="0"/>
          <w:bCs/>
          <w:color w:val="auto"/>
          <w:sz w:val="21"/>
          <w:szCs w:val="21"/>
          <w:highlight w:val="none"/>
        </w:rPr>
      </w:pPr>
    </w:p>
    <w:p w14:paraId="4231A88E">
      <w:pPr>
        <w:pStyle w:val="53"/>
        <w:spacing w:line="360" w:lineRule="auto"/>
        <w:ind w:firstLine="422"/>
        <w:jc w:val="center"/>
        <w:outlineLvl w:val="9"/>
        <w:rPr>
          <w:rFonts w:hint="eastAsia" w:ascii="宋体" w:eastAsia="宋体"/>
          <w:b w:val="0"/>
          <w:bCs/>
          <w:color w:val="auto"/>
          <w:sz w:val="21"/>
          <w:szCs w:val="21"/>
          <w:highlight w:val="none"/>
        </w:rPr>
      </w:pPr>
      <w:r>
        <w:rPr>
          <w:rFonts w:hint="eastAsia" w:ascii="宋体"/>
          <w:color w:val="auto"/>
          <w:sz w:val="21"/>
          <w:szCs w:val="21"/>
          <w:highlight w:val="none"/>
          <w:u w:val="single"/>
          <w:lang w:val="en-GB"/>
        </w:rPr>
        <w:t xml:space="preserve">      </w:t>
      </w:r>
      <w:bookmarkStart w:id="2372" w:name="_Toc256000316"/>
      <w:bookmarkStart w:id="2373" w:name="_Toc19641"/>
      <w:r>
        <w:rPr>
          <w:rFonts w:hint="eastAsia" w:ascii="宋体" w:eastAsia="宋体"/>
          <w:b w:val="0"/>
          <w:bCs/>
          <w:color w:val="auto"/>
          <w:sz w:val="21"/>
          <w:szCs w:val="21"/>
          <w:highlight w:val="none"/>
        </w:rPr>
        <w:t>年</w:t>
      </w:r>
      <w:r>
        <w:rPr>
          <w:rFonts w:hint="eastAsia" w:ascii="宋体"/>
          <w:color w:val="auto"/>
          <w:sz w:val="21"/>
          <w:szCs w:val="21"/>
          <w:highlight w:val="none"/>
          <w:u w:val="single"/>
          <w:lang w:val="en-GB"/>
        </w:rPr>
        <w:t xml:space="preserve">      </w:t>
      </w:r>
      <w:r>
        <w:rPr>
          <w:rFonts w:hint="eastAsia" w:ascii="宋体" w:eastAsia="宋体"/>
          <w:b w:val="0"/>
          <w:bCs/>
          <w:color w:val="auto"/>
          <w:sz w:val="21"/>
          <w:szCs w:val="21"/>
          <w:highlight w:val="none"/>
        </w:rPr>
        <w:t>月</w:t>
      </w:r>
      <w:r>
        <w:rPr>
          <w:rFonts w:hint="eastAsia" w:ascii="宋体"/>
          <w:color w:val="auto"/>
          <w:sz w:val="21"/>
          <w:szCs w:val="21"/>
          <w:highlight w:val="none"/>
          <w:u w:val="single"/>
          <w:lang w:val="en-GB"/>
        </w:rPr>
        <w:t xml:space="preserve">      </w:t>
      </w:r>
      <w:r>
        <w:rPr>
          <w:rFonts w:hint="eastAsia" w:ascii="宋体" w:eastAsia="宋体"/>
          <w:b w:val="0"/>
          <w:bCs/>
          <w:color w:val="auto"/>
          <w:sz w:val="21"/>
          <w:szCs w:val="21"/>
          <w:highlight w:val="none"/>
        </w:rPr>
        <w:t>日</w:t>
      </w:r>
      <w:bookmarkEnd w:id="2372"/>
      <w:bookmarkEnd w:id="2373"/>
    </w:p>
    <w:p w14:paraId="18C2A9F6">
      <w:pPr>
        <w:rPr>
          <w:rFonts w:hint="eastAsia" w:ascii="宋体"/>
          <w:bCs/>
          <w:color w:val="auto"/>
          <w:sz w:val="28"/>
          <w:szCs w:val="28"/>
          <w:highlight w:val="none"/>
        </w:rPr>
      </w:pPr>
      <w:bookmarkStart w:id="2374" w:name="_Toc256000317"/>
      <w:bookmarkStart w:id="2375" w:name="_Toc477"/>
      <w:r>
        <w:rPr>
          <w:rFonts w:hint="eastAsia" w:ascii="宋体" w:eastAsia="宋体"/>
          <w:bCs/>
          <w:color w:val="auto"/>
          <w:sz w:val="28"/>
          <w:szCs w:val="28"/>
          <w:highlight w:val="none"/>
          <w:lang w:eastAsia="zh-CN"/>
        </w:rPr>
        <w:br w:type="page"/>
      </w:r>
    </w:p>
    <w:p w14:paraId="18490345">
      <w:pPr>
        <w:pStyle w:val="49"/>
        <w:spacing w:line="360" w:lineRule="auto"/>
        <w:jc w:val="center"/>
        <w:outlineLvl w:val="2"/>
        <w:rPr>
          <w:rFonts w:hint="eastAsia" w:ascii="宋体" w:hAnsi="宋体" w:cs="宋体"/>
          <w:b/>
          <w:bCs/>
          <w:color w:val="auto"/>
          <w:sz w:val="24"/>
          <w:szCs w:val="24"/>
          <w:highlight w:val="none"/>
        </w:rPr>
      </w:pPr>
      <w:bookmarkStart w:id="2376" w:name="_Toc10218"/>
      <w:bookmarkStart w:id="2377" w:name="_Toc256000240"/>
      <w:r>
        <w:rPr>
          <w:rFonts w:hint="eastAsia" w:ascii="宋体" w:hAnsi="宋体" w:eastAsia="宋体" w:cs="宋体"/>
          <w:b/>
          <w:bCs/>
          <w:color w:val="auto"/>
          <w:kern w:val="2"/>
          <w:sz w:val="24"/>
          <w:szCs w:val="24"/>
          <w:highlight w:val="none"/>
          <w:lang w:val="en-US" w:eastAsia="zh-CN" w:bidi="ar-SA"/>
        </w:rPr>
        <w:t>（7）不拖欠农民工工资的承诺</w:t>
      </w:r>
      <w:bookmarkEnd w:id="2374"/>
      <w:bookmarkEnd w:id="2375"/>
      <w:bookmarkEnd w:id="2376"/>
      <w:bookmarkEnd w:id="2377"/>
    </w:p>
    <w:p w14:paraId="08230D00">
      <w:pPr>
        <w:pStyle w:val="53"/>
        <w:spacing w:line="360" w:lineRule="auto"/>
        <w:ind w:firstLine="0" w:firstLineChars="0"/>
        <w:outlineLvl w:val="9"/>
        <w:rPr>
          <w:rFonts w:hint="eastAsia" w:ascii="宋体" w:eastAsia="宋体"/>
          <w:b w:val="0"/>
          <w:bCs/>
          <w:color w:val="auto"/>
          <w:szCs w:val="24"/>
          <w:highlight w:val="none"/>
        </w:rPr>
      </w:pPr>
      <w:bookmarkStart w:id="2378" w:name="_Toc256000318"/>
      <w:bookmarkStart w:id="2379" w:name="_Toc6278"/>
      <w:r>
        <w:rPr>
          <w:rFonts w:hint="eastAsia" w:ascii="宋体" w:eastAsia="宋体"/>
          <w:b w:val="0"/>
          <w:bCs/>
          <w:color w:val="auto"/>
          <w:szCs w:val="24"/>
          <w:highlight w:val="none"/>
        </w:rPr>
        <w:t>致：</w:t>
      </w:r>
      <w:bookmarkEnd w:id="2378"/>
      <w:bookmarkEnd w:id="2379"/>
      <w:r>
        <w:rPr>
          <w:rFonts w:hint="eastAsia" w:ascii="宋体"/>
          <w:color w:val="auto"/>
          <w:szCs w:val="21"/>
          <w:highlight w:val="none"/>
          <w:u w:val="single"/>
          <w:lang w:val="en-GB"/>
        </w:rPr>
        <w:t xml:space="preserve">     </w:t>
      </w:r>
      <w:r>
        <w:rPr>
          <w:rFonts w:hint="eastAsia" w:ascii="宋体"/>
          <w:color w:val="auto"/>
          <w:szCs w:val="21"/>
          <w:highlight w:val="none"/>
          <w:u w:val="single"/>
        </w:rPr>
        <w:t xml:space="preserve">           </w:t>
      </w:r>
      <w:r>
        <w:rPr>
          <w:rFonts w:hint="eastAsia" w:ascii="宋体"/>
          <w:color w:val="auto"/>
          <w:szCs w:val="21"/>
          <w:highlight w:val="none"/>
          <w:u w:val="single"/>
          <w:lang w:val="en-GB"/>
        </w:rPr>
        <w:t xml:space="preserve"> </w:t>
      </w:r>
    </w:p>
    <w:p w14:paraId="2622E928">
      <w:pPr>
        <w:pStyle w:val="53"/>
        <w:spacing w:line="360" w:lineRule="auto"/>
        <w:ind w:firstLine="480"/>
        <w:jc w:val="left"/>
        <w:outlineLvl w:val="9"/>
        <w:rPr>
          <w:rFonts w:hint="eastAsia" w:ascii="宋体" w:eastAsia="宋体"/>
          <w:b w:val="0"/>
          <w:bCs/>
          <w:color w:val="auto"/>
          <w:szCs w:val="24"/>
          <w:highlight w:val="none"/>
        </w:rPr>
      </w:pPr>
      <w:bookmarkStart w:id="2380" w:name="_Toc32701"/>
      <w:bookmarkStart w:id="2381" w:name="_Toc256000319"/>
      <w:r>
        <w:rPr>
          <w:rFonts w:hint="eastAsia" w:ascii="宋体" w:eastAsia="宋体"/>
          <w:b w:val="0"/>
          <w:bCs/>
          <w:color w:val="auto"/>
          <w:szCs w:val="24"/>
          <w:highlight w:val="none"/>
        </w:rPr>
        <w:t>我单位将严格按照国家、省市关于农民工工资的有关规定，郑重承诺：a.不拖欠农民工工资</w:t>
      </w:r>
      <w:r>
        <w:rPr>
          <w:rFonts w:hint="eastAsia" w:ascii="宋体" w:eastAsia="宋体"/>
          <w:b w:val="0"/>
          <w:color w:val="auto"/>
          <w:sz w:val="28"/>
          <w:szCs w:val="28"/>
          <w:highlight w:val="none"/>
        </w:rPr>
        <w:t>。</w:t>
      </w:r>
      <w:r>
        <w:rPr>
          <w:rFonts w:hint="eastAsia" w:ascii="宋体" w:eastAsia="宋体"/>
          <w:b w:val="0"/>
          <w:bCs/>
          <w:color w:val="auto"/>
          <w:szCs w:val="24"/>
          <w:highlight w:val="none"/>
        </w:rPr>
        <w:t>b.保证按时足额支付民工工资，并接受发包人的监督和检查。一经发现存在拖欠参加本工程项目施工的民工工资的行为，保证立即发放所拖欠的民工工资，并愿意接受招标人或发包人的任何针对性的惩罚措施。c.承诺一旦发生拖欠民工工资的情况，将无条件接受招标人或发包人代扣本工程项目的进度款直接支付给民工的权利，并对由此造成的一切后果承担全部责任。本单位愿意接受相关部门依照有关规定作出的处理和处罚的决定。</w:t>
      </w:r>
      <w:bookmarkEnd w:id="2380"/>
      <w:bookmarkEnd w:id="2381"/>
    </w:p>
    <w:p w14:paraId="2E240324">
      <w:pPr>
        <w:pStyle w:val="53"/>
        <w:spacing w:line="360" w:lineRule="auto"/>
        <w:ind w:firstLine="480"/>
        <w:jc w:val="left"/>
        <w:outlineLvl w:val="9"/>
        <w:rPr>
          <w:rFonts w:hint="eastAsia" w:ascii="宋体" w:eastAsia="宋体"/>
          <w:b w:val="0"/>
          <w:bCs/>
          <w:color w:val="auto"/>
          <w:szCs w:val="24"/>
          <w:highlight w:val="none"/>
        </w:rPr>
      </w:pPr>
      <w:bookmarkStart w:id="2382" w:name="_Toc8241"/>
      <w:bookmarkStart w:id="2383" w:name="_Toc256000320"/>
      <w:r>
        <w:rPr>
          <w:rFonts w:hint="eastAsia" w:ascii="宋体" w:eastAsia="宋体"/>
          <w:b w:val="0"/>
          <w:bCs/>
          <w:color w:val="auto"/>
          <w:szCs w:val="24"/>
          <w:highlight w:val="none"/>
        </w:rPr>
        <w:t>特此承诺。</w:t>
      </w:r>
      <w:bookmarkEnd w:id="2382"/>
      <w:bookmarkEnd w:id="2383"/>
    </w:p>
    <w:p w14:paraId="1ACF5613">
      <w:pPr>
        <w:pStyle w:val="53"/>
        <w:spacing w:line="360" w:lineRule="auto"/>
        <w:ind w:firstLine="480"/>
        <w:outlineLvl w:val="9"/>
        <w:rPr>
          <w:rFonts w:hint="eastAsia" w:ascii="宋体" w:eastAsia="宋体"/>
          <w:b w:val="0"/>
          <w:bCs/>
          <w:color w:val="auto"/>
          <w:szCs w:val="24"/>
          <w:highlight w:val="none"/>
        </w:rPr>
      </w:pPr>
    </w:p>
    <w:p w14:paraId="6E507DC8">
      <w:pPr>
        <w:pStyle w:val="53"/>
        <w:spacing w:line="360" w:lineRule="auto"/>
        <w:ind w:firstLine="480"/>
        <w:jc w:val="center"/>
        <w:outlineLvl w:val="9"/>
        <w:rPr>
          <w:rFonts w:hint="eastAsia" w:ascii="宋体" w:eastAsia="宋体"/>
          <w:b w:val="0"/>
          <w:bCs/>
          <w:color w:val="auto"/>
          <w:szCs w:val="24"/>
          <w:highlight w:val="none"/>
        </w:rPr>
      </w:pPr>
    </w:p>
    <w:p w14:paraId="6F160875">
      <w:pPr>
        <w:pStyle w:val="53"/>
        <w:spacing w:line="360" w:lineRule="auto"/>
        <w:ind w:firstLine="480"/>
        <w:jc w:val="center"/>
        <w:outlineLvl w:val="9"/>
        <w:rPr>
          <w:rFonts w:hint="eastAsia" w:ascii="宋体" w:eastAsia="宋体"/>
          <w:b w:val="0"/>
          <w:bCs/>
          <w:color w:val="auto"/>
          <w:szCs w:val="24"/>
          <w:highlight w:val="none"/>
        </w:rPr>
      </w:pPr>
    </w:p>
    <w:p w14:paraId="41B3C26A">
      <w:pPr>
        <w:pStyle w:val="53"/>
        <w:spacing w:line="360" w:lineRule="auto"/>
        <w:ind w:firstLine="480"/>
        <w:jc w:val="center"/>
        <w:outlineLvl w:val="9"/>
        <w:rPr>
          <w:rFonts w:hint="eastAsia" w:ascii="宋体" w:eastAsia="宋体"/>
          <w:b w:val="0"/>
          <w:bCs/>
          <w:color w:val="auto"/>
          <w:szCs w:val="24"/>
          <w:highlight w:val="none"/>
        </w:rPr>
      </w:pPr>
    </w:p>
    <w:p w14:paraId="42FB350C">
      <w:pPr>
        <w:pStyle w:val="53"/>
        <w:spacing w:line="360" w:lineRule="auto"/>
        <w:ind w:firstLine="480"/>
        <w:jc w:val="center"/>
        <w:outlineLvl w:val="9"/>
        <w:rPr>
          <w:rFonts w:hint="eastAsia" w:ascii="宋体" w:eastAsia="宋体"/>
          <w:b w:val="0"/>
          <w:bCs/>
          <w:color w:val="auto"/>
          <w:szCs w:val="24"/>
          <w:highlight w:val="none"/>
        </w:rPr>
      </w:pPr>
    </w:p>
    <w:p w14:paraId="51B0F5C7">
      <w:pPr>
        <w:pStyle w:val="53"/>
        <w:spacing w:line="360" w:lineRule="auto"/>
        <w:ind w:firstLine="480"/>
        <w:jc w:val="center"/>
        <w:outlineLvl w:val="9"/>
        <w:rPr>
          <w:rFonts w:hint="eastAsia" w:ascii="宋体" w:eastAsia="宋体"/>
          <w:b w:val="0"/>
          <w:bCs/>
          <w:color w:val="auto"/>
          <w:szCs w:val="24"/>
          <w:highlight w:val="none"/>
        </w:rPr>
      </w:pPr>
    </w:p>
    <w:p w14:paraId="51C0F901">
      <w:pPr>
        <w:pStyle w:val="53"/>
        <w:spacing w:line="360" w:lineRule="auto"/>
        <w:ind w:firstLine="480"/>
        <w:jc w:val="center"/>
        <w:outlineLvl w:val="9"/>
        <w:rPr>
          <w:rFonts w:hint="eastAsia" w:ascii="宋体" w:eastAsia="宋体"/>
          <w:b w:val="0"/>
          <w:bCs/>
          <w:color w:val="auto"/>
          <w:szCs w:val="24"/>
          <w:highlight w:val="none"/>
        </w:rPr>
      </w:pPr>
      <w:bookmarkStart w:id="2384" w:name="_Toc30074"/>
      <w:bookmarkStart w:id="2385" w:name="_Toc256000327"/>
      <w:r>
        <w:rPr>
          <w:rFonts w:hint="eastAsia" w:ascii="宋体" w:eastAsia="宋体"/>
          <w:b w:val="0"/>
          <w:bCs/>
          <w:color w:val="auto"/>
          <w:szCs w:val="24"/>
          <w:highlight w:val="none"/>
        </w:rPr>
        <w:t>投标人(盖单位公章)：</w:t>
      </w:r>
      <w:bookmarkEnd w:id="2384"/>
      <w:bookmarkEnd w:id="2385"/>
      <w:r>
        <w:rPr>
          <w:rFonts w:hint="eastAsia" w:ascii="宋体"/>
          <w:color w:val="auto"/>
          <w:szCs w:val="24"/>
          <w:highlight w:val="none"/>
          <w:u w:val="single"/>
          <w:lang w:val="en-GB"/>
        </w:rPr>
        <w:t xml:space="preserve">      </w:t>
      </w:r>
    </w:p>
    <w:p w14:paraId="38081063">
      <w:pPr>
        <w:pStyle w:val="53"/>
        <w:spacing w:line="360" w:lineRule="auto"/>
        <w:ind w:firstLine="480"/>
        <w:jc w:val="center"/>
        <w:outlineLvl w:val="9"/>
        <w:rPr>
          <w:rFonts w:hint="eastAsia" w:ascii="宋体" w:eastAsia="宋体"/>
          <w:b w:val="0"/>
          <w:bCs/>
          <w:color w:val="auto"/>
          <w:szCs w:val="24"/>
          <w:highlight w:val="none"/>
        </w:rPr>
      </w:pPr>
    </w:p>
    <w:p w14:paraId="03430B7E">
      <w:pPr>
        <w:pStyle w:val="53"/>
        <w:spacing w:line="360" w:lineRule="auto"/>
        <w:ind w:firstLine="480"/>
        <w:jc w:val="center"/>
        <w:outlineLvl w:val="9"/>
        <w:rPr>
          <w:rFonts w:hint="eastAsia" w:ascii="宋体" w:eastAsia="宋体"/>
          <w:b w:val="0"/>
          <w:bCs/>
          <w:color w:val="auto"/>
          <w:szCs w:val="24"/>
          <w:highlight w:val="none"/>
        </w:rPr>
      </w:pPr>
      <w:bookmarkStart w:id="2386" w:name="_Toc26339"/>
      <w:bookmarkStart w:id="2387" w:name="_Toc256000329"/>
      <w:r>
        <w:rPr>
          <w:rFonts w:hint="eastAsia" w:ascii="宋体" w:eastAsia="宋体"/>
          <w:b w:val="0"/>
          <w:bCs/>
          <w:color w:val="auto"/>
          <w:szCs w:val="24"/>
          <w:highlight w:val="none"/>
        </w:rPr>
        <w:t>法定代表人或其委托代理人 (签字或盖章)：</w:t>
      </w:r>
      <w:bookmarkEnd w:id="2386"/>
      <w:bookmarkEnd w:id="2387"/>
      <w:r>
        <w:rPr>
          <w:rFonts w:hint="eastAsia" w:ascii="宋体"/>
          <w:color w:val="auto"/>
          <w:szCs w:val="24"/>
          <w:highlight w:val="none"/>
          <w:u w:val="single"/>
          <w:lang w:val="en-GB"/>
        </w:rPr>
        <w:t xml:space="preserve">      </w:t>
      </w:r>
    </w:p>
    <w:p w14:paraId="347052C6">
      <w:pPr>
        <w:pStyle w:val="53"/>
        <w:spacing w:line="360" w:lineRule="auto"/>
        <w:ind w:firstLine="480"/>
        <w:jc w:val="center"/>
        <w:outlineLvl w:val="9"/>
        <w:rPr>
          <w:rFonts w:hint="eastAsia" w:ascii="宋体" w:eastAsia="宋体"/>
          <w:b w:val="0"/>
          <w:bCs/>
          <w:color w:val="auto"/>
          <w:szCs w:val="24"/>
          <w:highlight w:val="none"/>
        </w:rPr>
      </w:pPr>
    </w:p>
    <w:p w14:paraId="56ADF6EB">
      <w:pPr>
        <w:pStyle w:val="53"/>
        <w:spacing w:line="360" w:lineRule="auto"/>
        <w:ind w:firstLine="482"/>
        <w:jc w:val="center"/>
        <w:outlineLvl w:val="9"/>
        <w:rPr>
          <w:rFonts w:hint="eastAsia" w:ascii="宋体" w:eastAsia="宋体"/>
          <w:b w:val="0"/>
          <w:bCs/>
          <w:color w:val="auto"/>
          <w:szCs w:val="24"/>
          <w:highlight w:val="none"/>
        </w:rPr>
      </w:pPr>
      <w:r>
        <w:rPr>
          <w:rFonts w:hint="eastAsia" w:ascii="宋体"/>
          <w:color w:val="auto"/>
          <w:szCs w:val="24"/>
          <w:highlight w:val="none"/>
          <w:u w:val="single"/>
          <w:lang w:val="en-GB"/>
        </w:rPr>
        <w:t xml:space="preserve">      </w:t>
      </w:r>
      <w:bookmarkStart w:id="2388" w:name="_Toc256000331"/>
      <w:bookmarkStart w:id="2389" w:name="_Toc16200"/>
      <w:r>
        <w:rPr>
          <w:rFonts w:hint="eastAsia" w:ascii="宋体" w:eastAsia="宋体"/>
          <w:b w:val="0"/>
          <w:bCs/>
          <w:color w:val="auto"/>
          <w:szCs w:val="24"/>
          <w:highlight w:val="none"/>
        </w:rPr>
        <w:t>年</w:t>
      </w:r>
      <w:r>
        <w:rPr>
          <w:rFonts w:hint="eastAsia" w:ascii="宋体"/>
          <w:color w:val="auto"/>
          <w:szCs w:val="24"/>
          <w:highlight w:val="none"/>
          <w:u w:val="single"/>
          <w:lang w:val="en-GB"/>
        </w:rPr>
        <w:t xml:space="preserve">      </w:t>
      </w:r>
      <w:r>
        <w:rPr>
          <w:rFonts w:hint="eastAsia" w:ascii="宋体" w:eastAsia="宋体"/>
          <w:b w:val="0"/>
          <w:bCs/>
          <w:color w:val="auto"/>
          <w:szCs w:val="24"/>
          <w:highlight w:val="none"/>
        </w:rPr>
        <w:t>月</w:t>
      </w:r>
      <w:r>
        <w:rPr>
          <w:rFonts w:hint="eastAsia" w:ascii="宋体"/>
          <w:color w:val="auto"/>
          <w:szCs w:val="24"/>
          <w:highlight w:val="none"/>
          <w:u w:val="single"/>
          <w:lang w:val="en-GB"/>
        </w:rPr>
        <w:t xml:space="preserve">      </w:t>
      </w:r>
      <w:r>
        <w:rPr>
          <w:rFonts w:hint="eastAsia" w:ascii="宋体" w:eastAsia="宋体"/>
          <w:b w:val="0"/>
          <w:bCs/>
          <w:color w:val="auto"/>
          <w:szCs w:val="24"/>
          <w:highlight w:val="none"/>
        </w:rPr>
        <w:t>日</w:t>
      </w:r>
      <w:bookmarkEnd w:id="2388"/>
      <w:bookmarkEnd w:id="2389"/>
    </w:p>
    <w:p w14:paraId="4E3E3306">
      <w:pPr>
        <w:rPr>
          <w:rFonts w:hint="eastAsia" w:ascii="宋体"/>
          <w:b w:val="0"/>
          <w:bCs/>
          <w:color w:val="auto"/>
          <w:highlight w:val="none"/>
        </w:rPr>
      </w:pPr>
      <w:r>
        <w:rPr>
          <w:rFonts w:hint="eastAsia" w:ascii="宋体" w:eastAsia="宋体"/>
          <w:b w:val="0"/>
          <w:bCs/>
          <w:color w:val="auto"/>
          <w:szCs w:val="24"/>
          <w:highlight w:val="none"/>
        </w:rPr>
        <w:br w:type="page"/>
      </w:r>
    </w:p>
    <w:p w14:paraId="47E71F4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eastAsia" w:ascii="宋体" w:hAnsi="宋体" w:cs="宋体"/>
          <w:iCs w:val="0"/>
          <w:color w:val="auto"/>
          <w:kern w:val="1"/>
          <w:sz w:val="24"/>
          <w:highlight w:val="none"/>
        </w:rPr>
      </w:pPr>
      <w:bookmarkStart w:id="2390" w:name="_Toc256000241"/>
      <w:bookmarkStart w:id="2391" w:name="_Toc8213"/>
      <w:r>
        <w:rPr>
          <w:rFonts w:hint="eastAsia" w:ascii="宋体" w:hAnsi="宋体" w:cs="宋体"/>
          <w:iCs w:val="0"/>
          <w:color w:val="auto"/>
          <w:kern w:val="1"/>
          <w:sz w:val="24"/>
          <w:highlight w:val="none"/>
          <w:lang w:val="en-US" w:eastAsia="zh-CN"/>
        </w:rPr>
        <w:t>（8）未</w:t>
      </w:r>
      <w:r>
        <w:rPr>
          <w:rFonts w:hint="eastAsia" w:ascii="宋体" w:hAnsi="宋体" w:cs="宋体"/>
          <w:iCs w:val="0"/>
          <w:color w:val="auto"/>
          <w:kern w:val="1"/>
          <w:sz w:val="24"/>
          <w:highlight w:val="none"/>
        </w:rPr>
        <w:t>被列入“国家企业信用信息公示系统”（ www.gsxt.gov.cn）严重违法失信企业名单截图；截图示例：查询路径：国家企业信用信息公示系统-</w:t>
      </w:r>
      <w:r>
        <w:rPr>
          <w:rFonts w:hint="eastAsia" w:ascii="宋体" w:hAnsi="宋体" w:cs="宋体"/>
          <w:iCs w:val="0"/>
          <w:color w:val="auto"/>
          <w:kern w:val="1"/>
          <w:sz w:val="24"/>
          <w:highlight w:val="none"/>
          <w:lang w:val="en-US" w:eastAsia="zh-CN"/>
        </w:rPr>
        <w:t>输入投标单位名称-查询-列入严重违法失信名单（黑名单）</w:t>
      </w:r>
      <w:bookmarkEnd w:id="2390"/>
      <w:bookmarkEnd w:id="2391"/>
    </w:p>
    <w:p w14:paraId="344311A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r>
        <w:rPr>
          <w:rFonts w:hint="eastAsia" w:ascii="宋体" w:hAnsi="宋体" w:eastAsia="宋体" w:cs="宋体"/>
          <w:iCs w:val="0"/>
          <w:color w:val="auto"/>
          <w:kern w:val="1"/>
          <w:sz w:val="24"/>
          <w:highlight w:val="none"/>
          <w:lang w:eastAsia="zh-CN"/>
        </w:rPr>
        <w:drawing>
          <wp:anchor distT="0" distB="0" distL="114300" distR="114300" simplePos="0" relativeHeight="251659264" behindDoc="0" locked="0" layoutInCell="1" allowOverlap="1">
            <wp:simplePos x="0" y="0"/>
            <wp:positionH relativeFrom="column">
              <wp:posOffset>-71120</wp:posOffset>
            </wp:positionH>
            <wp:positionV relativeFrom="paragraph">
              <wp:posOffset>103505</wp:posOffset>
            </wp:positionV>
            <wp:extent cx="5507990" cy="3623310"/>
            <wp:effectExtent l="0" t="0" r="16510" b="15240"/>
            <wp:wrapNone/>
            <wp:docPr id="4" name="图片 4" descr="国家企业信用信息公示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国家企业信用信息公示系统"/>
                    <pic:cNvPicPr>
                      <a:picLocks noChangeAspect="1"/>
                    </pic:cNvPicPr>
                  </pic:nvPicPr>
                  <pic:blipFill>
                    <a:blip r:embed="rId82"/>
                    <a:stretch>
                      <a:fillRect/>
                    </a:stretch>
                  </pic:blipFill>
                  <pic:spPr>
                    <a:xfrm>
                      <a:off x="0" y="0"/>
                      <a:ext cx="5507990" cy="3623310"/>
                    </a:xfrm>
                    <a:prstGeom prst="rect">
                      <a:avLst/>
                    </a:prstGeom>
                  </pic:spPr>
                </pic:pic>
              </a:graphicData>
            </a:graphic>
          </wp:anchor>
        </w:drawing>
      </w:r>
    </w:p>
    <w:p w14:paraId="6F41F43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2E5C007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61FE959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56F0E9C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15F2CD3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70C6633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7A44D52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6C8306A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2660E31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2764629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3620D2A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5352B0E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6562F92E">
      <w:pPr>
        <w:pStyle w:val="57"/>
        <w:rPr>
          <w:b/>
          <w:bCs/>
          <w:color w:val="auto"/>
          <w:highlight w:val="none"/>
        </w:rPr>
      </w:pPr>
      <w:r>
        <w:rPr>
          <w:rFonts w:hint="eastAsia"/>
          <w:b/>
          <w:bCs/>
          <w:color w:val="auto"/>
          <w:highlight w:val="none"/>
        </w:rPr>
        <w:t>投标单位（如为联合体投标，联合体成员均需提供）截图：</w:t>
      </w:r>
    </w:p>
    <w:p w14:paraId="496493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25210EC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7763E20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63A0F9D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4C2D9CD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73617A1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7060181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62B555C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7E4B42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iCs w:val="0"/>
          <w:color w:val="auto"/>
          <w:kern w:val="1"/>
          <w:sz w:val="24"/>
          <w:highlight w:val="none"/>
        </w:rPr>
      </w:pPr>
    </w:p>
    <w:p w14:paraId="1D9D60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iCs w:val="0"/>
          <w:color w:val="auto"/>
          <w:kern w:val="1"/>
          <w:sz w:val="24"/>
          <w:highlight w:val="none"/>
        </w:rPr>
      </w:pPr>
      <w:r>
        <w:rPr>
          <w:rFonts w:hint="eastAsia" w:ascii="宋体" w:hAnsi="宋体" w:cs="宋体"/>
          <w:iCs w:val="0"/>
          <w:color w:val="auto"/>
          <w:kern w:val="1"/>
          <w:sz w:val="24"/>
          <w:highlight w:val="none"/>
        </w:rPr>
        <w:br w:type="page"/>
      </w:r>
    </w:p>
    <w:p w14:paraId="74373DCB">
      <w:pPr>
        <w:pStyle w:val="31"/>
        <w:keepNext w:val="0"/>
        <w:keepLines w:val="0"/>
        <w:pageBreakBefore w:val="0"/>
        <w:widowControl w:val="0"/>
        <w:tabs>
          <w:tab w:val="left" w:pos="450"/>
        </w:tabs>
        <w:kinsoku/>
        <w:wordWrap/>
        <w:overflowPunct/>
        <w:topLinePunct w:val="0"/>
        <w:autoSpaceDE/>
        <w:autoSpaceDN/>
        <w:bidi w:val="0"/>
        <w:adjustRightInd/>
        <w:snapToGrid/>
        <w:spacing w:line="360" w:lineRule="auto"/>
        <w:ind w:firstLine="482" w:firstLineChars="200"/>
        <w:textAlignment w:val="auto"/>
        <w:outlineLvl w:val="2"/>
        <w:rPr>
          <w:rFonts w:hint="eastAsia" w:ascii="宋体" w:hAnsi="宋体" w:cs="宋体"/>
          <w:iCs w:val="0"/>
          <w:color w:val="auto"/>
          <w:kern w:val="1"/>
          <w:sz w:val="24"/>
          <w:highlight w:val="none"/>
        </w:rPr>
      </w:pPr>
      <w:bookmarkStart w:id="2392" w:name="_Toc16142"/>
      <w:bookmarkStart w:id="2393" w:name="_Toc256000242"/>
      <w:r>
        <w:rPr>
          <w:rFonts w:hint="eastAsia" w:ascii="宋体" w:hAnsi="宋体" w:cs="宋体"/>
          <w:b/>
          <w:bCs/>
          <w:iCs w:val="0"/>
          <w:color w:val="auto"/>
          <w:kern w:val="1"/>
          <w:sz w:val="24"/>
          <w:highlight w:val="none"/>
        </w:rPr>
        <w:t>（</w:t>
      </w:r>
      <w:r>
        <w:rPr>
          <w:rFonts w:hint="eastAsia" w:ascii="宋体" w:hAnsi="宋体" w:cs="宋体"/>
          <w:b/>
          <w:bCs/>
          <w:iCs w:val="0"/>
          <w:color w:val="auto"/>
          <w:kern w:val="1"/>
          <w:sz w:val="24"/>
          <w:highlight w:val="none"/>
          <w:lang w:val="en-US" w:eastAsia="zh-CN"/>
        </w:rPr>
        <w:t>9</w:t>
      </w:r>
      <w:r>
        <w:rPr>
          <w:rFonts w:hint="eastAsia" w:ascii="宋体" w:hAnsi="宋体" w:cs="宋体"/>
          <w:b/>
          <w:bCs/>
          <w:iCs w:val="0"/>
          <w:color w:val="auto"/>
          <w:kern w:val="1"/>
          <w:sz w:val="24"/>
          <w:highlight w:val="none"/>
        </w:rPr>
        <w:t>）未被列入“信用中国”网站失信被执行人</w:t>
      </w:r>
      <w:r>
        <w:rPr>
          <w:rFonts w:hint="eastAsia" w:ascii="宋体" w:hAnsi="宋体" w:cs="宋体"/>
          <w:iCs w:val="0"/>
          <w:color w:val="auto"/>
          <w:kern w:val="1"/>
          <w:sz w:val="24"/>
          <w:highlight w:val="none"/>
        </w:rPr>
        <w:t>名单截图；</w:t>
      </w:r>
      <w:bookmarkEnd w:id="2392"/>
      <w:bookmarkEnd w:id="2393"/>
    </w:p>
    <w:p w14:paraId="78728D6C">
      <w:pPr>
        <w:pStyle w:val="31"/>
        <w:keepNext w:val="0"/>
        <w:keepLines w:val="0"/>
        <w:pageBreakBefore w:val="0"/>
        <w:widowControl w:val="0"/>
        <w:tabs>
          <w:tab w:val="left" w:pos="450"/>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iCs w:val="0"/>
          <w:color w:val="auto"/>
          <w:kern w:val="1"/>
          <w:sz w:val="24"/>
          <w:highlight w:val="none"/>
        </w:rPr>
      </w:pPr>
      <w:r>
        <w:rPr>
          <w:rFonts w:hint="eastAsia" w:ascii="宋体" w:hAnsi="宋体" w:cs="宋体"/>
          <w:iCs w:val="0"/>
          <w:color w:val="auto"/>
          <w:kern w:val="1"/>
          <w:sz w:val="24"/>
          <w:highlight w:val="none"/>
        </w:rPr>
        <w:t>截图示例：查询路径：信用中国--</w:t>
      </w:r>
      <w:r>
        <w:rPr>
          <w:rFonts w:hint="eastAsia" w:ascii="宋体" w:hAnsi="宋体" w:cs="宋体"/>
          <w:iCs w:val="0"/>
          <w:color w:val="auto"/>
          <w:kern w:val="1"/>
          <w:sz w:val="24"/>
          <w:highlight w:val="none"/>
          <w:lang w:val="en-US" w:eastAsia="zh-CN"/>
        </w:rPr>
        <w:t>信息公示</w:t>
      </w:r>
      <w:r>
        <w:rPr>
          <w:rFonts w:hint="eastAsia" w:ascii="宋体" w:hAnsi="宋体" w:cs="宋体"/>
          <w:iCs w:val="0"/>
          <w:color w:val="auto"/>
          <w:kern w:val="1"/>
          <w:sz w:val="24"/>
          <w:highlight w:val="none"/>
        </w:rPr>
        <w:t>--失信被执行人（跳转）</w:t>
      </w:r>
    </w:p>
    <w:p w14:paraId="0508D58B">
      <w:pPr>
        <w:pStyle w:val="58"/>
        <w:rPr>
          <w:color w:val="auto"/>
          <w:highlight w:val="none"/>
        </w:rPr>
      </w:pPr>
    </w:p>
    <w:p w14:paraId="3FAD8C95">
      <w:pPr>
        <w:pStyle w:val="58"/>
        <w:rPr>
          <w:rFonts w:hint="eastAsia"/>
          <w:color w:val="auto"/>
          <w:highlight w:val="none"/>
        </w:rPr>
      </w:pPr>
      <w:r>
        <w:rPr>
          <w:rFonts w:hint="eastAsia"/>
          <w:color w:val="auto"/>
          <w:highlight w:val="none"/>
        </w:rPr>
        <w:drawing>
          <wp:inline distT="0" distB="0" distL="114300" distR="114300">
            <wp:extent cx="4819015" cy="6776085"/>
            <wp:effectExtent l="0" t="0" r="635" b="5715"/>
            <wp:docPr id="1257750556" name="图片 1" descr="全国法院失信被执行人名单信息公布与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50556" name="图片 1" descr="全国法院失信被执行人名单信息公布与查询"/>
                    <pic:cNvPicPr>
                      <a:picLocks noChangeAspect="1"/>
                    </pic:cNvPicPr>
                  </pic:nvPicPr>
                  <pic:blipFill>
                    <a:blip r:embed="rId83"/>
                    <a:stretch>
                      <a:fillRect/>
                    </a:stretch>
                  </pic:blipFill>
                  <pic:spPr>
                    <a:xfrm>
                      <a:off x="0" y="0"/>
                      <a:ext cx="4819015" cy="6776085"/>
                    </a:xfrm>
                    <a:prstGeom prst="rect">
                      <a:avLst/>
                    </a:prstGeom>
                    <a:noFill/>
                    <a:ln>
                      <a:noFill/>
                    </a:ln>
                  </pic:spPr>
                </pic:pic>
              </a:graphicData>
            </a:graphic>
          </wp:inline>
        </w:drawing>
      </w:r>
    </w:p>
    <w:p w14:paraId="2371C068">
      <w:pPr>
        <w:pStyle w:val="57"/>
        <w:rPr>
          <w:rFonts w:hint="eastAsia"/>
          <w:b/>
          <w:bCs/>
          <w:color w:val="auto"/>
          <w:highlight w:val="none"/>
        </w:rPr>
      </w:pPr>
    </w:p>
    <w:p w14:paraId="747F1D65">
      <w:pPr>
        <w:pStyle w:val="57"/>
        <w:rPr>
          <w:b/>
          <w:bCs/>
          <w:color w:val="auto"/>
          <w:highlight w:val="none"/>
        </w:rPr>
      </w:pPr>
      <w:r>
        <w:rPr>
          <w:rFonts w:hint="eastAsia"/>
          <w:b/>
          <w:bCs/>
          <w:color w:val="auto"/>
          <w:highlight w:val="none"/>
        </w:rPr>
        <w:t>投标单位（如为联合体投标，联合体成员均需提供）截图：</w:t>
      </w:r>
    </w:p>
    <w:p w14:paraId="6B826D0B">
      <w:pPr>
        <w:pStyle w:val="58"/>
        <w:rPr>
          <w:rFonts w:hint="eastAsia"/>
          <w:color w:val="auto"/>
          <w:highlight w:val="none"/>
        </w:rPr>
      </w:pPr>
    </w:p>
    <w:p w14:paraId="7DE1CAE7">
      <w:pPr>
        <w:pStyle w:val="53"/>
        <w:spacing w:line="360" w:lineRule="auto"/>
        <w:ind w:firstLine="482"/>
        <w:jc w:val="center"/>
        <w:outlineLvl w:val="9"/>
        <w:rPr>
          <w:rFonts w:hint="eastAsia" w:ascii="宋体" w:eastAsia="宋体"/>
          <w:bCs/>
          <w:color w:val="auto"/>
          <w:szCs w:val="24"/>
          <w:highlight w:val="none"/>
        </w:rPr>
      </w:pPr>
    </w:p>
    <w:p w14:paraId="2876C824">
      <w:pPr>
        <w:rPr>
          <w:rFonts w:hint="eastAsia" w:ascii="宋体" w:hAnsi="宋体" w:cs="宋体"/>
          <w:iCs w:val="0"/>
          <w:color w:val="auto"/>
          <w:kern w:val="1"/>
          <w:sz w:val="24"/>
          <w:highlight w:val="none"/>
        </w:rPr>
      </w:pPr>
      <w:bookmarkStart w:id="2394" w:name="书签4_0"/>
      <w:bookmarkEnd w:id="2394"/>
      <w:r>
        <w:rPr>
          <w:rFonts w:hint="eastAsia" w:ascii="宋体" w:hAnsi="宋体" w:eastAsia="宋体" w:cs="宋体"/>
          <w:iCs w:val="0"/>
          <w:color w:val="auto"/>
          <w:kern w:val="1"/>
          <w:sz w:val="24"/>
          <w:highlight w:val="none"/>
        </w:rPr>
        <w:br w:type="page"/>
      </w:r>
    </w:p>
    <w:p w14:paraId="5E178E81">
      <w:pPr>
        <w:pStyle w:val="59"/>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eastAsia="宋体"/>
          <w:color w:val="auto"/>
          <w:sz w:val="24"/>
          <w:szCs w:val="24"/>
          <w:highlight w:val="none"/>
          <w:lang w:val="en-US" w:eastAsia="zh-CN"/>
        </w:rPr>
      </w:pPr>
      <w:bookmarkStart w:id="2395" w:name="_Toc5863"/>
      <w:r>
        <w:rPr>
          <w:rFonts w:hint="eastAsia" w:eastAsia="宋体"/>
          <w:color w:val="auto"/>
          <w:highlight w:val="none"/>
          <w:lang w:eastAsia="zh-CN"/>
        </w:rPr>
        <w:drawing>
          <wp:anchor distT="0" distB="0" distL="114300" distR="114300" simplePos="0" relativeHeight="251660288" behindDoc="0" locked="0" layoutInCell="1" allowOverlap="1">
            <wp:simplePos x="0" y="0"/>
            <wp:positionH relativeFrom="column">
              <wp:posOffset>-152400</wp:posOffset>
            </wp:positionH>
            <wp:positionV relativeFrom="page">
              <wp:posOffset>2015490</wp:posOffset>
            </wp:positionV>
            <wp:extent cx="5786755" cy="3317875"/>
            <wp:effectExtent l="0" t="0" r="4445" b="15875"/>
            <wp:wrapNone/>
            <wp:docPr id="11" name="图片 11" descr="174815177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48151776869"/>
                    <pic:cNvPicPr>
                      <a:picLocks noChangeAspect="1"/>
                    </pic:cNvPicPr>
                  </pic:nvPicPr>
                  <pic:blipFill>
                    <a:blip r:embed="rId84"/>
                    <a:stretch>
                      <a:fillRect/>
                    </a:stretch>
                  </pic:blipFill>
                  <pic:spPr>
                    <a:xfrm>
                      <a:off x="0" y="0"/>
                      <a:ext cx="5786755" cy="3317875"/>
                    </a:xfrm>
                    <a:prstGeom prst="rect">
                      <a:avLst/>
                    </a:prstGeom>
                  </pic:spPr>
                </pic:pic>
              </a:graphicData>
            </a:graphic>
          </wp:anchor>
        </w:drawing>
      </w:r>
      <w:bookmarkStart w:id="2396" w:name="_Toc256000243"/>
      <w:r>
        <w:rPr>
          <w:rFonts w:hint="eastAsia" w:ascii="宋体" w:hAnsi="宋体" w:eastAsia="宋体" w:cs="宋体"/>
          <w:b/>
          <w:bCs/>
          <w:iCs w:val="0"/>
          <w:color w:val="auto"/>
          <w:kern w:val="1"/>
          <w:sz w:val="24"/>
          <w:highlight w:val="none"/>
        </w:rPr>
        <w:t>（</w:t>
      </w:r>
      <w:r>
        <w:rPr>
          <w:rFonts w:hint="eastAsia" w:ascii="宋体" w:hAnsi="宋体" w:eastAsia="宋体" w:cs="宋体"/>
          <w:b/>
          <w:bCs/>
          <w:iCs w:val="0"/>
          <w:color w:val="auto"/>
          <w:kern w:val="1"/>
          <w:sz w:val="24"/>
          <w:highlight w:val="none"/>
          <w:lang w:val="en-US" w:eastAsia="zh-CN"/>
        </w:rPr>
        <w:t>10</w:t>
      </w:r>
      <w:r>
        <w:rPr>
          <w:rFonts w:hint="eastAsia" w:ascii="宋体" w:hAnsi="宋体" w:eastAsia="宋体" w:cs="宋体"/>
          <w:b/>
          <w:bCs/>
          <w:iCs w:val="0"/>
          <w:color w:val="auto"/>
          <w:kern w:val="1"/>
          <w:sz w:val="24"/>
          <w:highlight w:val="none"/>
        </w:rPr>
        <w:t>）</w:t>
      </w:r>
      <w:r>
        <w:rPr>
          <w:rFonts w:hint="eastAsia" w:ascii="宋体" w:hAnsi="宋体" w:eastAsia="宋体" w:cs="宋体"/>
          <w:b/>
          <w:bCs/>
          <w:iCs w:val="0"/>
          <w:color w:val="auto"/>
          <w:kern w:val="1"/>
          <w:sz w:val="24"/>
          <w:szCs w:val="24"/>
          <w:highlight w:val="none"/>
        </w:rPr>
        <w:t>在辽宁省住房和城乡建设厅建筑领域不良行为记录公布平台</w:t>
      </w:r>
      <w:r>
        <w:rPr>
          <w:rFonts w:hint="eastAsia" w:ascii="宋体" w:hAnsi="宋体" w:eastAsia="宋体" w:cs="宋体"/>
          <w:iCs w:val="0"/>
          <w:color w:val="auto"/>
          <w:kern w:val="1"/>
          <w:sz w:val="24"/>
          <w:szCs w:val="24"/>
          <w:highlight w:val="none"/>
        </w:rPr>
        <w:t>(通过“辽宁建设工程信息网”获取链接)未被列入不良行为记录，或不在公布期内截图；截图示例：查询路径：辽宁建设工程信息网--</w:t>
      </w:r>
      <w:r>
        <w:rPr>
          <w:rFonts w:hint="eastAsia" w:ascii="宋体" w:hAnsi="宋体" w:eastAsia="宋体" w:cs="宋体"/>
          <w:iCs w:val="0"/>
          <w:color w:val="auto"/>
          <w:kern w:val="1"/>
          <w:sz w:val="24"/>
          <w:szCs w:val="24"/>
          <w:highlight w:val="none"/>
          <w:lang w:val="en-US" w:eastAsia="zh-CN"/>
        </w:rPr>
        <w:t>信用公示</w:t>
      </w:r>
      <w:r>
        <w:rPr>
          <w:rFonts w:hint="eastAsia" w:ascii="宋体" w:hAnsi="宋体" w:eastAsia="宋体" w:cs="宋体"/>
          <w:iCs w:val="0"/>
          <w:color w:val="auto"/>
          <w:kern w:val="1"/>
          <w:sz w:val="24"/>
          <w:szCs w:val="24"/>
          <w:highlight w:val="none"/>
        </w:rPr>
        <w:t>--</w:t>
      </w:r>
      <w:r>
        <w:rPr>
          <w:rFonts w:hint="eastAsia" w:ascii="宋体" w:hAnsi="宋体" w:eastAsia="宋体" w:cs="宋体"/>
          <w:iCs w:val="0"/>
          <w:color w:val="auto"/>
          <w:kern w:val="1"/>
          <w:sz w:val="24"/>
          <w:szCs w:val="24"/>
          <w:highlight w:val="none"/>
          <w:lang w:val="en-US" w:eastAsia="zh-CN"/>
        </w:rPr>
        <w:t>信息类型、发布时间选全部</w:t>
      </w:r>
      <w:bookmarkEnd w:id="2395"/>
      <w:bookmarkEnd w:id="2396"/>
    </w:p>
    <w:p w14:paraId="0DA22944">
      <w:pPr>
        <w:pStyle w:val="59"/>
        <w:outlineLvl w:val="9"/>
        <w:rPr>
          <w:rFonts w:hint="default" w:eastAsia="宋体"/>
          <w:color w:val="auto"/>
          <w:sz w:val="21"/>
          <w:szCs w:val="21"/>
          <w:highlight w:val="none"/>
          <w:lang w:val="en-US" w:eastAsia="zh-CN"/>
        </w:rPr>
      </w:pPr>
    </w:p>
    <w:p w14:paraId="6AE184A5">
      <w:pPr>
        <w:pStyle w:val="62"/>
        <w:rPr>
          <w:rFonts w:hint="eastAsia"/>
          <w:color w:val="auto"/>
          <w:highlight w:val="none"/>
        </w:rPr>
      </w:pPr>
    </w:p>
    <w:p w14:paraId="53731917">
      <w:pPr>
        <w:pStyle w:val="62"/>
        <w:rPr>
          <w:rFonts w:hint="eastAsia"/>
          <w:color w:val="auto"/>
          <w:highlight w:val="none"/>
        </w:rPr>
      </w:pPr>
    </w:p>
    <w:p w14:paraId="5BFC11AE">
      <w:pPr>
        <w:pStyle w:val="62"/>
        <w:rPr>
          <w:rFonts w:hint="eastAsia"/>
          <w:color w:val="auto"/>
          <w:highlight w:val="none"/>
        </w:rPr>
      </w:pPr>
    </w:p>
    <w:p w14:paraId="7DA49362">
      <w:pPr>
        <w:pStyle w:val="62"/>
        <w:rPr>
          <w:rFonts w:hint="eastAsia"/>
          <w:color w:val="auto"/>
          <w:highlight w:val="none"/>
        </w:rPr>
      </w:pPr>
    </w:p>
    <w:p w14:paraId="4113CB03">
      <w:pPr>
        <w:pStyle w:val="62"/>
        <w:rPr>
          <w:rFonts w:hint="eastAsia"/>
          <w:color w:val="auto"/>
          <w:highlight w:val="none"/>
        </w:rPr>
      </w:pPr>
    </w:p>
    <w:p w14:paraId="0434B133">
      <w:pPr>
        <w:pStyle w:val="62"/>
        <w:rPr>
          <w:rFonts w:hint="eastAsia"/>
          <w:color w:val="auto"/>
          <w:highlight w:val="none"/>
        </w:rPr>
      </w:pPr>
    </w:p>
    <w:p w14:paraId="413BF9E9">
      <w:pPr>
        <w:pStyle w:val="62"/>
        <w:rPr>
          <w:rFonts w:hint="eastAsia"/>
          <w:color w:val="auto"/>
          <w:highlight w:val="none"/>
        </w:rPr>
      </w:pPr>
    </w:p>
    <w:p w14:paraId="27CB5514">
      <w:pPr>
        <w:pStyle w:val="62"/>
        <w:rPr>
          <w:rFonts w:hint="eastAsia"/>
          <w:color w:val="auto"/>
          <w:highlight w:val="none"/>
        </w:rPr>
      </w:pPr>
    </w:p>
    <w:p w14:paraId="227528A3">
      <w:pPr>
        <w:pStyle w:val="62"/>
        <w:rPr>
          <w:rFonts w:hint="eastAsia"/>
          <w:color w:val="auto"/>
          <w:highlight w:val="none"/>
        </w:rPr>
      </w:pPr>
    </w:p>
    <w:p w14:paraId="7FECAE2D">
      <w:pPr>
        <w:pStyle w:val="62"/>
        <w:rPr>
          <w:rFonts w:hint="eastAsia"/>
          <w:color w:val="auto"/>
          <w:highlight w:val="none"/>
        </w:rPr>
      </w:pPr>
    </w:p>
    <w:p w14:paraId="302BE67A">
      <w:pPr>
        <w:pStyle w:val="62"/>
        <w:rPr>
          <w:rFonts w:hint="eastAsia"/>
          <w:color w:val="auto"/>
          <w:highlight w:val="none"/>
        </w:rPr>
      </w:pPr>
    </w:p>
    <w:p w14:paraId="26FF3269">
      <w:pPr>
        <w:pStyle w:val="62"/>
        <w:rPr>
          <w:rFonts w:hint="eastAsia"/>
          <w:color w:val="auto"/>
          <w:highlight w:val="none"/>
        </w:rPr>
      </w:pPr>
    </w:p>
    <w:p w14:paraId="1FC077B2">
      <w:pPr>
        <w:rPr>
          <w:rFonts w:hint="eastAsia"/>
          <w:b/>
          <w:bCs/>
          <w:color w:val="auto"/>
          <w:highlight w:val="none"/>
        </w:rPr>
      </w:pPr>
    </w:p>
    <w:p w14:paraId="526E581F">
      <w:pPr>
        <w:rPr>
          <w:rFonts w:hint="eastAsia"/>
          <w:b/>
          <w:bCs/>
          <w:color w:val="auto"/>
          <w:highlight w:val="none"/>
        </w:rPr>
      </w:pPr>
    </w:p>
    <w:p w14:paraId="0F1B1DAE">
      <w:pPr>
        <w:rPr>
          <w:rFonts w:hint="eastAsia"/>
          <w:b/>
          <w:bCs/>
          <w:color w:val="auto"/>
          <w:highlight w:val="none"/>
        </w:rPr>
      </w:pPr>
    </w:p>
    <w:p w14:paraId="33D982CA">
      <w:pPr>
        <w:rPr>
          <w:rFonts w:hint="eastAsia"/>
          <w:b/>
          <w:bCs/>
          <w:color w:val="auto"/>
          <w:highlight w:val="none"/>
        </w:rPr>
      </w:pPr>
    </w:p>
    <w:p w14:paraId="1034CA31">
      <w:pPr>
        <w:rPr>
          <w:rFonts w:hint="eastAsia"/>
          <w:b/>
          <w:bCs/>
          <w:color w:val="auto"/>
          <w:highlight w:val="none"/>
        </w:rPr>
      </w:pPr>
    </w:p>
    <w:p w14:paraId="1A08D035">
      <w:pPr>
        <w:rPr>
          <w:rFonts w:hint="eastAsia"/>
          <w:b/>
          <w:bCs/>
          <w:color w:val="auto"/>
          <w:highlight w:val="none"/>
        </w:rPr>
      </w:pPr>
    </w:p>
    <w:p w14:paraId="3804DB17">
      <w:pPr>
        <w:rPr>
          <w:rFonts w:hint="eastAsia"/>
          <w:b/>
          <w:bCs/>
          <w:color w:val="auto"/>
          <w:highlight w:val="none"/>
        </w:rPr>
      </w:pPr>
    </w:p>
    <w:p w14:paraId="6F9CD8D3">
      <w:pPr>
        <w:rPr>
          <w:rFonts w:hint="eastAsia"/>
          <w:b/>
          <w:bCs/>
          <w:color w:val="auto"/>
          <w:highlight w:val="none"/>
        </w:rPr>
      </w:pPr>
    </w:p>
    <w:p w14:paraId="3F09328C">
      <w:pPr>
        <w:rPr>
          <w:color w:val="auto"/>
          <w:highlight w:val="none"/>
        </w:rPr>
      </w:pPr>
      <w:r>
        <w:rPr>
          <w:rFonts w:hint="eastAsia"/>
          <w:b/>
          <w:bCs/>
          <w:color w:val="auto"/>
          <w:highlight w:val="none"/>
        </w:rPr>
        <w:t>投标单位（如为联合体投标，联合体成员均需提供）截图：</w:t>
      </w:r>
    </w:p>
    <w:p w14:paraId="573E5594">
      <w:pPr>
        <w:pStyle w:val="53"/>
        <w:spacing w:line="360" w:lineRule="auto"/>
        <w:ind w:firstLine="482"/>
        <w:jc w:val="center"/>
        <w:outlineLvl w:val="9"/>
        <w:rPr>
          <w:rFonts w:hint="eastAsia" w:ascii="宋体" w:eastAsia="宋体"/>
          <w:b w:val="0"/>
          <w:bCs/>
          <w:color w:val="auto"/>
          <w:szCs w:val="24"/>
          <w:highlight w:val="none"/>
        </w:rPr>
      </w:pPr>
      <w:r>
        <w:rPr>
          <w:rFonts w:hint="eastAsia" w:ascii="宋体"/>
          <w:bCs/>
          <w:color w:val="auto"/>
          <w:szCs w:val="24"/>
          <w:highlight w:val="none"/>
        </w:rPr>
        <w:br w:type="page"/>
      </w:r>
    </w:p>
    <w:p w14:paraId="60847003">
      <w:pPr>
        <w:pStyle w:val="49"/>
        <w:jc w:val="center"/>
        <w:outlineLvl w:val="2"/>
        <w:rPr>
          <w:rFonts w:hint="eastAsia" w:ascii="宋体" w:hAnsi="Calibri"/>
          <w:bCs/>
          <w:color w:val="auto"/>
          <w:sz w:val="24"/>
          <w:szCs w:val="24"/>
          <w:highlight w:val="none"/>
        </w:rPr>
      </w:pPr>
      <w:bookmarkStart w:id="2397" w:name="_Toc256000244"/>
      <w:bookmarkStart w:id="2398" w:name="_Toc20350"/>
      <w:r>
        <w:rPr>
          <w:rFonts w:hint="eastAsia" w:ascii="宋体" w:hAnsi="宋体" w:cs="宋体"/>
          <w:b/>
          <w:color w:val="auto"/>
          <w:kern w:val="20"/>
          <w:sz w:val="24"/>
          <w:szCs w:val="24"/>
          <w:highlight w:val="none"/>
          <w:lang w:eastAsia="zh-CN"/>
        </w:rPr>
        <w:t>（</w:t>
      </w:r>
      <w:r>
        <w:rPr>
          <w:rFonts w:hint="eastAsia" w:ascii="宋体" w:hAnsi="宋体" w:cs="宋体"/>
          <w:b/>
          <w:color w:val="auto"/>
          <w:kern w:val="20"/>
          <w:sz w:val="24"/>
          <w:szCs w:val="24"/>
          <w:highlight w:val="none"/>
          <w:lang w:val="en-US" w:eastAsia="zh-CN"/>
        </w:rPr>
        <w:t>11</w:t>
      </w:r>
      <w:r>
        <w:rPr>
          <w:rFonts w:hint="eastAsia" w:ascii="宋体" w:hAnsi="宋体" w:cs="宋体"/>
          <w:b/>
          <w:color w:val="auto"/>
          <w:kern w:val="20"/>
          <w:sz w:val="24"/>
          <w:szCs w:val="24"/>
          <w:highlight w:val="none"/>
          <w:lang w:eastAsia="zh-CN"/>
        </w:rPr>
        <w:t>）</w:t>
      </w:r>
      <w:r>
        <w:rPr>
          <w:rFonts w:hint="eastAsia" w:ascii="宋体" w:hAnsi="宋体" w:cs="宋体"/>
          <w:b/>
          <w:color w:val="auto"/>
          <w:kern w:val="20"/>
          <w:sz w:val="24"/>
          <w:szCs w:val="24"/>
          <w:highlight w:val="none"/>
        </w:rPr>
        <w:t>投标人认为应提交的其他投标资料</w:t>
      </w:r>
      <w:bookmarkEnd w:id="2397"/>
      <w:bookmarkEnd w:id="2398"/>
    </w:p>
    <w:p w14:paraId="01103B77">
      <w:pPr>
        <w:rPr>
          <w:color w:val="auto"/>
          <w:highlight w:val="none"/>
        </w:rPr>
      </w:pPr>
    </w:p>
    <w:p w14:paraId="4C52F0D6">
      <w:pPr>
        <w:rPr>
          <w:color w:val="auto"/>
          <w:highlight w:val="none"/>
        </w:rPr>
      </w:pPr>
    </w:p>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华文中宋">
    <w:panose1 w:val="02010600040101010101"/>
    <w:charset w:val="86"/>
    <w:family w:val="auto"/>
    <w:pitch w:val="default"/>
    <w:sig w:usb0="00000287" w:usb1="080F0000" w:usb2="00000000" w:usb3="00000000" w:csb0="0004009F" w:csb1="DFD7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5AAD2">
    <w:pPr>
      <w:pStyle w:val="17"/>
      <w:jc w:val="center"/>
      <w:rPr>
        <w:rFonts w:hint="eastAsia"/>
        <w:sz w:val="21"/>
        <w:szCs w:val="21"/>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1F297">
    <w:pPr>
      <w:pStyle w:val="17"/>
      <w:framePr w:wrap="around" w:vAnchor="text" w:hAnchor="margin" w:xAlign="center" w:y="1"/>
      <w:rPr>
        <w:rStyle w:val="29"/>
        <w:rFonts w:ascii="仿宋_GB2312" w:eastAsia="仿宋_GB2312"/>
      </w:rPr>
    </w:pPr>
    <w:r>
      <w:rPr>
        <w:rStyle w:val="29"/>
        <w:rFonts w:hint="eastAsia" w:ascii="仿宋_GB2312" w:eastAsia="仿宋_GB2312"/>
      </w:rPr>
      <w:fldChar w:fldCharType="begin"/>
    </w:r>
    <w:r>
      <w:rPr>
        <w:rStyle w:val="29"/>
        <w:rFonts w:hint="eastAsia" w:ascii="仿宋_GB2312" w:eastAsia="仿宋_GB2312"/>
      </w:rPr>
      <w:instrText xml:space="preserve">PAGE  </w:instrText>
    </w:r>
    <w:r>
      <w:rPr>
        <w:rStyle w:val="29"/>
        <w:rFonts w:hint="eastAsia" w:ascii="仿宋_GB2312" w:eastAsia="仿宋_GB2312"/>
      </w:rPr>
      <w:fldChar w:fldCharType="separate"/>
    </w:r>
    <w:r>
      <w:rPr>
        <w:rStyle w:val="29"/>
        <w:rFonts w:hint="eastAsia" w:ascii="仿宋_GB2312" w:eastAsia="仿宋_GB2312"/>
      </w:rPr>
      <w:t>87</w:t>
    </w:r>
    <w:r>
      <w:rPr>
        <w:rStyle w:val="29"/>
        <w:rFonts w:hint="eastAsia" w:ascii="仿宋_GB2312" w:eastAsia="仿宋_GB2312"/>
      </w:rPr>
      <w:fldChar w:fldCharType="end"/>
    </w:r>
  </w:p>
  <w:p w14:paraId="6D3E5959">
    <w:pPr>
      <w:pStyle w:val="1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BCD64">
    <w:pPr>
      <w:pStyle w:val="17"/>
      <w:framePr w:wrap="around" w:vAnchor="text" w:hAnchor="margin" w:xAlign="center" w:y="1"/>
      <w:rPr>
        <w:rStyle w:val="29"/>
      </w:rPr>
    </w:pPr>
    <w:r>
      <w:rPr>
        <w:rStyle w:val="29"/>
      </w:rPr>
      <w:fldChar w:fldCharType="begin"/>
    </w:r>
    <w:r>
      <w:rPr>
        <w:rStyle w:val="29"/>
      </w:rPr>
      <w:instrText xml:space="preserve">PAGE  </w:instrText>
    </w:r>
    <w:r>
      <w:rPr>
        <w:rStyle w:val="29"/>
      </w:rPr>
      <w:fldChar w:fldCharType="separate"/>
    </w:r>
    <w:r>
      <w:rPr>
        <w:rStyle w:val="29"/>
      </w:rPr>
      <w:fldChar w:fldCharType="end"/>
    </w:r>
  </w:p>
  <w:p w14:paraId="3831ED96">
    <w:pPr>
      <w:pStyle w:val="1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E87FB">
    <w:pPr>
      <w:pStyle w:val="1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549220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1957F7">
                          <w:pPr>
                            <w:pStyle w:val="17"/>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wLi40zAgAAXgQAAA4AAAAAAAAAAQAgAAAAHwEAAGRycy9lMm9Eb2MueG1sUEsF&#10;BgAAAAAGAAYAWQEAAMQFAAAAAA==&#10;">
              <v:fill on="f" focussize="0,0"/>
              <v:stroke on="f" weight="0.5pt"/>
              <v:imagedata o:title=""/>
              <o:lock v:ext="edit" aspectratio="f"/>
              <v:textbox inset="0mm,0mm,0mm,0mm" style="mso-fit-shape-to-text:t;">
                <w:txbxContent>
                  <w:p w14:paraId="691957F7">
                    <w:pPr>
                      <w:pStyle w:val="17"/>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8BD13">
    <w:pPr>
      <w:pStyle w:val="17"/>
    </w:pPr>
    <w:r>
      <w:rPr>
        <w:sz w:val="18"/>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5404AFD">
                          <w:pPr>
                            <w:pStyle w:val="17"/>
                          </w:pPr>
                          <w:r>
                            <w:fldChar w:fldCharType="begin"/>
                          </w:r>
                          <w:r>
                            <w:instrText xml:space="preserve"> PAGE  \* MERGEFORMAT </w:instrText>
                          </w:r>
                          <w:r>
                            <w:fldChar w:fldCharType="separate"/>
                          </w:r>
                          <w:r>
                            <w:t>3</w:t>
                          </w:r>
                          <w:r>
                            <w:fldChar w:fldCharType="end"/>
                          </w:r>
                        </w:p>
                      </w:txbxContent>
                    </wps:txbx>
                    <wps:bodyPr vert="horz" wrap="none" lIns="0" tIns="0" rIns="0" bIns="0" anchor="t" upright="0">
                      <a:spAutoFit/>
                    </wps:bodyPr>
                  </wps:wsp>
                </a:graphicData>
              </a:graphic>
            </wp:anchor>
          </w:drawing>
        </mc:Choice>
        <mc:Fallback>
          <w:pict>
            <v:rect id="文本框 302"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N9/pTUAQAAoA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tykTzqAq7o6G24gTFDCpPgvgGbviSF9dnX08VX1UcmaXO+XCyXJVkuqTYlhFPcXw+A8aPy&#10;lqWg4kAPl/0Ux88Yh6PTkdTNuLQ6f62NGappp0g0B2Ipiv2uH9nufH0inTT2BN56+MFZR49ecUcz&#10;zpn55MjTNB9TAFOwmwLhJF2seOTsEEDv2zxLiQaGD4dIVDLP1HjoNvKhh8tKxyFLk/F/nk/d/1ib&#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l1uVLQAAAABQEAAA8AAAAAAAAAAQAgAAAAIgAAAGRy&#10;cy9kb3ducmV2LnhtbFBLAQIUABQAAAAIAIdO4kATff6U1AEAAKADAAAOAAAAAAAAAAEAIAAAAB8B&#10;AABkcnMvZTJvRG9jLnhtbFBLBQYAAAAABgAGAFkBAABlBQAAAAA=&#10;">
              <v:fill on="f" focussize="0,0"/>
              <v:stroke on="f"/>
              <v:imagedata o:title=""/>
              <o:lock v:ext="edit" aspectratio="f"/>
              <v:textbox inset="0mm,0mm,0mm,0mm" style="mso-fit-shape-to-text:t;">
                <w:txbxContent>
                  <w:p w14:paraId="35404AFD">
                    <w:pPr>
                      <w:pStyle w:val="17"/>
                    </w:pPr>
                    <w:r>
                      <w:fldChar w:fldCharType="begin"/>
                    </w:r>
                    <w:r>
                      <w:instrText xml:space="preserve"> PAGE  \* MERGEFORMAT </w:instrText>
                    </w:r>
                    <w:r>
                      <w:fldChar w:fldCharType="separate"/>
                    </w:r>
                    <w:r>
                      <w:t>3</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2D782">
    <w:pPr>
      <w:spacing w:line="174" w:lineRule="auto"/>
      <w:ind w:left="5762"/>
      <w:rPr>
        <w:rFonts w:ascii="Times New Roman" w:hAnsi="Times New Roman" w:eastAsia="Times New Roman" w:cs="Times New Roman"/>
        <w:sz w:val="18"/>
        <w:szCs w:val="18"/>
      </w:rPr>
    </w:pPr>
    <w:r>
      <w:rPr>
        <w:sz w:val="18"/>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3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6FDDA26">
                          <w:pPr>
                            <w:pStyle w:val="17"/>
                          </w:pPr>
                          <w:r>
                            <w:fldChar w:fldCharType="begin"/>
                          </w:r>
                          <w:r>
                            <w:instrText xml:space="preserve"> PAGE  \* MERGEFORMAT </w:instrText>
                          </w:r>
                          <w:r>
                            <w:fldChar w:fldCharType="separate"/>
                          </w:r>
                          <w:r>
                            <w:t>4</w:t>
                          </w:r>
                          <w:r>
                            <w:fldChar w:fldCharType="end"/>
                          </w:r>
                        </w:p>
                      </w:txbxContent>
                    </wps:txbx>
                    <wps:bodyPr vert="horz" wrap="none" lIns="0" tIns="0" rIns="0" bIns="0" anchor="t" upright="0">
                      <a:spAutoFit/>
                    </wps:bodyPr>
                  </wps:wsp>
                </a:graphicData>
              </a:graphic>
            </wp:anchor>
          </w:drawing>
        </mc:Choice>
        <mc:Fallback>
          <w:pict>
            <v:rect id="文本框 303"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l1uVLQAAAABQEAAA8AAAAAAAAAAQAgAAAAIgAAAGRy&#10;cy9kb3ducmV2LnhtbFBLAQIUABQAAAAIAIdO4kDOQc7P1AEAAKADAAAOAAAAAAAAAAEAIAAAAB8B&#10;AABkcnMvZTJvRG9jLnhtbFBLBQYAAAAABgAGAFkBAABlBQAAAAA=&#10;">
              <v:fill on="f" focussize="0,0"/>
              <v:stroke on="f"/>
              <v:imagedata o:title=""/>
              <o:lock v:ext="edit" aspectratio="f"/>
              <v:textbox inset="0mm,0mm,0mm,0mm" style="mso-fit-shape-to-text:t;">
                <w:txbxContent>
                  <w:p w14:paraId="06FDDA26">
                    <w:pPr>
                      <w:pStyle w:val="17"/>
                    </w:pPr>
                    <w:r>
                      <w:fldChar w:fldCharType="begin"/>
                    </w:r>
                    <w:r>
                      <w:instrText xml:space="preserve"> PAGE  \* MERGEFORMAT </w:instrText>
                    </w:r>
                    <w:r>
                      <w:fldChar w:fldCharType="separate"/>
                    </w:r>
                    <w:r>
                      <w:t>4</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CE915">
    <w:pPr>
      <w:spacing w:line="174" w:lineRule="auto"/>
      <w:ind w:left="5731"/>
      <w:rPr>
        <w:rFonts w:ascii="Times New Roman" w:hAnsi="Times New Roman" w:eastAsia="Times New Roman" w:cs="Times New Roman"/>
        <w:sz w:val="18"/>
        <w:szCs w:val="18"/>
      </w:rPr>
    </w:pPr>
    <w:r>
      <w:rPr>
        <w:sz w:val="18"/>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37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3B13B4C">
                          <w:pPr>
                            <w:pStyle w:val="17"/>
                          </w:pPr>
                          <w:r>
                            <w:fldChar w:fldCharType="begin"/>
                          </w:r>
                          <w:r>
                            <w:instrText xml:space="preserve"> PAGE  \* MERGEFORMAT </w:instrText>
                          </w:r>
                          <w:r>
                            <w:fldChar w:fldCharType="separate"/>
                          </w:r>
                          <w:r>
                            <w:t>78</w:t>
                          </w:r>
                          <w:r>
                            <w:fldChar w:fldCharType="end"/>
                          </w:r>
                        </w:p>
                      </w:txbxContent>
                    </wps:txbx>
                    <wps:bodyPr vert="horz" wrap="none" lIns="0" tIns="0" rIns="0" bIns="0" anchor="t" upright="0">
                      <a:spAutoFit/>
                    </wps:bodyPr>
                  </wps:wsp>
                </a:graphicData>
              </a:graphic>
            </wp:anchor>
          </w:drawing>
        </mc:Choice>
        <mc:Fallback>
          <w:pict>
            <v:rect id="文本框 377"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AJWq/7TAQAAoAMAAA4AAAAAAAAAAQAgAAAAHwEA&#10;AGRycy9lMm9Eb2MueG1sUEsFBgAAAAAGAAYAWQEAAGQFAAAAAA==&#10;">
              <v:fill on="f" focussize="0,0"/>
              <v:stroke on="f"/>
              <v:imagedata o:title=""/>
              <o:lock v:ext="edit" aspectratio="f"/>
              <v:textbox inset="0mm,0mm,0mm,0mm" style="mso-fit-shape-to-text:t;">
                <w:txbxContent>
                  <w:p w14:paraId="63B13B4C">
                    <w:pPr>
                      <w:pStyle w:val="17"/>
                    </w:pPr>
                    <w:r>
                      <w:fldChar w:fldCharType="begin"/>
                    </w:r>
                    <w:r>
                      <w:instrText xml:space="preserve"> PAGE  \* MERGEFORMAT </w:instrText>
                    </w:r>
                    <w:r>
                      <w:fldChar w:fldCharType="separate"/>
                    </w:r>
                    <w:r>
                      <w:t>78</w:t>
                    </w:r>
                    <w:r>
                      <w:fldChar w:fldCharType="end"/>
                    </w: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99D68">
    <w:pPr>
      <w:spacing w:line="174" w:lineRule="auto"/>
      <w:ind w:left="5731"/>
      <w:rPr>
        <w:rFonts w:ascii="Times New Roman" w:hAnsi="Times New Roman" w:eastAsia="Times New Roman" w:cs="Times New Roman"/>
        <w:sz w:val="18"/>
        <w:szCs w:val="18"/>
      </w:rPr>
    </w:pPr>
    <w:r>
      <w:rPr>
        <w:sz w:val="18"/>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文本框 37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BD5A2FD">
                          <w:pPr>
                            <w:pStyle w:val="17"/>
                          </w:pPr>
                          <w:r>
                            <w:fldChar w:fldCharType="begin"/>
                          </w:r>
                          <w:r>
                            <w:instrText xml:space="preserve"> PAGE  \* MERGEFORMAT </w:instrText>
                          </w:r>
                          <w:r>
                            <w:fldChar w:fldCharType="separate"/>
                          </w:r>
                          <w:r>
                            <w:t>79</w:t>
                          </w:r>
                          <w:r>
                            <w:fldChar w:fldCharType="end"/>
                          </w:r>
                        </w:p>
                      </w:txbxContent>
                    </wps:txbx>
                    <wps:bodyPr vert="horz" wrap="none" lIns="0" tIns="0" rIns="0" bIns="0" anchor="t" upright="0">
                      <a:spAutoFit/>
                    </wps:bodyPr>
                  </wps:wsp>
                </a:graphicData>
              </a:graphic>
            </wp:anchor>
          </w:drawing>
        </mc:Choice>
        <mc:Fallback>
          <w:pict>
            <v:rect id="文本框 378"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DmgnFHTAQAAoAMAAA4AAAAAAAAAAQAgAAAAHwEA&#10;AGRycy9lMm9Eb2MueG1sUEsFBgAAAAAGAAYAWQEAAGQFAAAAAA==&#10;">
              <v:fill on="f" focussize="0,0"/>
              <v:stroke on="f"/>
              <v:imagedata o:title=""/>
              <o:lock v:ext="edit" aspectratio="f"/>
              <v:textbox inset="0mm,0mm,0mm,0mm" style="mso-fit-shape-to-text:t;">
                <w:txbxContent>
                  <w:p w14:paraId="1BD5A2FD">
                    <w:pPr>
                      <w:pStyle w:val="17"/>
                    </w:pPr>
                    <w:r>
                      <w:fldChar w:fldCharType="begin"/>
                    </w:r>
                    <w:r>
                      <w:instrText xml:space="preserve"> PAGE  \* MERGEFORMAT </w:instrText>
                    </w:r>
                    <w:r>
                      <w:fldChar w:fldCharType="separate"/>
                    </w:r>
                    <w:r>
                      <w:t>79</w:t>
                    </w:r>
                    <w:r>
                      <w:fldChar w:fldCharType="end"/>
                    </w:r>
                  </w:p>
                </w:txbxContent>
              </v:textbox>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378FA">
    <w:pPr>
      <w:spacing w:line="174" w:lineRule="auto"/>
      <w:ind w:left="5731"/>
      <w:rPr>
        <w:rFonts w:ascii="Times New Roman" w:hAnsi="Times New Roman" w:eastAsia="Times New Roman" w:cs="Times New Roman"/>
        <w:sz w:val="18"/>
        <w:szCs w:val="18"/>
      </w:rPr>
    </w:pPr>
    <w:r>
      <w:rPr>
        <w:sz w:val="18"/>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3" name="文本框 38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D231AA8">
                          <w:pPr>
                            <w:pStyle w:val="17"/>
                          </w:pPr>
                          <w:r>
                            <w:fldChar w:fldCharType="begin"/>
                          </w:r>
                          <w:r>
                            <w:instrText xml:space="preserve"> PAGE  \* MERGEFORMAT </w:instrText>
                          </w:r>
                          <w:r>
                            <w:fldChar w:fldCharType="separate"/>
                          </w:r>
                          <w:r>
                            <w:t>83</w:t>
                          </w:r>
                          <w:r>
                            <w:fldChar w:fldCharType="end"/>
                          </w:r>
                        </w:p>
                      </w:txbxContent>
                    </wps:txbx>
                    <wps:bodyPr vert="horz" wrap="none" lIns="0" tIns="0" rIns="0" bIns="0" anchor="t" upright="0">
                      <a:spAutoFit/>
                    </wps:bodyPr>
                  </wps:wsp>
                </a:graphicData>
              </a:graphic>
            </wp:anchor>
          </w:drawing>
        </mc:Choice>
        <mc:Fallback>
          <w:pict>
            <v:rect id="文本框 381"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IHVx0rTAQAAoAMAAA4AAAAAAAAAAQAgAAAAHwEA&#10;AGRycy9lMm9Eb2MueG1sUEsFBgAAAAAGAAYAWQEAAGQFAAAAAA==&#10;">
              <v:fill on="f" focussize="0,0"/>
              <v:stroke on="f"/>
              <v:imagedata o:title=""/>
              <o:lock v:ext="edit" aspectratio="f"/>
              <v:textbox inset="0mm,0mm,0mm,0mm" style="mso-fit-shape-to-text:t;">
                <w:txbxContent>
                  <w:p w14:paraId="3D231AA8">
                    <w:pPr>
                      <w:pStyle w:val="17"/>
                    </w:pPr>
                    <w:r>
                      <w:fldChar w:fldCharType="begin"/>
                    </w:r>
                    <w:r>
                      <w:instrText xml:space="preserve"> PAGE  \* MERGEFORMAT </w:instrText>
                    </w:r>
                    <w:r>
                      <w:fldChar w:fldCharType="separate"/>
                    </w:r>
                    <w:r>
                      <w:t>83</w:t>
                    </w:r>
                    <w:r>
                      <w:fldChar w:fldCharType="end"/>
                    </w:r>
                  </w:p>
                </w:txbxContent>
              </v:textbox>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45649">
    <w:pPr>
      <w:spacing w:line="174" w:lineRule="auto"/>
      <w:ind w:left="5731"/>
      <w:rPr>
        <w:rFonts w:ascii="Times New Roman" w:hAnsi="Times New Roman" w:eastAsia="Times New Roman" w:cs="Times New Roman"/>
        <w:sz w:val="18"/>
        <w:szCs w:val="18"/>
      </w:rPr>
    </w:pPr>
    <w:r>
      <w:rPr>
        <w:sz w:val="18"/>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4" name="文本框 38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5D1B273">
                          <w:pPr>
                            <w:pStyle w:val="17"/>
                          </w:pPr>
                          <w:r>
                            <w:fldChar w:fldCharType="begin"/>
                          </w:r>
                          <w:r>
                            <w:instrText xml:space="preserve"> PAGE  \* MERGEFORMAT </w:instrText>
                          </w:r>
                          <w:r>
                            <w:fldChar w:fldCharType="separate"/>
                          </w:r>
                          <w:r>
                            <w:t>84</w:t>
                          </w:r>
                          <w:r>
                            <w:fldChar w:fldCharType="end"/>
                          </w:r>
                        </w:p>
                      </w:txbxContent>
                    </wps:txbx>
                    <wps:bodyPr vert="horz" wrap="none" lIns="0" tIns="0" rIns="0" bIns="0" anchor="t" upright="0">
                      <a:spAutoFit/>
                    </wps:bodyPr>
                  </wps:wsp>
                </a:graphicData>
              </a:graphic>
            </wp:anchor>
          </w:drawing>
        </mc:Choice>
        <mc:Fallback>
          <w:pict>
            <v:rect id="文本框 382"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MZMck7TAQAAoAMAAA4AAAAAAAAAAQAgAAAAHwEA&#10;AGRycy9lMm9Eb2MueG1sUEsFBgAAAAAGAAYAWQEAAGQFAAAAAA==&#10;">
              <v:fill on="f" focussize="0,0"/>
              <v:stroke on="f"/>
              <v:imagedata o:title=""/>
              <o:lock v:ext="edit" aspectratio="f"/>
              <v:textbox inset="0mm,0mm,0mm,0mm" style="mso-fit-shape-to-text:t;">
                <w:txbxContent>
                  <w:p w14:paraId="05D1B273">
                    <w:pPr>
                      <w:pStyle w:val="17"/>
                    </w:pPr>
                    <w:r>
                      <w:fldChar w:fldCharType="begin"/>
                    </w:r>
                    <w:r>
                      <w:instrText xml:space="preserve"> PAGE  \* MERGEFORMAT </w:instrText>
                    </w:r>
                    <w:r>
                      <w:fldChar w:fldCharType="separate"/>
                    </w:r>
                    <w:r>
                      <w:t>84</w:t>
                    </w:r>
                    <w:r>
                      <w:fldChar w:fldCharType="end"/>
                    </w:r>
                  </w:p>
                </w:txbxContent>
              </v:textbox>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8DA3A">
    <w:pPr>
      <w:spacing w:line="174" w:lineRule="auto"/>
      <w:ind w:left="5731"/>
      <w:rPr>
        <w:rFonts w:ascii="Times New Roman" w:hAnsi="Times New Roman" w:eastAsia="Times New Roman" w:cs="Times New Roman"/>
        <w:sz w:val="18"/>
        <w:szCs w:val="18"/>
      </w:rPr>
    </w:pPr>
    <w:r>
      <w:rPr>
        <w:sz w:val="18"/>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6" name="文本框 38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4BAE82D">
                          <w:pPr>
                            <w:pStyle w:val="17"/>
                          </w:pPr>
                          <w:r>
                            <w:fldChar w:fldCharType="begin"/>
                          </w:r>
                          <w:r>
                            <w:instrText xml:space="preserve"> PAGE  \* MERGEFORMAT </w:instrText>
                          </w:r>
                          <w:r>
                            <w:fldChar w:fldCharType="separate"/>
                          </w:r>
                          <w:r>
                            <w:t>86</w:t>
                          </w:r>
                          <w:r>
                            <w:fldChar w:fldCharType="end"/>
                          </w:r>
                        </w:p>
                      </w:txbxContent>
                    </wps:txbx>
                    <wps:bodyPr vert="horz" wrap="none" lIns="0" tIns="0" rIns="0" bIns="0" anchor="t" upright="0">
                      <a:spAutoFit/>
                    </wps:bodyPr>
                  </wps:wsp>
                </a:graphicData>
              </a:graphic>
            </wp:anchor>
          </w:drawing>
        </mc:Choice>
        <mc:Fallback>
          <w:pict>
            <v:rect id="文本框 384"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&#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l1uVLQAAAABQEAAA8AAAAAAAAAAQAgAAAAIgAAAGRy&#10;cy9kb3ducmV2LnhtbFBLAQIUABQAAAAIAIdO4kAIqKgX1AEAAKADAAAOAAAAAAAAAAEAIAAAAB8B&#10;AABkcnMvZTJvRG9jLnhtbFBLBQYAAAAABgAGAFkBAABlBQAAAAA=&#10;">
              <v:fill on="f" focussize="0,0"/>
              <v:stroke on="f"/>
              <v:imagedata o:title=""/>
              <o:lock v:ext="edit" aspectratio="f"/>
              <v:textbox inset="0mm,0mm,0mm,0mm" style="mso-fit-shape-to-text:t;">
                <w:txbxContent>
                  <w:p w14:paraId="14BAE82D">
                    <w:pPr>
                      <w:pStyle w:val="17"/>
                    </w:pPr>
                    <w:r>
                      <w:fldChar w:fldCharType="begin"/>
                    </w:r>
                    <w:r>
                      <w:instrText xml:space="preserve"> PAGE  \* MERGEFORMAT </w:instrText>
                    </w:r>
                    <w:r>
                      <w:fldChar w:fldCharType="separate"/>
                    </w:r>
                    <w:r>
                      <w:t>86</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D164B">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0A91D">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A50A91D">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1AB1A">
    <w:pPr>
      <w:spacing w:line="174" w:lineRule="auto"/>
      <w:ind w:left="5731"/>
      <w:rPr>
        <w:rFonts w:ascii="Times New Roman" w:hAnsi="Times New Roman" w:eastAsia="Times New Roman" w:cs="Times New Roman"/>
        <w:sz w:val="18"/>
        <w:szCs w:val="18"/>
      </w:rPr>
    </w:pPr>
    <w:r>
      <w:rPr>
        <w:sz w:val="18"/>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7" name="文本框 38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1C64F63">
                          <w:pPr>
                            <w:pStyle w:val="17"/>
                          </w:pPr>
                          <w:r>
                            <w:fldChar w:fldCharType="begin"/>
                          </w:r>
                          <w:r>
                            <w:instrText xml:space="preserve"> PAGE  \* MERGEFORMAT </w:instrText>
                          </w:r>
                          <w:r>
                            <w:fldChar w:fldCharType="separate"/>
                          </w:r>
                          <w:r>
                            <w:t>87</w:t>
                          </w:r>
                          <w:r>
                            <w:fldChar w:fldCharType="end"/>
                          </w:r>
                        </w:p>
                      </w:txbxContent>
                    </wps:txbx>
                    <wps:bodyPr vert="horz" wrap="none" lIns="0" tIns="0" rIns="0" bIns="0" anchor="t" upright="0">
                      <a:spAutoFit/>
                    </wps:bodyPr>
                  </wps:wsp>
                </a:graphicData>
              </a:graphic>
            </wp:anchor>
          </w:drawing>
        </mc:Choice>
        <mc:Fallback>
          <w:pict>
            <v:rect id="文本框 385"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l1uVLQAAAABQEAAA8AAAAAAAAAAQAgAAAAIgAAAGRy&#10;cy9kb3ducmV2LnhtbFBLAQIUABQAAAAIAIdO4kB15B4E1AEAAKADAAAOAAAAAAAAAAEAIAAAAB8B&#10;AABkcnMvZTJvRG9jLnhtbFBLBQYAAAAABgAGAFkBAABlBQAAAAA=&#10;">
              <v:fill on="f" focussize="0,0"/>
              <v:stroke on="f"/>
              <v:imagedata o:title=""/>
              <o:lock v:ext="edit" aspectratio="f"/>
              <v:textbox inset="0mm,0mm,0mm,0mm" style="mso-fit-shape-to-text:t;">
                <w:txbxContent>
                  <w:p w14:paraId="01C64F63">
                    <w:pPr>
                      <w:pStyle w:val="17"/>
                    </w:pPr>
                    <w:r>
                      <w:fldChar w:fldCharType="begin"/>
                    </w:r>
                    <w:r>
                      <w:instrText xml:space="preserve"> PAGE  \* MERGEFORMAT </w:instrText>
                    </w:r>
                    <w:r>
                      <w:fldChar w:fldCharType="separate"/>
                    </w:r>
                    <w:r>
                      <w:t>87</w:t>
                    </w:r>
                    <w:r>
                      <w:fldChar w:fldCharType="end"/>
                    </w:r>
                  </w:p>
                </w:txbxContent>
              </v:textbox>
            </v:rect>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C9955">
    <w:pPr>
      <w:spacing w:line="174" w:lineRule="auto"/>
      <w:ind w:left="5731"/>
      <w:rPr>
        <w:rFonts w:ascii="Times New Roman" w:hAnsi="Times New Roman" w:eastAsia="Times New Roman" w:cs="Times New Roman"/>
        <w:sz w:val="18"/>
        <w:szCs w:val="18"/>
      </w:rPr>
    </w:pPr>
    <w:r>
      <w:rPr>
        <w:sz w:val="18"/>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8" name="文本框 38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405BB7D">
                          <w:pPr>
                            <w:pStyle w:val="17"/>
                          </w:pPr>
                          <w:r>
                            <w:fldChar w:fldCharType="begin"/>
                          </w:r>
                          <w:r>
                            <w:instrText xml:space="preserve"> PAGE  \* MERGEFORMAT </w:instrText>
                          </w:r>
                          <w:r>
                            <w:fldChar w:fldCharType="separate"/>
                          </w:r>
                          <w:r>
                            <w:t>88</w:t>
                          </w:r>
                          <w:r>
                            <w:fldChar w:fldCharType="end"/>
                          </w:r>
                        </w:p>
                      </w:txbxContent>
                    </wps:txbx>
                    <wps:bodyPr vert="horz" wrap="none" lIns="0" tIns="0" rIns="0" bIns="0" anchor="t" upright="0">
                      <a:spAutoFit/>
                    </wps:bodyPr>
                  </wps:wsp>
                </a:graphicData>
              </a:graphic>
            </wp:anchor>
          </w:drawing>
        </mc:Choice>
        <mc:Fallback>
          <w:pict>
            <v:rect id="文本框 386"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LLmdWDTAQAAoAMAAA4AAAAAAAAAAQAgAAAAHwEA&#10;AGRycy9lMm9Eb2MueG1sUEsFBgAAAAAGAAYAWQEAAGQFAAAAAA==&#10;">
              <v:fill on="f" focussize="0,0"/>
              <v:stroke on="f"/>
              <v:imagedata o:title=""/>
              <o:lock v:ext="edit" aspectratio="f"/>
              <v:textbox inset="0mm,0mm,0mm,0mm" style="mso-fit-shape-to-text:t;">
                <w:txbxContent>
                  <w:p w14:paraId="3405BB7D">
                    <w:pPr>
                      <w:pStyle w:val="17"/>
                    </w:pPr>
                    <w:r>
                      <w:fldChar w:fldCharType="begin"/>
                    </w:r>
                    <w:r>
                      <w:instrText xml:space="preserve"> PAGE  \* MERGEFORMAT </w:instrText>
                    </w:r>
                    <w:r>
                      <w:fldChar w:fldCharType="separate"/>
                    </w:r>
                    <w:r>
                      <w:t>88</w:t>
                    </w:r>
                    <w:r>
                      <w:fldChar w:fldCharType="end"/>
                    </w:r>
                  </w:p>
                </w:txbxContent>
              </v:textbox>
            </v:rect>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F0C4D">
    <w:pPr>
      <w:spacing w:line="174" w:lineRule="auto"/>
      <w:ind w:left="5731"/>
      <w:rPr>
        <w:rFonts w:ascii="Times New Roman" w:hAnsi="Times New Roman" w:eastAsia="Times New Roman" w:cs="Times New Roman"/>
        <w:sz w:val="18"/>
        <w:szCs w:val="18"/>
      </w:rPr>
    </w:pPr>
    <w:r>
      <w:rPr>
        <w:sz w:val="18"/>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9" name="文本框 38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67E452B">
                          <w:pPr>
                            <w:pStyle w:val="17"/>
                          </w:pPr>
                          <w:r>
                            <w:fldChar w:fldCharType="begin"/>
                          </w:r>
                          <w:r>
                            <w:instrText xml:space="preserve"> PAGE  \* MERGEFORMAT </w:instrText>
                          </w:r>
                          <w:r>
                            <w:fldChar w:fldCharType="separate"/>
                          </w:r>
                          <w:r>
                            <w:t>89</w:t>
                          </w:r>
                          <w:r>
                            <w:fldChar w:fldCharType="end"/>
                          </w:r>
                        </w:p>
                      </w:txbxContent>
                    </wps:txbx>
                    <wps:bodyPr vert="horz" wrap="none" lIns="0" tIns="0" rIns="0" bIns="0" anchor="t" upright="0">
                      <a:spAutoFit/>
                    </wps:bodyPr>
                  </wps:wsp>
                </a:graphicData>
              </a:graphic>
            </wp:anchor>
          </w:drawing>
        </mc:Choice>
        <mc:Fallback>
          <w:pict>
            <v:rect id="文本框 387"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&#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l1uVLQAAAABQEAAA8AAAAAAAAAAQAgAAAAIgAAAGRy&#10;cy9kb3ducmV2LnhtbFBLAQIUABQAAAAIAIdO4kDPqsNz1AEAAKADAAAOAAAAAAAAAAEAIAAAAB8B&#10;AABkcnMvZTJvRG9jLnhtbFBLBQYAAAAABgAGAFkBAABlBQAAAAA=&#10;">
              <v:fill on="f" focussize="0,0"/>
              <v:stroke on="f"/>
              <v:imagedata o:title=""/>
              <o:lock v:ext="edit" aspectratio="f"/>
              <v:textbox inset="0mm,0mm,0mm,0mm" style="mso-fit-shape-to-text:t;">
                <w:txbxContent>
                  <w:p w14:paraId="167E452B">
                    <w:pPr>
                      <w:pStyle w:val="17"/>
                    </w:pPr>
                    <w:r>
                      <w:fldChar w:fldCharType="begin"/>
                    </w:r>
                    <w:r>
                      <w:instrText xml:space="preserve"> PAGE  \* MERGEFORMAT </w:instrText>
                    </w:r>
                    <w:r>
                      <w:fldChar w:fldCharType="separate"/>
                    </w:r>
                    <w:r>
                      <w:t>89</w:t>
                    </w:r>
                    <w:r>
                      <w:fldChar w:fldCharType="end"/>
                    </w:r>
                  </w:p>
                </w:txbxContent>
              </v:textbox>
            </v:rec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E9E46">
    <w:pPr>
      <w:spacing w:line="174" w:lineRule="auto"/>
      <w:ind w:left="5731"/>
      <w:rPr>
        <w:rFonts w:ascii="Times New Roman" w:hAnsi="Times New Roman" w:eastAsia="Times New Roman" w:cs="Times New Roman"/>
        <w:sz w:val="18"/>
        <w:szCs w:val="18"/>
      </w:rPr>
    </w:pPr>
    <w:r>
      <w:rPr>
        <w:sz w:val="18"/>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0" name="文本框 38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C4A6F94">
                          <w:pPr>
                            <w:pStyle w:val="17"/>
                          </w:pPr>
                          <w:r>
                            <w:fldChar w:fldCharType="begin"/>
                          </w:r>
                          <w:r>
                            <w:instrText xml:space="preserve"> PAGE  \* MERGEFORMAT </w:instrText>
                          </w:r>
                          <w:r>
                            <w:fldChar w:fldCharType="separate"/>
                          </w:r>
                          <w:r>
                            <w:t>90</w:t>
                          </w:r>
                          <w:r>
                            <w:fldChar w:fldCharType="end"/>
                          </w:r>
                        </w:p>
                      </w:txbxContent>
                    </wps:txbx>
                    <wps:bodyPr vert="horz" wrap="none" lIns="0" tIns="0" rIns="0" bIns="0" anchor="t" upright="0">
                      <a:spAutoFit/>
                    </wps:bodyPr>
                  </wps:wsp>
                </a:graphicData>
              </a:graphic>
            </wp:anchor>
          </w:drawing>
        </mc:Choice>
        <mc:Fallback>
          <w:pict>
            <v:rect id="文本框 388"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JutI+zTAQAAoAMAAA4AAAAAAAAAAQAgAAAAHwEA&#10;AGRycy9lMm9Eb2MueG1sUEsFBgAAAAAGAAYAWQEAAGQFAAAAAA==&#10;">
              <v:fill on="f" focussize="0,0"/>
              <v:stroke on="f"/>
              <v:imagedata o:title=""/>
              <o:lock v:ext="edit" aspectratio="f"/>
              <v:textbox inset="0mm,0mm,0mm,0mm" style="mso-fit-shape-to-text:t;">
                <w:txbxContent>
                  <w:p w14:paraId="2C4A6F94">
                    <w:pPr>
                      <w:pStyle w:val="17"/>
                    </w:pPr>
                    <w:r>
                      <w:fldChar w:fldCharType="begin"/>
                    </w:r>
                    <w:r>
                      <w:instrText xml:space="preserve"> PAGE  \* MERGEFORMAT </w:instrText>
                    </w:r>
                    <w:r>
                      <w:fldChar w:fldCharType="separate"/>
                    </w:r>
                    <w:r>
                      <w:t>90</w:t>
                    </w:r>
                    <w:r>
                      <w:fldChar w:fldCharType="end"/>
                    </w:r>
                  </w:p>
                </w:txbxContent>
              </v:textbox>
            </v:rect>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EA06F">
    <w:pPr>
      <w:spacing w:line="174" w:lineRule="auto"/>
      <w:ind w:left="5731"/>
      <w:rPr>
        <w:rFonts w:ascii="Times New Roman" w:hAnsi="Times New Roman" w:eastAsia="Times New Roman" w:cs="Times New Roman"/>
        <w:sz w:val="18"/>
        <w:szCs w:val="18"/>
      </w:rPr>
    </w:pPr>
    <w:r>
      <w:rPr>
        <w:sz w:val="18"/>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1" name="文本框 38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A92BAC2">
                          <w:pPr>
                            <w:pStyle w:val="17"/>
                          </w:pPr>
                          <w:r>
                            <w:fldChar w:fldCharType="begin"/>
                          </w:r>
                          <w:r>
                            <w:instrText xml:space="preserve"> PAGE  \* MERGEFORMAT </w:instrText>
                          </w:r>
                          <w:r>
                            <w:fldChar w:fldCharType="separate"/>
                          </w:r>
                          <w:r>
                            <w:t>91</w:t>
                          </w:r>
                          <w:r>
                            <w:fldChar w:fldCharType="end"/>
                          </w:r>
                        </w:p>
                      </w:txbxContent>
                    </wps:txbx>
                    <wps:bodyPr vert="horz" wrap="none" lIns="0" tIns="0" rIns="0" bIns="0" anchor="t" upright="0">
                      <a:spAutoFit/>
                    </wps:bodyPr>
                  </wps:wsp>
                </a:graphicData>
              </a:graphic>
            </wp:anchor>
          </w:drawing>
        </mc:Choice>
        <mc:Fallback>
          <w:pict>
            <v:rect id="文本框 389"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Obhlf/TAQAAoAMAAA4AAAAAAAAAAQAgAAAAHwEA&#10;AGRycy9lMm9Eb2MueG1sUEsFBgAAAAAGAAYAWQEAAGQFAAAAAA==&#10;">
              <v:fill on="f" focussize="0,0"/>
              <v:stroke on="f"/>
              <v:imagedata o:title=""/>
              <o:lock v:ext="edit" aspectratio="f"/>
              <v:textbox inset="0mm,0mm,0mm,0mm" style="mso-fit-shape-to-text:t;">
                <w:txbxContent>
                  <w:p w14:paraId="2A92BAC2">
                    <w:pPr>
                      <w:pStyle w:val="17"/>
                    </w:pPr>
                    <w:r>
                      <w:fldChar w:fldCharType="begin"/>
                    </w:r>
                    <w:r>
                      <w:instrText xml:space="preserve"> PAGE  \* MERGEFORMAT </w:instrText>
                    </w:r>
                    <w:r>
                      <w:fldChar w:fldCharType="separate"/>
                    </w:r>
                    <w:r>
                      <w:t>91</w:t>
                    </w:r>
                    <w:r>
                      <w:fldChar w:fldCharType="end"/>
                    </w:r>
                  </w:p>
                </w:txbxContent>
              </v:textbox>
            </v:rect>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64456">
    <w:pPr>
      <w:spacing w:line="174" w:lineRule="auto"/>
      <w:ind w:left="5731"/>
      <w:rPr>
        <w:rFonts w:ascii="Times New Roman" w:hAnsi="Times New Roman" w:eastAsia="Times New Roman" w:cs="Times New Roman"/>
        <w:sz w:val="18"/>
        <w:szCs w:val="18"/>
      </w:rPr>
    </w:pPr>
    <w:r>
      <w:rPr>
        <w:sz w:val="18"/>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2" name="文本框 39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81E2EF7">
                          <w:pPr>
                            <w:pStyle w:val="17"/>
                          </w:pPr>
                          <w:r>
                            <w:fldChar w:fldCharType="begin"/>
                          </w:r>
                          <w:r>
                            <w:instrText xml:space="preserve"> PAGE  \* MERGEFORMAT </w:instrText>
                          </w:r>
                          <w:r>
                            <w:fldChar w:fldCharType="separate"/>
                          </w:r>
                          <w:r>
                            <w:t>92</w:t>
                          </w:r>
                          <w:r>
                            <w:fldChar w:fldCharType="end"/>
                          </w:r>
                        </w:p>
                      </w:txbxContent>
                    </wps:txbx>
                    <wps:bodyPr vert="horz" wrap="none" lIns="0" tIns="0" rIns="0" bIns="0" anchor="t" upright="0">
                      <a:spAutoFit/>
                    </wps:bodyPr>
                  </wps:wsp>
                </a:graphicData>
              </a:graphic>
            </wp:anchor>
          </w:drawing>
        </mc:Choice>
        <mc:Fallback>
          <w:pict>
            <v:rect id="文本框 390"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DEi1nfTAQAAoAMAAA4AAAAAAAAAAQAgAAAAHwEA&#10;AGRycy9lMm9Eb2MueG1sUEsFBgAAAAAGAAYAWQEAAGQFAAAAAA==&#10;">
              <v:fill on="f" focussize="0,0"/>
              <v:stroke on="f"/>
              <v:imagedata o:title=""/>
              <o:lock v:ext="edit" aspectratio="f"/>
              <v:textbox inset="0mm,0mm,0mm,0mm" style="mso-fit-shape-to-text:t;">
                <w:txbxContent>
                  <w:p w14:paraId="181E2EF7">
                    <w:pPr>
                      <w:pStyle w:val="17"/>
                    </w:pPr>
                    <w:r>
                      <w:fldChar w:fldCharType="begin"/>
                    </w:r>
                    <w:r>
                      <w:instrText xml:space="preserve"> PAGE  \* MERGEFORMAT </w:instrText>
                    </w:r>
                    <w:r>
                      <w:fldChar w:fldCharType="separate"/>
                    </w:r>
                    <w:r>
                      <w:t>92</w:t>
                    </w:r>
                    <w:r>
                      <w:fldChar w:fldCharType="end"/>
                    </w:r>
                  </w:p>
                </w:txbxContent>
              </v:textbox>
            </v:rect>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6D6D8">
    <w:pPr>
      <w:spacing w:line="174" w:lineRule="auto"/>
      <w:ind w:left="5731"/>
      <w:rPr>
        <w:rFonts w:ascii="Times New Roman" w:hAnsi="Times New Roman" w:eastAsia="Times New Roman" w:cs="Times New Roman"/>
        <w:sz w:val="18"/>
        <w:szCs w:val="18"/>
      </w:rPr>
    </w:pPr>
    <w:r>
      <w:rPr>
        <w:sz w:val="18"/>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3" name="文本框 39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0E85B82">
                          <w:pPr>
                            <w:pStyle w:val="17"/>
                          </w:pPr>
                          <w:r>
                            <w:fldChar w:fldCharType="begin"/>
                          </w:r>
                          <w:r>
                            <w:instrText xml:space="preserve"> PAGE  \* MERGEFORMAT </w:instrText>
                          </w:r>
                          <w:r>
                            <w:fldChar w:fldCharType="separate"/>
                          </w:r>
                          <w:r>
                            <w:t>93</w:t>
                          </w:r>
                          <w:r>
                            <w:fldChar w:fldCharType="end"/>
                          </w:r>
                        </w:p>
                      </w:txbxContent>
                    </wps:txbx>
                    <wps:bodyPr vert="horz" wrap="none" lIns="0" tIns="0" rIns="0" bIns="0" anchor="t" upright="0">
                      <a:spAutoFit/>
                    </wps:bodyPr>
                  </wps:wsp>
                </a:graphicData>
              </a:graphic>
            </wp:anchor>
          </w:drawing>
        </mc:Choice>
        <mc:Fallback>
          <w:pict>
            <v:rect id="文本框 391"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&#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l1uVLQAAAABQEAAA8AAAAAAAAAAQAgAAAAIgAAAGRy&#10;cy9kb3ducmV2LnhtbFBLAQIUABQAAAAIAIdO4kBMbmBk1AEAAKADAAAOAAAAAAAAAAEAIAAAAB8B&#10;AABkcnMvZTJvRG9jLnhtbFBLBQYAAAAABgAGAFkBAABlBQAAAAA=&#10;">
              <v:fill on="f" focussize="0,0"/>
              <v:stroke on="f"/>
              <v:imagedata o:title=""/>
              <o:lock v:ext="edit" aspectratio="f"/>
              <v:textbox inset="0mm,0mm,0mm,0mm" style="mso-fit-shape-to-text:t;">
                <w:txbxContent>
                  <w:p w14:paraId="60E85B82">
                    <w:pPr>
                      <w:pStyle w:val="17"/>
                    </w:pPr>
                    <w:r>
                      <w:fldChar w:fldCharType="begin"/>
                    </w:r>
                    <w:r>
                      <w:instrText xml:space="preserve"> PAGE  \* MERGEFORMAT </w:instrText>
                    </w:r>
                    <w:r>
                      <w:fldChar w:fldCharType="separate"/>
                    </w:r>
                    <w:r>
                      <w:t>93</w:t>
                    </w:r>
                    <w:r>
                      <w:fldChar w:fldCharType="end"/>
                    </w:r>
                  </w:p>
                </w:txbxContent>
              </v:textbox>
            </v:rect>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873E6">
    <w:pPr>
      <w:spacing w:line="174" w:lineRule="auto"/>
      <w:ind w:left="5731"/>
      <w:rPr>
        <w:rFonts w:ascii="Times New Roman" w:hAnsi="Times New Roman" w:eastAsia="Times New Roman" w:cs="Times New Roman"/>
        <w:sz w:val="18"/>
        <w:szCs w:val="18"/>
      </w:rPr>
    </w:pPr>
    <w:r>
      <w:rPr>
        <w:sz w:val="18"/>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4" name="文本框 39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9931252">
                          <w:pPr>
                            <w:pStyle w:val="17"/>
                          </w:pPr>
                          <w:r>
                            <w:fldChar w:fldCharType="begin"/>
                          </w:r>
                          <w:r>
                            <w:instrText xml:space="preserve"> PAGE  \* MERGEFORMAT </w:instrText>
                          </w:r>
                          <w:r>
                            <w:fldChar w:fldCharType="separate"/>
                          </w:r>
                          <w:r>
                            <w:t>94</w:t>
                          </w:r>
                          <w:r>
                            <w:fldChar w:fldCharType="end"/>
                          </w:r>
                        </w:p>
                      </w:txbxContent>
                    </wps:txbx>
                    <wps:bodyPr vert="horz" wrap="none" lIns="0" tIns="0" rIns="0" bIns="0" anchor="t" upright="0">
                      <a:spAutoFit/>
                    </wps:bodyPr>
                  </wps:wsp>
                </a:graphicData>
              </a:graphic>
            </wp:anchor>
          </w:drawing>
        </mc:Choice>
        <mc:Fallback>
          <w:pict>
            <v:rect id="文本框 392"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&#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5dblS0AAAAAUBAAAPAAAAAAAAAAEAIAAAACIAAABk&#10;cnMvZG93bnJldi54bWxQSwECFAAUAAAACACHTuJAC/fVYNUBAACgAwAADgAAAAAAAAABACAAAAAf&#10;AQAAZHJzL2Uyb0RvYy54bWxQSwUGAAAAAAYABgBZAQAAZgUAAAAA&#10;">
              <v:fill on="f" focussize="0,0"/>
              <v:stroke on="f"/>
              <v:imagedata o:title=""/>
              <o:lock v:ext="edit" aspectratio="f"/>
              <v:textbox inset="0mm,0mm,0mm,0mm" style="mso-fit-shape-to-text:t;">
                <w:txbxContent>
                  <w:p w14:paraId="39931252">
                    <w:pPr>
                      <w:pStyle w:val="17"/>
                    </w:pPr>
                    <w:r>
                      <w:fldChar w:fldCharType="begin"/>
                    </w:r>
                    <w:r>
                      <w:instrText xml:space="preserve"> PAGE  \* MERGEFORMAT </w:instrText>
                    </w:r>
                    <w:r>
                      <w:fldChar w:fldCharType="separate"/>
                    </w:r>
                    <w:r>
                      <w:t>94</w:t>
                    </w:r>
                    <w:r>
                      <w:fldChar w:fldCharType="end"/>
                    </w:r>
                  </w:p>
                </w:txbxContent>
              </v:textbox>
            </v:rect>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063EF">
    <w:pPr>
      <w:spacing w:line="174" w:lineRule="auto"/>
      <w:ind w:left="5731"/>
      <w:rPr>
        <w:rFonts w:ascii="Times New Roman" w:hAnsi="Times New Roman" w:eastAsia="Times New Roman" w:cs="Times New Roman"/>
        <w:sz w:val="18"/>
        <w:szCs w:val="18"/>
      </w:rPr>
    </w:pPr>
    <w:r>
      <w:rPr>
        <w:sz w:val="18"/>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5" name="文本框 39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96096D8">
                          <w:pPr>
                            <w:pStyle w:val="17"/>
                          </w:pPr>
                          <w:r>
                            <w:fldChar w:fldCharType="begin"/>
                          </w:r>
                          <w:r>
                            <w:instrText xml:space="preserve"> PAGE  \* MERGEFORMAT </w:instrText>
                          </w:r>
                          <w:r>
                            <w:fldChar w:fldCharType="separate"/>
                          </w:r>
                          <w:r>
                            <w:t>96</w:t>
                          </w:r>
                          <w:r>
                            <w:fldChar w:fldCharType="end"/>
                          </w:r>
                        </w:p>
                      </w:txbxContent>
                    </wps:txbx>
                    <wps:bodyPr vert="horz" wrap="none" lIns="0" tIns="0" rIns="0" bIns="0" anchor="t" upright="0">
                      <a:spAutoFit/>
                    </wps:bodyPr>
                  </wps:wsp>
                </a:graphicData>
              </a:graphic>
            </wp:anchor>
          </w:drawing>
        </mc:Choice>
        <mc:Fallback>
          <w:pict>
            <v:rect id="文本框 394"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&#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5dblS0AAAAAUBAAAPAAAAAAAAAAEAIAAAACIAAABk&#10;cnMvZG93bnJldi54bWxQSwECFAAUAAAACACHTuJAVWYjLdUBAACgAwAADgAAAAAAAAABACAAAAAf&#10;AQAAZHJzL2Uyb0RvYy54bWxQSwUGAAAAAAYABgBZAQAAZgUAAAAA&#10;">
              <v:fill on="f" focussize="0,0"/>
              <v:stroke on="f"/>
              <v:imagedata o:title=""/>
              <o:lock v:ext="edit" aspectratio="f"/>
              <v:textbox inset="0mm,0mm,0mm,0mm" style="mso-fit-shape-to-text:t;">
                <w:txbxContent>
                  <w:p w14:paraId="096096D8">
                    <w:pPr>
                      <w:pStyle w:val="17"/>
                    </w:pPr>
                    <w:r>
                      <w:fldChar w:fldCharType="begin"/>
                    </w:r>
                    <w:r>
                      <w:instrText xml:space="preserve"> PAGE  \* MERGEFORMAT </w:instrText>
                    </w:r>
                    <w:r>
                      <w:fldChar w:fldCharType="separate"/>
                    </w:r>
                    <w:r>
                      <w:t>96</w:t>
                    </w:r>
                    <w:r>
                      <w:fldChar w:fldCharType="end"/>
                    </w:r>
                  </w:p>
                </w:txbxContent>
              </v:textbox>
            </v:rect>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06D1A">
    <w:pPr>
      <w:spacing w:line="174" w:lineRule="auto"/>
      <w:ind w:left="5731"/>
      <w:rPr>
        <w:rFonts w:ascii="Times New Roman" w:hAnsi="Times New Roman" w:eastAsia="Times New Roman" w:cs="Times New Roman"/>
        <w:sz w:val="18"/>
        <w:szCs w:val="18"/>
      </w:rPr>
    </w:pPr>
    <w:r>
      <w:rPr>
        <w:sz w:val="18"/>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39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815C7C0">
                          <w:pPr>
                            <w:pStyle w:val="17"/>
                          </w:pPr>
                          <w:r>
                            <w:fldChar w:fldCharType="begin"/>
                          </w:r>
                          <w:r>
                            <w:instrText xml:space="preserve"> PAGE  \* MERGEFORMAT </w:instrText>
                          </w:r>
                          <w:r>
                            <w:fldChar w:fldCharType="separate"/>
                          </w:r>
                          <w:r>
                            <w:t>97</w:t>
                          </w:r>
                          <w:r>
                            <w:fldChar w:fldCharType="end"/>
                          </w:r>
                        </w:p>
                      </w:txbxContent>
                    </wps:txbx>
                    <wps:bodyPr vert="horz" wrap="none" lIns="0" tIns="0" rIns="0" bIns="0" anchor="t" upright="0">
                      <a:spAutoFit/>
                    </wps:bodyPr>
                  </wps:wsp>
                </a:graphicData>
              </a:graphic>
            </wp:anchor>
          </w:drawing>
        </mc:Choice>
        <mc:Fallback>
          <w:pict>
            <v:rect id="文本框 395"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l1uVLQAAAABQEAAA8AAAAAAAAAAQAgAAAAIgAAAGRycy9k&#10;b3ducmV2LnhtbFBLAQIUABQAAAAIAIdO4kBxk5by0QEAAJ0DAAAOAAAAAAAAAAEAIAAAAB8BAABk&#10;cnMvZTJvRG9jLnhtbFBLBQYAAAAABgAGAFkBAABiBQAAAAA=&#10;">
              <v:fill on="f" focussize="0,0"/>
              <v:stroke on="f"/>
              <v:imagedata o:title=""/>
              <o:lock v:ext="edit" aspectratio="f"/>
              <v:textbox inset="0mm,0mm,0mm,0mm" style="mso-fit-shape-to-text:t;">
                <w:txbxContent>
                  <w:p w14:paraId="2815C7C0">
                    <w:pPr>
                      <w:pStyle w:val="17"/>
                    </w:pPr>
                    <w:r>
                      <w:fldChar w:fldCharType="begin"/>
                    </w:r>
                    <w:r>
                      <w:instrText xml:space="preserve"> PAGE  \* MERGEFORMAT </w:instrText>
                    </w:r>
                    <w:r>
                      <w:fldChar w:fldCharType="separate"/>
                    </w:r>
                    <w:r>
                      <w:t>97</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376C7">
    <w:pPr>
      <w:spacing w:line="174" w:lineRule="auto"/>
      <w:ind w:left="4128"/>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7437F">
    <w:pPr>
      <w:spacing w:line="174" w:lineRule="auto"/>
      <w:ind w:left="5731"/>
      <w:rPr>
        <w:rFonts w:ascii="Times New Roman" w:hAnsi="Times New Roman" w:eastAsia="Times New Roman" w:cs="Times New Roman"/>
        <w:sz w:val="18"/>
        <w:szCs w:val="18"/>
      </w:rPr>
    </w:pPr>
    <w:r>
      <w:rPr>
        <w:sz w:val="18"/>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6" name="文本框 39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3A5491F">
                          <w:pPr>
                            <w:pStyle w:val="17"/>
                          </w:pPr>
                          <w:r>
                            <w:fldChar w:fldCharType="begin"/>
                          </w:r>
                          <w:r>
                            <w:instrText xml:space="preserve"> PAGE  \* MERGEFORMAT </w:instrText>
                          </w:r>
                          <w:r>
                            <w:fldChar w:fldCharType="separate"/>
                          </w:r>
                          <w:r>
                            <w:t>97</w:t>
                          </w:r>
                          <w:r>
                            <w:fldChar w:fldCharType="end"/>
                          </w:r>
                        </w:p>
                      </w:txbxContent>
                    </wps:txbx>
                    <wps:bodyPr vert="horz" wrap="none" lIns="0" tIns="0" rIns="0" bIns="0" anchor="t" upright="0">
                      <a:spAutoFit/>
                    </wps:bodyPr>
                  </wps:wsp>
                </a:graphicData>
              </a:graphic>
            </wp:anchor>
          </w:drawing>
        </mc:Choice>
        <mc:Fallback>
          <w:pict>
            <v:rect id="文本框 395"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&#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5dblS0AAAAAUBAAAPAAAAAAAAAAEAIAAAACIAAABk&#10;cnMvZG93bnJldi54bWxQSwECFAAUAAAACACHTuJAyIyiJtUBAACgAwAADgAAAAAAAAABACAAAAAf&#10;AQAAZHJzL2Uyb0RvYy54bWxQSwUGAAAAAAYABgBZAQAAZgUAAAAA&#10;">
              <v:fill on="f" focussize="0,0"/>
              <v:stroke on="f"/>
              <v:imagedata o:title=""/>
              <o:lock v:ext="edit" aspectratio="f"/>
              <v:textbox inset="0mm,0mm,0mm,0mm" style="mso-fit-shape-to-text:t;">
                <w:txbxContent>
                  <w:p w14:paraId="73A5491F">
                    <w:pPr>
                      <w:pStyle w:val="17"/>
                    </w:pPr>
                    <w:r>
                      <w:fldChar w:fldCharType="begin"/>
                    </w:r>
                    <w:r>
                      <w:instrText xml:space="preserve"> PAGE  \* MERGEFORMAT </w:instrText>
                    </w:r>
                    <w:r>
                      <w:fldChar w:fldCharType="separate"/>
                    </w:r>
                    <w:r>
                      <w:t>97</w:t>
                    </w:r>
                    <w:r>
                      <w:fldChar w:fldCharType="end"/>
                    </w:r>
                  </w:p>
                </w:txbxContent>
              </v:textbox>
            </v:rect>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36FFE">
    <w:pPr>
      <w:pStyle w:val="17"/>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418279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B21BF0">
                          <w:pPr>
                            <w:pStyle w:val="17"/>
                          </w:pPr>
                          <w:r>
                            <w:fldChar w:fldCharType="begin"/>
                          </w:r>
                          <w:r>
                            <w:instrText xml:space="preserve"> PAGE  \* MERGEFORMAT </w:instrText>
                          </w:r>
                          <w:r>
                            <w:fldChar w:fldCharType="separate"/>
                          </w:r>
                          <w:r>
                            <w:t>223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j2BwzAgAAXQQAAA4AAAAAAAAAAQAgAAAAHwEAAGRycy9lMm9Eb2MueG1sUEsF&#10;BgAAAAAGAAYAWQEAAMQFAAAAAA==&#10;">
              <v:fill on="f" focussize="0,0"/>
              <v:stroke on="f" weight="0.5pt"/>
              <v:imagedata o:title=""/>
              <o:lock v:ext="edit" aspectratio="f"/>
              <v:textbox inset="0mm,0mm,0mm,0mm" style="mso-fit-shape-to-text:t;">
                <w:txbxContent>
                  <w:p w14:paraId="4BB21BF0">
                    <w:pPr>
                      <w:pStyle w:val="17"/>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FB538">
    <w:pPr>
      <w:pStyle w:val="17"/>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1050447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5FF767">
                          <w:pPr>
                            <w:pStyle w:val="17"/>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5/lFQzAgAAXQQAAA4AAAAAAAAAAQAgAAAAHwEAAGRycy9lMm9Eb2MueG1sUEsF&#10;BgAAAAAGAAYAWQEAAMQFAAAAAA==&#10;">
              <v:fill on="f" focussize="0,0"/>
              <v:stroke on="f" weight="0.5pt"/>
              <v:imagedata o:title=""/>
              <o:lock v:ext="edit" aspectratio="f"/>
              <v:textbox inset="0mm,0mm,0mm,0mm" style="mso-fit-shape-to-text:t;">
                <w:txbxContent>
                  <w:p w14:paraId="4B5FF767">
                    <w:pPr>
                      <w:pStyle w:val="17"/>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E8FAA">
    <w:pPr>
      <w:pStyle w:val="17"/>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313768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66E176">
                          <w:pPr>
                            <w:pStyle w:val="17"/>
                            <w:rPr>
                              <w:rFonts w:hint="default"/>
                            </w:rPr>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ny+/jICAABdBAAADgAAAAAAAAABACAAAAAfAQAAZHJzL2Uyb0RvYy54bWxQSwUG&#10;AAAAAAYABgBZAQAAwwUAAAAA&#10;">
              <v:fill on="f" focussize="0,0"/>
              <v:stroke on="f" weight="0.5pt"/>
              <v:imagedata o:title=""/>
              <o:lock v:ext="edit" aspectratio="f"/>
              <v:textbox inset="0mm,0mm,0mm,0mm" style="mso-fit-shape-to-text:t;">
                <w:txbxContent>
                  <w:p w14:paraId="5966E176">
                    <w:pPr>
                      <w:pStyle w:val="17"/>
                      <w:rPr>
                        <w:rFonts w:hint="default"/>
                      </w:rPr>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7BB33">
    <w:pPr>
      <w:pStyle w:val="17"/>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8551256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9E4F79">
                          <w:pPr>
                            <w:pStyle w:val="17"/>
                            <w:rPr>
                              <w:rFonts w:hint="default"/>
                            </w:rPr>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ygvpEzAgAAXQQAAA4AAAAAAAAAAQAgAAAAHwEAAGRycy9lMm9Eb2MueG1sUEsF&#10;BgAAAAAGAAYAWQEAAMQFAAAAAA==&#10;">
              <v:fill on="f" focussize="0,0"/>
              <v:stroke on="f" weight="0.5pt"/>
              <v:imagedata o:title=""/>
              <o:lock v:ext="edit" aspectratio="f"/>
              <v:textbox inset="0mm,0mm,0mm,0mm" style="mso-fit-shape-to-text:t;">
                <w:txbxContent>
                  <w:p w14:paraId="1F9E4F79">
                    <w:pPr>
                      <w:pStyle w:val="17"/>
                      <w:rPr>
                        <w:rFonts w:hint="default"/>
                      </w:rPr>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18563">
    <w:pPr>
      <w:pStyle w:val="17"/>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322217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E8D1F">
                          <w:pPr>
                            <w:pStyle w:val="17"/>
                            <w:rPr>
                              <w:rFonts w:hint="default"/>
                            </w:rPr>
                          </w:pPr>
                          <w:r>
                            <w:fldChar w:fldCharType="begin"/>
                          </w:r>
                          <w:r>
                            <w:instrText xml:space="preserve"> PAGE  \* MERGEFORMAT </w:instrText>
                          </w:r>
                          <w:r>
                            <w:fldChar w:fldCharType="separate"/>
                          </w:r>
                          <w:r>
                            <w:t>230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EmNAzAgAAXQQAAA4AAAAAAAAAAQAgAAAAHwEAAGRycy9lMm9Eb2MueG1sUEsF&#10;BgAAAAAGAAYAWQEAAMQFAAAAAA==&#10;">
              <v:fill on="f" focussize="0,0"/>
              <v:stroke on="f" weight="0.5pt"/>
              <v:imagedata o:title=""/>
              <o:lock v:ext="edit" aspectratio="f"/>
              <v:textbox inset="0mm,0mm,0mm,0mm" style="mso-fit-shape-to-text:t;">
                <w:txbxContent>
                  <w:p w14:paraId="079E8D1F">
                    <w:pPr>
                      <w:pStyle w:val="17"/>
                      <w:rPr>
                        <w:rFonts w:hint="default"/>
                      </w:rPr>
                    </w:pPr>
                    <w:r>
                      <w:fldChar w:fldCharType="begin"/>
                    </w:r>
                    <w:r>
                      <w:instrText xml:space="preserve"> PAGE  \* MERGEFORMAT </w:instrText>
                    </w:r>
                    <w:r>
                      <w:fldChar w:fldCharType="separate"/>
                    </w:r>
                    <w:r>
                      <w:t>230</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6F117">
    <w:pPr>
      <w:pStyle w:val="17"/>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054274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4B35E">
                          <w:pPr>
                            <w:pStyle w:val="17"/>
                            <w:rPr>
                              <w:rFonts w:hint="default"/>
                            </w:rPr>
                          </w:pPr>
                          <w:r>
                            <w:fldChar w:fldCharType="begin"/>
                          </w:r>
                          <w:r>
                            <w:instrText xml:space="preserve"> PAGE  \* MERGEFORMAT </w:instrText>
                          </w:r>
                          <w:r>
                            <w:fldChar w:fldCharType="separate"/>
                          </w:r>
                          <w:r>
                            <w:t>231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EWPCczAgAAXgQAAA4AAAAAAAAAAQAgAAAAHwEAAGRycy9lMm9Eb2MueG1sUEsF&#10;BgAAAAAGAAYAWQEAAMQFAAAAAA==&#10;">
              <v:fill on="f" focussize="0,0"/>
              <v:stroke on="f" weight="0.5pt"/>
              <v:imagedata o:title=""/>
              <o:lock v:ext="edit" aspectratio="f"/>
              <v:textbox inset="0mm,0mm,0mm,0mm" style="mso-fit-shape-to-text:t;">
                <w:txbxContent>
                  <w:p w14:paraId="72B4B35E">
                    <w:pPr>
                      <w:pStyle w:val="17"/>
                      <w:rPr>
                        <w:rFonts w:hint="default"/>
                      </w:rPr>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B4F0C">
    <w:pPr>
      <w:pStyle w:val="17"/>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876927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746E1C">
                          <w:pPr>
                            <w:pStyle w:val="17"/>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BlLEMzAgAAXgQAAA4AAAAAAAAAAQAgAAAAHwEAAGRycy9lMm9Eb2MueG1sUEsF&#10;BgAAAAAGAAYAWQEAAMQFAAAAAA==&#10;">
              <v:fill on="f" focussize="0,0"/>
              <v:stroke on="f" weight="0.5pt"/>
              <v:imagedata o:title=""/>
              <o:lock v:ext="edit" aspectratio="f"/>
              <v:textbox inset="0mm,0mm,0mm,0mm" style="mso-fit-shape-to-text:t;">
                <w:txbxContent>
                  <w:p w14:paraId="62746E1C">
                    <w:pPr>
                      <w:pStyle w:val="17"/>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873AF">
    <w:pPr>
      <w:pStyle w:val="17"/>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9674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91672B">
                          <w:pPr>
                            <w:pStyle w:val="17"/>
                            <w:rPr>
                              <w:rFonts w:hint="default"/>
                            </w:rPr>
                          </w:pPr>
                          <w:r>
                            <w:fldChar w:fldCharType="begin"/>
                          </w:r>
                          <w:r>
                            <w:instrText xml:space="preserve"> PAGE  \* MERGEFORMAT </w:instrText>
                          </w:r>
                          <w:r>
                            <w:fldChar w:fldCharType="separate"/>
                          </w:r>
                          <w:r>
                            <w:t>233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6ZI/NzICAABdBAAADgAAAAAAAAABACAAAAAfAQAAZHJzL2Uyb0RvYy54bWxQSwUG&#10;AAAAAAYABgBZAQAAwwUAAAAA&#10;">
              <v:fill on="f" focussize="0,0"/>
              <v:stroke on="f" weight="0.5pt"/>
              <v:imagedata o:title=""/>
              <o:lock v:ext="edit" aspectratio="f"/>
              <v:textbox inset="0mm,0mm,0mm,0mm" style="mso-fit-shape-to-text:t;">
                <w:txbxContent>
                  <w:p w14:paraId="6C91672B">
                    <w:pPr>
                      <w:pStyle w:val="17"/>
                      <w:rPr>
                        <w:rFonts w:hint="default"/>
                      </w:rPr>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21FC5">
    <w:pPr>
      <w:pStyle w:val="17"/>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204498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C4426A">
                          <w:pPr>
                            <w:pStyle w:val="17"/>
                            <w:rPr>
                              <w:rFonts w:hint="default"/>
                            </w:rPr>
                          </w:pPr>
                          <w:r>
                            <w:fldChar w:fldCharType="begin"/>
                          </w:r>
                          <w:r>
                            <w:instrText xml:space="preserve"> PAGE  \* MERGEFORMAT </w:instrText>
                          </w:r>
                          <w:r>
                            <w:fldChar w:fldCharType="separate"/>
                          </w:r>
                          <w:r>
                            <w:t>234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K4TnUzAgAAXgQAAA4AAAAAAAAAAQAgAAAAHwEAAGRycy9lMm9Eb2MueG1sUEsF&#10;BgAAAAAGAAYAWQEAAMQFAAAAAA==&#10;">
              <v:fill on="f" focussize="0,0"/>
              <v:stroke on="f" weight="0.5pt"/>
              <v:imagedata o:title=""/>
              <o:lock v:ext="edit" aspectratio="f"/>
              <v:textbox inset="0mm,0mm,0mm,0mm" style="mso-fit-shape-to-text:t;">
                <w:txbxContent>
                  <w:p w14:paraId="76C4426A">
                    <w:pPr>
                      <w:pStyle w:val="17"/>
                      <w:rPr>
                        <w:rFonts w:hint="default"/>
                      </w:rPr>
                    </w:pPr>
                    <w:r>
                      <w:fldChar w:fldCharType="begin"/>
                    </w:r>
                    <w:r>
                      <w:instrText xml:space="preserve"> PAGE  \* MERGEFORMAT </w:instrText>
                    </w:r>
                    <w:r>
                      <w:fldChar w:fldCharType="separate"/>
                    </w:r>
                    <w:r>
                      <w:t>234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125C9">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395120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D7687">
                          <w:pPr>
                            <w:pStyle w:val="17"/>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62cNaDICAABdBAAADgAAAAAAAAABACAAAAAfAQAAZHJzL2Uyb0RvYy54bWxQSwUG&#10;AAAAAAYABgBZAQAAwwUAAAAA&#10;">
              <v:fill on="f" focussize="0,0"/>
              <v:stroke on="f" weight="0.5pt"/>
              <v:imagedata o:title=""/>
              <o:lock v:ext="edit" aspectratio="f"/>
              <v:textbox inset="0mm,0mm,0mm,0mm" style="mso-fit-shape-to-text:t;">
                <w:txbxContent>
                  <w:p w14:paraId="604D7687">
                    <w:pPr>
                      <w:pStyle w:val="17"/>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2AB10">
    <w:pPr>
      <w:pStyle w:val="17"/>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201552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88BA8D">
                          <w:pPr>
                            <w:pStyle w:val="17"/>
                            <w:rPr>
                              <w:rFonts w:hint="default"/>
                            </w:rPr>
                          </w:pPr>
                          <w:r>
                            <w:fldChar w:fldCharType="begin"/>
                          </w:r>
                          <w:r>
                            <w:instrText xml:space="preserve"> PAGE  \* MERGEFORMAT </w:instrText>
                          </w:r>
                          <w:r>
                            <w:fldChar w:fldCharType="separate"/>
                          </w:r>
                          <w:r>
                            <w:t>235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VxFgzAgAAXgQAAA4AAAAAAAAAAQAgAAAAHwEAAGRycy9lMm9Eb2MueG1sUEsF&#10;BgAAAAAGAAYAWQEAAMQFAAAAAA==&#10;">
              <v:fill on="f" focussize="0,0"/>
              <v:stroke on="f" weight="0.5pt"/>
              <v:imagedata o:title=""/>
              <o:lock v:ext="edit" aspectratio="f"/>
              <v:textbox inset="0mm,0mm,0mm,0mm" style="mso-fit-shape-to-text:t;">
                <w:txbxContent>
                  <w:p w14:paraId="1B88BA8D">
                    <w:pPr>
                      <w:pStyle w:val="17"/>
                      <w:rPr>
                        <w:rFonts w:hint="default"/>
                      </w:rPr>
                    </w:pPr>
                    <w:r>
                      <w:fldChar w:fldCharType="begin"/>
                    </w:r>
                    <w:r>
                      <w:instrText xml:space="preserve"> PAGE  \* MERGEFORMAT </w:instrText>
                    </w:r>
                    <w:r>
                      <w:fldChar w:fldCharType="separate"/>
                    </w:r>
                    <w:r>
                      <w:t>235</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687AE">
    <w:pPr>
      <w:pStyle w:val="17"/>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7621807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C7E0C6">
                          <w:pPr>
                            <w:pStyle w:val="17"/>
                            <w:rPr>
                              <w:rFonts w:hint="default"/>
                            </w:rPr>
                          </w:pPr>
                          <w:r>
                            <w:fldChar w:fldCharType="begin"/>
                          </w:r>
                          <w:r>
                            <w:instrText xml:space="preserve"> PAGE  \* MERGEFORMAT </w:instrText>
                          </w:r>
                          <w:r>
                            <w:fldChar w:fldCharType="separate"/>
                          </w:r>
                          <w:r>
                            <w:t>236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7D5ojICAABdBAAADgAAAAAAAAABACAAAAAfAQAAZHJzL2Uyb0RvYy54bWxQSwUG&#10;AAAAAAYABgBZAQAAwwUAAAAA&#10;">
              <v:fill on="f" focussize="0,0"/>
              <v:stroke on="f" weight="0.5pt"/>
              <v:imagedata o:title=""/>
              <o:lock v:ext="edit" aspectratio="f"/>
              <v:textbox inset="0mm,0mm,0mm,0mm" style="mso-fit-shape-to-text:t;">
                <w:txbxContent>
                  <w:p w14:paraId="4CC7E0C6">
                    <w:pPr>
                      <w:pStyle w:val="17"/>
                      <w:rPr>
                        <w:rFonts w:hint="default"/>
                      </w:rPr>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F9AE7">
    <w:pPr>
      <w:pStyle w:val="17"/>
      <w:rPr>
        <w:rFonts w:hint="default"/>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106991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07E610">
                          <w:pPr>
                            <w:pStyle w:val="17"/>
                            <w:rPr>
                              <w:rFonts w:hint="default"/>
                            </w:rPr>
                          </w:pPr>
                          <w:r>
                            <w:fldChar w:fldCharType="begin"/>
                          </w:r>
                          <w:r>
                            <w:instrText xml:space="preserve"> PAGE  \* MERGEFORMAT </w:instrText>
                          </w:r>
                          <w:r>
                            <w:fldChar w:fldCharType="separate"/>
                          </w:r>
                          <w:r>
                            <w:t>238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JUvMXNAIAAF4EAAAOAAAAAAAAAAEAIAAAAB8BAABkcnMvZTJvRG9jLnhtbFBL&#10;BQYAAAAABgAGAFkBAADFBQAAAAA=&#10;">
              <v:fill on="f" focussize="0,0"/>
              <v:stroke on="f" weight="0.5pt"/>
              <v:imagedata o:title=""/>
              <o:lock v:ext="edit" aspectratio="f"/>
              <v:textbox inset="0mm,0mm,0mm,0mm" style="mso-fit-shape-to-text:t;">
                <w:txbxContent>
                  <w:p w14:paraId="2D07E610">
                    <w:pPr>
                      <w:pStyle w:val="17"/>
                      <w:rPr>
                        <w:rFonts w:hint="default"/>
                      </w:rPr>
                    </w:pPr>
                    <w:r>
                      <w:fldChar w:fldCharType="begin"/>
                    </w:r>
                    <w:r>
                      <w:instrText xml:space="preserve"> PAGE  \* MERGEFORMAT </w:instrText>
                    </w:r>
                    <w:r>
                      <w:fldChar w:fldCharType="separate"/>
                    </w:r>
                    <w:r>
                      <w:t>238</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82908">
    <w:pPr>
      <w:pStyle w:val="17"/>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773108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367342">
                          <w:pPr>
                            <w:pStyle w:val="17"/>
                            <w:rPr>
                              <w:rFonts w:hint="default"/>
                            </w:rPr>
                          </w:pPr>
                          <w:r>
                            <w:fldChar w:fldCharType="begin"/>
                          </w:r>
                          <w:r>
                            <w:instrText xml:space="preserve"> PAGE  \* MERGEFORMAT </w:instrText>
                          </w:r>
                          <w:r>
                            <w:fldChar w:fldCharType="separate"/>
                          </w:r>
                          <w:r>
                            <w:t>251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QtF0zAgAAXQQAAA4AAAAAAAAAAQAgAAAAHwEAAGRycy9lMm9Eb2MueG1sUEsF&#10;BgAAAAAGAAYAWQEAAMQFAAAAAA==&#10;">
              <v:fill on="f" focussize="0,0"/>
              <v:stroke on="f" weight="0.5pt"/>
              <v:imagedata o:title=""/>
              <o:lock v:ext="edit" aspectratio="f"/>
              <v:textbox inset="0mm,0mm,0mm,0mm" style="mso-fit-shape-to-text:t;">
                <w:txbxContent>
                  <w:p w14:paraId="2B367342">
                    <w:pPr>
                      <w:pStyle w:val="17"/>
                      <w:rPr>
                        <w:rFonts w:hint="default"/>
                      </w:rPr>
                    </w:pPr>
                    <w:r>
                      <w:fldChar w:fldCharType="begin"/>
                    </w:r>
                    <w:r>
                      <w:instrText xml:space="preserve"> PAGE  \* MERGEFORMAT </w:instrText>
                    </w:r>
                    <w:r>
                      <w:fldChar w:fldCharType="separate"/>
                    </w:r>
                    <w:r>
                      <w:t>251</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B606B">
    <w:pPr>
      <w:pStyle w:val="17"/>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6493180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D6BE9B">
                          <w:pPr>
                            <w:pStyle w:val="17"/>
                            <w:rPr>
                              <w:rFonts w:hint="default"/>
                            </w:rPr>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v6XO0zAgAAXQQAAA4AAAAAAAAAAQAgAAAAHwEAAGRycy9lMm9Eb2MueG1sUEsF&#10;BgAAAAAGAAYAWQEAAMQFAAAAAA==&#10;">
              <v:fill on="f" focussize="0,0"/>
              <v:stroke on="f" weight="0.5pt"/>
              <v:imagedata o:title=""/>
              <o:lock v:ext="edit" aspectratio="f"/>
              <v:textbox inset="0mm,0mm,0mm,0mm" style="mso-fit-shape-to-text:t;">
                <w:txbxContent>
                  <w:p w14:paraId="4CD6BE9B">
                    <w:pPr>
                      <w:pStyle w:val="17"/>
                      <w:rPr>
                        <w:rFonts w:hint="default"/>
                      </w:rPr>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003CB">
    <w:pPr>
      <w:pStyle w:val="17"/>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350975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85CFB">
                          <w:pPr>
                            <w:pStyle w:val="17"/>
                            <w:rPr>
                              <w:rFonts w:hint="default"/>
                            </w:rPr>
                          </w:pPr>
                          <w:r>
                            <w:fldChar w:fldCharType="begin"/>
                          </w:r>
                          <w:r>
                            <w:instrText xml:space="preserve"> PAGE  \* MERGEFORMAT </w:instrText>
                          </w:r>
                          <w:r>
                            <w:fldChar w:fldCharType="separate"/>
                          </w:r>
                          <w:r>
                            <w:t>253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QlrgRTICAABdBAAADgAAAAAAAAABACAAAAAfAQAAZHJzL2Uyb0RvYy54bWxQSwUG&#10;AAAAAAYABgBZAQAAwwUAAAAA&#10;">
              <v:fill on="f" focussize="0,0"/>
              <v:stroke on="f" weight="0.5pt"/>
              <v:imagedata o:title=""/>
              <o:lock v:ext="edit" aspectratio="f"/>
              <v:textbox inset="0mm,0mm,0mm,0mm" style="mso-fit-shape-to-text:t;">
                <w:txbxContent>
                  <w:p w14:paraId="2B285CFB">
                    <w:pPr>
                      <w:pStyle w:val="17"/>
                      <w:rPr>
                        <w:rFonts w:hint="default"/>
                      </w:rPr>
                    </w:pPr>
                    <w:r>
                      <w:fldChar w:fldCharType="begin"/>
                    </w:r>
                    <w:r>
                      <w:instrText xml:space="preserve"> PAGE  \* MERGEFORMAT </w:instrText>
                    </w:r>
                    <w:r>
                      <w:fldChar w:fldCharType="separate"/>
                    </w:r>
                    <w:r>
                      <w:t>253</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BA7B1">
    <w:pPr>
      <w:pStyle w:val="17"/>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18419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E3F58E">
                          <w:pPr>
                            <w:pStyle w:val="17"/>
                            <w:rPr>
                              <w:rFonts w:hint="default"/>
                            </w:rPr>
                          </w:pPr>
                          <w:r>
                            <w:fldChar w:fldCharType="begin"/>
                          </w:r>
                          <w:r>
                            <w:instrText xml:space="preserve"> PAGE  \* MERGEFORMAT </w:instrText>
                          </w:r>
                          <w:r>
                            <w:fldChar w:fldCharType="separate"/>
                          </w:r>
                          <w:r>
                            <w:t>254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UJ60IzAgAAXQQAAA4AAAAAAAAAAQAgAAAAHwEAAGRycy9lMm9Eb2MueG1sUEsF&#10;BgAAAAAGAAYAWQEAAMQFAAAAAA==&#10;">
              <v:fill on="f" focussize="0,0"/>
              <v:stroke on="f" weight="0.5pt"/>
              <v:imagedata o:title=""/>
              <o:lock v:ext="edit" aspectratio="f"/>
              <v:textbox inset="0mm,0mm,0mm,0mm" style="mso-fit-shape-to-text:t;">
                <w:txbxContent>
                  <w:p w14:paraId="1EE3F58E">
                    <w:pPr>
                      <w:pStyle w:val="17"/>
                      <w:rPr>
                        <w:rFonts w:hint="default"/>
                      </w:rPr>
                    </w:pPr>
                    <w:r>
                      <w:fldChar w:fldCharType="begin"/>
                    </w:r>
                    <w:r>
                      <w:instrText xml:space="preserve"> PAGE  \* MERGEFORMAT </w:instrText>
                    </w:r>
                    <w:r>
                      <w:fldChar w:fldCharType="separate"/>
                    </w:r>
                    <w:r>
                      <w:t>254</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FEFBF">
    <w:pPr>
      <w:pStyle w:val="17"/>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412159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9F6989">
                          <w:pPr>
                            <w:pStyle w:val="17"/>
                            <w:rPr>
                              <w:rFonts w:hint="default"/>
                            </w:rPr>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kXg0NAIAAF0EAAAOAAAAAAAAAAEAIAAAAB8BAABkcnMvZTJvRG9jLnhtbFBL&#10;BQYAAAAABgAGAFkBAADFBQAAAAA=&#10;">
              <v:fill on="f" focussize="0,0"/>
              <v:stroke on="f" weight="0.5pt"/>
              <v:imagedata o:title=""/>
              <o:lock v:ext="edit" aspectratio="f"/>
              <v:textbox inset="0mm,0mm,0mm,0mm" style="mso-fit-shape-to-text:t;">
                <w:txbxContent>
                  <w:p w14:paraId="299F6989">
                    <w:pPr>
                      <w:pStyle w:val="17"/>
                      <w:rPr>
                        <w:rFonts w:hint="default"/>
                      </w:rPr>
                    </w:pPr>
                    <w:r>
                      <w:fldChar w:fldCharType="begin"/>
                    </w:r>
                    <w:r>
                      <w:instrText xml:space="preserve"> PAGE  \* MERGEFORMAT </w:instrText>
                    </w:r>
                    <w:r>
                      <w:fldChar w:fldCharType="separate"/>
                    </w:r>
                    <w:r>
                      <w:t>255</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AC165">
    <w:pPr>
      <w:pStyle w:val="17"/>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264283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E09FB0">
                          <w:pPr>
                            <w:pStyle w:val="17"/>
                          </w:pPr>
                          <w:r>
                            <w:fldChar w:fldCharType="begin"/>
                          </w:r>
                          <w:r>
                            <w:instrText xml:space="preserve"> PAGE  \* MERGEFORMAT </w:instrText>
                          </w:r>
                          <w:r>
                            <w:fldChar w:fldCharType="separate"/>
                          </w:r>
                          <w:r>
                            <w:t>256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PHGDzNAIAAF4EAAAOAAAAAAAAAAEAIAAAAB8BAABkcnMvZTJvRG9jLnhtbFBL&#10;BQYAAAAABgAGAFkBAADFBQAAAAA=&#10;">
              <v:fill on="f" focussize="0,0"/>
              <v:stroke on="f" weight="0.5pt"/>
              <v:imagedata o:title=""/>
              <o:lock v:ext="edit" aspectratio="f"/>
              <v:textbox inset="0mm,0mm,0mm,0mm" style="mso-fit-shape-to-text:t;">
                <w:txbxContent>
                  <w:p w14:paraId="2FE09FB0">
                    <w:pPr>
                      <w:pStyle w:val="17"/>
                    </w:pPr>
                    <w:r>
                      <w:fldChar w:fldCharType="begin"/>
                    </w:r>
                    <w:r>
                      <w:instrText xml:space="preserve"> PAGE  \* MERGEFORMAT </w:instrText>
                    </w:r>
                    <w:r>
                      <w:fldChar w:fldCharType="separate"/>
                    </w:r>
                    <w:r>
                      <w:t>256</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F8F38">
    <w:pPr>
      <w:pStyle w:val="17"/>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966974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72049">
                          <w:pPr>
                            <w:pStyle w:val="17"/>
                            <w:rPr>
                              <w:rFonts w:hint="default"/>
                            </w:rPr>
                          </w:pPr>
                          <w:r>
                            <w:fldChar w:fldCharType="begin"/>
                          </w:r>
                          <w:r>
                            <w:instrText xml:space="preserve"> PAGE  \* MERGEFORMAT </w:instrText>
                          </w:r>
                          <w:r>
                            <w:fldChar w:fldCharType="separate"/>
                          </w:r>
                          <w:r>
                            <w:t>257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vvsDNAIAAF4EAAAOAAAAAAAAAAEAIAAAAB8BAABkcnMvZTJvRG9jLnhtbFBL&#10;BQYAAAAABgAGAFkBAADFBQAAAAA=&#10;">
              <v:fill on="f" focussize="0,0"/>
              <v:stroke on="f" weight="0.5pt"/>
              <v:imagedata o:title=""/>
              <o:lock v:ext="edit" aspectratio="f"/>
              <v:textbox inset="0mm,0mm,0mm,0mm" style="mso-fit-shape-to-text:t;">
                <w:txbxContent>
                  <w:p w14:paraId="4B672049">
                    <w:pPr>
                      <w:pStyle w:val="17"/>
                      <w:rPr>
                        <w:rFonts w:hint="default"/>
                      </w:rPr>
                    </w:pPr>
                    <w:r>
                      <w:fldChar w:fldCharType="begin"/>
                    </w:r>
                    <w:r>
                      <w:instrText xml:space="preserve"> PAGE  \* MERGEFORMAT </w:instrText>
                    </w:r>
                    <w:r>
                      <w:fldChar w:fldCharType="separate"/>
                    </w:r>
                    <w:r>
                      <w:t>257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90A9E">
    <w:pPr>
      <w:pStyle w:val="17"/>
      <w:framePr w:wrap="around" w:vAnchor="text" w:hAnchor="margin" w:xAlign="center" w:y="1"/>
      <w:rPr>
        <w:rStyle w:val="29"/>
        <w:rFonts w:ascii="仿宋_GB2312" w:eastAsia="仿宋_GB2312"/>
        <w:sz w:val="21"/>
        <w:szCs w:val="21"/>
      </w:rPr>
    </w:pPr>
    <w:r>
      <w:rPr>
        <w:rStyle w:val="29"/>
        <w:rFonts w:hint="eastAsia" w:ascii="仿宋_GB2312" w:eastAsia="仿宋_GB2312"/>
        <w:sz w:val="21"/>
        <w:szCs w:val="21"/>
      </w:rPr>
      <w:fldChar w:fldCharType="begin"/>
    </w:r>
    <w:r>
      <w:rPr>
        <w:rStyle w:val="29"/>
        <w:rFonts w:hint="eastAsia" w:ascii="仿宋_GB2312" w:eastAsia="仿宋_GB2312"/>
        <w:sz w:val="21"/>
        <w:szCs w:val="21"/>
      </w:rPr>
      <w:instrText xml:space="preserve">PAGE  </w:instrText>
    </w:r>
    <w:r>
      <w:rPr>
        <w:rStyle w:val="29"/>
        <w:rFonts w:hint="eastAsia" w:ascii="仿宋_GB2312" w:eastAsia="仿宋_GB2312"/>
        <w:sz w:val="21"/>
        <w:szCs w:val="21"/>
      </w:rPr>
      <w:fldChar w:fldCharType="separate"/>
    </w:r>
    <w:r>
      <w:rPr>
        <w:rStyle w:val="29"/>
        <w:rFonts w:hint="eastAsia" w:ascii="仿宋_GB2312" w:eastAsia="仿宋_GB2312"/>
        <w:sz w:val="21"/>
        <w:szCs w:val="21"/>
      </w:rPr>
      <w:t>42</w:t>
    </w:r>
    <w:r>
      <w:rPr>
        <w:rStyle w:val="29"/>
        <w:rFonts w:hint="eastAsia" w:ascii="仿宋_GB2312" w:eastAsia="仿宋_GB2312"/>
        <w:sz w:val="21"/>
        <w:szCs w:val="21"/>
      </w:rPr>
      <w:fldChar w:fldCharType="end"/>
    </w:r>
  </w:p>
  <w:p w14:paraId="7A2E03E2">
    <w:pPr>
      <w:pStyle w:val="17"/>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EA253">
    <w:pPr>
      <w:pStyle w:val="17"/>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260466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1B58A6">
                          <w:pPr>
                            <w:pStyle w:val="17"/>
                            <w:rPr>
                              <w:rFonts w:hint="default"/>
                            </w:rPr>
                          </w:pPr>
                          <w:r>
                            <w:fldChar w:fldCharType="begin"/>
                          </w:r>
                          <w:r>
                            <w:instrText xml:space="preserve"> PAGE  \* MERGEFORMAT </w:instrText>
                          </w:r>
                          <w:r>
                            <w:fldChar w:fldCharType="separate"/>
                          </w:r>
                          <w:r>
                            <w:t>258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gh3MyAgAAX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CHczICAABdBAAADgAAAAAAAAABACAAAAAfAQAAZHJzL2Uyb0RvYy54bWxQSwUG&#10;AAAAAAYABgBZAQAAwwUAAAAA&#10;">
              <v:fill on="f" focussize="0,0"/>
              <v:stroke on="f" weight="0.5pt"/>
              <v:imagedata o:title=""/>
              <o:lock v:ext="edit" aspectratio="f"/>
              <v:textbox inset="0mm,0mm,0mm,0mm" style="mso-fit-shape-to-text:t;">
                <w:txbxContent>
                  <w:p w14:paraId="731B58A6">
                    <w:pPr>
                      <w:pStyle w:val="17"/>
                      <w:rPr>
                        <w:rFonts w:hint="default"/>
                      </w:rPr>
                    </w:pPr>
                    <w:r>
                      <w:fldChar w:fldCharType="begin"/>
                    </w:r>
                    <w:r>
                      <w:instrText xml:space="preserve"> PAGE  \* MERGEFORMAT </w:instrText>
                    </w:r>
                    <w:r>
                      <w:fldChar w:fldCharType="separate"/>
                    </w:r>
                    <w:r>
                      <w:t>258</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A93C4">
    <w:pPr>
      <w:pStyle w:val="17"/>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778299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7B2F6">
                          <w:pPr>
                            <w:pStyle w:val="17"/>
                            <w:rPr>
                              <w:rFonts w:hint="default"/>
                            </w:rPr>
                          </w:pPr>
                          <w:r>
                            <w:fldChar w:fldCharType="begin"/>
                          </w:r>
                          <w:r>
                            <w:instrText xml:space="preserve"> PAGE  \* MERGEFORMAT </w:instrText>
                          </w:r>
                          <w:r>
                            <w:fldChar w:fldCharType="separate"/>
                          </w:r>
                          <w:r>
                            <w:t>261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ZtiD7jICAABeBAAADgAAAAAAAAABACAAAAAfAQAAZHJzL2Uyb0RvYy54bWxQSwUG&#10;AAAAAAYABgBZAQAAwwUAAAAA&#10;">
              <v:fill on="f" focussize="0,0"/>
              <v:stroke on="f" weight="0.5pt"/>
              <v:imagedata o:title=""/>
              <o:lock v:ext="edit" aspectratio="f"/>
              <v:textbox inset="0mm,0mm,0mm,0mm" style="mso-fit-shape-to-text:t;">
                <w:txbxContent>
                  <w:p w14:paraId="3017B2F6">
                    <w:pPr>
                      <w:pStyle w:val="17"/>
                      <w:rPr>
                        <w:rFonts w:hint="default"/>
                      </w:rPr>
                    </w:pPr>
                    <w:r>
                      <w:fldChar w:fldCharType="begin"/>
                    </w:r>
                    <w:r>
                      <w:instrText xml:space="preserve"> PAGE  \* MERGEFORMAT </w:instrText>
                    </w:r>
                    <w:r>
                      <w:fldChar w:fldCharType="separate"/>
                    </w:r>
                    <w:r>
                      <w:t>261</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DF5AF">
    <w:pPr>
      <w:pStyle w:val="17"/>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915037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FB910">
                          <w:pPr>
                            <w:pStyle w:val="17"/>
                            <w:rPr>
                              <w:rFonts w:hint="default"/>
                            </w:rPr>
                          </w:pPr>
                          <w:r>
                            <w:fldChar w:fldCharType="begin"/>
                          </w:r>
                          <w:r>
                            <w:instrText xml:space="preserve"> PAGE  \* MERGEFORMAT </w:instrText>
                          </w:r>
                          <w:r>
                            <w:fldChar w:fldCharType="separate"/>
                          </w:r>
                          <w:r>
                            <w:t>262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XTYojNAIAAF4EAAAOAAAAAAAAAAEAIAAAAB8BAABkcnMvZTJvRG9jLnhtbFBL&#10;BQYAAAAABgAGAFkBAADFBQAAAAA=&#10;">
              <v:fill on="f" focussize="0,0"/>
              <v:stroke on="f" weight="0.5pt"/>
              <v:imagedata o:title=""/>
              <o:lock v:ext="edit" aspectratio="f"/>
              <v:textbox inset="0mm,0mm,0mm,0mm" style="mso-fit-shape-to-text:t;">
                <w:txbxContent>
                  <w:p w14:paraId="18AFB910">
                    <w:pPr>
                      <w:pStyle w:val="17"/>
                      <w:rPr>
                        <w:rFonts w:hint="default"/>
                      </w:rPr>
                    </w:pPr>
                    <w:r>
                      <w:fldChar w:fldCharType="begin"/>
                    </w:r>
                    <w:r>
                      <w:instrText xml:space="preserve"> PAGE  \* MERGEFORMAT </w:instrText>
                    </w:r>
                    <w:r>
                      <w:fldChar w:fldCharType="separate"/>
                    </w:r>
                    <w:r>
                      <w:t>262</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C7B05">
    <w:pPr>
      <w:pStyle w:val="17"/>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301835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FF81D7">
                          <w:pPr>
                            <w:pStyle w:val="17"/>
                            <w:rPr>
                              <w:rFonts w:hint="default"/>
                            </w:rPr>
                          </w:pPr>
                          <w:r>
                            <w:fldChar w:fldCharType="begin"/>
                          </w:r>
                          <w:r>
                            <w:instrText xml:space="preserve"> PAGE  \* MERGEFORMAT </w:instrText>
                          </w:r>
                          <w:r>
                            <w:fldChar w:fldCharType="separate"/>
                          </w:r>
                          <w:r>
                            <w:t>264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7QcggzAgAAXQQAAA4AAAAAAAAAAQAgAAAAHwEAAGRycy9lMm9Eb2MueG1sUEsF&#10;BgAAAAAGAAYAWQEAAMQFAAAAAA==&#10;">
              <v:fill on="f" focussize="0,0"/>
              <v:stroke on="f" weight="0.5pt"/>
              <v:imagedata o:title=""/>
              <o:lock v:ext="edit" aspectratio="f"/>
              <v:textbox inset="0mm,0mm,0mm,0mm" style="mso-fit-shape-to-text:t;">
                <w:txbxContent>
                  <w:p w14:paraId="04FF81D7">
                    <w:pPr>
                      <w:pStyle w:val="17"/>
                      <w:rPr>
                        <w:rFonts w:hint="default"/>
                      </w:rPr>
                    </w:pPr>
                    <w:r>
                      <w:fldChar w:fldCharType="begin"/>
                    </w:r>
                    <w:r>
                      <w:instrText xml:space="preserve"> PAGE  \* MERGEFORMAT </w:instrText>
                    </w:r>
                    <w:r>
                      <w:fldChar w:fldCharType="separate"/>
                    </w:r>
                    <w:r>
                      <w:t>264</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879AF">
    <w:pPr>
      <w:pStyle w:val="17"/>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266590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6A0B09">
                          <w:pPr>
                            <w:pStyle w:val="17"/>
                            <w:rPr>
                              <w:rFonts w:hint="default"/>
                            </w:rPr>
                          </w:pPr>
                          <w:r>
                            <w:fldChar w:fldCharType="begin"/>
                          </w:r>
                          <w:r>
                            <w:instrText xml:space="preserve"> PAGE  \* MERGEFORMAT </w:instrText>
                          </w:r>
                          <w:r>
                            <w:fldChar w:fldCharType="separate"/>
                          </w:r>
                          <w:r>
                            <w:t>267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Sfpc7NAIAAF4EAAAOAAAAAAAAAAEAIAAAAB8BAABkcnMvZTJvRG9jLnhtbFBL&#10;BQYAAAAABgAGAFkBAADFBQAAAAA=&#10;">
              <v:fill on="f" focussize="0,0"/>
              <v:stroke on="f" weight="0.5pt"/>
              <v:imagedata o:title=""/>
              <o:lock v:ext="edit" aspectratio="f"/>
              <v:textbox inset="0mm,0mm,0mm,0mm" style="mso-fit-shape-to-text:t;">
                <w:txbxContent>
                  <w:p w14:paraId="646A0B09">
                    <w:pPr>
                      <w:pStyle w:val="17"/>
                      <w:rPr>
                        <w:rFonts w:hint="default"/>
                      </w:rPr>
                    </w:pPr>
                    <w:r>
                      <w:fldChar w:fldCharType="begin"/>
                    </w:r>
                    <w:r>
                      <w:instrText xml:space="preserve"> PAGE  \* MERGEFORMAT </w:instrText>
                    </w:r>
                    <w:r>
                      <w:fldChar w:fldCharType="separate"/>
                    </w:r>
                    <w:r>
                      <w:t>267</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A496C">
    <w:pPr>
      <w:pStyle w:val="17"/>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07968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63B892">
                          <w:pPr>
                            <w:pStyle w:val="17"/>
                            <w:rPr>
                              <w:rFonts w:hint="default"/>
                            </w:rPr>
                          </w:pPr>
                          <w:r>
                            <w:fldChar w:fldCharType="begin"/>
                          </w:r>
                          <w:r>
                            <w:instrText xml:space="preserve"> PAGE  \* MERGEFORMAT </w:instrText>
                          </w:r>
                          <w:r>
                            <w:fldChar w:fldCharType="separate"/>
                          </w:r>
                          <w:r>
                            <w:t>268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MtoB3MQIAAFwEAAAOAAAAAAAAAAEAIAAAAB8BAABkcnMvZTJvRG9jLnhtbFBLBQYA&#10;AAAABgAGAFkBAADCBQAAAAA=&#10;">
              <v:fill on="f" focussize="0,0"/>
              <v:stroke on="f" weight="0.5pt"/>
              <v:imagedata o:title=""/>
              <o:lock v:ext="edit" aspectratio="f"/>
              <v:textbox inset="0mm,0mm,0mm,0mm" style="mso-fit-shape-to-text:t;">
                <w:txbxContent>
                  <w:p w14:paraId="2363B892">
                    <w:pPr>
                      <w:pStyle w:val="17"/>
                      <w:rPr>
                        <w:rFonts w:hint="default"/>
                      </w:rPr>
                    </w:pPr>
                    <w:r>
                      <w:fldChar w:fldCharType="begin"/>
                    </w:r>
                    <w:r>
                      <w:instrText xml:space="preserve"> PAGE  \* MERGEFORMAT </w:instrText>
                    </w:r>
                    <w:r>
                      <w:fldChar w:fldCharType="separate"/>
                    </w:r>
                    <w:r>
                      <w:t>268</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01030">
    <w:pPr>
      <w:pStyle w:val="17"/>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615129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BA9B1B">
                          <w:pPr>
                            <w:pStyle w:val="17"/>
                            <w:rPr>
                              <w:rFonts w:hint="default"/>
                            </w:rPr>
                          </w:pPr>
                          <w:r>
                            <w:fldChar w:fldCharType="begin"/>
                          </w:r>
                          <w:r>
                            <w:instrText xml:space="preserve"> PAGE  \* MERGEFORMAT </w:instrText>
                          </w:r>
                          <w:r>
                            <w:fldChar w:fldCharType="separate"/>
                          </w:r>
                          <w:r>
                            <w:t>274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UjD6wzAgAAXgQAAA4AAAAAAAAAAQAgAAAAHwEAAGRycy9lMm9Eb2MueG1sUEsF&#10;BgAAAAAGAAYAWQEAAMQFAAAAAA==&#10;">
              <v:fill on="f" focussize="0,0"/>
              <v:stroke on="f" weight="0.5pt"/>
              <v:imagedata o:title=""/>
              <o:lock v:ext="edit" aspectratio="f"/>
              <v:textbox inset="0mm,0mm,0mm,0mm" style="mso-fit-shape-to-text:t;">
                <w:txbxContent>
                  <w:p w14:paraId="40BA9B1B">
                    <w:pPr>
                      <w:pStyle w:val="17"/>
                      <w:rPr>
                        <w:rFonts w:hint="default"/>
                      </w:rPr>
                    </w:pPr>
                    <w:r>
                      <w:fldChar w:fldCharType="begin"/>
                    </w:r>
                    <w:r>
                      <w:instrText xml:space="preserve"> PAGE  \* MERGEFORMAT </w:instrText>
                    </w:r>
                    <w:r>
                      <w:fldChar w:fldCharType="separate"/>
                    </w:r>
                    <w:r>
                      <w:t>274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479C0">
    <w:pPr>
      <w:pStyle w:val="17"/>
      <w:framePr w:wrap="around" w:vAnchor="text" w:hAnchor="margin" w:xAlign="center" w:y="1"/>
      <w:rPr>
        <w:rStyle w:val="29"/>
      </w:rPr>
    </w:pPr>
    <w:r>
      <w:rPr>
        <w:rStyle w:val="29"/>
      </w:rPr>
      <w:fldChar w:fldCharType="begin"/>
    </w:r>
    <w:r>
      <w:rPr>
        <w:rStyle w:val="29"/>
      </w:rPr>
      <w:instrText xml:space="preserve">PAGE  </w:instrText>
    </w:r>
    <w:r>
      <w:rPr>
        <w:rStyle w:val="29"/>
      </w:rPr>
      <w:fldChar w:fldCharType="separate"/>
    </w:r>
    <w:r>
      <w:rPr>
        <w:rStyle w:val="29"/>
      </w:rPr>
      <w:t>1</w:t>
    </w:r>
    <w:r>
      <w:rPr>
        <w:rStyle w:val="29"/>
      </w:rPr>
      <w:fldChar w:fldCharType="end"/>
    </w:r>
  </w:p>
  <w:p w14:paraId="76F0FC62">
    <w:pPr>
      <w:pStyle w:val="1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4CE6D">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5050F2">
                          <w:pPr>
                            <w:pStyle w:val="1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C5050F2">
                    <w:pPr>
                      <w:pStyle w:val="17"/>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59E19">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532360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E6DED7">
                          <w:pPr>
                            <w:pStyle w:val="17"/>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WThdTICAABeBAAADgAAAAAAAAABACAAAAAfAQAAZHJzL2Uyb0RvYy54bWxQSwUG&#10;AAAAAAYABgBZAQAAwwUAAAAA&#10;">
              <v:fill on="f" focussize="0,0"/>
              <v:stroke on="f" weight="0.5pt"/>
              <v:imagedata o:title=""/>
              <o:lock v:ext="edit" aspectratio="f"/>
              <v:textbox inset="0mm,0mm,0mm,0mm" style="mso-fit-shape-to-text:t;">
                <w:txbxContent>
                  <w:p w14:paraId="22E6DED7">
                    <w:pPr>
                      <w:pStyle w:val="17"/>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FC67B">
    <w:pPr>
      <w:pStyle w:val="1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428847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39C66">
                          <w:pPr>
                            <w:pStyle w:val="17"/>
                            <w:rPr>
                              <w:rStyle w:val="29"/>
                              <w:rFonts w:ascii="仿宋_GB2312" w:eastAsia="仿宋_GB2312"/>
                            </w:rPr>
                          </w:pPr>
                          <w:r>
                            <w:rPr>
                              <w:rStyle w:val="29"/>
                              <w:rFonts w:hint="eastAsia" w:ascii="仿宋_GB2312" w:eastAsia="仿宋_GB2312"/>
                            </w:rPr>
                            <w:fldChar w:fldCharType="begin"/>
                          </w:r>
                          <w:r>
                            <w:rPr>
                              <w:rStyle w:val="29"/>
                              <w:rFonts w:hint="eastAsia" w:ascii="仿宋_GB2312" w:eastAsia="仿宋_GB2312"/>
                            </w:rPr>
                            <w:instrText xml:space="preserve">PAGE  </w:instrText>
                          </w:r>
                          <w:r>
                            <w:rPr>
                              <w:rStyle w:val="29"/>
                              <w:rFonts w:hint="eastAsia" w:ascii="仿宋_GB2312" w:eastAsia="仿宋_GB2312"/>
                            </w:rPr>
                            <w:fldChar w:fldCharType="separate"/>
                          </w:r>
                          <w:r>
                            <w:rPr>
                              <w:rStyle w:val="29"/>
                              <w:rFonts w:hint="eastAsia" w:ascii="仿宋_GB2312" w:eastAsia="仿宋_GB2312"/>
                            </w:rPr>
                            <w:t>68</w:t>
                          </w:r>
                          <w:r>
                            <w:rPr>
                              <w:rStyle w:val="29"/>
                              <w:rFonts w:hint="eastAsia" w:ascii="仿宋_GB2312" w:eastAsia="仿宋_GB231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DutfVjICAABeBAAADgAAAAAAAAABACAAAAAfAQAAZHJzL2Uyb0RvYy54bWxQSwUG&#10;AAAAAAYABgBZAQAAwwUAAAAA&#10;">
              <v:fill on="f" focussize="0,0"/>
              <v:stroke on="f" weight="0.5pt"/>
              <v:imagedata o:title=""/>
              <o:lock v:ext="edit" aspectratio="f"/>
              <v:textbox inset="0mm,0mm,0mm,0mm" style="mso-fit-shape-to-text:t;">
                <w:txbxContent>
                  <w:p w14:paraId="01539C66">
                    <w:pPr>
                      <w:pStyle w:val="17"/>
                      <w:rPr>
                        <w:rStyle w:val="29"/>
                        <w:rFonts w:ascii="仿宋_GB2312" w:eastAsia="仿宋_GB2312"/>
                      </w:rPr>
                    </w:pPr>
                    <w:r>
                      <w:rPr>
                        <w:rStyle w:val="29"/>
                        <w:rFonts w:hint="eastAsia" w:ascii="仿宋_GB2312" w:eastAsia="仿宋_GB2312"/>
                      </w:rPr>
                      <w:fldChar w:fldCharType="begin"/>
                    </w:r>
                    <w:r>
                      <w:rPr>
                        <w:rStyle w:val="29"/>
                        <w:rFonts w:hint="eastAsia" w:ascii="仿宋_GB2312" w:eastAsia="仿宋_GB2312"/>
                      </w:rPr>
                      <w:instrText xml:space="preserve">PAGE  </w:instrText>
                    </w:r>
                    <w:r>
                      <w:rPr>
                        <w:rStyle w:val="29"/>
                        <w:rFonts w:hint="eastAsia" w:ascii="仿宋_GB2312" w:eastAsia="仿宋_GB2312"/>
                      </w:rPr>
                      <w:fldChar w:fldCharType="separate"/>
                    </w:r>
                    <w:r>
                      <w:rPr>
                        <w:rStyle w:val="29"/>
                        <w:rFonts w:hint="eastAsia" w:ascii="仿宋_GB2312" w:eastAsia="仿宋_GB2312"/>
                      </w:rPr>
                      <w:t>68</w:t>
                    </w:r>
                    <w:r>
                      <w:rPr>
                        <w:rStyle w:val="29"/>
                        <w:rFonts w:hint="eastAsia" w:ascii="仿宋_GB2312" w:eastAsia="仿宋_GB2312"/>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A6280"/>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23FFD">
    <w:pPr>
      <w:spacing w:line="14" w:lineRule="auto"/>
      <w:rPr>
        <w:rFonts w:ascii="Arial"/>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8A012">
    <w:pPr>
      <w:spacing w:line="14" w:lineRule="auto"/>
      <w:rPr>
        <w:rFonts w:ascii="Arial"/>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C1F2D">
    <w:pPr>
      <w:spacing w:line="14" w:lineRule="auto"/>
      <w:rPr>
        <w:rFonts w:ascii="Arial"/>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F5894">
    <w:pPr>
      <w:spacing w:line="14" w:lineRule="auto"/>
      <w:rPr>
        <w:rFonts w:ascii="Arial"/>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3516E">
    <w:pPr>
      <w:spacing w:line="14" w:lineRule="auto"/>
      <w:rPr>
        <w:rFonts w:ascii="Arial"/>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1314E">
    <w:pPr>
      <w:spacing w:line="14" w:lineRule="auto"/>
      <w:rPr>
        <w:rFonts w:ascii="Arial"/>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D1EEA">
    <w:pPr>
      <w:spacing w:line="14" w:lineRule="auto"/>
      <w:rPr>
        <w:rFonts w:ascii="Arial"/>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D3408">
    <w:pPr>
      <w:spacing w:line="14" w:lineRule="auto"/>
      <w:rPr>
        <w:rFonts w:ascii="Arial"/>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DEC4B">
    <w:pPr>
      <w:spacing w:line="14" w:lineRule="auto"/>
      <w:rPr>
        <w:rFonts w:ascii="Arial"/>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9729A">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B7C3E"/>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CAAB5">
    <w:pPr>
      <w:pStyle w:val="1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EB32C">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D3EFD">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3AAC0">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2CF83">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93192">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1A39D">
    <w:pPr>
      <w:spacing w:line="14" w:lineRule="auto"/>
      <w:rPr>
        <w:rFonts w:ascii="Arial"/>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A9C04">
    <w:pPr>
      <w:spacing w:line="14" w:lineRule="auto"/>
      <w:rPr>
        <w:rFonts w:ascii="Arial"/>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95B9A">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396F1D"/>
    <w:multiLevelType w:val="singleLevel"/>
    <w:tmpl w:val="AD396F1D"/>
    <w:lvl w:ilvl="0" w:tentative="0">
      <w:start w:val="1"/>
      <w:numFmt w:val="decimal"/>
      <w:suff w:val="space"/>
      <w:lvlText w:val="（%1）"/>
      <w:lvlJc w:val="left"/>
    </w:lvl>
  </w:abstractNum>
  <w:abstractNum w:abstractNumId="1">
    <w:nsid w:val="D034CA5C"/>
    <w:multiLevelType w:val="singleLevel"/>
    <w:tmpl w:val="D034CA5C"/>
    <w:lvl w:ilvl="0" w:tentative="0">
      <w:start w:val="1"/>
      <w:numFmt w:val="chineseCounting"/>
      <w:suff w:val="nothing"/>
      <w:lvlText w:val="（%1）"/>
      <w:lvlJc w:val="left"/>
      <w:rPr>
        <w:rFonts w:hint="eastAsia"/>
      </w:rPr>
    </w:lvl>
  </w:abstractNum>
  <w:abstractNum w:abstractNumId="2">
    <w:nsid w:val="DA3A142E"/>
    <w:multiLevelType w:val="singleLevel"/>
    <w:tmpl w:val="DA3A142E"/>
    <w:lvl w:ilvl="0" w:tentative="0">
      <w:start w:val="1"/>
      <w:numFmt w:val="decimal"/>
      <w:suff w:val="space"/>
      <w:lvlText w:val="%1."/>
      <w:lvlJc w:val="left"/>
    </w:lvl>
  </w:abstractNum>
  <w:abstractNum w:abstractNumId="3">
    <w:nsid w:val="229734FF"/>
    <w:multiLevelType w:val="multilevel"/>
    <w:tmpl w:val="229734FF"/>
    <w:lvl w:ilvl="0" w:tentative="0">
      <w:start w:val="1"/>
      <w:numFmt w:val="decimal"/>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4">
    <w:nsid w:val="2A759FE2"/>
    <w:multiLevelType w:val="singleLevel"/>
    <w:tmpl w:val="2A759FE2"/>
    <w:lvl w:ilvl="0" w:tentative="0">
      <w:start w:val="1"/>
      <w:numFmt w:val="decimal"/>
      <w:suff w:val="nothing"/>
      <w:lvlText w:val="（%1）"/>
      <w:lvlJc w:val="left"/>
    </w:lvl>
  </w:abstractNum>
  <w:abstractNum w:abstractNumId="5">
    <w:nsid w:val="38917CD1"/>
    <w:multiLevelType w:val="singleLevel"/>
    <w:tmpl w:val="38917CD1"/>
    <w:lvl w:ilvl="0" w:tentative="0">
      <w:start w:val="3"/>
      <w:numFmt w:val="chineseCounting"/>
      <w:suff w:val="nothing"/>
      <w:lvlText w:val="（%1）"/>
      <w:lvlJc w:val="left"/>
      <w:rPr>
        <w:rFonts w:hint="eastAsia"/>
      </w:rPr>
    </w:lvl>
  </w:abstractNum>
  <w:abstractNum w:abstractNumId="6">
    <w:nsid w:val="5C83040D"/>
    <w:multiLevelType w:val="singleLevel"/>
    <w:tmpl w:val="5C83040D"/>
    <w:lvl w:ilvl="0" w:tentative="0">
      <w:start w:val="2"/>
      <w:numFmt w:val="chineseCounting"/>
      <w:suff w:val="nothing"/>
      <w:lvlText w:val="（%1）"/>
      <w:lvlJc w:val="left"/>
      <w:rPr>
        <w:rFonts w:hint="eastAsia"/>
      </w:rPr>
    </w:lvl>
  </w:abstractNum>
  <w:num w:numId="1">
    <w:abstractNumId w:val="3"/>
    <w:lvlOverride w:ilvl="0">
      <w:lvl w:ilvl="0" w:tentative="1">
        <w:start w:val="1"/>
        <w:numFmt w:val="decimal"/>
        <w:lvlText w:val="第%1条"/>
        <w:lvlJc w:val="left"/>
        <w:pPr>
          <w:ind w:left="0" w:firstLine="0"/>
        </w:pPr>
      </w:lvl>
    </w:lvlOverride>
    <w:lvlOverride w:ilvl="1">
      <w:lvl w:ilvl="1" w:tentative="1">
        <w:start w:val="1"/>
        <w:numFmt w:val="decimal"/>
        <w:lvlText w:val="%1.%2"/>
        <w:lvlJc w:val="left"/>
        <w:pPr>
          <w:ind w:left="0" w:firstLine="0"/>
        </w:pPr>
      </w:lvl>
    </w:lvlOverride>
    <w:lvlOverride w:ilvl="2">
      <w:lvl w:ilvl="2" w:tentative="1">
        <w:start w:val="1"/>
        <w:numFmt w:val="decimal"/>
        <w:lvlText w:val="%1.%2.%3"/>
        <w:lvlJc w:val="left"/>
        <w:pPr>
          <w:ind w:left="0" w:firstLine="0"/>
        </w:pPr>
      </w:lvl>
    </w:lvlOverride>
    <w:lvlOverride w:ilvl="3">
      <w:lvl w:ilvl="3" w:tentative="1">
        <w:start w:val="1"/>
        <w:numFmt w:val="decimal"/>
        <w:lvlText w:val="%1.%2.%3.%4"/>
        <w:lvlJc w:val="left"/>
        <w:pPr>
          <w:ind w:left="0" w:firstLine="0"/>
        </w:pPr>
      </w:lvl>
    </w:lvlOverride>
    <w:lvlOverride w:ilvl="4">
      <w:lvl w:ilvl="4" w:tentative="1">
        <w:start w:val="1"/>
        <w:numFmt w:val="decimal"/>
        <w:pStyle w:val="40"/>
        <w:lvlText w:val="(%5)"/>
        <w:lvlJc w:val="left"/>
        <w:pPr>
          <w:ind w:left="310" w:firstLine="400"/>
        </w:pPr>
      </w:lvl>
    </w:lvlOverride>
    <w:lvlOverride w:ilvl="5">
      <w:lvl w:ilvl="5" w:tentative="1">
        <w:start w:val="1"/>
        <w:numFmt w:val="decimal"/>
        <w:lvlText w:val="%6)"/>
        <w:lvlJc w:val="left"/>
        <w:pPr>
          <w:ind w:left="0" w:firstLine="48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2">
    <w:abstractNumId w:val="2"/>
  </w:num>
  <w:num w:numId="3">
    <w:abstractNumId w:val="0"/>
  </w:num>
  <w:num w:numId="4">
    <w:abstractNumId w:val="4"/>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ljZTIwZDZkZmQ1NWVkNDZhMDFkZDMyMWM1ODM0MmYifQ=="/>
    <w:docVar w:name="KSO_WPS_MARK_KEY" w:val="1ee1cfb0-9732-4c32-a2b3-953fc5492c81"/>
  </w:docVars>
  <w:rsids>
    <w:rsidRoot w:val="00000000"/>
    <w:rsid w:val="0073612F"/>
    <w:rsid w:val="00E80370"/>
    <w:rsid w:val="01396E1E"/>
    <w:rsid w:val="014B3ED5"/>
    <w:rsid w:val="0165452E"/>
    <w:rsid w:val="0168700A"/>
    <w:rsid w:val="01FE5971"/>
    <w:rsid w:val="021B4775"/>
    <w:rsid w:val="023361E2"/>
    <w:rsid w:val="02522B81"/>
    <w:rsid w:val="0273010D"/>
    <w:rsid w:val="0379139B"/>
    <w:rsid w:val="03824757"/>
    <w:rsid w:val="04221DEB"/>
    <w:rsid w:val="042E7B38"/>
    <w:rsid w:val="04D22603"/>
    <w:rsid w:val="05056D9E"/>
    <w:rsid w:val="052B7BC2"/>
    <w:rsid w:val="053D6816"/>
    <w:rsid w:val="05EC04A4"/>
    <w:rsid w:val="060E0879"/>
    <w:rsid w:val="063B2B4D"/>
    <w:rsid w:val="063F4ED6"/>
    <w:rsid w:val="064C6E52"/>
    <w:rsid w:val="065546FA"/>
    <w:rsid w:val="06644341"/>
    <w:rsid w:val="06A25465"/>
    <w:rsid w:val="06DA69AD"/>
    <w:rsid w:val="074958E1"/>
    <w:rsid w:val="08805F84"/>
    <w:rsid w:val="08972DC9"/>
    <w:rsid w:val="08DF709F"/>
    <w:rsid w:val="092A025B"/>
    <w:rsid w:val="093F6F9B"/>
    <w:rsid w:val="09F61D50"/>
    <w:rsid w:val="0AB80DB3"/>
    <w:rsid w:val="0B2B3C7B"/>
    <w:rsid w:val="0C840D85"/>
    <w:rsid w:val="0CA36D33"/>
    <w:rsid w:val="0DA746C4"/>
    <w:rsid w:val="0DE51938"/>
    <w:rsid w:val="0F0767AD"/>
    <w:rsid w:val="0F1D770A"/>
    <w:rsid w:val="0F2869AD"/>
    <w:rsid w:val="0FFB2901"/>
    <w:rsid w:val="10CD69D2"/>
    <w:rsid w:val="10D97CD5"/>
    <w:rsid w:val="10EB793A"/>
    <w:rsid w:val="11916799"/>
    <w:rsid w:val="11C72224"/>
    <w:rsid w:val="12107727"/>
    <w:rsid w:val="131E0F03"/>
    <w:rsid w:val="13422EB7"/>
    <w:rsid w:val="13B46D96"/>
    <w:rsid w:val="13B862C8"/>
    <w:rsid w:val="13D76B59"/>
    <w:rsid w:val="142D135B"/>
    <w:rsid w:val="14941787"/>
    <w:rsid w:val="14B73B0A"/>
    <w:rsid w:val="154C4F1A"/>
    <w:rsid w:val="159A081F"/>
    <w:rsid w:val="15D13671"/>
    <w:rsid w:val="165622AB"/>
    <w:rsid w:val="16881F81"/>
    <w:rsid w:val="16A06F2B"/>
    <w:rsid w:val="16BF34C9"/>
    <w:rsid w:val="16C136E5"/>
    <w:rsid w:val="17A806FA"/>
    <w:rsid w:val="17BC3AA2"/>
    <w:rsid w:val="18743235"/>
    <w:rsid w:val="18B54B84"/>
    <w:rsid w:val="18C62829"/>
    <w:rsid w:val="18C8063D"/>
    <w:rsid w:val="18E20128"/>
    <w:rsid w:val="1A8472A0"/>
    <w:rsid w:val="1AC26025"/>
    <w:rsid w:val="1AD54FEA"/>
    <w:rsid w:val="1B084478"/>
    <w:rsid w:val="1B09759D"/>
    <w:rsid w:val="1B3C701D"/>
    <w:rsid w:val="1BE340FE"/>
    <w:rsid w:val="1C267493"/>
    <w:rsid w:val="1C347B1E"/>
    <w:rsid w:val="1C531A6D"/>
    <w:rsid w:val="1C5E01AD"/>
    <w:rsid w:val="1CA9401A"/>
    <w:rsid w:val="1D034A32"/>
    <w:rsid w:val="1D0965AA"/>
    <w:rsid w:val="1D210A3A"/>
    <w:rsid w:val="1D3F060C"/>
    <w:rsid w:val="1D4B7A15"/>
    <w:rsid w:val="1D870DB2"/>
    <w:rsid w:val="1DC95DBB"/>
    <w:rsid w:val="1DDD5FED"/>
    <w:rsid w:val="1DE24D04"/>
    <w:rsid w:val="1E0F2F88"/>
    <w:rsid w:val="1E6A4663"/>
    <w:rsid w:val="1E7F6837"/>
    <w:rsid w:val="1E892D3B"/>
    <w:rsid w:val="1EA543A2"/>
    <w:rsid w:val="1EC10747"/>
    <w:rsid w:val="1F3858AC"/>
    <w:rsid w:val="1F596DE3"/>
    <w:rsid w:val="1F967C3C"/>
    <w:rsid w:val="1FAA4E84"/>
    <w:rsid w:val="1FB9730F"/>
    <w:rsid w:val="1FBE4C66"/>
    <w:rsid w:val="208E4638"/>
    <w:rsid w:val="20ED7F77"/>
    <w:rsid w:val="21224D81"/>
    <w:rsid w:val="213A47C0"/>
    <w:rsid w:val="2180685B"/>
    <w:rsid w:val="219B0138"/>
    <w:rsid w:val="21DE339D"/>
    <w:rsid w:val="22FD3048"/>
    <w:rsid w:val="230E74C5"/>
    <w:rsid w:val="23AE6D9F"/>
    <w:rsid w:val="23C12F77"/>
    <w:rsid w:val="23C860B3"/>
    <w:rsid w:val="243454F7"/>
    <w:rsid w:val="245E07C6"/>
    <w:rsid w:val="24911CDD"/>
    <w:rsid w:val="24A26C72"/>
    <w:rsid w:val="250A6257"/>
    <w:rsid w:val="250E3F9A"/>
    <w:rsid w:val="257162D7"/>
    <w:rsid w:val="259D531E"/>
    <w:rsid w:val="25DA1E5E"/>
    <w:rsid w:val="265E0CC2"/>
    <w:rsid w:val="267B5085"/>
    <w:rsid w:val="26A526DC"/>
    <w:rsid w:val="26A56376"/>
    <w:rsid w:val="270D0E39"/>
    <w:rsid w:val="273F4228"/>
    <w:rsid w:val="27B765AB"/>
    <w:rsid w:val="280C1B93"/>
    <w:rsid w:val="281713B7"/>
    <w:rsid w:val="28171F7C"/>
    <w:rsid w:val="282D0BDB"/>
    <w:rsid w:val="283F77A6"/>
    <w:rsid w:val="288527C5"/>
    <w:rsid w:val="28BC194E"/>
    <w:rsid w:val="28FB2A87"/>
    <w:rsid w:val="28FB59DC"/>
    <w:rsid w:val="29F714A0"/>
    <w:rsid w:val="2ADE38DD"/>
    <w:rsid w:val="2B1C6AA5"/>
    <w:rsid w:val="2B312790"/>
    <w:rsid w:val="2B5A166A"/>
    <w:rsid w:val="2B7F6163"/>
    <w:rsid w:val="2C020A11"/>
    <w:rsid w:val="2C1B0D4A"/>
    <w:rsid w:val="2C5C69A3"/>
    <w:rsid w:val="2C7C3EDF"/>
    <w:rsid w:val="2C804AD2"/>
    <w:rsid w:val="2CE657FC"/>
    <w:rsid w:val="2D0F65A6"/>
    <w:rsid w:val="2EE10D0D"/>
    <w:rsid w:val="2F8A246F"/>
    <w:rsid w:val="2FA722ED"/>
    <w:rsid w:val="2FF700B2"/>
    <w:rsid w:val="300E12F2"/>
    <w:rsid w:val="301D5049"/>
    <w:rsid w:val="304C5976"/>
    <w:rsid w:val="304E2259"/>
    <w:rsid w:val="308D4799"/>
    <w:rsid w:val="30DF2C8E"/>
    <w:rsid w:val="321F3964"/>
    <w:rsid w:val="32D1231E"/>
    <w:rsid w:val="334868C9"/>
    <w:rsid w:val="33945FB2"/>
    <w:rsid w:val="33AD36F5"/>
    <w:rsid w:val="33C63C91"/>
    <w:rsid w:val="33EA4ADB"/>
    <w:rsid w:val="34086058"/>
    <w:rsid w:val="3468736C"/>
    <w:rsid w:val="34A55F9D"/>
    <w:rsid w:val="34C61B86"/>
    <w:rsid w:val="34D10B40"/>
    <w:rsid w:val="35077EB6"/>
    <w:rsid w:val="351B1DBB"/>
    <w:rsid w:val="353A0807"/>
    <w:rsid w:val="354D588F"/>
    <w:rsid w:val="35745108"/>
    <w:rsid w:val="3583008C"/>
    <w:rsid w:val="359E01CA"/>
    <w:rsid w:val="35DA1C76"/>
    <w:rsid w:val="36161736"/>
    <w:rsid w:val="36352F10"/>
    <w:rsid w:val="36380B2B"/>
    <w:rsid w:val="363B4A32"/>
    <w:rsid w:val="36421E64"/>
    <w:rsid w:val="366D6A2D"/>
    <w:rsid w:val="36935DFC"/>
    <w:rsid w:val="36CA5847"/>
    <w:rsid w:val="374B2E2B"/>
    <w:rsid w:val="375335FD"/>
    <w:rsid w:val="37936580"/>
    <w:rsid w:val="37CD3840"/>
    <w:rsid w:val="38321EF7"/>
    <w:rsid w:val="38D21E2E"/>
    <w:rsid w:val="39456199"/>
    <w:rsid w:val="39B32F0A"/>
    <w:rsid w:val="3A63048C"/>
    <w:rsid w:val="3A761998"/>
    <w:rsid w:val="3AE62516"/>
    <w:rsid w:val="3AF42DDE"/>
    <w:rsid w:val="3B201ED9"/>
    <w:rsid w:val="3B251BE5"/>
    <w:rsid w:val="3B357576"/>
    <w:rsid w:val="3B5D353C"/>
    <w:rsid w:val="3CBE4ED5"/>
    <w:rsid w:val="3CC83184"/>
    <w:rsid w:val="3D461516"/>
    <w:rsid w:val="3E285AF2"/>
    <w:rsid w:val="3E822F8A"/>
    <w:rsid w:val="3E833CA2"/>
    <w:rsid w:val="3E952BDE"/>
    <w:rsid w:val="3ED23E32"/>
    <w:rsid w:val="3ED95F70"/>
    <w:rsid w:val="3F0264C5"/>
    <w:rsid w:val="3F3B486D"/>
    <w:rsid w:val="3F84496C"/>
    <w:rsid w:val="3FA32209"/>
    <w:rsid w:val="40170111"/>
    <w:rsid w:val="403F2E01"/>
    <w:rsid w:val="407422FD"/>
    <w:rsid w:val="412A0EA0"/>
    <w:rsid w:val="416922FA"/>
    <w:rsid w:val="41AD516E"/>
    <w:rsid w:val="420A4299"/>
    <w:rsid w:val="428B68AE"/>
    <w:rsid w:val="42921365"/>
    <w:rsid w:val="42AC31DB"/>
    <w:rsid w:val="42AE5E51"/>
    <w:rsid w:val="43464C8C"/>
    <w:rsid w:val="435E6F8B"/>
    <w:rsid w:val="438C6CBC"/>
    <w:rsid w:val="4420119C"/>
    <w:rsid w:val="44DA759D"/>
    <w:rsid w:val="455235D7"/>
    <w:rsid w:val="45CD0A27"/>
    <w:rsid w:val="467557CF"/>
    <w:rsid w:val="46893028"/>
    <w:rsid w:val="47335B9E"/>
    <w:rsid w:val="4756678A"/>
    <w:rsid w:val="475D602F"/>
    <w:rsid w:val="4772760F"/>
    <w:rsid w:val="47BE6D02"/>
    <w:rsid w:val="48223734"/>
    <w:rsid w:val="489C0E30"/>
    <w:rsid w:val="492359B6"/>
    <w:rsid w:val="498A2208"/>
    <w:rsid w:val="499410ED"/>
    <w:rsid w:val="49AD702E"/>
    <w:rsid w:val="4A394D65"/>
    <w:rsid w:val="4A5150DB"/>
    <w:rsid w:val="4B2E24D4"/>
    <w:rsid w:val="4B4A67D2"/>
    <w:rsid w:val="4B6614EE"/>
    <w:rsid w:val="4B661B8A"/>
    <w:rsid w:val="4B6814DC"/>
    <w:rsid w:val="4B6D6DE3"/>
    <w:rsid w:val="4B78418C"/>
    <w:rsid w:val="4C240D0F"/>
    <w:rsid w:val="4D4001B9"/>
    <w:rsid w:val="4D8207D1"/>
    <w:rsid w:val="4DC05161"/>
    <w:rsid w:val="4DF26E33"/>
    <w:rsid w:val="4DF419A5"/>
    <w:rsid w:val="4E1753BE"/>
    <w:rsid w:val="4E3E6DEE"/>
    <w:rsid w:val="4E697477"/>
    <w:rsid w:val="4EA604F0"/>
    <w:rsid w:val="4ECE1D53"/>
    <w:rsid w:val="4FAB2261"/>
    <w:rsid w:val="505B060C"/>
    <w:rsid w:val="50A26ECD"/>
    <w:rsid w:val="51037011"/>
    <w:rsid w:val="51694182"/>
    <w:rsid w:val="51ED0A01"/>
    <w:rsid w:val="523871A6"/>
    <w:rsid w:val="5261398F"/>
    <w:rsid w:val="52EB4CD8"/>
    <w:rsid w:val="5424700A"/>
    <w:rsid w:val="546C32D0"/>
    <w:rsid w:val="54905ECA"/>
    <w:rsid w:val="54AA6F8B"/>
    <w:rsid w:val="54F75F49"/>
    <w:rsid w:val="551E34D6"/>
    <w:rsid w:val="55852E44"/>
    <w:rsid w:val="55A20B49"/>
    <w:rsid w:val="55B41744"/>
    <w:rsid w:val="55EA33B8"/>
    <w:rsid w:val="560D669F"/>
    <w:rsid w:val="565032F0"/>
    <w:rsid w:val="57563E6C"/>
    <w:rsid w:val="582F025F"/>
    <w:rsid w:val="58315A42"/>
    <w:rsid w:val="58AF078F"/>
    <w:rsid w:val="590367D9"/>
    <w:rsid w:val="59491FD9"/>
    <w:rsid w:val="59745DBA"/>
    <w:rsid w:val="5996188C"/>
    <w:rsid w:val="5A004074"/>
    <w:rsid w:val="5B312778"/>
    <w:rsid w:val="5B5E0630"/>
    <w:rsid w:val="5B8439F4"/>
    <w:rsid w:val="5BEA5EBF"/>
    <w:rsid w:val="5C335AB8"/>
    <w:rsid w:val="5C476215"/>
    <w:rsid w:val="5C914885"/>
    <w:rsid w:val="5CC9601D"/>
    <w:rsid w:val="5D2703C4"/>
    <w:rsid w:val="5D4C0510"/>
    <w:rsid w:val="5DB20C5F"/>
    <w:rsid w:val="5DD02C46"/>
    <w:rsid w:val="5DF26B9F"/>
    <w:rsid w:val="5E462931"/>
    <w:rsid w:val="5EA54320"/>
    <w:rsid w:val="5F296CFF"/>
    <w:rsid w:val="5F3F29C6"/>
    <w:rsid w:val="5F482FB2"/>
    <w:rsid w:val="5F8F1727"/>
    <w:rsid w:val="6081434F"/>
    <w:rsid w:val="611176F3"/>
    <w:rsid w:val="61224C66"/>
    <w:rsid w:val="615130FF"/>
    <w:rsid w:val="62214605"/>
    <w:rsid w:val="6272058B"/>
    <w:rsid w:val="62F454C1"/>
    <w:rsid w:val="63F024E1"/>
    <w:rsid w:val="63F3335D"/>
    <w:rsid w:val="646E4694"/>
    <w:rsid w:val="64F32289"/>
    <w:rsid w:val="64F92C6C"/>
    <w:rsid w:val="65D810A8"/>
    <w:rsid w:val="667E5B82"/>
    <w:rsid w:val="66C60AFB"/>
    <w:rsid w:val="67063270"/>
    <w:rsid w:val="67460182"/>
    <w:rsid w:val="67803F6A"/>
    <w:rsid w:val="683D0EE5"/>
    <w:rsid w:val="689A6903"/>
    <w:rsid w:val="68B25FB7"/>
    <w:rsid w:val="68CD2DF1"/>
    <w:rsid w:val="69134D93"/>
    <w:rsid w:val="692C7B17"/>
    <w:rsid w:val="696045FD"/>
    <w:rsid w:val="69AE058E"/>
    <w:rsid w:val="69B225B2"/>
    <w:rsid w:val="6AC32A7F"/>
    <w:rsid w:val="6B8974A3"/>
    <w:rsid w:val="6B9419A4"/>
    <w:rsid w:val="6D362574"/>
    <w:rsid w:val="6D48513C"/>
    <w:rsid w:val="6D4E7DB2"/>
    <w:rsid w:val="6D8223FC"/>
    <w:rsid w:val="6D8E6FF3"/>
    <w:rsid w:val="6D9C0FE4"/>
    <w:rsid w:val="6E4A2B77"/>
    <w:rsid w:val="6F1E47D8"/>
    <w:rsid w:val="6F822668"/>
    <w:rsid w:val="6F913709"/>
    <w:rsid w:val="70010662"/>
    <w:rsid w:val="705D2CAC"/>
    <w:rsid w:val="705F559D"/>
    <w:rsid w:val="70D35434"/>
    <w:rsid w:val="71847D23"/>
    <w:rsid w:val="71917360"/>
    <w:rsid w:val="71A375BB"/>
    <w:rsid w:val="71F238C8"/>
    <w:rsid w:val="72530976"/>
    <w:rsid w:val="72D54D7C"/>
    <w:rsid w:val="73985D99"/>
    <w:rsid w:val="74B17A6A"/>
    <w:rsid w:val="74F04F77"/>
    <w:rsid w:val="75620E2D"/>
    <w:rsid w:val="75624285"/>
    <w:rsid w:val="75883E2C"/>
    <w:rsid w:val="75B415C0"/>
    <w:rsid w:val="763C15B6"/>
    <w:rsid w:val="7696181A"/>
    <w:rsid w:val="76A35117"/>
    <w:rsid w:val="770D363A"/>
    <w:rsid w:val="772A140E"/>
    <w:rsid w:val="779223C3"/>
    <w:rsid w:val="77C96E79"/>
    <w:rsid w:val="78253121"/>
    <w:rsid w:val="78320EC2"/>
    <w:rsid w:val="7A2C4364"/>
    <w:rsid w:val="7A41719B"/>
    <w:rsid w:val="7A67670A"/>
    <w:rsid w:val="7AB0585B"/>
    <w:rsid w:val="7ABB519F"/>
    <w:rsid w:val="7B0408F4"/>
    <w:rsid w:val="7B41739F"/>
    <w:rsid w:val="7BBA0721"/>
    <w:rsid w:val="7BC2255D"/>
    <w:rsid w:val="7C6D7F34"/>
    <w:rsid w:val="7CFA69DC"/>
    <w:rsid w:val="7D0970B0"/>
    <w:rsid w:val="7D221406"/>
    <w:rsid w:val="7D2C1930"/>
    <w:rsid w:val="7D68620F"/>
    <w:rsid w:val="7D7C30CE"/>
    <w:rsid w:val="7D9121E7"/>
    <w:rsid w:val="7E1448F8"/>
    <w:rsid w:val="7E6B47E6"/>
    <w:rsid w:val="7E6F29EA"/>
    <w:rsid w:val="7ED311A8"/>
    <w:rsid w:val="7F4D3296"/>
    <w:rsid w:val="7F7C1E44"/>
    <w:rsid w:val="7F815141"/>
    <w:rsid w:val="7FA06F16"/>
    <w:rsid w:val="7FAE32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4"/>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5">
    <w:name w:val="index 8"/>
    <w:basedOn w:val="1"/>
    <w:next w:val="1"/>
    <w:unhideWhenUsed/>
    <w:qFormat/>
    <w:uiPriority w:val="0"/>
    <w:pPr>
      <w:spacing w:beforeLines="0" w:afterLines="0"/>
      <w:ind w:left="1400" w:leftChars="1400"/>
    </w:pPr>
    <w:rPr>
      <w:rFonts w:hint="eastAsia"/>
      <w:sz w:val="21"/>
      <w:szCs w:val="21"/>
    </w:rPr>
  </w:style>
  <w:style w:type="paragraph" w:styleId="6">
    <w:name w:val="Document Map"/>
    <w:basedOn w:val="1"/>
    <w:next w:val="7"/>
    <w:unhideWhenUsed/>
    <w:qFormat/>
    <w:uiPriority w:val="99"/>
  </w:style>
  <w:style w:type="paragraph" w:styleId="7">
    <w:name w:val="Block Text"/>
    <w:basedOn w:val="1"/>
    <w:qFormat/>
    <w:uiPriority w:val="0"/>
    <w:pPr>
      <w:jc w:val="center"/>
    </w:pPr>
  </w:style>
  <w:style w:type="paragraph" w:styleId="8">
    <w:name w:val="annotation text"/>
    <w:qFormat/>
    <w:uiPriority w:val="0"/>
    <w:pPr>
      <w:jc w:val="left"/>
    </w:pPr>
    <w:rPr>
      <w:rFonts w:ascii="Times New Roman" w:hAnsi="Times New Roman" w:eastAsia="宋体" w:cs="Times New Roman"/>
    </w:rPr>
  </w:style>
  <w:style w:type="paragraph" w:styleId="9">
    <w:name w:val="Body Text"/>
    <w:basedOn w:val="1"/>
    <w:unhideWhenUsed/>
    <w:qFormat/>
    <w:uiPriority w:val="0"/>
    <w:pPr>
      <w:spacing w:after="120"/>
    </w:pPr>
  </w:style>
  <w:style w:type="paragraph" w:styleId="10">
    <w:name w:val="Body Text Indent"/>
    <w:basedOn w:val="11"/>
    <w:next w:val="13"/>
    <w:qFormat/>
    <w:uiPriority w:val="0"/>
    <w:pPr>
      <w:spacing w:after="120"/>
      <w:ind w:left="420" w:leftChars="200"/>
    </w:pPr>
    <w:rPr>
      <w:kern w:val="0"/>
      <w:sz w:val="20"/>
    </w:rPr>
  </w:style>
  <w:style w:type="paragraph" w:customStyle="1" w:styleId="11">
    <w:name w:val="正文_0_0_0_0_0"/>
    <w:next w:val="1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2">
    <w:name w:val="Body Text First Indent 2"/>
    <w:basedOn w:val="10"/>
    <w:qFormat/>
    <w:uiPriority w:val="0"/>
    <w:pPr>
      <w:widowControl w:val="0"/>
      <w:spacing w:before="0" w:after="120"/>
      <w:ind w:left="420" w:leftChars="200" w:right="0" w:firstLine="420"/>
      <w:jc w:val="both"/>
    </w:pPr>
    <w:rPr>
      <w:rFonts w:ascii="Times New Roman" w:hAnsi="Times New Roman" w:eastAsia="宋体" w:cs="Times New Roman"/>
      <w:kern w:val="2"/>
      <w:sz w:val="21"/>
      <w:szCs w:val="22"/>
      <w:lang w:val="en-US" w:eastAsia="zh-CN" w:bidi="ar-SA"/>
    </w:rPr>
  </w:style>
  <w:style w:type="paragraph" w:styleId="13">
    <w:name w:val="envelope return"/>
    <w:basedOn w:val="11"/>
    <w:qFormat/>
    <w:uiPriority w:val="0"/>
    <w:pPr>
      <w:adjustRightInd w:val="0"/>
      <w:snapToGrid w:val="0"/>
      <w:spacing w:line="360" w:lineRule="auto"/>
      <w:jc w:val="left"/>
      <w:textAlignment w:val="baseline"/>
    </w:pPr>
    <w:rPr>
      <w:rFonts w:ascii="Arial" w:hAnsi="Arial" w:eastAsia="仿宋_GB2312" w:cs="Arial"/>
      <w:kern w:val="0"/>
      <w:sz w:val="32"/>
      <w:szCs w:val="32"/>
    </w:rPr>
  </w:style>
  <w:style w:type="paragraph" w:styleId="14">
    <w:name w:val="toc 3"/>
    <w:basedOn w:val="1"/>
    <w:next w:val="1"/>
    <w:qFormat/>
    <w:uiPriority w:val="0"/>
    <w:pPr>
      <w:ind w:left="480"/>
    </w:pPr>
  </w:style>
  <w:style w:type="paragraph" w:styleId="15">
    <w:name w:val="Plain Text"/>
    <w:basedOn w:val="1"/>
    <w:link w:val="38"/>
    <w:qFormat/>
    <w:uiPriority w:val="99"/>
    <w:pPr>
      <w:spacing w:line="305" w:lineRule="auto"/>
      <w:ind w:firstLine="420"/>
    </w:pPr>
    <w:rPr>
      <w:rFonts w:ascii="宋体" w:hAnsi="Courier New" w:cs="Courier New"/>
      <w:szCs w:val="21"/>
    </w:rPr>
  </w:style>
  <w:style w:type="paragraph" w:styleId="16">
    <w:name w:val="Date"/>
    <w:basedOn w:val="1"/>
    <w:next w:val="1"/>
    <w:qFormat/>
    <w:uiPriority w:val="0"/>
    <w:rPr>
      <w:sz w:val="24"/>
      <w:szCs w:val="20"/>
    </w:rPr>
  </w:style>
  <w:style w:type="paragraph" w:styleId="17">
    <w:name w:val="footer"/>
    <w:basedOn w:val="1"/>
    <w:qFormat/>
    <w:uiPriority w:val="99"/>
    <w:pPr>
      <w:tabs>
        <w:tab w:val="center" w:pos="4153"/>
        <w:tab w:val="right" w:pos="8306"/>
      </w:tabs>
      <w:snapToGrid w:val="0"/>
      <w:jc w:val="left"/>
    </w:pPr>
    <w:rPr>
      <w:sz w:val="18"/>
      <w:szCs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0"/>
  </w:style>
  <w:style w:type="paragraph" w:styleId="20">
    <w:name w:val="toc 2"/>
    <w:basedOn w:val="1"/>
    <w:next w:val="1"/>
    <w:qFormat/>
    <w:uiPriority w:val="0"/>
    <w:pPr>
      <w:ind w:left="240"/>
    </w:pPr>
  </w:style>
  <w:style w:type="paragraph" w:styleId="21">
    <w:name w:val="Body Text 2"/>
    <w:basedOn w:val="1"/>
    <w:qFormat/>
    <w:uiPriority w:val="99"/>
    <w:pPr>
      <w:spacing w:after="120" w:line="480" w:lineRule="auto"/>
    </w:pPr>
  </w:style>
  <w:style w:type="paragraph" w:styleId="22">
    <w:name w:val="Normal (Web)"/>
    <w:basedOn w:val="1"/>
    <w:qFormat/>
    <w:uiPriority w:val="99"/>
    <w:pPr>
      <w:widowControl/>
      <w:spacing w:before="100" w:beforeAutospacing="1" w:after="100" w:afterAutospacing="1"/>
      <w:jc w:val="left"/>
    </w:pPr>
    <w:rPr>
      <w:rFonts w:ascii="宋体" w:hAnsi="宋体"/>
      <w:color w:val="000000"/>
      <w:kern w:val="0"/>
      <w:sz w:val="24"/>
    </w:rPr>
  </w:style>
  <w:style w:type="paragraph" w:styleId="23">
    <w:name w:val="Body Text First Indent"/>
    <w:basedOn w:val="9"/>
    <w:next w:val="24"/>
    <w:qFormat/>
    <w:uiPriority w:val="0"/>
    <w:pPr>
      <w:ind w:firstLine="100" w:firstLineChars="100"/>
    </w:pPr>
  </w:style>
  <w:style w:type="paragraph" w:customStyle="1" w:styleId="24">
    <w:name w:val="正文_0_0_1"/>
    <w:next w:val="23"/>
    <w:qFormat/>
    <w:uiPriority w:val="0"/>
    <w:pPr>
      <w:widowControl w:val="0"/>
      <w:jc w:val="both"/>
    </w:pPr>
    <w:rPr>
      <w:rFonts w:ascii="Calibri" w:hAnsi="Calibri" w:eastAsia="宋体" w:cs="Times New Roman"/>
      <w:kern w:val="2"/>
      <w:sz w:val="21"/>
      <w:szCs w:val="22"/>
      <w:lang w:val="en-US" w:eastAsia="zh-CN" w:bidi="ar-SA"/>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qFormat/>
    <w:uiPriority w:val="0"/>
  </w:style>
  <w:style w:type="character" w:styleId="30">
    <w:name w:val="Hyperlink"/>
    <w:basedOn w:val="27"/>
    <w:qFormat/>
    <w:uiPriority w:val="0"/>
    <w:rPr>
      <w:color w:val="0000FF"/>
      <w:u w:val="single"/>
    </w:rPr>
  </w:style>
  <w:style w:type="paragraph" w:customStyle="1" w:styleId="31">
    <w:name w:val="引用1"/>
    <w:basedOn w:val="32"/>
    <w:next w:val="33"/>
    <w:qFormat/>
    <w:uiPriority w:val="0"/>
    <w:rPr>
      <w:rFonts w:ascii="Calibri" w:hAnsi="Calibri" w:eastAsia="宋体" w:cs="Times New Roman"/>
      <w:iCs/>
      <w:color w:val="000000"/>
      <w:lang w:val="en-US" w:eastAsia="en-US" w:bidi="ar-SA"/>
    </w:rPr>
  </w:style>
  <w:style w:type="paragraph" w:customStyle="1" w:styleId="32">
    <w:name w:val="Normal_0_1_0"/>
    <w:next w:val="31"/>
    <w:qFormat/>
    <w:uiPriority w:val="0"/>
    <w:pPr>
      <w:widowControl w:val="0"/>
    </w:pPr>
    <w:rPr>
      <w:rFonts w:ascii="Times New Roman" w:hAnsi="Times New Roman" w:eastAsia="仿宋_GB2312" w:cs="Times New Roman"/>
      <w:sz w:val="28"/>
      <w:szCs w:val="28"/>
      <w:lang w:val="en-US" w:eastAsia="zh-CN" w:bidi="ar-SA"/>
    </w:rPr>
  </w:style>
  <w:style w:type="paragraph" w:customStyle="1" w:styleId="33">
    <w:name w:val="正文_0_0_0"/>
    <w:next w:val="31"/>
    <w:qFormat/>
    <w:uiPriority w:val="0"/>
    <w:pPr>
      <w:widowControl w:val="0"/>
      <w:jc w:val="both"/>
    </w:pPr>
    <w:rPr>
      <w:rFonts w:ascii="Calibri" w:hAnsi="Calibri" w:eastAsia="宋体" w:cs="Times New Roman"/>
      <w:kern w:val="2"/>
      <w:sz w:val="21"/>
      <w:szCs w:val="22"/>
      <w:lang w:val="en-US" w:eastAsia="zh-CN" w:bidi="ar-SA"/>
    </w:rPr>
  </w:style>
  <w:style w:type="character" w:customStyle="1" w:styleId="34">
    <w:name w:val="标题 2 字符"/>
    <w:link w:val="3"/>
    <w:qFormat/>
    <w:uiPriority w:val="0"/>
    <w:rPr>
      <w:rFonts w:ascii="Arial" w:hAnsi="Arial" w:eastAsia="黑体" w:cs="Times New Roman"/>
      <w:b/>
      <w:bCs/>
      <w:kern w:val="2"/>
      <w:sz w:val="32"/>
      <w:szCs w:val="32"/>
      <w:lang w:eastAsia="zh-CN"/>
    </w:rPr>
  </w:style>
  <w:style w:type="paragraph" w:customStyle="1" w:styleId="3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character" w:customStyle="1" w:styleId="36">
    <w:name w:val="标题 3 字符"/>
    <w:link w:val="4"/>
    <w:qFormat/>
    <w:uiPriority w:val="0"/>
    <w:rPr>
      <w:rFonts w:ascii="Times New Roman" w:hAnsi="Times New Roman" w:eastAsia="宋体" w:cs="Times New Roman"/>
      <w:b/>
      <w:bCs/>
      <w:kern w:val="2"/>
      <w:sz w:val="32"/>
      <w:szCs w:val="32"/>
      <w:lang w:eastAsia="zh-CN"/>
    </w:rPr>
  </w:style>
  <w:style w:type="paragraph" w:customStyle="1" w:styleId="37">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character" w:customStyle="1" w:styleId="38">
    <w:name w:val="纯文本 字符"/>
    <w:link w:val="15"/>
    <w:qFormat/>
    <w:uiPriority w:val="0"/>
    <w:rPr>
      <w:rFonts w:ascii="宋体" w:hAnsi="Courier New" w:eastAsia="宋体" w:cs="Courier New"/>
      <w:kern w:val="2"/>
      <w:sz w:val="21"/>
      <w:szCs w:val="21"/>
      <w:lang w:eastAsia="zh-CN"/>
    </w:rPr>
  </w:style>
  <w:style w:type="paragraph" w:customStyle="1" w:styleId="39">
    <w:name w:val="Normal_2"/>
    <w:next w:val="3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
    <w:name w:val="通用标题6"/>
    <w:basedOn w:val="1"/>
    <w:qFormat/>
    <w:uiPriority w:val="0"/>
    <w:pPr>
      <w:widowControl/>
      <w:numPr>
        <w:ilvl w:val="4"/>
        <w:numId w:val="1"/>
      </w:numPr>
      <w:tabs>
        <w:tab w:val="left" w:pos="993"/>
      </w:tabs>
      <w:adjustRightInd w:val="0"/>
      <w:snapToGrid w:val="0"/>
      <w:spacing w:after="120" w:afterLines="50" w:line="360" w:lineRule="auto"/>
      <w:ind w:firstLine="0"/>
    </w:pPr>
    <w:rPr>
      <w:rFonts w:ascii="宋体" w:hAnsi="宋体"/>
      <w:kern w:val="0"/>
      <w:sz w:val="24"/>
      <w:szCs w:val="20"/>
    </w:rPr>
  </w:style>
  <w:style w:type="paragraph" w:customStyle="1" w:styleId="41">
    <w:name w:val="正文_0_0"/>
    <w:next w:val="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2">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Table Paragraph"/>
    <w:basedOn w:val="41"/>
    <w:qFormat/>
    <w:uiPriority w:val="1"/>
  </w:style>
  <w:style w:type="paragraph" w:customStyle="1" w:styleId="44">
    <w:name w:val="Normal_0_0"/>
    <w:next w:val="3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专用标题2"/>
    <w:basedOn w:val="3"/>
    <w:next w:val="1"/>
    <w:qFormat/>
    <w:uiPriority w:val="0"/>
    <w:pPr>
      <w:keepNext w:val="0"/>
      <w:keepLines w:val="0"/>
      <w:widowControl/>
      <w:tabs>
        <w:tab w:val="left" w:pos="993"/>
      </w:tabs>
      <w:adjustRightInd w:val="0"/>
      <w:snapToGrid w:val="0"/>
      <w:spacing w:before="0" w:after="60" w:afterLines="50" w:line="360" w:lineRule="auto"/>
    </w:pPr>
    <w:rPr>
      <w:rFonts w:ascii="宋体" w:hAnsi="宋体" w:eastAsia="宋体" w:cs="Times"/>
      <w:bCs w:val="0"/>
      <w:kern w:val="0"/>
      <w:sz w:val="28"/>
      <w:szCs w:val="20"/>
    </w:rPr>
  </w:style>
  <w:style w:type="paragraph" w:customStyle="1" w:styleId="46">
    <w:name w:val="Normal_1"/>
    <w:qFormat/>
    <w:uiPriority w:val="0"/>
    <w:rPr>
      <w:rFonts w:ascii="Times New Roman" w:hAnsi="Times New Roman" w:eastAsia="Times New Roman" w:cs="Times New Roman"/>
      <w:sz w:val="24"/>
      <w:szCs w:val="24"/>
      <w:lang w:val="en-US" w:eastAsia="zh-CN" w:bidi="ar-SA"/>
    </w:rPr>
  </w:style>
  <w:style w:type="paragraph" w:customStyle="1" w:styleId="47">
    <w:name w:val="样式3"/>
    <w:basedOn w:val="39"/>
    <w:qFormat/>
    <w:uiPriority w:val="99"/>
    <w:pPr>
      <w:widowControl/>
      <w:spacing w:line="360" w:lineRule="auto"/>
      <w:ind w:firstLine="200" w:firstLineChars="200"/>
      <w:jc w:val="left"/>
    </w:pPr>
    <w:rPr>
      <w:rFonts w:ascii="Times New Roman" w:hAnsi="Times New Roman"/>
      <w:sz w:val="24"/>
      <w:szCs w:val="28"/>
    </w:rPr>
  </w:style>
  <w:style w:type="table" w:customStyle="1" w:styleId="48">
    <w:name w:val="Table Normal_0"/>
    <w:semiHidden/>
    <w:unhideWhenUsed/>
    <w:qFormat/>
    <w:uiPriority w:val="0"/>
    <w:rPr>
      <w:rFonts w:ascii="Times New Roman" w:hAnsi="Times New Roman" w:eastAsia="宋体" w:cs="Times New Roman"/>
    </w:rPr>
    <w:tblPr>
      <w:tblCellMar>
        <w:top w:w="0" w:type="dxa"/>
        <w:left w:w="0" w:type="dxa"/>
        <w:bottom w:w="0" w:type="dxa"/>
        <w:right w:w="0" w:type="dxa"/>
      </w:tblCellMar>
    </w:tblPr>
  </w:style>
  <w:style w:type="paragraph" w:customStyle="1" w:styleId="49">
    <w:name w:val="正文_0"/>
    <w:next w:val="3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正文"/>
    <w:basedOn w:val="49"/>
    <w:qFormat/>
    <w:uiPriority w:val="0"/>
    <w:pPr>
      <w:spacing w:line="360" w:lineRule="auto"/>
      <w:ind w:firstLine="200" w:firstLineChars="200"/>
    </w:pPr>
    <w:rPr>
      <w:kern w:val="0"/>
      <w:sz w:val="24"/>
      <w:szCs w:val="20"/>
    </w:rPr>
  </w:style>
  <w:style w:type="paragraph" w:customStyle="1" w:styleId="51">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52">
    <w:name w:val="协议书标题2"/>
    <w:basedOn w:val="3"/>
    <w:next w:val="1"/>
    <w:qFormat/>
    <w:uiPriority w:val="99"/>
    <w:pPr>
      <w:keepNext w:val="0"/>
      <w:keepLines w:val="0"/>
      <w:widowControl/>
      <w:tabs>
        <w:tab w:val="left" w:pos="567"/>
      </w:tabs>
      <w:wordWrap w:val="0"/>
      <w:topLinePunct/>
      <w:adjustRightInd w:val="0"/>
      <w:snapToGrid w:val="0"/>
      <w:spacing w:before="0" w:afterLines="50" w:line="360" w:lineRule="auto"/>
      <w:ind w:left="780"/>
      <w:jc w:val="left"/>
    </w:pPr>
    <w:rPr>
      <w:rFonts w:ascii="宋体" w:hAnsi="宋体" w:eastAsia="宋体"/>
      <w:bCs w:val="0"/>
      <w:sz w:val="24"/>
      <w:szCs w:val="20"/>
    </w:rPr>
  </w:style>
  <w:style w:type="paragraph" w:customStyle="1" w:styleId="53">
    <w:name w:val="WG标题2"/>
    <w:basedOn w:val="54"/>
    <w:qFormat/>
    <w:uiPriority w:val="99"/>
    <w:pPr>
      <w:outlineLvl w:val="1"/>
    </w:pPr>
    <w:rPr>
      <w:b/>
    </w:rPr>
  </w:style>
  <w:style w:type="paragraph" w:customStyle="1" w:styleId="54">
    <w:name w:val="样式 正文小四wg + 首行缩进:  2 字符"/>
    <w:basedOn w:val="44"/>
    <w:qFormat/>
    <w:uiPriority w:val="99"/>
    <w:pPr>
      <w:autoSpaceDE w:val="0"/>
      <w:autoSpaceDN w:val="0"/>
      <w:adjustRightInd w:val="0"/>
      <w:ind w:firstLine="200" w:firstLineChars="200"/>
    </w:pPr>
    <w:rPr>
      <w:rFonts w:ascii="仿宋_GB2312" w:hAnsi="宋体" w:eastAsia="仿宋_GB2312" w:cs="宋体"/>
      <w:color w:val="000000"/>
      <w:kern w:val="20"/>
      <w:sz w:val="24"/>
      <w:szCs w:val="20"/>
    </w:rPr>
  </w:style>
  <w:style w:type="paragraph" w:customStyle="1" w:styleId="55">
    <w:name w:val="正文_1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6">
    <w:name w:val="首行缩进"/>
    <w:basedOn w:val="44"/>
    <w:qFormat/>
    <w:uiPriority w:val="99"/>
    <w:pPr>
      <w:spacing w:line="360" w:lineRule="auto"/>
      <w:ind w:firstLine="480" w:firstLineChars="200"/>
    </w:pPr>
    <w:rPr>
      <w:rFonts w:ascii="Calibri" w:hAnsi="Calibri"/>
      <w:sz w:val="24"/>
      <w:szCs w:val="22"/>
      <w:lang w:val="zh-CN"/>
    </w:rPr>
  </w:style>
  <w:style w:type="paragraph" w:customStyle="1" w:styleId="57">
    <w:name w:val="正文_17"/>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
    <w:name w:val="正文_1_0_0"/>
    <w:qFormat/>
    <w:uiPriority w:val="0"/>
    <w:pPr>
      <w:widowControl w:val="0"/>
      <w:suppressAutoHyphens/>
      <w:jc w:val="both"/>
    </w:pPr>
    <w:rPr>
      <w:rFonts w:ascii="Calibri" w:hAnsi="Calibri" w:eastAsia="宋体" w:cs="Times New Roman"/>
      <w:kern w:val="1"/>
      <w:sz w:val="24"/>
      <w:szCs w:val="22"/>
      <w:lang w:val="en-US" w:eastAsia="zh-CN" w:bidi="ar-SA"/>
    </w:rPr>
  </w:style>
  <w:style w:type="paragraph" w:customStyle="1" w:styleId="59">
    <w:name w:val="引用1_0_0"/>
    <w:basedOn w:val="60"/>
    <w:next w:val="61"/>
    <w:qFormat/>
    <w:uiPriority w:val="0"/>
    <w:pPr>
      <w:tabs>
        <w:tab w:val="left" w:pos="450"/>
      </w:tabs>
    </w:pPr>
    <w:rPr>
      <w:rFonts w:cs="Arial"/>
      <w:iCs/>
      <w:color w:val="000000"/>
    </w:rPr>
  </w:style>
  <w:style w:type="paragraph" w:customStyle="1" w:styleId="60">
    <w:name w:val="Normal_0_2_0"/>
    <w:next w:val="59"/>
    <w:qFormat/>
    <w:uiPriority w:val="0"/>
    <w:pPr>
      <w:widowControl w:val="0"/>
    </w:pPr>
    <w:rPr>
      <w:rFonts w:ascii="Times New Roman" w:hAnsi="Times New Roman" w:eastAsia="仿宋_GB2312" w:cs="Times New Roman"/>
      <w:sz w:val="28"/>
      <w:szCs w:val="28"/>
      <w:lang w:val="en-US" w:eastAsia="zh-CN" w:bidi="ar-SA"/>
    </w:rPr>
  </w:style>
  <w:style w:type="paragraph" w:customStyle="1" w:styleId="61">
    <w:name w:val="正文_0_0_0_0"/>
    <w:next w:val="1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2">
    <w:name w:val="正文_18"/>
    <w:qFormat/>
    <w:uiPriority w:val="0"/>
    <w:pPr>
      <w:widowControl w:val="0"/>
      <w:jc w:val="both"/>
    </w:pPr>
    <w:rPr>
      <w:rFonts w:ascii="Calibri" w:hAnsi="Calibri" w:eastAsia="宋体" w:cs="Times New Roman"/>
      <w:kern w:val="2"/>
      <w:sz w:val="21"/>
      <w:szCs w:val="22"/>
      <w:lang w:val="en-US" w:eastAsia="zh-CN" w:bidi="ar-SA"/>
    </w:rPr>
  </w:style>
  <w:style w:type="table" w:customStyle="1" w:styleId="63">
    <w:name w:val="Table Normal"/>
    <w:qFormat/>
    <w:uiPriority w:val="0"/>
    <w:tblPr>
      <w:tblCellMar>
        <w:top w:w="0" w:type="dxa"/>
        <w:left w:w="0" w:type="dxa"/>
        <w:bottom w:w="0" w:type="dxa"/>
        <w:right w:w="0" w:type="dxa"/>
      </w:tblCellMar>
    </w:tblPr>
  </w:style>
  <w:style w:type="paragraph" w:customStyle="1" w:styleId="64">
    <w:name w:val="Table Text"/>
    <w:basedOn w:val="1"/>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7" Type="http://schemas.openxmlformats.org/officeDocument/2006/relationships/fontTable" Target="fontTable.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4.png"/><Relationship Id="rId83" Type="http://schemas.openxmlformats.org/officeDocument/2006/relationships/image" Target="media/image3.jpeg"/><Relationship Id="rId82" Type="http://schemas.openxmlformats.org/officeDocument/2006/relationships/image" Target="media/image2.jpeg"/><Relationship Id="rId81" Type="http://schemas.openxmlformats.org/officeDocument/2006/relationships/image" Target="media/image1.png"/><Relationship Id="rId80" Type="http://schemas.openxmlformats.org/officeDocument/2006/relationships/theme" Target="theme/theme1.xml"/><Relationship Id="rId8" Type="http://schemas.openxmlformats.org/officeDocument/2006/relationships/footer" Target="footer6.xml"/><Relationship Id="rId79" Type="http://schemas.openxmlformats.org/officeDocument/2006/relationships/footer" Target="footer56.xml"/><Relationship Id="rId78" Type="http://schemas.openxmlformats.org/officeDocument/2006/relationships/header" Target="header21.xml"/><Relationship Id="rId77" Type="http://schemas.openxmlformats.org/officeDocument/2006/relationships/footer" Target="footer55.xml"/><Relationship Id="rId76" Type="http://schemas.openxmlformats.org/officeDocument/2006/relationships/footer" Target="footer54.xml"/><Relationship Id="rId75" Type="http://schemas.openxmlformats.org/officeDocument/2006/relationships/footer" Target="footer53.xml"/><Relationship Id="rId74" Type="http://schemas.openxmlformats.org/officeDocument/2006/relationships/footer" Target="footer52.xml"/><Relationship Id="rId73" Type="http://schemas.openxmlformats.org/officeDocument/2006/relationships/footer" Target="footer51.xml"/><Relationship Id="rId72" Type="http://schemas.openxmlformats.org/officeDocument/2006/relationships/footer" Target="footer50.xml"/><Relationship Id="rId71" Type="http://schemas.openxmlformats.org/officeDocument/2006/relationships/footer" Target="footer49.xml"/><Relationship Id="rId70" Type="http://schemas.openxmlformats.org/officeDocument/2006/relationships/footer" Target="footer48.xml"/><Relationship Id="rId7" Type="http://schemas.openxmlformats.org/officeDocument/2006/relationships/footer" Target="footer5.xml"/><Relationship Id="rId69" Type="http://schemas.openxmlformats.org/officeDocument/2006/relationships/footer" Target="footer47.xml"/><Relationship Id="rId68" Type="http://schemas.openxmlformats.org/officeDocument/2006/relationships/footer" Target="footer46.xml"/><Relationship Id="rId67" Type="http://schemas.openxmlformats.org/officeDocument/2006/relationships/footer" Target="footer45.xml"/><Relationship Id="rId66" Type="http://schemas.openxmlformats.org/officeDocument/2006/relationships/footer" Target="footer44.xml"/><Relationship Id="rId65" Type="http://schemas.openxmlformats.org/officeDocument/2006/relationships/footer" Target="footer43.xml"/><Relationship Id="rId64" Type="http://schemas.openxmlformats.org/officeDocument/2006/relationships/footer" Target="footer42.xml"/><Relationship Id="rId63" Type="http://schemas.openxmlformats.org/officeDocument/2006/relationships/footer" Target="footer41.xml"/><Relationship Id="rId62" Type="http://schemas.openxmlformats.org/officeDocument/2006/relationships/footer" Target="footer40.xml"/><Relationship Id="rId61" Type="http://schemas.openxmlformats.org/officeDocument/2006/relationships/footer" Target="footer39.xml"/><Relationship Id="rId60" Type="http://schemas.openxmlformats.org/officeDocument/2006/relationships/footer" Target="footer38.xml"/><Relationship Id="rId6" Type="http://schemas.openxmlformats.org/officeDocument/2006/relationships/footer" Target="footer4.xml"/><Relationship Id="rId59" Type="http://schemas.openxmlformats.org/officeDocument/2006/relationships/footer" Target="footer37.xml"/><Relationship Id="rId58" Type="http://schemas.openxmlformats.org/officeDocument/2006/relationships/footer" Target="footer36.xml"/><Relationship Id="rId57" Type="http://schemas.openxmlformats.org/officeDocument/2006/relationships/footer" Target="footer35.xml"/><Relationship Id="rId56" Type="http://schemas.openxmlformats.org/officeDocument/2006/relationships/footer" Target="footer34.xml"/><Relationship Id="rId55" Type="http://schemas.openxmlformats.org/officeDocument/2006/relationships/footer" Target="footer33.xml"/><Relationship Id="rId54" Type="http://schemas.openxmlformats.org/officeDocument/2006/relationships/footer" Target="footer32.xml"/><Relationship Id="rId53" Type="http://schemas.openxmlformats.org/officeDocument/2006/relationships/footer" Target="footer31.xml"/><Relationship Id="rId52" Type="http://schemas.openxmlformats.org/officeDocument/2006/relationships/footer" Target="footer30.xml"/><Relationship Id="rId51" Type="http://schemas.openxmlformats.org/officeDocument/2006/relationships/header" Target="header20.xml"/><Relationship Id="rId50" Type="http://schemas.openxmlformats.org/officeDocument/2006/relationships/footer" Target="footer29.xml"/><Relationship Id="rId5" Type="http://schemas.openxmlformats.org/officeDocument/2006/relationships/footer" Target="footer3.xml"/><Relationship Id="rId49" Type="http://schemas.openxmlformats.org/officeDocument/2006/relationships/header" Target="header19.xml"/><Relationship Id="rId48" Type="http://schemas.openxmlformats.org/officeDocument/2006/relationships/footer" Target="footer28.xml"/><Relationship Id="rId47" Type="http://schemas.openxmlformats.org/officeDocument/2006/relationships/header" Target="header18.xml"/><Relationship Id="rId46" Type="http://schemas.openxmlformats.org/officeDocument/2006/relationships/footer" Target="footer27.xml"/><Relationship Id="rId45" Type="http://schemas.openxmlformats.org/officeDocument/2006/relationships/header" Target="header17.xml"/><Relationship Id="rId44" Type="http://schemas.openxmlformats.org/officeDocument/2006/relationships/footer" Target="footer26.xml"/><Relationship Id="rId43" Type="http://schemas.openxmlformats.org/officeDocument/2006/relationships/header" Target="header16.xml"/><Relationship Id="rId42" Type="http://schemas.openxmlformats.org/officeDocument/2006/relationships/footer" Target="footer25.xml"/><Relationship Id="rId41" Type="http://schemas.openxmlformats.org/officeDocument/2006/relationships/header" Target="header15.xml"/><Relationship Id="rId40" Type="http://schemas.openxmlformats.org/officeDocument/2006/relationships/footer" Target="footer24.xml"/><Relationship Id="rId4" Type="http://schemas.openxmlformats.org/officeDocument/2006/relationships/footer" Target="footer2.xml"/><Relationship Id="rId39" Type="http://schemas.openxmlformats.org/officeDocument/2006/relationships/header" Target="header14.xml"/><Relationship Id="rId38" Type="http://schemas.openxmlformats.org/officeDocument/2006/relationships/footer" Target="footer23.xml"/><Relationship Id="rId37" Type="http://schemas.openxmlformats.org/officeDocument/2006/relationships/header" Target="header13.xml"/><Relationship Id="rId36" Type="http://schemas.openxmlformats.org/officeDocument/2006/relationships/footer" Target="footer22.xml"/><Relationship Id="rId35" Type="http://schemas.openxmlformats.org/officeDocument/2006/relationships/header" Target="header12.xml"/><Relationship Id="rId34" Type="http://schemas.openxmlformats.org/officeDocument/2006/relationships/footer" Target="footer21.xml"/><Relationship Id="rId33" Type="http://schemas.openxmlformats.org/officeDocument/2006/relationships/header" Target="header11.xml"/><Relationship Id="rId32" Type="http://schemas.openxmlformats.org/officeDocument/2006/relationships/footer" Target="footer20.xml"/><Relationship Id="rId31" Type="http://schemas.openxmlformats.org/officeDocument/2006/relationships/header" Target="header10.xml"/><Relationship Id="rId30" Type="http://schemas.openxmlformats.org/officeDocument/2006/relationships/footer" Target="footer19.xml"/><Relationship Id="rId3" Type="http://schemas.openxmlformats.org/officeDocument/2006/relationships/footer" Target="footer1.xml"/><Relationship Id="rId29" Type="http://schemas.openxmlformats.org/officeDocument/2006/relationships/header" Target="header9.xml"/><Relationship Id="rId28" Type="http://schemas.openxmlformats.org/officeDocument/2006/relationships/footer" Target="footer18.xml"/><Relationship Id="rId27" Type="http://schemas.openxmlformats.org/officeDocument/2006/relationships/header" Target="header8.xml"/><Relationship Id="rId26" Type="http://schemas.openxmlformats.org/officeDocument/2006/relationships/footer" Target="footer17.xml"/><Relationship Id="rId25" Type="http://schemas.openxmlformats.org/officeDocument/2006/relationships/header" Target="header7.xml"/><Relationship Id="rId24" Type="http://schemas.openxmlformats.org/officeDocument/2006/relationships/footer" Target="footer16.xml"/><Relationship Id="rId23" Type="http://schemas.openxmlformats.org/officeDocument/2006/relationships/header" Target="header6.xml"/><Relationship Id="rId22" Type="http://schemas.openxmlformats.org/officeDocument/2006/relationships/footer" Target="footer15.xml"/><Relationship Id="rId21" Type="http://schemas.openxmlformats.org/officeDocument/2006/relationships/header" Target="header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header" Target="header4.xml"/><Relationship Id="rId18" Type="http://schemas.openxmlformats.org/officeDocument/2006/relationships/footer" Target="footer13.xml"/><Relationship Id="rId17" Type="http://schemas.openxmlformats.org/officeDocument/2006/relationships/header" Target="header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272</Pages>
  <Words>16612</Words>
  <Characters>18125</Characters>
  <Lines>0</Lines>
  <Paragraphs>0</Paragraphs>
  <TotalTime>70</TotalTime>
  <ScaleCrop>false</ScaleCrop>
  <LinksUpToDate>false</LinksUpToDate>
  <CharactersWithSpaces>18763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2023-08-22T03:17:00Z</dcterms:created>
  <dc:creator>guang</dc:creator>
  <cp:lastModifiedBy>Y</cp:lastModifiedBy>
  <dcterms:modified xsi:type="dcterms:W3CDTF">2025-09-28T03:17:33Z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AB559A16EFF94D99907B9DDE20F75299_13</vt:lpwstr>
  </property>
  <property fmtid="{D5CDD505-2E9C-101B-9397-08002B2CF9AE}" pid="3" name="KSOProductBuildVer">
    <vt:lpwstr>2052-12.1.0.22529</vt:lpwstr>
  </property>
  <property fmtid="{D5CDD505-2E9C-101B-9397-08002B2CF9AE}" pid="4" name="KSOTemplateDocerSaveRecord">
    <vt:lpwstr>eyJoZGlkIjoiYTI1NzczYjIzODM3MGYwNzk0MGIxNjc1MGZjYWQwNmEiLCJ1c2VySWQiOiIxNTY4Mzc4OTYxIn0=</vt:lpwstr>
  </property>
</Properties>
</file>